
<file path=[Content_Types].xml><?xml version="1.0" encoding="utf-8"?>
<Types xmlns="http://schemas.openxmlformats.org/package/2006/content-types">
  <Default Extension="jfif" ContentType="image/jpeg"/>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191AC" w14:textId="77777777" w:rsidR="000B4FF9" w:rsidRDefault="000B4FF9">
      <w:r>
        <w:rPr>
          <w:noProof/>
          <w:lang w:eastAsia="fr-FR"/>
        </w:rPr>
        <mc:AlternateContent>
          <mc:Choice Requires="wps">
            <w:drawing>
              <wp:anchor distT="0" distB="0" distL="114300" distR="114300" simplePos="0" relativeHeight="251662336" behindDoc="0" locked="0" layoutInCell="1" allowOverlap="1" wp14:anchorId="0157063C" wp14:editId="0296DF47">
                <wp:simplePos x="0" y="0"/>
                <wp:positionH relativeFrom="column">
                  <wp:posOffset>509905</wp:posOffset>
                </wp:positionH>
                <wp:positionV relativeFrom="paragraph">
                  <wp:posOffset>-337821</wp:posOffset>
                </wp:positionV>
                <wp:extent cx="4924425" cy="1514475"/>
                <wp:effectExtent l="0" t="0" r="9525" b="9525"/>
                <wp:wrapNone/>
                <wp:docPr id="6" name="Rectangle à coins arrondis 6"/>
                <wp:cNvGraphicFramePr/>
                <a:graphic xmlns:a="http://schemas.openxmlformats.org/drawingml/2006/main">
                  <a:graphicData uri="http://schemas.microsoft.com/office/word/2010/wordprocessingShape">
                    <wps:wsp>
                      <wps:cNvSpPr/>
                      <wps:spPr>
                        <a:xfrm>
                          <a:off x="0" y="0"/>
                          <a:ext cx="4924425" cy="1514475"/>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73B29BE"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République Algérienne Démocratique et Populaire</w:t>
                            </w:r>
                          </w:p>
                          <w:p w14:paraId="13BD3AB6"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Ministère de l’enseignement Supérieur et de La Recherche scientifique</w:t>
                            </w:r>
                          </w:p>
                          <w:p w14:paraId="5D82260B"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École Supérieure de Management – Tlemcen</w:t>
                            </w:r>
                          </w:p>
                          <w:p w14:paraId="64FA4A3D"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Département :  Management</w:t>
                            </w:r>
                          </w:p>
                          <w:p w14:paraId="70FEE29E"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Spécialité : Management des services de santé</w:t>
                            </w:r>
                          </w:p>
                          <w:p w14:paraId="7D48CD24" w14:textId="77777777" w:rsidR="0095621A" w:rsidRDefault="0095621A" w:rsidP="000B4FF9">
                            <w:pPr>
                              <w:jc w:val="center"/>
                              <w:rPr>
                                <w:color w:val="000000" w:themeColor="text1"/>
                              </w:rPr>
                            </w:pPr>
                          </w:p>
                          <w:p w14:paraId="6CF2E71F" w14:textId="77777777" w:rsidR="0095621A" w:rsidRPr="000B4FF9" w:rsidRDefault="0095621A" w:rsidP="000B4FF9">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57063C" id="Rectangle à coins arrondis 6" o:spid="_x0000_s1026" style="position:absolute;margin-left:40.15pt;margin-top:-26.6pt;width:387.75pt;height:11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" fillcolor="white [3212]" stroked="f" strokeweight="1pt">
                <v:stroke joinstyle="miter"/>
                <v:textbox>
                  <w:txbxContent>
                    <w:p w14:paraId="573B29BE"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République Algérienne Démocratique et Populaire</w:t>
                      </w:r>
                    </w:p>
                    <w:p w14:paraId="13BD3AB6"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Ministère de l’enseignement Supérieur et de La Recherche scientifique</w:t>
                      </w:r>
                    </w:p>
                    <w:p w14:paraId="5D82260B"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École Supérieure de Management – Tlemcen</w:t>
                      </w:r>
                    </w:p>
                    <w:p w14:paraId="64FA4A3D"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Département :  Management</w:t>
                      </w:r>
                    </w:p>
                    <w:p w14:paraId="70FEE29E" w14:textId="77777777" w:rsidR="0095621A" w:rsidRPr="000B4FF9" w:rsidRDefault="0095621A" w:rsidP="000B4FF9">
                      <w:pPr>
                        <w:spacing w:after="0"/>
                        <w:jc w:val="center"/>
                        <w:rPr>
                          <w:rFonts w:asciiTheme="majorBidi" w:hAnsiTheme="majorBidi" w:cstheme="majorBidi"/>
                          <w:color w:val="000000" w:themeColor="text1"/>
                          <w:szCs w:val="24"/>
                        </w:rPr>
                      </w:pPr>
                      <w:r w:rsidRPr="000B4FF9">
                        <w:rPr>
                          <w:rFonts w:asciiTheme="majorBidi" w:hAnsiTheme="majorBidi" w:cstheme="majorBidi"/>
                          <w:color w:val="000000" w:themeColor="text1"/>
                          <w:szCs w:val="24"/>
                        </w:rPr>
                        <w:t>Spécialité : Management des services de santé</w:t>
                      </w:r>
                    </w:p>
                    <w:p w14:paraId="7D48CD24" w14:textId="77777777" w:rsidR="0095621A" w:rsidRDefault="0095621A" w:rsidP="000B4FF9">
                      <w:pPr>
                        <w:jc w:val="center"/>
                        <w:rPr>
                          <w:color w:val="000000" w:themeColor="text1"/>
                        </w:rPr>
                      </w:pPr>
                    </w:p>
                    <w:p w14:paraId="6CF2E71F" w14:textId="77777777" w:rsidR="0095621A" w:rsidRPr="000B4FF9" w:rsidRDefault="0095621A" w:rsidP="000B4FF9">
                      <w:pPr>
                        <w:jc w:val="center"/>
                        <w:rPr>
                          <w:color w:val="000000" w:themeColor="text1"/>
                        </w:rPr>
                      </w:pPr>
                    </w:p>
                  </w:txbxContent>
                </v:textbox>
              </v:roundrect>
            </w:pict>
          </mc:Fallback>
        </mc:AlternateContent>
      </w:r>
      <w:r>
        <w:rPr>
          <w:noProof/>
          <w:lang w:eastAsia="fr-FR"/>
        </w:rPr>
        <mc:AlternateContent>
          <mc:Choice Requires="wps">
            <w:drawing>
              <wp:anchor distT="0" distB="0" distL="114300" distR="114300" simplePos="0" relativeHeight="251661312" behindDoc="0" locked="0" layoutInCell="1" allowOverlap="1" wp14:anchorId="471846AE" wp14:editId="095C58CE">
                <wp:simplePos x="0" y="0"/>
                <wp:positionH relativeFrom="column">
                  <wp:posOffset>5234305</wp:posOffset>
                </wp:positionH>
                <wp:positionV relativeFrom="paragraph">
                  <wp:posOffset>-461645</wp:posOffset>
                </wp:positionV>
                <wp:extent cx="981075" cy="1104900"/>
                <wp:effectExtent l="0" t="0" r="9525" b="0"/>
                <wp:wrapNone/>
                <wp:docPr id="2" name="Rectangle à coins arrondis 2"/>
                <wp:cNvGraphicFramePr/>
                <a:graphic xmlns:a="http://schemas.openxmlformats.org/drawingml/2006/main">
                  <a:graphicData uri="http://schemas.microsoft.com/office/word/2010/wordprocessingShape">
                    <wps:wsp>
                      <wps:cNvSpPr/>
                      <wps:spPr>
                        <a:xfrm>
                          <a:off x="0" y="0"/>
                          <a:ext cx="981075" cy="11049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D6214B2" w14:textId="77777777" w:rsidR="0095621A" w:rsidRDefault="0095621A" w:rsidP="000B4FF9">
                            <w:pPr>
                              <w:jc w:val="center"/>
                            </w:pPr>
                            <w:r>
                              <w:rPr>
                                <w:noProof/>
                                <w:lang w:eastAsia="fr-FR"/>
                              </w:rPr>
                              <w:drawing>
                                <wp:inline distT="0" distB="0" distL="0" distR="0" wp14:anchorId="65986B9F" wp14:editId="2365AF85">
                                  <wp:extent cx="791845" cy="923925"/>
                                  <wp:effectExtent l="0" t="0" r="8255" b="952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éléchargement.jfif"/>
                                          <pic:cNvPicPr/>
                                        </pic:nvPicPr>
                                        <pic:blipFill>
                                          <a:blip r:embed="rId8">
                                            <a:extLst>
                                              <a:ext uri="{28A0092B-C50C-407E-A947-70E740481C1C}">
                                                <a14:useLocalDpi xmlns:a14="http://schemas.microsoft.com/office/drawing/2010/main" val="0"/>
                                              </a:ext>
                                            </a:extLst>
                                          </a:blip>
                                          <a:stretch>
                                            <a:fillRect/>
                                          </a:stretch>
                                        </pic:blipFill>
                                        <pic:spPr>
                                          <a:xfrm>
                                            <a:off x="0" y="0"/>
                                            <a:ext cx="791845" cy="92392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71846AE" id="Rectangle à coins arrondis 2" o:spid="_x0000_s1027" style="position:absolute;margin-left:412.15pt;margin-top:-36.35pt;width:77.25pt;height:87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" fillcolor="white [3212]" stroked="f" strokeweight="1pt">
                <v:stroke joinstyle="miter"/>
                <v:textbox>
                  <w:txbxContent>
                    <w:p w14:paraId="3D6214B2" w14:textId="77777777" w:rsidR="0095621A" w:rsidRDefault="0095621A" w:rsidP="000B4FF9">
                      <w:pPr>
                        <w:jc w:val="center"/>
                      </w:pPr>
                      <w:r>
                        <w:rPr>
                          <w:noProof/>
                          <w:lang w:eastAsia="fr-FR"/>
                        </w:rPr>
                        <w:drawing>
                          <wp:inline distT="0" distB="0" distL="0" distR="0" wp14:anchorId="65986B9F" wp14:editId="2365AF85">
                            <wp:extent cx="791845" cy="923925"/>
                            <wp:effectExtent l="0" t="0" r="8255" b="952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éléchargement.jfif"/>
                                    <pic:cNvPicPr/>
                                  </pic:nvPicPr>
                                  <pic:blipFill>
                                    <a:blip r:embed="rId8">
                                      <a:extLst>
                                        <a:ext uri="{28A0092B-C50C-407E-A947-70E740481C1C}">
                                          <a14:useLocalDpi xmlns:a14="http://schemas.microsoft.com/office/drawing/2010/main" val="0"/>
                                        </a:ext>
                                      </a:extLst>
                                    </a:blip>
                                    <a:stretch>
                                      <a:fillRect/>
                                    </a:stretch>
                                  </pic:blipFill>
                                  <pic:spPr>
                                    <a:xfrm>
                                      <a:off x="0" y="0"/>
                                      <a:ext cx="791845" cy="923925"/>
                                    </a:xfrm>
                                    <a:prstGeom prst="rect">
                                      <a:avLst/>
                                    </a:prstGeom>
                                  </pic:spPr>
                                </pic:pic>
                              </a:graphicData>
                            </a:graphic>
                          </wp:inline>
                        </w:drawing>
                      </w:r>
                    </w:p>
                  </w:txbxContent>
                </v:textbox>
              </v:roundrect>
            </w:pict>
          </mc:Fallback>
        </mc:AlternateContent>
      </w:r>
      <w:r>
        <w:rPr>
          <w:noProof/>
          <w:lang w:eastAsia="fr-FR"/>
        </w:rPr>
        <mc:AlternateContent>
          <mc:Choice Requires="wps">
            <w:drawing>
              <wp:anchor distT="0" distB="0" distL="114300" distR="114300" simplePos="0" relativeHeight="251659264" behindDoc="0" locked="0" layoutInCell="1" allowOverlap="1" wp14:anchorId="36C79746" wp14:editId="22033A5D">
                <wp:simplePos x="0" y="0"/>
                <wp:positionH relativeFrom="column">
                  <wp:posOffset>-442595</wp:posOffset>
                </wp:positionH>
                <wp:positionV relativeFrom="paragraph">
                  <wp:posOffset>-461646</wp:posOffset>
                </wp:positionV>
                <wp:extent cx="981075" cy="1038225"/>
                <wp:effectExtent l="0" t="0" r="9525" b="9525"/>
                <wp:wrapNone/>
                <wp:docPr id="1" name="Rectangle à coins arrondis 1"/>
                <wp:cNvGraphicFramePr/>
                <a:graphic xmlns:a="http://schemas.openxmlformats.org/drawingml/2006/main">
                  <a:graphicData uri="http://schemas.microsoft.com/office/word/2010/wordprocessingShape">
                    <wps:wsp>
                      <wps:cNvSpPr/>
                      <wps:spPr>
                        <a:xfrm>
                          <a:off x="0" y="0"/>
                          <a:ext cx="981075" cy="1038225"/>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24E9EF" w14:textId="77777777" w:rsidR="0095621A" w:rsidRDefault="0095621A" w:rsidP="000B4FF9">
                            <w:pPr>
                              <w:jc w:val="center"/>
                            </w:pPr>
                            <w:r>
                              <w:rPr>
                                <w:noProof/>
                                <w:lang w:eastAsia="fr-FR"/>
                              </w:rPr>
                              <w:drawing>
                                <wp:inline distT="0" distB="0" distL="0" distR="0" wp14:anchorId="78D94918" wp14:editId="42D61860">
                                  <wp:extent cx="809625" cy="866775"/>
                                  <wp:effectExtent l="0" t="0" r="9525"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éléchargement.jfif"/>
                                          <pic:cNvPicPr/>
                                        </pic:nvPicPr>
                                        <pic:blipFill>
                                          <a:blip r:embed="rId8">
                                            <a:extLst>
                                              <a:ext uri="{28A0092B-C50C-407E-A947-70E740481C1C}">
                                                <a14:useLocalDpi xmlns:a14="http://schemas.microsoft.com/office/drawing/2010/main" val="0"/>
                                              </a:ext>
                                            </a:extLst>
                                          </a:blip>
                                          <a:stretch>
                                            <a:fillRect/>
                                          </a:stretch>
                                        </pic:blipFill>
                                        <pic:spPr>
                                          <a:xfrm>
                                            <a:off x="0" y="0"/>
                                            <a:ext cx="809625" cy="86677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C79746" id="Rectangle à coins arrondis 1" o:spid="_x0000_s1028" style="position:absolute;margin-left:-34.85pt;margin-top:-36.35pt;width:77.25pt;height:8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" fillcolor="white [3212]" stroked="f" strokeweight="1pt">
                <v:stroke joinstyle="miter"/>
                <v:textbox>
                  <w:txbxContent>
                    <w:p w14:paraId="0A24E9EF" w14:textId="77777777" w:rsidR="0095621A" w:rsidRDefault="0095621A" w:rsidP="000B4FF9">
                      <w:pPr>
                        <w:jc w:val="center"/>
                      </w:pPr>
                      <w:r>
                        <w:rPr>
                          <w:noProof/>
                          <w:lang w:eastAsia="fr-FR"/>
                        </w:rPr>
                        <w:drawing>
                          <wp:inline distT="0" distB="0" distL="0" distR="0" wp14:anchorId="78D94918" wp14:editId="42D61860">
                            <wp:extent cx="809625" cy="866775"/>
                            <wp:effectExtent l="0" t="0" r="9525"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éléchargement.jfif"/>
                                    <pic:cNvPicPr/>
                                  </pic:nvPicPr>
                                  <pic:blipFill>
                                    <a:blip r:embed="rId8">
                                      <a:extLst>
                                        <a:ext uri="{28A0092B-C50C-407E-A947-70E740481C1C}">
                                          <a14:useLocalDpi xmlns:a14="http://schemas.microsoft.com/office/drawing/2010/main" val="0"/>
                                        </a:ext>
                                      </a:extLst>
                                    </a:blip>
                                    <a:stretch>
                                      <a:fillRect/>
                                    </a:stretch>
                                  </pic:blipFill>
                                  <pic:spPr>
                                    <a:xfrm>
                                      <a:off x="0" y="0"/>
                                      <a:ext cx="809625" cy="866775"/>
                                    </a:xfrm>
                                    <a:prstGeom prst="rect">
                                      <a:avLst/>
                                    </a:prstGeom>
                                  </pic:spPr>
                                </pic:pic>
                              </a:graphicData>
                            </a:graphic>
                          </wp:inline>
                        </w:drawing>
                      </w:r>
                    </w:p>
                  </w:txbxContent>
                </v:textbox>
              </v:roundrect>
            </w:pict>
          </mc:Fallback>
        </mc:AlternateContent>
      </w:r>
    </w:p>
    <w:p w14:paraId="452F190A" w14:textId="77777777" w:rsidR="000B4FF9" w:rsidRPr="000B4FF9" w:rsidRDefault="000B4FF9" w:rsidP="000B4FF9"/>
    <w:p w14:paraId="3AE07CB5" w14:textId="77777777" w:rsidR="000B4FF9" w:rsidRPr="000B4FF9" w:rsidRDefault="000B4FF9" w:rsidP="000B4FF9"/>
    <w:p w14:paraId="511D110E" w14:textId="77777777" w:rsidR="000B4FF9" w:rsidRDefault="000B4FF9" w:rsidP="000B4FF9"/>
    <w:p w14:paraId="6324361A" w14:textId="77777777" w:rsidR="00C474D0" w:rsidRDefault="000B4FF9" w:rsidP="000B4FF9">
      <w:pPr>
        <w:jc w:val="center"/>
        <w:rPr>
          <w:rFonts w:asciiTheme="majorBidi" w:hAnsiTheme="majorBidi" w:cstheme="majorBidi"/>
          <w:szCs w:val="24"/>
        </w:rPr>
      </w:pPr>
      <w:r w:rsidRPr="000B4FF9">
        <w:rPr>
          <w:rFonts w:asciiTheme="majorBidi" w:hAnsiTheme="majorBidi" w:cstheme="majorBidi"/>
          <w:szCs w:val="24"/>
        </w:rPr>
        <w:t>Mémoire de fin d’études En vue de l’obtention du Diplôme de Master académique</w:t>
      </w:r>
    </w:p>
    <w:p w14:paraId="7F3C727C" w14:textId="702A9808" w:rsidR="000B4FF9" w:rsidRPr="00F232DB" w:rsidRDefault="00103005" w:rsidP="00F232DB">
      <w:pPr>
        <w:jc w:val="center"/>
        <w:rPr>
          <w:rFonts w:asciiTheme="majorBidi" w:hAnsiTheme="majorBidi" w:cstheme="majorBidi"/>
          <w:bCs/>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ajorBidi" w:hAnsiTheme="majorBidi" w:cstheme="majorBidi"/>
          <w:b/>
          <w:bCs/>
          <w:noProof/>
          <w:sz w:val="44"/>
          <w:szCs w:val="44"/>
          <w:lang w:eastAsia="fr-FR"/>
        </w:rPr>
        <mc:AlternateContent>
          <mc:Choice Requires="wps">
            <w:drawing>
              <wp:anchor distT="0" distB="0" distL="114300" distR="114300" simplePos="0" relativeHeight="251663360" behindDoc="0" locked="0" layoutInCell="1" allowOverlap="1" wp14:anchorId="7D023DC8" wp14:editId="479B83CB">
                <wp:simplePos x="0" y="0"/>
                <wp:positionH relativeFrom="column">
                  <wp:posOffset>290830</wp:posOffset>
                </wp:positionH>
                <wp:positionV relativeFrom="paragraph">
                  <wp:posOffset>363855</wp:posOffset>
                </wp:positionV>
                <wp:extent cx="5133975" cy="2914650"/>
                <wp:effectExtent l="0" t="0" r="9525" b="0"/>
                <wp:wrapNone/>
                <wp:docPr id="10" name="Rectangle à coins arrondis 10"/>
                <wp:cNvGraphicFramePr/>
                <a:graphic xmlns:a="http://schemas.openxmlformats.org/drawingml/2006/main">
                  <a:graphicData uri="http://schemas.microsoft.com/office/word/2010/wordprocessingShape">
                    <wps:wsp>
                      <wps:cNvSpPr/>
                      <wps:spPr>
                        <a:xfrm>
                          <a:off x="0" y="0"/>
                          <a:ext cx="5133975" cy="2914650"/>
                        </a:xfrm>
                        <a:prstGeom prst="roundRect">
                          <a:avLst/>
                        </a:prstGeom>
                        <a:gradFill flip="none" rotWithShape="1">
                          <a:gsLst>
                            <a:gs pos="0">
                              <a:schemeClr val="accent3">
                                <a:lumMod val="67000"/>
                              </a:schemeClr>
                            </a:gs>
                            <a:gs pos="48000">
                              <a:schemeClr val="accent3">
                                <a:lumMod val="97000"/>
                                <a:lumOff val="3000"/>
                              </a:schemeClr>
                            </a:gs>
                            <a:gs pos="100000">
                              <a:schemeClr val="accent3">
                                <a:lumMod val="60000"/>
                                <a:lumOff val="40000"/>
                              </a:schemeClr>
                            </a:gs>
                          </a:gsLst>
                          <a:lin ang="16200000" scaled="1"/>
                          <a:tileRect/>
                        </a:gradFill>
                        <a:ln>
                          <a:noFill/>
                        </a:ln>
                      </wps:spPr>
                      <wps:style>
                        <a:lnRef idx="0">
                          <a:scrgbClr r="0" g="0" b="0"/>
                        </a:lnRef>
                        <a:fillRef idx="0">
                          <a:scrgbClr r="0" g="0" b="0"/>
                        </a:fillRef>
                        <a:effectRef idx="0">
                          <a:scrgbClr r="0" g="0" b="0"/>
                        </a:effectRef>
                        <a:fontRef idx="minor">
                          <a:schemeClr val="lt1"/>
                        </a:fontRef>
                      </wps:style>
                      <wps:txbx>
                        <w:txbxContent>
                          <w:p w14:paraId="31D9559D" w14:textId="77777777" w:rsidR="0095621A" w:rsidRPr="00EC23FC" w:rsidRDefault="0095621A" w:rsidP="00C474D0">
                            <w:pPr>
                              <w:jc w:val="center"/>
                              <w:rPr>
                                <w:rFonts w:asciiTheme="majorBidi" w:hAnsiTheme="majorBidi" w:cstheme="majorBidi"/>
                                <w:color w:val="000000" w:themeColor="text1"/>
                                <w:sz w:val="28"/>
                                <w:szCs w:val="28"/>
                              </w:rPr>
                            </w:pPr>
                            <w:r w:rsidRPr="00C474D0">
                              <w:rPr>
                                <w:rFonts w:asciiTheme="majorBidi" w:hAnsiTheme="majorBidi" w:cstheme="majorBidi"/>
                                <w:color w:val="000000" w:themeColor="text1"/>
                                <w:sz w:val="36"/>
                                <w:szCs w:val="36"/>
                              </w:rPr>
                              <w:t>Développement des systèmes d'information en santé et leur impact sur la restructuration des modes de financement des établissements de santé en Algérie</w:t>
                            </w:r>
                            <w:r w:rsidRPr="00C474D0">
                              <w:rPr>
                                <w:rFonts w:asciiTheme="majorBidi" w:hAnsiTheme="majorBidi" w:cstheme="majorBidi"/>
                                <w:color w:val="000000" w:themeColor="text1"/>
                                <w:sz w:val="36"/>
                                <w:szCs w:val="36"/>
                              </w:rPr>
                              <w:br/>
                            </w:r>
                            <w:r w:rsidRPr="00EC23FC">
                              <w:rPr>
                                <w:rFonts w:asciiTheme="majorBidi" w:hAnsiTheme="majorBidi" w:cstheme="majorBidi"/>
                                <w:color w:val="000000" w:themeColor="text1"/>
                                <w:sz w:val="30"/>
                                <w:szCs w:val="30"/>
                              </w:rPr>
                              <w:t>Étude de cas : l’Hôpital Public Bouzidi Lakhdar (Bordj Bou Arreridj) et la Caisse Nationale des Assurances Sociales des Travailleurs Salariés (CNAS) – Direction Générale (Alger)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D023DC8" id="Rectangle à coins arrondis 10" o:spid="_x0000_s1029" style="position:absolute;left:0;text-align:left;margin-left:22.9pt;margin-top:28.65pt;width:404.25pt;height:229.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" fillcolor="#6e6e6e [2150]" stroked="f">
                <v:fill color2="#c9c9c9 [1942]" rotate="t" angle="180" colors="0 #6f6f6f;31457f #a8a8a8;1 #c9c9c9" focus="100%" type="gradient"/>
                <v:textbox>
                  <w:txbxContent>
                    <w:p w14:paraId="31D9559D" w14:textId="77777777" w:rsidR="0095621A" w:rsidRPr="00EC23FC" w:rsidRDefault="0095621A" w:rsidP="00C474D0">
                      <w:pPr>
                        <w:jc w:val="center"/>
                        <w:rPr>
                          <w:rFonts w:asciiTheme="majorBidi" w:hAnsiTheme="majorBidi" w:cstheme="majorBidi"/>
                          <w:color w:val="000000" w:themeColor="text1"/>
                          <w:sz w:val="28"/>
                          <w:szCs w:val="28"/>
                        </w:rPr>
                      </w:pPr>
                      <w:r w:rsidRPr="00C474D0">
                        <w:rPr>
                          <w:rFonts w:asciiTheme="majorBidi" w:hAnsiTheme="majorBidi" w:cstheme="majorBidi"/>
                          <w:color w:val="000000" w:themeColor="text1"/>
                          <w:sz w:val="36"/>
                          <w:szCs w:val="36"/>
                        </w:rPr>
                        <w:t>Développement des systèmes d'information en santé et leur impact sur la restructuration des modes de financement des établissements de santé en Algérie</w:t>
                      </w:r>
                      <w:r w:rsidRPr="00C474D0">
                        <w:rPr>
                          <w:rFonts w:asciiTheme="majorBidi" w:hAnsiTheme="majorBidi" w:cstheme="majorBidi"/>
                          <w:color w:val="000000" w:themeColor="text1"/>
                          <w:sz w:val="36"/>
                          <w:szCs w:val="36"/>
                        </w:rPr>
                        <w:br/>
                      </w:r>
                      <w:r w:rsidRPr="00EC23FC">
                        <w:rPr>
                          <w:rFonts w:asciiTheme="majorBidi" w:hAnsiTheme="majorBidi" w:cstheme="majorBidi"/>
                          <w:color w:val="000000" w:themeColor="text1"/>
                          <w:sz w:val="30"/>
                          <w:szCs w:val="30"/>
                        </w:rPr>
                        <w:t>Étude de cas : l’Hôpital Public Bouzidi Lakhdar (Bordj Bou Arreridj) et la Caisse Nationale des Assurances Sociales des Travailleurs Salariés (CNAS) – Direction Générale (Alger)</w:t>
                      </w:r>
                    </w:p>
                  </w:txbxContent>
                </v:textbox>
              </v:roundrect>
            </w:pict>
          </mc:Fallback>
        </mc:AlternateContent>
      </w:r>
      <w:r w:rsidR="000B4FF9" w:rsidRPr="000B4FF9">
        <w:rPr>
          <w:rFonts w:asciiTheme="majorBidi" w:hAnsiTheme="majorBidi" w:cstheme="majorBidi"/>
          <w:bCs/>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Thème</w:t>
      </w:r>
    </w:p>
    <w:p w14:paraId="4D010697" w14:textId="2A03D5B7" w:rsidR="00F877EB" w:rsidRDefault="00F877EB" w:rsidP="000B4FF9">
      <w:pPr>
        <w:jc w:val="center"/>
        <w:rPr>
          <w:rFonts w:asciiTheme="majorBidi" w:hAnsiTheme="majorBidi" w:cstheme="majorBidi"/>
          <w:b/>
          <w:bCs/>
          <w:sz w:val="44"/>
          <w:szCs w:val="44"/>
        </w:rPr>
      </w:pPr>
    </w:p>
    <w:p w14:paraId="79B63462" w14:textId="77777777" w:rsidR="00F877EB" w:rsidRPr="00F877EB" w:rsidRDefault="00F877EB" w:rsidP="00F877EB">
      <w:pPr>
        <w:rPr>
          <w:rFonts w:asciiTheme="majorBidi" w:hAnsiTheme="majorBidi" w:cstheme="majorBidi"/>
          <w:sz w:val="44"/>
          <w:szCs w:val="44"/>
        </w:rPr>
      </w:pPr>
    </w:p>
    <w:p w14:paraId="5E049753" w14:textId="77777777" w:rsidR="00F877EB" w:rsidRPr="00F877EB" w:rsidRDefault="00F877EB" w:rsidP="00F877EB">
      <w:pPr>
        <w:rPr>
          <w:rFonts w:asciiTheme="majorBidi" w:hAnsiTheme="majorBidi" w:cstheme="majorBidi"/>
          <w:sz w:val="44"/>
          <w:szCs w:val="44"/>
        </w:rPr>
      </w:pPr>
    </w:p>
    <w:p w14:paraId="712E3194" w14:textId="77777777" w:rsidR="00F877EB" w:rsidRPr="00F877EB" w:rsidRDefault="00F877EB" w:rsidP="00F877EB">
      <w:pPr>
        <w:rPr>
          <w:rFonts w:asciiTheme="majorBidi" w:hAnsiTheme="majorBidi" w:cstheme="majorBidi"/>
          <w:sz w:val="44"/>
          <w:szCs w:val="44"/>
        </w:rPr>
      </w:pPr>
    </w:p>
    <w:p w14:paraId="1430E039" w14:textId="77777777" w:rsidR="00F877EB" w:rsidRPr="00F877EB" w:rsidRDefault="00F232DB" w:rsidP="00F877EB">
      <w:pPr>
        <w:rPr>
          <w:rFonts w:asciiTheme="majorBidi" w:hAnsiTheme="majorBidi" w:cstheme="majorBidi"/>
          <w:sz w:val="44"/>
          <w:szCs w:val="44"/>
        </w:rPr>
      </w:pPr>
      <w:r>
        <w:rPr>
          <w:rFonts w:asciiTheme="majorBidi" w:hAnsiTheme="majorBidi" w:cstheme="majorBidi"/>
          <w:b/>
          <w:bCs/>
          <w:noProof/>
          <w:sz w:val="44"/>
          <w:szCs w:val="44"/>
          <w:lang w:eastAsia="fr-FR"/>
        </w:rPr>
        <mc:AlternateContent>
          <mc:Choice Requires="wps">
            <w:drawing>
              <wp:anchor distT="0" distB="0" distL="114300" distR="114300" simplePos="0" relativeHeight="251666432" behindDoc="0" locked="0" layoutInCell="1" allowOverlap="1" wp14:anchorId="0DE8EC42" wp14:editId="3BBC4B5C">
                <wp:simplePos x="0" y="0"/>
                <wp:positionH relativeFrom="margin">
                  <wp:align>right</wp:align>
                </wp:positionH>
                <wp:positionV relativeFrom="paragraph">
                  <wp:posOffset>577215</wp:posOffset>
                </wp:positionV>
                <wp:extent cx="1657350" cy="1114425"/>
                <wp:effectExtent l="0" t="0" r="0" b="9525"/>
                <wp:wrapNone/>
                <wp:docPr id="4" name="Rectangle à coins arrondis 4"/>
                <wp:cNvGraphicFramePr/>
                <a:graphic xmlns:a="http://schemas.openxmlformats.org/drawingml/2006/main">
                  <a:graphicData uri="http://schemas.microsoft.com/office/word/2010/wordprocessingShape">
                    <wps:wsp>
                      <wps:cNvSpPr/>
                      <wps:spPr>
                        <a:xfrm>
                          <a:off x="0" y="0"/>
                          <a:ext cx="1657350" cy="1114425"/>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BCDDD7" w14:textId="77777777" w:rsidR="0095621A" w:rsidRPr="00F877EB" w:rsidRDefault="0095621A" w:rsidP="00EC23FC">
                            <w:pPr>
                              <w:jc w:val="center"/>
                              <w:rPr>
                                <w:rFonts w:asciiTheme="majorBidi" w:hAnsiTheme="majorBidi" w:cstheme="majorBidi"/>
                                <w:color w:val="000000" w:themeColor="text1"/>
                                <w:szCs w:val="24"/>
                              </w:rPr>
                            </w:pPr>
                            <w:r w:rsidRPr="00F877EB">
                              <w:rPr>
                                <w:rFonts w:asciiTheme="majorBidi" w:hAnsiTheme="majorBidi" w:cstheme="majorBidi"/>
                                <w:color w:val="000000" w:themeColor="text1"/>
                                <w:szCs w:val="24"/>
                              </w:rPr>
                              <w:t>Dirigé par :</w:t>
                            </w:r>
                          </w:p>
                          <w:p w14:paraId="349744D7" w14:textId="77777777" w:rsidR="0095621A" w:rsidRPr="00F877EB" w:rsidRDefault="0095621A" w:rsidP="00EC23FC">
                            <w:pPr>
                              <w:jc w:val="center"/>
                              <w:rPr>
                                <w:rFonts w:asciiTheme="majorBidi" w:hAnsiTheme="majorBidi" w:cstheme="majorBidi"/>
                                <w:color w:val="000000" w:themeColor="text1"/>
                                <w:szCs w:val="24"/>
                              </w:rPr>
                            </w:pPr>
                            <w:r w:rsidRPr="00F877EB">
                              <w:rPr>
                                <w:rFonts w:asciiTheme="majorBidi" w:hAnsiTheme="majorBidi" w:cstheme="majorBidi"/>
                                <w:color w:val="000000" w:themeColor="text1"/>
                                <w:szCs w:val="24"/>
                              </w:rPr>
                              <w:t>DR. BERRACHED Amina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DE8EC42" id="Rectangle à coins arrondis 4" o:spid="_x0000_s1030" style="position:absolute;margin-left:79.3pt;margin-top:45.45pt;width:130.5pt;height:87.75pt;z-index:251666432;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" fillcolor="white [3212]" stroked="f" strokeweight="1pt">
                <v:stroke joinstyle="miter"/>
                <v:textbox>
                  <w:txbxContent>
                    <w:p w14:paraId="3CBCDDD7" w14:textId="77777777" w:rsidR="0095621A" w:rsidRPr="00F877EB" w:rsidRDefault="0095621A" w:rsidP="00EC23FC">
                      <w:pPr>
                        <w:jc w:val="center"/>
                        <w:rPr>
                          <w:rFonts w:asciiTheme="majorBidi" w:hAnsiTheme="majorBidi" w:cstheme="majorBidi"/>
                          <w:color w:val="000000" w:themeColor="text1"/>
                          <w:szCs w:val="24"/>
                        </w:rPr>
                      </w:pPr>
                      <w:r w:rsidRPr="00F877EB">
                        <w:rPr>
                          <w:rFonts w:asciiTheme="majorBidi" w:hAnsiTheme="majorBidi" w:cstheme="majorBidi"/>
                          <w:color w:val="000000" w:themeColor="text1"/>
                          <w:szCs w:val="24"/>
                        </w:rPr>
                        <w:t>Dirigé par :</w:t>
                      </w:r>
                    </w:p>
                    <w:p w14:paraId="349744D7" w14:textId="77777777" w:rsidR="0095621A" w:rsidRPr="00F877EB" w:rsidRDefault="0095621A" w:rsidP="00EC23FC">
                      <w:pPr>
                        <w:jc w:val="center"/>
                        <w:rPr>
                          <w:rFonts w:asciiTheme="majorBidi" w:hAnsiTheme="majorBidi" w:cstheme="majorBidi"/>
                          <w:color w:val="000000" w:themeColor="text1"/>
                          <w:szCs w:val="24"/>
                        </w:rPr>
                      </w:pPr>
                      <w:r w:rsidRPr="00F877EB">
                        <w:rPr>
                          <w:rFonts w:asciiTheme="majorBidi" w:hAnsiTheme="majorBidi" w:cstheme="majorBidi"/>
                          <w:color w:val="000000" w:themeColor="text1"/>
                          <w:szCs w:val="24"/>
                        </w:rPr>
                        <w:t>DR. BERRACHED Amina</w:t>
                      </w:r>
                    </w:p>
                  </w:txbxContent>
                </v:textbox>
                <w10:wrap anchorx="margin"/>
              </v:roundrect>
            </w:pict>
          </mc:Fallback>
        </mc:AlternateContent>
      </w:r>
      <w:r>
        <w:rPr>
          <w:rFonts w:asciiTheme="majorBidi" w:hAnsiTheme="majorBidi" w:cstheme="majorBidi"/>
          <w:b/>
          <w:bCs/>
          <w:noProof/>
          <w:sz w:val="44"/>
          <w:szCs w:val="44"/>
          <w:lang w:eastAsia="fr-FR"/>
        </w:rPr>
        <mc:AlternateContent>
          <mc:Choice Requires="wps">
            <w:drawing>
              <wp:anchor distT="0" distB="0" distL="114300" distR="114300" simplePos="0" relativeHeight="251664384" behindDoc="0" locked="0" layoutInCell="1" allowOverlap="1" wp14:anchorId="54BE70AF" wp14:editId="28F5CC68">
                <wp:simplePos x="0" y="0"/>
                <wp:positionH relativeFrom="column">
                  <wp:posOffset>-242570</wp:posOffset>
                </wp:positionH>
                <wp:positionV relativeFrom="paragraph">
                  <wp:posOffset>397510</wp:posOffset>
                </wp:positionV>
                <wp:extent cx="1733550" cy="1181100"/>
                <wp:effectExtent l="0" t="0" r="0" b="0"/>
                <wp:wrapNone/>
                <wp:docPr id="3" name="Rectangle à coins arrondis 3"/>
                <wp:cNvGraphicFramePr/>
                <a:graphic xmlns:a="http://schemas.openxmlformats.org/drawingml/2006/main">
                  <a:graphicData uri="http://schemas.microsoft.com/office/word/2010/wordprocessingShape">
                    <wps:wsp>
                      <wps:cNvSpPr/>
                      <wps:spPr>
                        <a:xfrm>
                          <a:off x="0" y="0"/>
                          <a:ext cx="1733550" cy="11811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B4A683" w14:textId="77777777" w:rsidR="0095621A" w:rsidRDefault="0095621A" w:rsidP="00F877EB">
                            <w:pPr>
                              <w:jc w:val="center"/>
                              <w:rPr>
                                <w:rFonts w:asciiTheme="majorBidi" w:hAnsiTheme="majorBidi" w:cstheme="majorBidi"/>
                                <w:color w:val="000000" w:themeColor="text1"/>
                                <w:szCs w:val="24"/>
                              </w:rPr>
                            </w:pPr>
                            <w:r w:rsidRPr="00F877EB">
                              <w:rPr>
                                <w:rFonts w:asciiTheme="majorBidi" w:hAnsiTheme="majorBidi" w:cstheme="majorBidi"/>
                                <w:color w:val="000000" w:themeColor="text1"/>
                                <w:szCs w:val="24"/>
                              </w:rPr>
                              <w:t>Réalisé par :</w:t>
                            </w:r>
                          </w:p>
                          <w:p w14:paraId="5964BE6A" w14:textId="77777777" w:rsidR="0095621A" w:rsidRPr="00F877EB" w:rsidRDefault="0095621A" w:rsidP="00FB03F1">
                            <w:pPr>
                              <w:pStyle w:val="NormalWeb"/>
                              <w:jc w:val="center"/>
                              <w:rPr>
                                <w:rFonts w:asciiTheme="majorBidi" w:hAnsiTheme="majorBidi" w:cstheme="majorBidi"/>
                                <w:color w:val="000000" w:themeColor="text1"/>
                              </w:rPr>
                            </w:pPr>
                            <w:r w:rsidRPr="00F877EB">
                              <w:rPr>
                                <w:rFonts w:asciiTheme="majorBidi" w:hAnsiTheme="majorBidi" w:cstheme="majorBidi"/>
                                <w:color w:val="000000" w:themeColor="text1"/>
                              </w:rPr>
                              <w:t xml:space="preserve">Mlle </w:t>
                            </w:r>
                            <w:proofErr w:type="spellStart"/>
                            <w:r w:rsidRPr="00F877EB">
                              <w:rPr>
                                <w:rFonts w:asciiTheme="majorBidi" w:hAnsiTheme="majorBidi" w:cstheme="majorBidi"/>
                                <w:color w:val="000000" w:themeColor="text1"/>
                              </w:rPr>
                              <w:t>Hattali</w:t>
                            </w:r>
                            <w:proofErr w:type="spellEnd"/>
                            <w:r w:rsidRPr="00F877EB">
                              <w:rPr>
                                <w:rFonts w:asciiTheme="majorBidi" w:hAnsiTheme="majorBidi" w:cstheme="majorBidi"/>
                                <w:color w:val="000000" w:themeColor="text1"/>
                              </w:rPr>
                              <w:t xml:space="preserve"> Melissa</w:t>
                            </w:r>
                          </w:p>
                          <w:p w14:paraId="08E9C5A6" w14:textId="29C830AD" w:rsidR="0095621A" w:rsidRPr="00F877EB" w:rsidRDefault="0095621A" w:rsidP="00F877EB">
                            <w:pPr>
                              <w:pStyle w:val="NormalWeb"/>
                              <w:jc w:val="center"/>
                              <w:rPr>
                                <w:rFonts w:asciiTheme="majorBidi" w:hAnsiTheme="majorBidi" w:cstheme="majorBidi"/>
                                <w:color w:val="000000" w:themeColor="text1"/>
                              </w:rPr>
                            </w:pPr>
                            <w:r w:rsidRPr="00F877EB">
                              <w:rPr>
                                <w:rFonts w:asciiTheme="majorBidi" w:hAnsiTheme="majorBidi" w:cstheme="majorBidi"/>
                                <w:color w:val="000000" w:themeColor="text1"/>
                              </w:rPr>
                              <w:t xml:space="preserve">Mlle Hannachi </w:t>
                            </w:r>
                            <w:proofErr w:type="spellStart"/>
                            <w:r w:rsidRPr="00F877EB">
                              <w:rPr>
                                <w:rFonts w:asciiTheme="majorBidi" w:hAnsiTheme="majorBidi" w:cstheme="majorBidi"/>
                                <w:color w:val="000000" w:themeColor="text1"/>
                              </w:rPr>
                              <w:t>Chaima</w:t>
                            </w:r>
                            <w:proofErr w:type="spellEnd"/>
                          </w:p>
                          <w:p w14:paraId="0B501C51" w14:textId="77777777" w:rsidR="0095621A" w:rsidRDefault="0095621A" w:rsidP="00F877EB">
                            <w:pPr>
                              <w:pStyle w:val="NormalWeb"/>
                              <w:rPr>
                                <w:color w:val="000000" w:themeColor="text1"/>
                              </w:rPr>
                            </w:pPr>
                          </w:p>
                          <w:p w14:paraId="1B5B0CF2" w14:textId="77777777" w:rsidR="0095621A" w:rsidRPr="00F877EB" w:rsidRDefault="0095621A" w:rsidP="00F877EB">
                            <w:pPr>
                              <w:pStyle w:val="NormalWeb"/>
                              <w:rPr>
                                <w:color w:val="000000" w:themeColor="text1"/>
                              </w:rPr>
                            </w:pPr>
                          </w:p>
                          <w:p w14:paraId="0F0C5843" w14:textId="77777777" w:rsidR="0095621A" w:rsidRPr="00EC23FC" w:rsidRDefault="0095621A" w:rsidP="00EC23FC">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BE70AF" id="Rectangle à coins arrondis 3" o:spid="_x0000_s1031" style="position:absolute;margin-left:-19.1pt;margin-top:31.3pt;width:136.5pt;height:9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" fillcolor="white [3212]" stroked="f" strokeweight="1pt">
                <v:stroke joinstyle="miter"/>
                <v:textbox>
                  <w:txbxContent>
                    <w:p w14:paraId="1CB4A683" w14:textId="77777777" w:rsidR="0095621A" w:rsidRDefault="0095621A" w:rsidP="00F877EB">
                      <w:pPr>
                        <w:jc w:val="center"/>
                        <w:rPr>
                          <w:rFonts w:asciiTheme="majorBidi" w:hAnsiTheme="majorBidi" w:cstheme="majorBidi"/>
                          <w:color w:val="000000" w:themeColor="text1"/>
                          <w:szCs w:val="24"/>
                        </w:rPr>
                      </w:pPr>
                      <w:r w:rsidRPr="00F877EB">
                        <w:rPr>
                          <w:rFonts w:asciiTheme="majorBidi" w:hAnsiTheme="majorBidi" w:cstheme="majorBidi"/>
                          <w:color w:val="000000" w:themeColor="text1"/>
                          <w:szCs w:val="24"/>
                        </w:rPr>
                        <w:t>Réalisé par :</w:t>
                      </w:r>
                    </w:p>
                    <w:p w14:paraId="5964BE6A" w14:textId="77777777" w:rsidR="0095621A" w:rsidRPr="00F877EB" w:rsidRDefault="0095621A" w:rsidP="00FB03F1">
                      <w:pPr>
                        <w:pStyle w:val="NormalWeb"/>
                        <w:jc w:val="center"/>
                        <w:rPr>
                          <w:rFonts w:asciiTheme="majorBidi" w:hAnsiTheme="majorBidi" w:cstheme="majorBidi"/>
                          <w:color w:val="000000" w:themeColor="text1"/>
                        </w:rPr>
                      </w:pPr>
                      <w:r w:rsidRPr="00F877EB">
                        <w:rPr>
                          <w:rFonts w:asciiTheme="majorBidi" w:hAnsiTheme="majorBidi" w:cstheme="majorBidi"/>
                          <w:color w:val="000000" w:themeColor="text1"/>
                        </w:rPr>
                        <w:t xml:space="preserve">Mlle </w:t>
                      </w:r>
                      <w:proofErr w:type="spellStart"/>
                      <w:r w:rsidRPr="00F877EB">
                        <w:rPr>
                          <w:rFonts w:asciiTheme="majorBidi" w:hAnsiTheme="majorBidi" w:cstheme="majorBidi"/>
                          <w:color w:val="000000" w:themeColor="text1"/>
                        </w:rPr>
                        <w:t>Hattali</w:t>
                      </w:r>
                      <w:proofErr w:type="spellEnd"/>
                      <w:r w:rsidRPr="00F877EB">
                        <w:rPr>
                          <w:rFonts w:asciiTheme="majorBidi" w:hAnsiTheme="majorBidi" w:cstheme="majorBidi"/>
                          <w:color w:val="000000" w:themeColor="text1"/>
                        </w:rPr>
                        <w:t xml:space="preserve"> Melissa</w:t>
                      </w:r>
                    </w:p>
                    <w:p w14:paraId="08E9C5A6" w14:textId="29C830AD" w:rsidR="0095621A" w:rsidRPr="00F877EB" w:rsidRDefault="0095621A" w:rsidP="00F877EB">
                      <w:pPr>
                        <w:pStyle w:val="NormalWeb"/>
                        <w:jc w:val="center"/>
                        <w:rPr>
                          <w:rFonts w:asciiTheme="majorBidi" w:hAnsiTheme="majorBidi" w:cstheme="majorBidi"/>
                          <w:color w:val="000000" w:themeColor="text1"/>
                        </w:rPr>
                      </w:pPr>
                      <w:r w:rsidRPr="00F877EB">
                        <w:rPr>
                          <w:rFonts w:asciiTheme="majorBidi" w:hAnsiTheme="majorBidi" w:cstheme="majorBidi"/>
                          <w:color w:val="000000" w:themeColor="text1"/>
                        </w:rPr>
                        <w:t xml:space="preserve">Mlle Hannachi </w:t>
                      </w:r>
                      <w:proofErr w:type="spellStart"/>
                      <w:r w:rsidRPr="00F877EB">
                        <w:rPr>
                          <w:rFonts w:asciiTheme="majorBidi" w:hAnsiTheme="majorBidi" w:cstheme="majorBidi"/>
                          <w:color w:val="000000" w:themeColor="text1"/>
                        </w:rPr>
                        <w:t>Chaima</w:t>
                      </w:r>
                      <w:proofErr w:type="spellEnd"/>
                    </w:p>
                    <w:p w14:paraId="0B501C51" w14:textId="77777777" w:rsidR="0095621A" w:rsidRDefault="0095621A" w:rsidP="00F877EB">
                      <w:pPr>
                        <w:pStyle w:val="NormalWeb"/>
                        <w:rPr>
                          <w:color w:val="000000" w:themeColor="text1"/>
                        </w:rPr>
                      </w:pPr>
                    </w:p>
                    <w:p w14:paraId="1B5B0CF2" w14:textId="77777777" w:rsidR="0095621A" w:rsidRPr="00F877EB" w:rsidRDefault="0095621A" w:rsidP="00F877EB">
                      <w:pPr>
                        <w:pStyle w:val="NormalWeb"/>
                        <w:rPr>
                          <w:color w:val="000000" w:themeColor="text1"/>
                        </w:rPr>
                      </w:pPr>
                    </w:p>
                    <w:p w14:paraId="0F0C5843" w14:textId="77777777" w:rsidR="0095621A" w:rsidRPr="00EC23FC" w:rsidRDefault="0095621A" w:rsidP="00EC23FC">
                      <w:pPr>
                        <w:rPr>
                          <w:color w:val="000000" w:themeColor="text1"/>
                        </w:rPr>
                      </w:pPr>
                    </w:p>
                  </w:txbxContent>
                </v:textbox>
              </v:roundrect>
            </w:pict>
          </mc:Fallback>
        </mc:AlternateContent>
      </w:r>
    </w:p>
    <w:p w14:paraId="67A2CC97" w14:textId="77777777" w:rsidR="00F877EB" w:rsidRPr="00F877EB" w:rsidRDefault="00F877EB" w:rsidP="00F877EB">
      <w:pPr>
        <w:rPr>
          <w:rFonts w:asciiTheme="majorBidi" w:hAnsiTheme="majorBidi" w:cstheme="majorBidi"/>
          <w:sz w:val="44"/>
          <w:szCs w:val="44"/>
        </w:rPr>
      </w:pPr>
    </w:p>
    <w:p w14:paraId="564D2A8D" w14:textId="1E0D2784" w:rsidR="00C929E9" w:rsidRDefault="00C929E9" w:rsidP="00F232DB">
      <w:pPr>
        <w:rPr>
          <w:rFonts w:asciiTheme="majorBidi" w:hAnsiTheme="majorBidi" w:cstheme="majorBidi"/>
          <w:szCs w:val="24"/>
        </w:rPr>
      </w:pPr>
    </w:p>
    <w:p w14:paraId="3B5584CB" w14:textId="77777777" w:rsidR="00C929E9" w:rsidRDefault="00C929E9" w:rsidP="00F232DB">
      <w:pPr>
        <w:rPr>
          <w:rFonts w:asciiTheme="majorBidi" w:hAnsiTheme="majorBidi" w:cstheme="majorBidi"/>
          <w:szCs w:val="24"/>
        </w:rPr>
      </w:pPr>
    </w:p>
    <w:p w14:paraId="045D59BD" w14:textId="7810E607" w:rsidR="000B4FF9" w:rsidRPr="00F232DB" w:rsidRDefault="00F877EB" w:rsidP="00F232DB">
      <w:pPr>
        <w:rPr>
          <w:rFonts w:asciiTheme="majorBidi" w:hAnsiTheme="majorBidi" w:cstheme="majorBidi"/>
          <w:sz w:val="44"/>
          <w:szCs w:val="44"/>
        </w:rPr>
      </w:pPr>
      <w:r w:rsidRPr="00F877EB">
        <w:rPr>
          <w:rFonts w:asciiTheme="majorBidi" w:hAnsiTheme="majorBidi" w:cstheme="majorBidi"/>
          <w:szCs w:val="24"/>
        </w:rPr>
        <w:t>Devant le jury composé de :</w:t>
      </w:r>
    </w:p>
    <w:tbl>
      <w:tblPr>
        <w:tblStyle w:val="Grilledutableau"/>
        <w:tblW w:w="8261" w:type="dxa"/>
        <w:tblInd w:w="398" w:type="dxa"/>
        <w:tblLook w:val="04A0" w:firstRow="1" w:lastRow="0" w:firstColumn="1" w:lastColumn="0" w:noHBand="0" w:noVBand="1"/>
      </w:tblPr>
      <w:tblGrid>
        <w:gridCol w:w="3189"/>
        <w:gridCol w:w="2962"/>
        <w:gridCol w:w="2110"/>
      </w:tblGrid>
      <w:tr w:rsidR="00F877EB" w14:paraId="2BF618D1" w14:textId="77777777" w:rsidTr="00131071">
        <w:trPr>
          <w:trHeight w:val="372"/>
        </w:trPr>
        <w:tc>
          <w:tcPr>
            <w:tcW w:w="3189" w:type="dxa"/>
          </w:tcPr>
          <w:p w14:paraId="0C484E67" w14:textId="531D34AF" w:rsidR="00F877EB" w:rsidRDefault="001E4A34" w:rsidP="00C929E9">
            <w:pPr>
              <w:tabs>
                <w:tab w:val="left" w:pos="1320"/>
              </w:tabs>
              <w:jc w:val="center"/>
              <w:rPr>
                <w:rFonts w:asciiTheme="majorBidi" w:hAnsiTheme="majorBidi" w:cstheme="majorBidi"/>
                <w:szCs w:val="24"/>
              </w:rPr>
            </w:pPr>
            <w:r>
              <w:rPr>
                <w:rFonts w:asciiTheme="majorBidi" w:hAnsiTheme="majorBidi" w:cstheme="majorBidi"/>
                <w:szCs w:val="24"/>
              </w:rPr>
              <w:t>Nom et prénom</w:t>
            </w:r>
          </w:p>
        </w:tc>
        <w:tc>
          <w:tcPr>
            <w:tcW w:w="2962" w:type="dxa"/>
          </w:tcPr>
          <w:p w14:paraId="4CF4755F" w14:textId="53FF6EBE" w:rsidR="00F877EB" w:rsidRDefault="001E4A34" w:rsidP="00C929E9">
            <w:pPr>
              <w:tabs>
                <w:tab w:val="left" w:pos="1320"/>
              </w:tabs>
              <w:jc w:val="center"/>
              <w:rPr>
                <w:rFonts w:asciiTheme="majorBidi" w:hAnsiTheme="majorBidi" w:cstheme="majorBidi"/>
                <w:szCs w:val="24"/>
              </w:rPr>
            </w:pPr>
            <w:r>
              <w:rPr>
                <w:rFonts w:asciiTheme="majorBidi" w:hAnsiTheme="majorBidi" w:cstheme="majorBidi"/>
                <w:szCs w:val="24"/>
              </w:rPr>
              <w:t>G</w:t>
            </w:r>
            <w:r w:rsidR="00940956">
              <w:rPr>
                <w:rFonts w:asciiTheme="majorBidi" w:hAnsiTheme="majorBidi" w:cstheme="majorBidi"/>
                <w:szCs w:val="24"/>
              </w:rPr>
              <w:t>rade</w:t>
            </w:r>
          </w:p>
        </w:tc>
        <w:tc>
          <w:tcPr>
            <w:tcW w:w="2110" w:type="dxa"/>
          </w:tcPr>
          <w:p w14:paraId="5947A0F1" w14:textId="09484F89" w:rsidR="00F877EB" w:rsidRDefault="00940956" w:rsidP="00C929E9">
            <w:pPr>
              <w:tabs>
                <w:tab w:val="left" w:pos="1320"/>
              </w:tabs>
              <w:jc w:val="center"/>
              <w:rPr>
                <w:rFonts w:asciiTheme="majorBidi" w:hAnsiTheme="majorBidi" w:cstheme="majorBidi"/>
                <w:szCs w:val="24"/>
              </w:rPr>
            </w:pPr>
            <w:r>
              <w:rPr>
                <w:rFonts w:asciiTheme="majorBidi" w:hAnsiTheme="majorBidi" w:cstheme="majorBidi"/>
                <w:szCs w:val="24"/>
              </w:rPr>
              <w:t>Qualité</w:t>
            </w:r>
          </w:p>
        </w:tc>
      </w:tr>
      <w:tr w:rsidR="00F877EB" w14:paraId="04169F5A" w14:textId="77777777" w:rsidTr="00131071">
        <w:trPr>
          <w:trHeight w:val="386"/>
        </w:trPr>
        <w:tc>
          <w:tcPr>
            <w:tcW w:w="3189" w:type="dxa"/>
          </w:tcPr>
          <w:p w14:paraId="1B22C68C" w14:textId="679A863F" w:rsidR="00F877EB" w:rsidRDefault="00131071" w:rsidP="00C929E9">
            <w:pPr>
              <w:tabs>
                <w:tab w:val="left" w:pos="1320"/>
              </w:tabs>
              <w:jc w:val="center"/>
              <w:rPr>
                <w:rFonts w:asciiTheme="majorBidi" w:hAnsiTheme="majorBidi" w:cstheme="majorBidi"/>
                <w:szCs w:val="24"/>
              </w:rPr>
            </w:pPr>
            <w:r>
              <w:rPr>
                <w:rFonts w:asciiTheme="majorBidi" w:hAnsiTheme="majorBidi" w:cstheme="majorBidi"/>
                <w:szCs w:val="24"/>
              </w:rPr>
              <w:t xml:space="preserve">Dr. </w:t>
            </w:r>
            <w:proofErr w:type="spellStart"/>
            <w:r w:rsidR="00940956">
              <w:rPr>
                <w:rFonts w:asciiTheme="majorBidi" w:hAnsiTheme="majorBidi" w:cstheme="majorBidi"/>
                <w:szCs w:val="24"/>
              </w:rPr>
              <w:t>Berrached</w:t>
            </w:r>
            <w:proofErr w:type="spellEnd"/>
            <w:r w:rsidR="00940956">
              <w:rPr>
                <w:rFonts w:asciiTheme="majorBidi" w:hAnsiTheme="majorBidi" w:cstheme="majorBidi"/>
                <w:szCs w:val="24"/>
              </w:rPr>
              <w:t xml:space="preserve"> Amina</w:t>
            </w:r>
          </w:p>
        </w:tc>
        <w:tc>
          <w:tcPr>
            <w:tcW w:w="2962" w:type="dxa"/>
          </w:tcPr>
          <w:p w14:paraId="20279A50" w14:textId="55A2EE7C" w:rsidR="00F877EB" w:rsidRDefault="00C929E9" w:rsidP="00C929E9">
            <w:pPr>
              <w:tabs>
                <w:tab w:val="left" w:pos="1320"/>
              </w:tabs>
              <w:jc w:val="center"/>
              <w:rPr>
                <w:rFonts w:asciiTheme="majorBidi" w:hAnsiTheme="majorBidi" w:cstheme="majorBidi"/>
                <w:szCs w:val="24"/>
              </w:rPr>
            </w:pPr>
            <w:r>
              <w:rPr>
                <w:rFonts w:asciiTheme="majorBidi" w:hAnsiTheme="majorBidi" w:cstheme="majorBidi"/>
                <w:szCs w:val="24"/>
              </w:rPr>
              <w:t>MCA</w:t>
            </w:r>
          </w:p>
        </w:tc>
        <w:tc>
          <w:tcPr>
            <w:tcW w:w="2110" w:type="dxa"/>
          </w:tcPr>
          <w:p w14:paraId="2A57C468" w14:textId="7001EAA3" w:rsidR="00F877EB" w:rsidRDefault="009B2BC4" w:rsidP="00C929E9">
            <w:pPr>
              <w:tabs>
                <w:tab w:val="left" w:pos="1320"/>
              </w:tabs>
              <w:jc w:val="center"/>
              <w:rPr>
                <w:rFonts w:asciiTheme="majorBidi" w:hAnsiTheme="majorBidi" w:cstheme="majorBidi"/>
                <w:szCs w:val="24"/>
              </w:rPr>
            </w:pPr>
            <w:r>
              <w:rPr>
                <w:rFonts w:asciiTheme="majorBidi" w:hAnsiTheme="majorBidi" w:cstheme="majorBidi"/>
                <w:szCs w:val="24"/>
              </w:rPr>
              <w:t>Encadr</w:t>
            </w:r>
            <w:r w:rsidR="00A7147F">
              <w:rPr>
                <w:rFonts w:asciiTheme="majorBidi" w:hAnsiTheme="majorBidi" w:cstheme="majorBidi"/>
                <w:szCs w:val="24"/>
              </w:rPr>
              <w:t>ante</w:t>
            </w:r>
          </w:p>
        </w:tc>
      </w:tr>
      <w:tr w:rsidR="001E4A34" w14:paraId="67C28C8E" w14:textId="77777777" w:rsidTr="00131071">
        <w:trPr>
          <w:trHeight w:val="372"/>
        </w:trPr>
        <w:tc>
          <w:tcPr>
            <w:tcW w:w="3189" w:type="dxa"/>
          </w:tcPr>
          <w:p w14:paraId="481E25A1" w14:textId="6B4A68B3" w:rsidR="001E4A34" w:rsidRDefault="00131071" w:rsidP="00C929E9">
            <w:pPr>
              <w:tabs>
                <w:tab w:val="left" w:pos="1320"/>
              </w:tabs>
              <w:jc w:val="center"/>
              <w:rPr>
                <w:rFonts w:asciiTheme="majorBidi" w:hAnsiTheme="majorBidi" w:cstheme="majorBidi"/>
                <w:szCs w:val="24"/>
              </w:rPr>
            </w:pPr>
            <w:r>
              <w:rPr>
                <w:rFonts w:asciiTheme="majorBidi" w:hAnsiTheme="majorBidi" w:cstheme="majorBidi"/>
                <w:szCs w:val="24"/>
              </w:rPr>
              <w:t xml:space="preserve">Dr. </w:t>
            </w:r>
            <w:proofErr w:type="spellStart"/>
            <w:r w:rsidR="00146C48">
              <w:rPr>
                <w:rFonts w:asciiTheme="majorBidi" w:hAnsiTheme="majorBidi" w:cstheme="majorBidi"/>
                <w:szCs w:val="24"/>
              </w:rPr>
              <w:t>B</w:t>
            </w:r>
            <w:r w:rsidR="00EF64DF">
              <w:rPr>
                <w:rFonts w:asciiTheme="majorBidi" w:hAnsiTheme="majorBidi" w:cstheme="majorBidi"/>
                <w:szCs w:val="24"/>
              </w:rPr>
              <w:t>ouklikha</w:t>
            </w:r>
            <w:proofErr w:type="spellEnd"/>
            <w:r w:rsidR="00F65A46">
              <w:rPr>
                <w:rFonts w:asciiTheme="majorBidi" w:hAnsiTheme="majorBidi" w:cstheme="majorBidi"/>
                <w:szCs w:val="24"/>
              </w:rPr>
              <w:t xml:space="preserve"> Yacine</w:t>
            </w:r>
          </w:p>
        </w:tc>
        <w:tc>
          <w:tcPr>
            <w:tcW w:w="2962" w:type="dxa"/>
          </w:tcPr>
          <w:p w14:paraId="47965FDD" w14:textId="1E89283E" w:rsidR="001E4A34" w:rsidRDefault="00C929E9" w:rsidP="00C929E9">
            <w:pPr>
              <w:tabs>
                <w:tab w:val="left" w:pos="1320"/>
              </w:tabs>
              <w:jc w:val="center"/>
              <w:rPr>
                <w:rFonts w:asciiTheme="majorBidi" w:hAnsiTheme="majorBidi" w:cstheme="majorBidi"/>
                <w:szCs w:val="24"/>
              </w:rPr>
            </w:pPr>
            <w:r>
              <w:rPr>
                <w:rFonts w:asciiTheme="majorBidi" w:hAnsiTheme="majorBidi" w:cstheme="majorBidi"/>
                <w:szCs w:val="24"/>
              </w:rPr>
              <w:t>MAA</w:t>
            </w:r>
          </w:p>
        </w:tc>
        <w:tc>
          <w:tcPr>
            <w:tcW w:w="2110" w:type="dxa"/>
          </w:tcPr>
          <w:p w14:paraId="6EE87AF9" w14:textId="08A6A55A" w:rsidR="001E4A34" w:rsidRDefault="00C929E9" w:rsidP="00C929E9">
            <w:pPr>
              <w:tabs>
                <w:tab w:val="left" w:pos="1320"/>
              </w:tabs>
              <w:jc w:val="center"/>
              <w:rPr>
                <w:rFonts w:asciiTheme="majorBidi" w:hAnsiTheme="majorBidi" w:cstheme="majorBidi"/>
                <w:szCs w:val="24"/>
              </w:rPr>
            </w:pPr>
            <w:r>
              <w:rPr>
                <w:rFonts w:asciiTheme="majorBidi" w:hAnsiTheme="majorBidi" w:cstheme="majorBidi"/>
                <w:szCs w:val="24"/>
              </w:rPr>
              <w:t>Examinateur</w:t>
            </w:r>
          </w:p>
        </w:tc>
      </w:tr>
      <w:tr w:rsidR="001E4A34" w14:paraId="4EC86AD2" w14:textId="77777777" w:rsidTr="00131071">
        <w:trPr>
          <w:trHeight w:val="372"/>
        </w:trPr>
        <w:tc>
          <w:tcPr>
            <w:tcW w:w="3189" w:type="dxa"/>
          </w:tcPr>
          <w:p w14:paraId="72305A8F" w14:textId="67B84FC2" w:rsidR="001E4A34" w:rsidRDefault="00131071" w:rsidP="00C929E9">
            <w:pPr>
              <w:tabs>
                <w:tab w:val="left" w:pos="1320"/>
              </w:tabs>
              <w:jc w:val="center"/>
              <w:rPr>
                <w:rFonts w:asciiTheme="majorBidi" w:hAnsiTheme="majorBidi" w:cstheme="majorBidi"/>
                <w:szCs w:val="24"/>
              </w:rPr>
            </w:pPr>
            <w:r>
              <w:rPr>
                <w:rFonts w:asciiTheme="majorBidi" w:hAnsiTheme="majorBidi" w:cstheme="majorBidi"/>
                <w:szCs w:val="24"/>
              </w:rPr>
              <w:t xml:space="preserve">Pr. </w:t>
            </w:r>
            <w:proofErr w:type="spellStart"/>
            <w:r w:rsidR="00052C32">
              <w:rPr>
                <w:rFonts w:asciiTheme="majorBidi" w:hAnsiTheme="majorBidi" w:cstheme="majorBidi"/>
                <w:szCs w:val="24"/>
              </w:rPr>
              <w:t>Khaldi</w:t>
            </w:r>
            <w:proofErr w:type="spellEnd"/>
            <w:r w:rsidR="00052C32">
              <w:rPr>
                <w:rFonts w:asciiTheme="majorBidi" w:hAnsiTheme="majorBidi" w:cstheme="majorBidi"/>
                <w:szCs w:val="24"/>
              </w:rPr>
              <w:t xml:space="preserve"> Mustapha</w:t>
            </w:r>
          </w:p>
        </w:tc>
        <w:tc>
          <w:tcPr>
            <w:tcW w:w="2962" w:type="dxa"/>
          </w:tcPr>
          <w:p w14:paraId="440F046E" w14:textId="2A892AA9" w:rsidR="001E4A34" w:rsidRDefault="00C929E9" w:rsidP="00C929E9">
            <w:pPr>
              <w:tabs>
                <w:tab w:val="left" w:pos="1320"/>
              </w:tabs>
              <w:jc w:val="center"/>
              <w:rPr>
                <w:rFonts w:asciiTheme="majorBidi" w:hAnsiTheme="majorBidi" w:cstheme="majorBidi"/>
                <w:szCs w:val="24"/>
              </w:rPr>
            </w:pPr>
            <w:r>
              <w:rPr>
                <w:rFonts w:asciiTheme="majorBidi" w:hAnsiTheme="majorBidi" w:cstheme="majorBidi"/>
                <w:szCs w:val="24"/>
              </w:rPr>
              <w:t>Professeur</w:t>
            </w:r>
          </w:p>
        </w:tc>
        <w:tc>
          <w:tcPr>
            <w:tcW w:w="2110" w:type="dxa"/>
          </w:tcPr>
          <w:p w14:paraId="0F29B9C5" w14:textId="59F5A7F2" w:rsidR="001E4A34" w:rsidRDefault="00052C32" w:rsidP="00C929E9">
            <w:pPr>
              <w:tabs>
                <w:tab w:val="left" w:pos="1320"/>
              </w:tabs>
              <w:jc w:val="center"/>
              <w:rPr>
                <w:rFonts w:asciiTheme="majorBidi" w:hAnsiTheme="majorBidi" w:cstheme="majorBidi"/>
                <w:szCs w:val="24"/>
              </w:rPr>
            </w:pPr>
            <w:r>
              <w:rPr>
                <w:rFonts w:asciiTheme="majorBidi" w:hAnsiTheme="majorBidi" w:cstheme="majorBidi"/>
                <w:szCs w:val="24"/>
              </w:rPr>
              <w:t>Président</w:t>
            </w:r>
          </w:p>
        </w:tc>
      </w:tr>
    </w:tbl>
    <w:p w14:paraId="6CEBF04E" w14:textId="3C662DBF" w:rsidR="00E1433F" w:rsidRDefault="00F877EB" w:rsidP="00C929E9">
      <w:pPr>
        <w:tabs>
          <w:tab w:val="left" w:pos="1320"/>
        </w:tabs>
        <w:rPr>
          <w:rFonts w:asciiTheme="majorBidi" w:hAnsiTheme="majorBidi" w:cstheme="majorBidi"/>
          <w:szCs w:val="24"/>
        </w:rPr>
      </w:pPr>
      <w:r>
        <w:rPr>
          <w:rFonts w:asciiTheme="majorBidi" w:hAnsiTheme="majorBidi" w:cstheme="majorBidi"/>
          <w:b/>
          <w:bCs/>
          <w:noProof/>
          <w:sz w:val="44"/>
          <w:szCs w:val="44"/>
          <w:lang w:eastAsia="fr-FR"/>
        </w:rPr>
        <mc:AlternateContent>
          <mc:Choice Requires="wps">
            <w:drawing>
              <wp:anchor distT="0" distB="0" distL="114300" distR="114300" simplePos="0" relativeHeight="251667456" behindDoc="0" locked="0" layoutInCell="1" allowOverlap="1" wp14:anchorId="403E6960" wp14:editId="3A948C06">
                <wp:simplePos x="0" y="0"/>
                <wp:positionH relativeFrom="column">
                  <wp:posOffset>1833880</wp:posOffset>
                </wp:positionH>
                <wp:positionV relativeFrom="paragraph">
                  <wp:posOffset>563245</wp:posOffset>
                </wp:positionV>
                <wp:extent cx="2305050" cy="381000"/>
                <wp:effectExtent l="0" t="0" r="0" b="0"/>
                <wp:wrapNone/>
                <wp:docPr id="5" name="Rectangle à coins arrondis 5"/>
                <wp:cNvGraphicFramePr/>
                <a:graphic xmlns:a="http://schemas.openxmlformats.org/drawingml/2006/main">
                  <a:graphicData uri="http://schemas.microsoft.com/office/word/2010/wordprocessingShape">
                    <wps:wsp>
                      <wps:cNvSpPr/>
                      <wps:spPr>
                        <a:xfrm>
                          <a:off x="0" y="0"/>
                          <a:ext cx="2305050" cy="3810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2A8126" w14:textId="77777777" w:rsidR="0095621A" w:rsidRDefault="0095621A" w:rsidP="00F877EB">
                            <w:pPr>
                              <w:jc w:val="center"/>
                              <w:rPr>
                                <w:rFonts w:asciiTheme="majorBidi" w:hAnsiTheme="majorBidi" w:cstheme="majorBidi"/>
                                <w:b/>
                                <w:bCs/>
                                <w:color w:val="000000" w:themeColor="text1"/>
                                <w:szCs w:val="24"/>
                              </w:rPr>
                            </w:pPr>
                            <w:r>
                              <w:rPr>
                                <w:rFonts w:asciiTheme="majorBidi" w:hAnsiTheme="majorBidi" w:cstheme="majorBidi"/>
                                <w:b/>
                                <w:bCs/>
                                <w:color w:val="000000" w:themeColor="text1"/>
                                <w:szCs w:val="24"/>
                              </w:rPr>
                              <w:t>Année universitaire : 2024-2025</w:t>
                            </w:r>
                          </w:p>
                          <w:p w14:paraId="6DA93970" w14:textId="77777777" w:rsidR="0095621A" w:rsidRPr="00F877EB" w:rsidRDefault="0095621A" w:rsidP="00F877EB">
                            <w:pPr>
                              <w:jc w:val="center"/>
                              <w:rPr>
                                <w:rFonts w:asciiTheme="majorBidi" w:hAnsiTheme="majorBidi" w:cstheme="majorBidi"/>
                                <w:b/>
                                <w:bCs/>
                                <w:color w:val="000000" w:themeColor="text1"/>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03E6960" id="Rectangle à coins arrondis 5" o:spid="_x0000_s1032" style="position:absolute;margin-left:144.4pt;margin-top:44.35pt;width:181.5pt;height:30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" fillcolor="white [3212]" stroked="f" strokeweight="1pt">
                <v:stroke joinstyle="miter"/>
                <v:textbox>
                  <w:txbxContent>
                    <w:p w14:paraId="042A8126" w14:textId="77777777" w:rsidR="0095621A" w:rsidRDefault="0095621A" w:rsidP="00F877EB">
                      <w:pPr>
                        <w:jc w:val="center"/>
                        <w:rPr>
                          <w:rFonts w:asciiTheme="majorBidi" w:hAnsiTheme="majorBidi" w:cstheme="majorBidi"/>
                          <w:b/>
                          <w:bCs/>
                          <w:color w:val="000000" w:themeColor="text1"/>
                          <w:szCs w:val="24"/>
                        </w:rPr>
                      </w:pPr>
                      <w:r>
                        <w:rPr>
                          <w:rFonts w:asciiTheme="majorBidi" w:hAnsiTheme="majorBidi" w:cstheme="majorBidi"/>
                          <w:b/>
                          <w:bCs/>
                          <w:color w:val="000000" w:themeColor="text1"/>
                          <w:szCs w:val="24"/>
                        </w:rPr>
                        <w:t>Année universitaire : 2024-2025</w:t>
                      </w:r>
                    </w:p>
                    <w:p w14:paraId="6DA93970" w14:textId="77777777" w:rsidR="0095621A" w:rsidRPr="00F877EB" w:rsidRDefault="0095621A" w:rsidP="00F877EB">
                      <w:pPr>
                        <w:jc w:val="center"/>
                        <w:rPr>
                          <w:rFonts w:asciiTheme="majorBidi" w:hAnsiTheme="majorBidi" w:cstheme="majorBidi"/>
                          <w:b/>
                          <w:bCs/>
                          <w:color w:val="000000" w:themeColor="text1"/>
                          <w:szCs w:val="24"/>
                        </w:rPr>
                      </w:pPr>
                    </w:p>
                  </w:txbxContent>
                </v:textbox>
              </v:roundrect>
            </w:pict>
          </mc:Fallback>
        </mc:AlternateContent>
      </w:r>
    </w:p>
    <w:p w14:paraId="600B1E16" w14:textId="093E701B" w:rsidR="002B1B0A" w:rsidRPr="00C929E9" w:rsidRDefault="00E1433F" w:rsidP="00C929E9">
      <w:pPr>
        <w:pStyle w:val="Titre1"/>
        <w:rPr>
          <w:b w:val="0"/>
          <w:bCs/>
          <w:sz w:val="32"/>
        </w:rPr>
      </w:pPr>
      <w:bookmarkStart w:id="0" w:name="_Toc199958792"/>
      <w:r w:rsidRPr="00727436">
        <w:rPr>
          <w:rStyle w:val="lev"/>
        </w:rPr>
        <w:lastRenderedPageBreak/>
        <w:t>Remerciements</w:t>
      </w:r>
      <w:bookmarkEnd w:id="0"/>
    </w:p>
    <w:p w14:paraId="258E1A72" w14:textId="77777777" w:rsidR="002B1B0A" w:rsidRPr="003120B1" w:rsidRDefault="002B1B0A" w:rsidP="00232E3E">
      <w:pPr>
        <w:jc w:val="both"/>
        <w:rPr>
          <w:rFonts w:asciiTheme="majorBidi" w:hAnsiTheme="majorBidi" w:cstheme="majorBidi"/>
          <w:i/>
          <w:iCs/>
          <w:szCs w:val="24"/>
        </w:rPr>
      </w:pPr>
      <w:r w:rsidRPr="003120B1">
        <w:rPr>
          <w:rFonts w:asciiTheme="majorBidi" w:hAnsiTheme="majorBidi" w:cstheme="majorBidi"/>
          <w:i/>
          <w:iCs/>
          <w:szCs w:val="24"/>
        </w:rPr>
        <w:t>Ce mémoire marque la fin d’un parcours universitaire, mais aussi l’aboutissement de plusieurs mois de travail, d’efforts, de doutes parfois, et de belles découvertes.</w:t>
      </w:r>
    </w:p>
    <w:p w14:paraId="579942D5" w14:textId="77777777" w:rsidR="002B1B0A" w:rsidRPr="003120B1" w:rsidRDefault="002B1B0A" w:rsidP="00232E3E">
      <w:pPr>
        <w:jc w:val="both"/>
        <w:rPr>
          <w:rFonts w:asciiTheme="majorBidi" w:hAnsiTheme="majorBidi" w:cstheme="majorBidi"/>
          <w:i/>
          <w:iCs/>
          <w:szCs w:val="24"/>
        </w:rPr>
      </w:pPr>
      <w:r w:rsidRPr="003120B1">
        <w:rPr>
          <w:rFonts w:asciiTheme="majorBidi" w:hAnsiTheme="majorBidi" w:cstheme="majorBidi"/>
          <w:i/>
          <w:iCs/>
          <w:szCs w:val="24"/>
        </w:rPr>
        <w:t xml:space="preserve">Nous commençons par exprimer notre profonde gratitude envers </w:t>
      </w:r>
      <w:r w:rsidRPr="003120B1">
        <w:rPr>
          <w:rFonts w:asciiTheme="majorBidi" w:hAnsiTheme="majorBidi" w:cstheme="majorBidi"/>
          <w:b/>
          <w:bCs/>
          <w:i/>
          <w:iCs/>
          <w:szCs w:val="24"/>
        </w:rPr>
        <w:t>Allah</w:t>
      </w:r>
      <w:r w:rsidRPr="003120B1">
        <w:rPr>
          <w:rFonts w:asciiTheme="majorBidi" w:hAnsiTheme="majorBidi" w:cstheme="majorBidi"/>
          <w:i/>
          <w:iCs/>
          <w:szCs w:val="24"/>
        </w:rPr>
        <w:t>, le Tout-Puissant, Clément et Miséricordieux, pour nous avoir accordé la force, le courage et la patience nécessaires à la réalisation de ce travail.</w:t>
      </w:r>
    </w:p>
    <w:p w14:paraId="2DA5C0CB" w14:textId="77777777" w:rsidR="002B1B0A" w:rsidRPr="003120B1" w:rsidRDefault="002B1B0A" w:rsidP="00232E3E">
      <w:pPr>
        <w:jc w:val="both"/>
        <w:rPr>
          <w:rFonts w:asciiTheme="majorBidi" w:hAnsiTheme="majorBidi" w:cstheme="majorBidi"/>
          <w:i/>
          <w:iCs/>
          <w:szCs w:val="24"/>
        </w:rPr>
      </w:pPr>
      <w:r w:rsidRPr="003120B1">
        <w:rPr>
          <w:rFonts w:asciiTheme="majorBidi" w:hAnsiTheme="majorBidi" w:cstheme="majorBidi"/>
          <w:i/>
          <w:iCs/>
          <w:szCs w:val="24"/>
        </w:rPr>
        <w:t xml:space="preserve">Nous tenons à adresser nos sincères remerciements à </w:t>
      </w:r>
      <w:r w:rsidRPr="003120B1">
        <w:rPr>
          <w:rFonts w:asciiTheme="majorBidi" w:hAnsiTheme="majorBidi" w:cstheme="majorBidi"/>
          <w:b/>
          <w:bCs/>
          <w:i/>
          <w:iCs/>
          <w:szCs w:val="24"/>
        </w:rPr>
        <w:t xml:space="preserve">Dr. </w:t>
      </w:r>
      <w:proofErr w:type="spellStart"/>
      <w:r w:rsidRPr="003120B1">
        <w:rPr>
          <w:rFonts w:asciiTheme="majorBidi" w:hAnsiTheme="majorBidi" w:cstheme="majorBidi"/>
          <w:b/>
          <w:bCs/>
          <w:i/>
          <w:iCs/>
          <w:szCs w:val="24"/>
        </w:rPr>
        <w:t>Berrached</w:t>
      </w:r>
      <w:proofErr w:type="spellEnd"/>
      <w:r w:rsidRPr="003120B1">
        <w:rPr>
          <w:rFonts w:asciiTheme="majorBidi" w:hAnsiTheme="majorBidi" w:cstheme="majorBidi"/>
          <w:b/>
          <w:bCs/>
          <w:i/>
          <w:iCs/>
          <w:szCs w:val="24"/>
        </w:rPr>
        <w:t xml:space="preserve"> Amina</w:t>
      </w:r>
      <w:r w:rsidRPr="003120B1">
        <w:rPr>
          <w:rFonts w:asciiTheme="majorBidi" w:hAnsiTheme="majorBidi" w:cstheme="majorBidi"/>
          <w:i/>
          <w:iCs/>
          <w:szCs w:val="24"/>
        </w:rPr>
        <w:t>, pour son encadrement bienveillant, sa patience, ses conseils éclairés et la confiance qu’elle nous a témoignée tout au long de ce mémoire. Ses remarques pertinentes et son accompagnement nous ont permis d’avancer, de structurer nos idées avec rigueur, et de donner du sens à notre réflexion.</w:t>
      </w:r>
    </w:p>
    <w:p w14:paraId="4AE1F64D" w14:textId="77777777" w:rsidR="002B1B0A" w:rsidRPr="003120B1" w:rsidRDefault="002B1B0A" w:rsidP="00232E3E">
      <w:pPr>
        <w:jc w:val="both"/>
        <w:rPr>
          <w:rFonts w:asciiTheme="majorBidi" w:hAnsiTheme="majorBidi" w:cstheme="majorBidi"/>
          <w:i/>
          <w:iCs/>
          <w:szCs w:val="24"/>
        </w:rPr>
      </w:pPr>
      <w:r w:rsidRPr="003120B1">
        <w:rPr>
          <w:rFonts w:asciiTheme="majorBidi" w:hAnsiTheme="majorBidi" w:cstheme="majorBidi"/>
          <w:i/>
          <w:iCs/>
          <w:szCs w:val="24"/>
        </w:rPr>
        <w:t xml:space="preserve">Nous remercions également </w:t>
      </w:r>
      <w:r w:rsidRPr="003120B1">
        <w:rPr>
          <w:rFonts w:asciiTheme="majorBidi" w:hAnsiTheme="majorBidi" w:cstheme="majorBidi"/>
          <w:b/>
          <w:bCs/>
          <w:i/>
          <w:iCs/>
          <w:szCs w:val="24"/>
        </w:rPr>
        <w:t>les enseignants de notre spécialité, Management des services de santé</w:t>
      </w:r>
      <w:r w:rsidRPr="003120B1">
        <w:rPr>
          <w:rFonts w:asciiTheme="majorBidi" w:hAnsiTheme="majorBidi" w:cstheme="majorBidi"/>
          <w:i/>
          <w:iCs/>
          <w:szCs w:val="24"/>
        </w:rPr>
        <w:t>, pour la qualité de leurs enseignements et leur engagement. Grâce à eux, nous avons pu enrichir nos connaissances et affiner notre réflexion.</w:t>
      </w:r>
    </w:p>
    <w:p w14:paraId="59B2B78C" w14:textId="77777777" w:rsidR="002B1B0A" w:rsidRPr="003120B1" w:rsidRDefault="002B1B0A" w:rsidP="00232E3E">
      <w:pPr>
        <w:jc w:val="both"/>
        <w:rPr>
          <w:rFonts w:asciiTheme="majorBidi" w:hAnsiTheme="majorBidi" w:cstheme="majorBidi"/>
          <w:i/>
          <w:iCs/>
          <w:szCs w:val="24"/>
        </w:rPr>
      </w:pPr>
      <w:r w:rsidRPr="003120B1">
        <w:rPr>
          <w:rFonts w:asciiTheme="majorBidi" w:hAnsiTheme="majorBidi" w:cstheme="majorBidi"/>
          <w:i/>
          <w:iCs/>
          <w:szCs w:val="24"/>
        </w:rPr>
        <w:t>Nous exprimons aussi notre gratitude aux responsables de l’</w:t>
      </w:r>
      <w:r w:rsidRPr="003120B1">
        <w:rPr>
          <w:rFonts w:asciiTheme="majorBidi" w:hAnsiTheme="majorBidi" w:cstheme="majorBidi"/>
          <w:b/>
          <w:bCs/>
          <w:i/>
          <w:iCs/>
          <w:szCs w:val="24"/>
        </w:rPr>
        <w:t>EPH Bouzidi Lakhdar de Bordj Bou Arreridj</w:t>
      </w:r>
      <w:r w:rsidRPr="003120B1">
        <w:rPr>
          <w:rFonts w:asciiTheme="majorBidi" w:hAnsiTheme="majorBidi" w:cstheme="majorBidi"/>
          <w:i/>
          <w:iCs/>
          <w:szCs w:val="24"/>
        </w:rPr>
        <w:t xml:space="preserve">, ainsi qu’à ceux de la </w:t>
      </w:r>
      <w:r w:rsidRPr="003120B1">
        <w:rPr>
          <w:rFonts w:asciiTheme="majorBidi" w:hAnsiTheme="majorBidi" w:cstheme="majorBidi"/>
          <w:b/>
          <w:bCs/>
          <w:i/>
          <w:iCs/>
          <w:szCs w:val="24"/>
        </w:rPr>
        <w:t>Caisse Nationale des Assurances Sociales (CNAS - Direction Générale à Alger)</w:t>
      </w:r>
      <w:r w:rsidRPr="003120B1">
        <w:rPr>
          <w:rFonts w:asciiTheme="majorBidi" w:hAnsiTheme="majorBidi" w:cstheme="majorBidi"/>
          <w:i/>
          <w:iCs/>
          <w:szCs w:val="24"/>
        </w:rPr>
        <w:t>, pour leur disponibilité, leur collaboration et les moyens qu’ils ont mis à notre disposition pour la réalisation de cette étude. Nous remercions également les personnes que nous y avons rencontrées, pour leur accueil chaleureux et leur précieuse aide.</w:t>
      </w:r>
    </w:p>
    <w:p w14:paraId="38384BF4" w14:textId="77777777" w:rsidR="00E1433F" w:rsidRDefault="00E1433F" w:rsidP="00232E3E">
      <w:pPr>
        <w:jc w:val="both"/>
        <w:rPr>
          <w:rFonts w:asciiTheme="majorBidi" w:hAnsiTheme="majorBidi" w:cstheme="majorBidi"/>
          <w:szCs w:val="24"/>
        </w:rPr>
      </w:pPr>
    </w:p>
    <w:p w14:paraId="62C69E2A" w14:textId="77777777" w:rsidR="00E1433F" w:rsidRDefault="00E1433F" w:rsidP="00232E3E">
      <w:pPr>
        <w:jc w:val="both"/>
        <w:rPr>
          <w:rFonts w:asciiTheme="majorBidi" w:hAnsiTheme="majorBidi" w:cstheme="majorBidi"/>
          <w:szCs w:val="24"/>
        </w:rPr>
      </w:pPr>
    </w:p>
    <w:p w14:paraId="78AE98E1" w14:textId="77777777" w:rsidR="00E1433F" w:rsidRDefault="00E1433F" w:rsidP="00232E3E">
      <w:pPr>
        <w:jc w:val="both"/>
        <w:rPr>
          <w:rFonts w:asciiTheme="majorBidi" w:hAnsiTheme="majorBidi" w:cstheme="majorBidi"/>
          <w:szCs w:val="24"/>
        </w:rPr>
      </w:pPr>
    </w:p>
    <w:p w14:paraId="5D2BF7F5" w14:textId="77777777" w:rsidR="00E1433F" w:rsidRDefault="00E1433F" w:rsidP="00232E3E">
      <w:pPr>
        <w:jc w:val="both"/>
        <w:rPr>
          <w:rFonts w:asciiTheme="majorBidi" w:hAnsiTheme="majorBidi" w:cstheme="majorBidi"/>
          <w:szCs w:val="24"/>
        </w:rPr>
      </w:pPr>
    </w:p>
    <w:p w14:paraId="7AD45488" w14:textId="77777777" w:rsidR="00E1433F" w:rsidRDefault="00E1433F" w:rsidP="00232E3E">
      <w:pPr>
        <w:jc w:val="both"/>
        <w:rPr>
          <w:rFonts w:asciiTheme="majorBidi" w:hAnsiTheme="majorBidi" w:cstheme="majorBidi"/>
          <w:szCs w:val="24"/>
        </w:rPr>
      </w:pPr>
    </w:p>
    <w:p w14:paraId="3EBBE024" w14:textId="77777777" w:rsidR="00E1433F" w:rsidRDefault="00E1433F" w:rsidP="00232E3E">
      <w:pPr>
        <w:jc w:val="both"/>
        <w:rPr>
          <w:rFonts w:asciiTheme="majorBidi" w:hAnsiTheme="majorBidi" w:cstheme="majorBidi"/>
          <w:szCs w:val="24"/>
        </w:rPr>
      </w:pPr>
    </w:p>
    <w:p w14:paraId="48928CEF" w14:textId="77777777" w:rsidR="00E1433F" w:rsidRDefault="00E1433F" w:rsidP="00232E3E">
      <w:pPr>
        <w:jc w:val="both"/>
        <w:rPr>
          <w:rFonts w:asciiTheme="majorBidi" w:hAnsiTheme="majorBidi" w:cstheme="majorBidi"/>
          <w:szCs w:val="24"/>
        </w:rPr>
      </w:pPr>
    </w:p>
    <w:p w14:paraId="39358E15" w14:textId="77777777" w:rsidR="00E1433F" w:rsidRDefault="00E1433F" w:rsidP="00232E3E">
      <w:pPr>
        <w:jc w:val="both"/>
        <w:rPr>
          <w:rFonts w:asciiTheme="majorBidi" w:hAnsiTheme="majorBidi" w:cstheme="majorBidi"/>
          <w:szCs w:val="24"/>
        </w:rPr>
      </w:pPr>
    </w:p>
    <w:p w14:paraId="56988CA0" w14:textId="77777777" w:rsidR="00E1433F" w:rsidRPr="00727436" w:rsidRDefault="00E1433F" w:rsidP="0077376F">
      <w:pPr>
        <w:pStyle w:val="Titre1"/>
        <w:rPr>
          <w:rStyle w:val="lev"/>
        </w:rPr>
      </w:pPr>
      <w:bookmarkStart w:id="1" w:name="_Toc199958793"/>
      <w:r w:rsidRPr="00727436">
        <w:rPr>
          <w:rStyle w:val="lev"/>
        </w:rPr>
        <w:lastRenderedPageBreak/>
        <w:t>Dédicace</w:t>
      </w:r>
      <w:bookmarkEnd w:id="1"/>
    </w:p>
    <w:p w14:paraId="3557BD87" w14:textId="77777777" w:rsidR="00074AAD" w:rsidRPr="003120B1" w:rsidRDefault="00056E28" w:rsidP="00232E3E">
      <w:pPr>
        <w:jc w:val="both"/>
        <w:rPr>
          <w:rFonts w:asciiTheme="majorBidi" w:hAnsiTheme="majorBidi" w:cstheme="majorBidi"/>
          <w:i/>
          <w:iCs/>
          <w:szCs w:val="24"/>
        </w:rPr>
      </w:pPr>
      <w:r w:rsidRPr="003120B1">
        <w:rPr>
          <w:rFonts w:asciiTheme="majorBidi" w:hAnsiTheme="majorBidi" w:cstheme="majorBidi"/>
          <w:i/>
          <w:iCs/>
          <w:szCs w:val="24"/>
        </w:rPr>
        <w:t xml:space="preserve">Ce mémoire, je le dédie du fond du cœur </w:t>
      </w:r>
      <w:r w:rsidR="00074AAD" w:rsidRPr="003120B1">
        <w:rPr>
          <w:rFonts w:asciiTheme="majorBidi" w:hAnsiTheme="majorBidi" w:cstheme="majorBidi"/>
          <w:i/>
          <w:iCs/>
          <w:szCs w:val="24"/>
        </w:rPr>
        <w:t>À mes parents, véritables piliers de ma vie. Leur amour inconditionnel, leur patience face à mes doutes et leurs encouragements constants ont été ma lumière dans les moments les plus difficiles. Vous avez toujours cru en moi, et votre confiance m’a donné la force d’avancer.</w:t>
      </w:r>
    </w:p>
    <w:p w14:paraId="020EB100" w14:textId="77777777" w:rsidR="00F961CF" w:rsidRPr="003120B1" w:rsidRDefault="00F961CF" w:rsidP="00232E3E">
      <w:pPr>
        <w:jc w:val="both"/>
        <w:rPr>
          <w:rFonts w:asciiTheme="majorBidi" w:hAnsiTheme="majorBidi" w:cstheme="majorBidi"/>
          <w:i/>
          <w:iCs/>
          <w:szCs w:val="24"/>
        </w:rPr>
      </w:pPr>
      <w:r w:rsidRPr="003120B1">
        <w:rPr>
          <w:rFonts w:asciiTheme="majorBidi" w:hAnsiTheme="majorBidi" w:cstheme="majorBidi"/>
          <w:i/>
          <w:iCs/>
          <w:szCs w:val="24"/>
        </w:rPr>
        <w:t xml:space="preserve">À mes sœurs, Yasmine et </w:t>
      </w:r>
      <w:proofErr w:type="spellStart"/>
      <w:r w:rsidRPr="003120B1">
        <w:rPr>
          <w:rFonts w:asciiTheme="majorBidi" w:hAnsiTheme="majorBidi" w:cstheme="majorBidi"/>
          <w:i/>
          <w:iCs/>
          <w:szCs w:val="24"/>
        </w:rPr>
        <w:t>Kaouther</w:t>
      </w:r>
      <w:proofErr w:type="spellEnd"/>
      <w:r w:rsidRPr="003120B1">
        <w:rPr>
          <w:rFonts w:asciiTheme="majorBidi" w:hAnsiTheme="majorBidi" w:cstheme="majorBidi"/>
          <w:i/>
          <w:iCs/>
          <w:szCs w:val="24"/>
        </w:rPr>
        <w:t>, qui remplissent ma vie de joie et de force. Votre amour inconditionnel et votre soutien sans faille m’ont toujours portée. Votre présence à mes côtés a été une source précieuse de réconfort tout au long de ce parcours.</w:t>
      </w:r>
    </w:p>
    <w:p w14:paraId="08A8EF05" w14:textId="77777777" w:rsidR="00F961CF" w:rsidRPr="003120B1" w:rsidRDefault="00056E28" w:rsidP="00232E3E">
      <w:pPr>
        <w:jc w:val="both"/>
        <w:rPr>
          <w:rFonts w:asciiTheme="majorBidi" w:hAnsiTheme="majorBidi" w:cstheme="majorBidi"/>
          <w:i/>
          <w:iCs/>
          <w:szCs w:val="24"/>
        </w:rPr>
      </w:pPr>
      <w:r w:rsidRPr="003120B1">
        <w:rPr>
          <w:rFonts w:asciiTheme="majorBidi" w:hAnsiTheme="majorBidi" w:cstheme="majorBidi"/>
          <w:i/>
          <w:iCs/>
          <w:szCs w:val="24"/>
        </w:rPr>
        <w:t xml:space="preserve">À mes amies précieuses, Mina, Manar et Rim, </w:t>
      </w:r>
      <w:r w:rsidR="00F961CF" w:rsidRPr="003120B1">
        <w:rPr>
          <w:rFonts w:asciiTheme="majorBidi" w:hAnsiTheme="majorBidi" w:cstheme="majorBidi"/>
          <w:i/>
          <w:iCs/>
          <w:szCs w:val="24"/>
        </w:rPr>
        <w:t>merci pour votre amitié sincère et votre présence constante. Votre soutien et votre écoute ont été pour moi une source inestimable de motivation et de réconfort.</w:t>
      </w:r>
    </w:p>
    <w:p w14:paraId="53E65820" w14:textId="77777777" w:rsidR="00F961CF" w:rsidRPr="003120B1" w:rsidRDefault="00F961CF" w:rsidP="00232E3E">
      <w:pPr>
        <w:jc w:val="both"/>
        <w:rPr>
          <w:rFonts w:asciiTheme="majorBidi" w:hAnsiTheme="majorBidi" w:cstheme="majorBidi"/>
          <w:i/>
          <w:iCs/>
          <w:szCs w:val="24"/>
        </w:rPr>
      </w:pPr>
      <w:r w:rsidRPr="003120B1">
        <w:rPr>
          <w:rFonts w:asciiTheme="majorBidi" w:hAnsiTheme="majorBidi" w:cstheme="majorBidi"/>
          <w:i/>
          <w:iCs/>
          <w:szCs w:val="24"/>
        </w:rPr>
        <w:t xml:space="preserve">À </w:t>
      </w:r>
      <w:proofErr w:type="spellStart"/>
      <w:r w:rsidRPr="003120B1">
        <w:rPr>
          <w:rFonts w:asciiTheme="majorBidi" w:hAnsiTheme="majorBidi" w:cstheme="majorBidi"/>
          <w:i/>
          <w:iCs/>
          <w:szCs w:val="24"/>
        </w:rPr>
        <w:t>Thinhinane</w:t>
      </w:r>
      <w:proofErr w:type="spellEnd"/>
      <w:r w:rsidRPr="003120B1">
        <w:rPr>
          <w:rFonts w:asciiTheme="majorBidi" w:hAnsiTheme="majorBidi" w:cstheme="majorBidi"/>
          <w:i/>
          <w:iCs/>
          <w:szCs w:val="24"/>
        </w:rPr>
        <w:t xml:space="preserve">, Kenza, Nada, </w:t>
      </w:r>
      <w:proofErr w:type="spellStart"/>
      <w:r w:rsidRPr="003120B1">
        <w:rPr>
          <w:rFonts w:asciiTheme="majorBidi" w:hAnsiTheme="majorBidi" w:cstheme="majorBidi"/>
          <w:i/>
          <w:iCs/>
          <w:szCs w:val="24"/>
        </w:rPr>
        <w:t>Nouha</w:t>
      </w:r>
      <w:proofErr w:type="spellEnd"/>
      <w:r w:rsidRPr="003120B1">
        <w:rPr>
          <w:rFonts w:asciiTheme="majorBidi" w:hAnsiTheme="majorBidi" w:cstheme="majorBidi"/>
          <w:i/>
          <w:iCs/>
          <w:szCs w:val="24"/>
        </w:rPr>
        <w:t xml:space="preserve"> et Melissa, mes amies précieuses, qui m’ont accompagnée tout au long de ce parcours universitaire. Votre présence fidèle, votre bienveillance et votre énergie ont été des lumières dans les moments d’incertitude. Vous avez su transformer chaque défi en une expérience partagée, rendant ce chemin non seulement plus agréable, mais aussi profondément enrichissant. Merci d’avoir été à mes côtés, véritables compagnes de route, source d’inspiration et de joie. Grâce à vous, ce parcours a été plus riche et plus facile à vivre.</w:t>
      </w:r>
    </w:p>
    <w:p w14:paraId="46CFB522" w14:textId="77777777" w:rsidR="00056E28" w:rsidRPr="003120B1" w:rsidRDefault="00056E28" w:rsidP="00232E3E">
      <w:pPr>
        <w:jc w:val="both"/>
        <w:rPr>
          <w:rFonts w:asciiTheme="majorBidi" w:hAnsiTheme="majorBidi" w:cstheme="majorBidi"/>
          <w:i/>
          <w:iCs/>
          <w:szCs w:val="24"/>
        </w:rPr>
      </w:pPr>
      <w:r w:rsidRPr="003120B1">
        <w:rPr>
          <w:rFonts w:asciiTheme="majorBidi" w:hAnsiTheme="majorBidi" w:cstheme="majorBidi"/>
          <w:i/>
          <w:iCs/>
          <w:szCs w:val="24"/>
        </w:rPr>
        <w:t>Un merci tout particulier à Melissa, mon binôme, mon all</w:t>
      </w:r>
      <w:r w:rsidR="00074AAD" w:rsidRPr="003120B1">
        <w:rPr>
          <w:rFonts w:asciiTheme="majorBidi" w:hAnsiTheme="majorBidi" w:cstheme="majorBidi"/>
          <w:i/>
          <w:iCs/>
          <w:szCs w:val="24"/>
        </w:rPr>
        <w:t xml:space="preserve">iée de chaque instant, pour son </w:t>
      </w:r>
      <w:r w:rsidRPr="003120B1">
        <w:rPr>
          <w:rFonts w:asciiTheme="majorBidi" w:hAnsiTheme="majorBidi" w:cstheme="majorBidi"/>
          <w:i/>
          <w:iCs/>
          <w:szCs w:val="24"/>
        </w:rPr>
        <w:t>accompagnement tout au long de ce travail et à chaque étape.</w:t>
      </w:r>
    </w:p>
    <w:p w14:paraId="2964AB06" w14:textId="77777777" w:rsidR="00377AB9" w:rsidRPr="003120B1" w:rsidRDefault="00377AB9" w:rsidP="00232E3E">
      <w:pPr>
        <w:jc w:val="both"/>
        <w:rPr>
          <w:rFonts w:asciiTheme="majorBidi" w:hAnsiTheme="majorBidi" w:cstheme="majorBidi"/>
          <w:i/>
          <w:iCs/>
          <w:szCs w:val="24"/>
        </w:rPr>
      </w:pPr>
      <w:r w:rsidRPr="003120B1">
        <w:rPr>
          <w:rFonts w:asciiTheme="majorBidi" w:hAnsiTheme="majorBidi" w:cstheme="majorBidi"/>
          <w:i/>
          <w:iCs/>
          <w:szCs w:val="24"/>
        </w:rPr>
        <w:t>À toute ma famille et mes proches, merci pour votre présence et votre soutien tout au long de ce parcours. Un merci tout particulier à ma cousine Maria pour son appui précieux et constant.</w:t>
      </w:r>
    </w:p>
    <w:p w14:paraId="1601DE92" w14:textId="77777777" w:rsidR="00056E28" w:rsidRPr="003120B1" w:rsidRDefault="00056E28" w:rsidP="00232E3E">
      <w:pPr>
        <w:jc w:val="both"/>
        <w:rPr>
          <w:rFonts w:asciiTheme="majorBidi" w:hAnsiTheme="majorBidi" w:cstheme="majorBidi"/>
          <w:i/>
          <w:iCs/>
          <w:szCs w:val="24"/>
        </w:rPr>
      </w:pPr>
      <w:r w:rsidRPr="003120B1">
        <w:rPr>
          <w:rFonts w:asciiTheme="majorBidi" w:hAnsiTheme="majorBidi" w:cstheme="majorBidi"/>
          <w:i/>
          <w:iCs/>
          <w:szCs w:val="24"/>
        </w:rPr>
        <w:t>Ce mémoire est le fruit de votre présence, de vos sacrifices, et de votre amour. Je vous le dédie avec toute ma gratitude et toute ma tendresse.</w:t>
      </w:r>
    </w:p>
    <w:p w14:paraId="60C45543" w14:textId="77777777" w:rsidR="002E10E8" w:rsidRDefault="002E10E8" w:rsidP="00232E3E">
      <w:pPr>
        <w:jc w:val="both"/>
        <w:rPr>
          <w:rFonts w:asciiTheme="majorBidi" w:hAnsiTheme="majorBidi" w:cstheme="majorBidi"/>
          <w:szCs w:val="24"/>
        </w:rPr>
      </w:pPr>
    </w:p>
    <w:p w14:paraId="6707DD74" w14:textId="77777777" w:rsidR="002E10E8" w:rsidRDefault="002E10E8" w:rsidP="00232E3E">
      <w:pPr>
        <w:jc w:val="both"/>
        <w:rPr>
          <w:rFonts w:asciiTheme="majorBidi" w:hAnsiTheme="majorBidi" w:cstheme="majorBidi"/>
          <w:szCs w:val="24"/>
        </w:rPr>
      </w:pPr>
    </w:p>
    <w:p w14:paraId="33C79D7B" w14:textId="77777777" w:rsidR="002E10E8" w:rsidRDefault="002E10E8" w:rsidP="00232E3E">
      <w:pPr>
        <w:jc w:val="both"/>
        <w:rPr>
          <w:rFonts w:asciiTheme="majorBidi" w:hAnsiTheme="majorBidi" w:cstheme="majorBidi"/>
          <w:szCs w:val="24"/>
        </w:rPr>
      </w:pPr>
    </w:p>
    <w:p w14:paraId="0BF15892" w14:textId="77777777" w:rsidR="002E10E8" w:rsidRDefault="002E10E8" w:rsidP="00232E3E">
      <w:pPr>
        <w:jc w:val="both"/>
        <w:rPr>
          <w:rFonts w:asciiTheme="majorBidi" w:hAnsiTheme="majorBidi" w:cstheme="majorBidi"/>
          <w:szCs w:val="24"/>
        </w:rPr>
      </w:pPr>
    </w:p>
    <w:p w14:paraId="44DF8732" w14:textId="77777777" w:rsidR="002E10E8" w:rsidRPr="00056E28" w:rsidRDefault="002E10E8" w:rsidP="00232E3E">
      <w:pPr>
        <w:jc w:val="both"/>
        <w:rPr>
          <w:rFonts w:asciiTheme="majorBidi" w:hAnsiTheme="majorBidi" w:cstheme="majorBidi"/>
          <w:szCs w:val="24"/>
        </w:rPr>
      </w:pPr>
      <w:proofErr w:type="spellStart"/>
      <w:r>
        <w:rPr>
          <w:rFonts w:asciiTheme="majorBidi" w:hAnsiTheme="majorBidi" w:cstheme="majorBidi"/>
          <w:szCs w:val="24"/>
        </w:rPr>
        <w:t>Chaima</w:t>
      </w:r>
      <w:proofErr w:type="spellEnd"/>
      <w:r>
        <w:rPr>
          <w:rFonts w:asciiTheme="majorBidi" w:hAnsiTheme="majorBidi" w:cstheme="majorBidi"/>
          <w:szCs w:val="24"/>
        </w:rPr>
        <w:t>.</w:t>
      </w:r>
    </w:p>
    <w:p w14:paraId="51ED20B2" w14:textId="77777777" w:rsidR="00334394" w:rsidRDefault="00334394" w:rsidP="00232E3E">
      <w:pPr>
        <w:tabs>
          <w:tab w:val="left" w:pos="3855"/>
        </w:tabs>
        <w:jc w:val="both"/>
        <w:rPr>
          <w:rFonts w:asciiTheme="majorBidi" w:hAnsiTheme="majorBidi" w:cstheme="majorBidi"/>
          <w:szCs w:val="24"/>
        </w:rPr>
      </w:pPr>
      <w:r>
        <w:rPr>
          <w:rFonts w:asciiTheme="majorBidi" w:hAnsiTheme="majorBidi" w:cstheme="majorBidi"/>
          <w:szCs w:val="24"/>
        </w:rPr>
        <w:br w:type="page"/>
      </w:r>
    </w:p>
    <w:p w14:paraId="4E525ECE" w14:textId="6BE882C1" w:rsidR="00C102E7" w:rsidRPr="00727436" w:rsidRDefault="00C102E7" w:rsidP="0077376F">
      <w:pPr>
        <w:pStyle w:val="Titre1"/>
        <w:rPr>
          <w:rStyle w:val="lev"/>
        </w:rPr>
      </w:pPr>
      <w:bookmarkStart w:id="2" w:name="_Toc199958794"/>
      <w:r w:rsidRPr="00727436">
        <w:rPr>
          <w:rStyle w:val="lev"/>
        </w:rPr>
        <w:lastRenderedPageBreak/>
        <w:t>Dédicace</w:t>
      </w:r>
      <w:bookmarkEnd w:id="2"/>
    </w:p>
    <w:p w14:paraId="490BF647" w14:textId="77777777" w:rsidR="000A2178" w:rsidRPr="003120B1" w:rsidRDefault="000A2178" w:rsidP="00232E3E">
      <w:pPr>
        <w:jc w:val="both"/>
        <w:rPr>
          <w:rFonts w:asciiTheme="majorBidi" w:hAnsiTheme="majorBidi" w:cstheme="majorBidi"/>
          <w:i/>
          <w:iCs/>
          <w:szCs w:val="24"/>
        </w:rPr>
      </w:pPr>
      <w:r w:rsidRPr="003120B1">
        <w:rPr>
          <w:rFonts w:asciiTheme="majorBidi" w:hAnsiTheme="majorBidi" w:cstheme="majorBidi"/>
          <w:i/>
          <w:iCs/>
          <w:szCs w:val="24"/>
        </w:rPr>
        <w:t>Je souhaiterai dédier ce mémoire, à ma mère et à mon père, pour les opportunités et les encouragements qui m’ont donné, ainsi que leur foi en ma personne qui m’a permis d’avancer et réaliser mes souhaits. </w:t>
      </w:r>
    </w:p>
    <w:p w14:paraId="6AF3DBC8" w14:textId="1BFEBFC6" w:rsidR="000A2178" w:rsidRPr="003120B1" w:rsidRDefault="000A2178" w:rsidP="00232E3E">
      <w:pPr>
        <w:jc w:val="both"/>
        <w:rPr>
          <w:rFonts w:asciiTheme="majorBidi" w:hAnsiTheme="majorBidi" w:cstheme="majorBidi"/>
          <w:i/>
          <w:iCs/>
          <w:szCs w:val="24"/>
        </w:rPr>
      </w:pPr>
      <w:r w:rsidRPr="003120B1">
        <w:rPr>
          <w:rFonts w:asciiTheme="majorBidi" w:hAnsiTheme="majorBidi" w:cstheme="majorBidi"/>
          <w:i/>
          <w:iCs/>
          <w:szCs w:val="24"/>
        </w:rPr>
        <w:t xml:space="preserve">A ma sœur et </w:t>
      </w:r>
      <w:r w:rsidR="00F079DC" w:rsidRPr="003120B1">
        <w:rPr>
          <w:rFonts w:asciiTheme="majorBidi" w:hAnsiTheme="majorBidi" w:cstheme="majorBidi"/>
          <w:i/>
          <w:iCs/>
          <w:szCs w:val="24"/>
        </w:rPr>
        <w:t>à</w:t>
      </w:r>
      <w:r w:rsidRPr="003120B1">
        <w:rPr>
          <w:rFonts w:asciiTheme="majorBidi" w:hAnsiTheme="majorBidi" w:cstheme="majorBidi"/>
          <w:i/>
          <w:iCs/>
          <w:szCs w:val="24"/>
        </w:rPr>
        <w:t xml:space="preserve"> mon frère, qui remplissent ma vie de joie et de force, et qui croient en ma réussite et me soutiennent. </w:t>
      </w:r>
    </w:p>
    <w:p w14:paraId="28436744" w14:textId="6EEACE32" w:rsidR="000A2178" w:rsidRPr="003120B1" w:rsidRDefault="00DD38E4" w:rsidP="00232E3E">
      <w:pPr>
        <w:jc w:val="both"/>
        <w:rPr>
          <w:rFonts w:asciiTheme="majorBidi" w:hAnsiTheme="majorBidi" w:cstheme="majorBidi"/>
          <w:i/>
          <w:iCs/>
          <w:szCs w:val="24"/>
        </w:rPr>
      </w:pPr>
      <w:r w:rsidRPr="003120B1">
        <w:rPr>
          <w:rFonts w:asciiTheme="majorBidi" w:hAnsiTheme="majorBidi" w:cstheme="majorBidi"/>
          <w:i/>
          <w:iCs/>
          <w:szCs w:val="24"/>
        </w:rPr>
        <w:t>Et sincèrement un merci à mon</w:t>
      </w:r>
      <w:r w:rsidR="000A2178" w:rsidRPr="003120B1">
        <w:rPr>
          <w:rFonts w:asciiTheme="majorBidi" w:hAnsiTheme="majorBidi" w:cstheme="majorBidi"/>
          <w:i/>
          <w:iCs/>
          <w:szCs w:val="24"/>
        </w:rPr>
        <w:t xml:space="preserve"> binôme </w:t>
      </w:r>
      <w:proofErr w:type="spellStart"/>
      <w:r w:rsidR="000A2178" w:rsidRPr="003120B1">
        <w:rPr>
          <w:rFonts w:asciiTheme="majorBidi" w:hAnsiTheme="majorBidi" w:cstheme="majorBidi"/>
          <w:i/>
          <w:iCs/>
          <w:szCs w:val="24"/>
        </w:rPr>
        <w:t>Chaima</w:t>
      </w:r>
      <w:proofErr w:type="spellEnd"/>
      <w:r w:rsidR="000A2178" w:rsidRPr="003120B1">
        <w:rPr>
          <w:rFonts w:asciiTheme="majorBidi" w:hAnsiTheme="majorBidi" w:cstheme="majorBidi"/>
          <w:i/>
          <w:iCs/>
          <w:szCs w:val="24"/>
        </w:rPr>
        <w:t xml:space="preserve">, pour sa présence et son accompagnement tout au long de ce projet, et qui grâce </w:t>
      </w:r>
      <w:r w:rsidR="00F079DC" w:rsidRPr="003120B1">
        <w:rPr>
          <w:rFonts w:asciiTheme="majorBidi" w:hAnsiTheme="majorBidi" w:cstheme="majorBidi"/>
          <w:i/>
          <w:iCs/>
          <w:szCs w:val="24"/>
        </w:rPr>
        <w:t>à</w:t>
      </w:r>
      <w:r w:rsidR="000A2178" w:rsidRPr="003120B1">
        <w:rPr>
          <w:rFonts w:asciiTheme="majorBidi" w:hAnsiTheme="majorBidi" w:cstheme="majorBidi"/>
          <w:i/>
          <w:iCs/>
          <w:szCs w:val="24"/>
        </w:rPr>
        <w:t xml:space="preserve"> elle ce travail fut réaliser avec sincérité et passion. </w:t>
      </w:r>
    </w:p>
    <w:p w14:paraId="3CDD6CDA" w14:textId="77777777" w:rsidR="000A2178" w:rsidRPr="003120B1" w:rsidRDefault="000A2178" w:rsidP="00232E3E">
      <w:pPr>
        <w:jc w:val="both"/>
        <w:rPr>
          <w:rFonts w:asciiTheme="majorBidi" w:hAnsiTheme="majorBidi" w:cstheme="majorBidi"/>
          <w:i/>
          <w:iCs/>
          <w:szCs w:val="24"/>
        </w:rPr>
      </w:pPr>
      <w:r w:rsidRPr="003120B1">
        <w:rPr>
          <w:rFonts w:asciiTheme="majorBidi" w:hAnsiTheme="majorBidi" w:cstheme="majorBidi"/>
          <w:i/>
          <w:iCs/>
          <w:szCs w:val="24"/>
        </w:rPr>
        <w:t>À toute ma famille et mes proches, merci pour votre présence et votre soutien tout au long de ce parcours. </w:t>
      </w:r>
    </w:p>
    <w:p w14:paraId="15A5B62C" w14:textId="77777777" w:rsidR="000A2178" w:rsidRPr="003120B1" w:rsidRDefault="000A2178" w:rsidP="00232E3E">
      <w:pPr>
        <w:jc w:val="both"/>
        <w:rPr>
          <w:rFonts w:asciiTheme="majorBidi" w:hAnsiTheme="majorBidi" w:cstheme="majorBidi"/>
          <w:i/>
          <w:iCs/>
          <w:szCs w:val="24"/>
        </w:rPr>
      </w:pPr>
      <w:r w:rsidRPr="003120B1">
        <w:rPr>
          <w:rFonts w:asciiTheme="majorBidi" w:hAnsiTheme="majorBidi" w:cstheme="majorBidi"/>
          <w:i/>
          <w:iCs/>
          <w:szCs w:val="24"/>
        </w:rPr>
        <w:t>Ce mémoire est le fruit de nos efforts, et vos présences et encouragements ont facilité sa réalisation. Je vous le dédie avec toute ma gratitude.</w:t>
      </w:r>
    </w:p>
    <w:p w14:paraId="114A7AB2" w14:textId="77777777" w:rsidR="00C102E7" w:rsidRPr="00C102E7" w:rsidRDefault="00C102E7" w:rsidP="00232E3E">
      <w:pPr>
        <w:jc w:val="both"/>
        <w:rPr>
          <w:rFonts w:asciiTheme="majorBidi" w:hAnsiTheme="majorBidi" w:cstheme="majorBidi"/>
          <w:szCs w:val="24"/>
        </w:rPr>
      </w:pPr>
    </w:p>
    <w:p w14:paraId="7151C7CB" w14:textId="77777777" w:rsidR="00C102E7" w:rsidRPr="00C102E7" w:rsidRDefault="00C102E7" w:rsidP="00232E3E">
      <w:pPr>
        <w:jc w:val="both"/>
        <w:rPr>
          <w:rFonts w:asciiTheme="majorBidi" w:hAnsiTheme="majorBidi" w:cstheme="majorBidi"/>
          <w:szCs w:val="24"/>
        </w:rPr>
      </w:pPr>
    </w:p>
    <w:p w14:paraId="696A9B5F" w14:textId="77777777" w:rsidR="00C102E7" w:rsidRPr="00C102E7" w:rsidRDefault="00C102E7" w:rsidP="00232E3E">
      <w:pPr>
        <w:jc w:val="both"/>
        <w:rPr>
          <w:rFonts w:asciiTheme="majorBidi" w:hAnsiTheme="majorBidi" w:cstheme="majorBidi"/>
          <w:szCs w:val="24"/>
        </w:rPr>
      </w:pPr>
    </w:p>
    <w:p w14:paraId="39D7899E" w14:textId="77777777" w:rsidR="00C102E7" w:rsidRDefault="00C102E7" w:rsidP="00232E3E">
      <w:pPr>
        <w:jc w:val="both"/>
        <w:rPr>
          <w:rFonts w:asciiTheme="majorBidi" w:hAnsiTheme="majorBidi" w:cstheme="majorBidi"/>
          <w:szCs w:val="24"/>
        </w:rPr>
      </w:pPr>
    </w:p>
    <w:p w14:paraId="1CC740C7" w14:textId="77777777" w:rsidR="00E1433F" w:rsidRDefault="00E1433F" w:rsidP="00232E3E">
      <w:pPr>
        <w:jc w:val="both"/>
        <w:rPr>
          <w:rFonts w:asciiTheme="majorBidi" w:hAnsiTheme="majorBidi" w:cstheme="majorBidi"/>
          <w:szCs w:val="24"/>
        </w:rPr>
      </w:pPr>
    </w:p>
    <w:p w14:paraId="230CC59F" w14:textId="77777777" w:rsidR="00C102E7" w:rsidRDefault="00C102E7" w:rsidP="00232E3E">
      <w:pPr>
        <w:jc w:val="both"/>
        <w:rPr>
          <w:rFonts w:asciiTheme="majorBidi" w:hAnsiTheme="majorBidi" w:cstheme="majorBidi"/>
          <w:szCs w:val="24"/>
        </w:rPr>
      </w:pPr>
    </w:p>
    <w:p w14:paraId="3C06287F" w14:textId="77777777" w:rsidR="00C102E7" w:rsidRDefault="00C102E7" w:rsidP="00232E3E">
      <w:pPr>
        <w:jc w:val="both"/>
        <w:rPr>
          <w:rFonts w:asciiTheme="majorBidi" w:hAnsiTheme="majorBidi" w:cstheme="majorBidi"/>
          <w:szCs w:val="24"/>
        </w:rPr>
      </w:pPr>
    </w:p>
    <w:p w14:paraId="534C71C4" w14:textId="77777777" w:rsidR="00C102E7" w:rsidRDefault="00C102E7" w:rsidP="00232E3E">
      <w:pPr>
        <w:jc w:val="both"/>
        <w:rPr>
          <w:rFonts w:asciiTheme="majorBidi" w:hAnsiTheme="majorBidi" w:cstheme="majorBidi"/>
          <w:szCs w:val="24"/>
        </w:rPr>
      </w:pPr>
    </w:p>
    <w:p w14:paraId="36B5600B" w14:textId="77777777" w:rsidR="00C102E7" w:rsidRDefault="00C102E7" w:rsidP="00232E3E">
      <w:pPr>
        <w:jc w:val="both"/>
        <w:rPr>
          <w:rFonts w:asciiTheme="majorBidi" w:hAnsiTheme="majorBidi" w:cstheme="majorBidi"/>
          <w:szCs w:val="24"/>
        </w:rPr>
      </w:pPr>
    </w:p>
    <w:p w14:paraId="673258CA" w14:textId="77777777" w:rsidR="00C102E7" w:rsidRDefault="00C102E7" w:rsidP="00232E3E">
      <w:pPr>
        <w:jc w:val="both"/>
        <w:rPr>
          <w:rFonts w:asciiTheme="majorBidi" w:hAnsiTheme="majorBidi" w:cstheme="majorBidi"/>
          <w:szCs w:val="24"/>
        </w:rPr>
      </w:pPr>
    </w:p>
    <w:p w14:paraId="11853293" w14:textId="77777777" w:rsidR="00C102E7" w:rsidRDefault="00C102E7" w:rsidP="00232E3E">
      <w:pPr>
        <w:jc w:val="both"/>
        <w:rPr>
          <w:rFonts w:asciiTheme="majorBidi" w:hAnsiTheme="majorBidi" w:cstheme="majorBidi"/>
          <w:szCs w:val="24"/>
        </w:rPr>
      </w:pPr>
    </w:p>
    <w:p w14:paraId="3DF1E82D" w14:textId="77777777" w:rsidR="00C102E7" w:rsidRDefault="00C102E7" w:rsidP="00232E3E">
      <w:pPr>
        <w:jc w:val="both"/>
        <w:rPr>
          <w:rFonts w:asciiTheme="majorBidi" w:hAnsiTheme="majorBidi" w:cstheme="majorBidi"/>
          <w:szCs w:val="24"/>
        </w:rPr>
      </w:pPr>
    </w:p>
    <w:p w14:paraId="0464D7B9" w14:textId="77777777" w:rsidR="00C102E7" w:rsidRDefault="00C102E7" w:rsidP="00232E3E">
      <w:pPr>
        <w:jc w:val="both"/>
        <w:rPr>
          <w:rFonts w:asciiTheme="majorBidi" w:hAnsiTheme="majorBidi" w:cstheme="majorBidi"/>
          <w:szCs w:val="24"/>
        </w:rPr>
      </w:pPr>
    </w:p>
    <w:p w14:paraId="2BB491BA" w14:textId="77777777" w:rsidR="00C102E7" w:rsidRDefault="000A2178" w:rsidP="00232E3E">
      <w:pPr>
        <w:jc w:val="both"/>
        <w:rPr>
          <w:rFonts w:asciiTheme="majorBidi" w:hAnsiTheme="majorBidi" w:cstheme="majorBidi"/>
          <w:szCs w:val="24"/>
        </w:rPr>
      </w:pPr>
      <w:r>
        <w:rPr>
          <w:rFonts w:asciiTheme="majorBidi" w:hAnsiTheme="majorBidi" w:cstheme="majorBidi"/>
          <w:szCs w:val="24"/>
        </w:rPr>
        <w:t>Melissa</w:t>
      </w:r>
    </w:p>
    <w:p w14:paraId="494744EB" w14:textId="77777777" w:rsidR="00090B3C" w:rsidRPr="00727436" w:rsidRDefault="00C102E7" w:rsidP="0077376F">
      <w:pPr>
        <w:pStyle w:val="Titre1"/>
        <w:rPr>
          <w:rStyle w:val="lev"/>
        </w:rPr>
      </w:pPr>
      <w:bookmarkStart w:id="3" w:name="_Toc199958795"/>
      <w:r w:rsidRPr="00727436">
        <w:rPr>
          <w:rStyle w:val="lev"/>
        </w:rPr>
        <w:lastRenderedPageBreak/>
        <w:t>Sommaire</w:t>
      </w:r>
      <w:bookmarkEnd w:id="3"/>
    </w:p>
    <w:p w14:paraId="4E2BB5A0" w14:textId="25E6E75A" w:rsidR="00090B3C" w:rsidRPr="00090B3C" w:rsidRDefault="00090B3C" w:rsidP="009C0EB3">
      <w:pPr>
        <w:spacing w:before="100" w:beforeAutospacing="1" w:after="100" w:afterAutospacing="1" w:line="240" w:lineRule="auto"/>
        <w:jc w:val="both"/>
        <w:rPr>
          <w:rFonts w:eastAsia="Times New Roman" w:cs="Times New Roman"/>
          <w:szCs w:val="24"/>
          <w:lang w:eastAsia="fr-FR"/>
        </w:rPr>
      </w:pPr>
      <w:r w:rsidRPr="00D57AA2">
        <w:rPr>
          <w:rFonts w:eastAsia="Times New Roman" w:cs="Times New Roman"/>
          <w:b/>
          <w:bCs/>
          <w:szCs w:val="24"/>
          <w:lang w:eastAsia="fr-FR"/>
        </w:rPr>
        <w:t>Introduction Générale</w:t>
      </w:r>
      <w:r w:rsidRPr="00090B3C">
        <w:rPr>
          <w:rFonts w:eastAsia="Times New Roman" w:cs="Times New Roman"/>
          <w:szCs w:val="24"/>
          <w:lang w:eastAsia="fr-FR"/>
        </w:rPr>
        <w:t>..............................................................................................</w:t>
      </w:r>
      <w:r>
        <w:rPr>
          <w:rFonts w:eastAsia="Times New Roman" w:cs="Times New Roman"/>
          <w:szCs w:val="24"/>
          <w:lang w:eastAsia="fr-FR"/>
        </w:rPr>
        <w:t>................</w:t>
      </w:r>
      <w:r w:rsidR="00D57AA2">
        <w:rPr>
          <w:rFonts w:eastAsia="Times New Roman" w:cs="Times New Roman"/>
          <w:szCs w:val="24"/>
          <w:lang w:eastAsia="fr-FR"/>
        </w:rPr>
        <w:t>.</w:t>
      </w:r>
      <w:r w:rsidR="00A538FD" w:rsidRPr="00A538FD">
        <w:rPr>
          <w:rFonts w:eastAsia="Times New Roman" w:cs="Times New Roman"/>
          <w:b/>
          <w:bCs/>
          <w:szCs w:val="24"/>
          <w:lang w:eastAsia="fr-FR"/>
        </w:rPr>
        <w:t>a</w:t>
      </w:r>
      <w:r w:rsidR="00B21F35">
        <w:rPr>
          <w:rFonts w:eastAsia="Times New Roman" w:cs="Times New Roman"/>
          <w:szCs w:val="24"/>
          <w:lang w:eastAsia="fr-FR"/>
        </w:rPr>
        <w:t xml:space="preserve">     </w:t>
      </w:r>
    </w:p>
    <w:p w14:paraId="7DE3952F" w14:textId="1F73B992" w:rsidR="00090B3C" w:rsidRPr="00090B3C" w:rsidRDefault="00090B3C" w:rsidP="00362696">
      <w:pPr>
        <w:pStyle w:val="ChapterTitle"/>
        <w:spacing w:before="100" w:beforeAutospacing="1" w:after="100" w:afterAutospacing="1" w:line="360" w:lineRule="auto"/>
        <w:jc w:val="both"/>
        <w:rPr>
          <w:rFonts w:eastAsia="Times New Roman" w:cs="Times New Roman"/>
          <w:sz w:val="24"/>
          <w:szCs w:val="24"/>
          <w:lang w:eastAsia="fr-FR"/>
        </w:rPr>
      </w:pPr>
      <w:r w:rsidRPr="00090B3C">
        <w:rPr>
          <w:rFonts w:eastAsia="Times New Roman" w:cs="Times New Roman"/>
          <w:bCs/>
          <w:sz w:val="24"/>
          <w:szCs w:val="24"/>
          <w:lang w:eastAsia="fr-FR"/>
        </w:rPr>
        <w:t>Chapitre 01 : Les Systèmes d'Information en Santé et leur Rôle dans le Financement des Établissements de Santé</w:t>
      </w:r>
      <w:r w:rsidRPr="0002562E">
        <w:rPr>
          <w:rFonts w:eastAsia="Times New Roman" w:cs="Times New Roman"/>
          <w:b w:val="0"/>
          <w:bCs/>
          <w:sz w:val="24"/>
          <w:szCs w:val="24"/>
          <w:lang w:eastAsia="fr-FR"/>
        </w:rPr>
        <w:t>.........................................................................................................</w:t>
      </w:r>
      <w:r w:rsidR="008101C7" w:rsidRPr="0002562E">
        <w:rPr>
          <w:rFonts w:eastAsia="Times New Roman" w:cs="Times New Roman"/>
          <w:b w:val="0"/>
          <w:bCs/>
          <w:sz w:val="24"/>
          <w:szCs w:val="24"/>
          <w:lang w:eastAsia="fr-FR"/>
        </w:rPr>
        <w:t>..</w:t>
      </w:r>
      <w:r w:rsidRPr="0002562E">
        <w:rPr>
          <w:rFonts w:eastAsia="Times New Roman" w:cs="Times New Roman"/>
          <w:b w:val="0"/>
          <w:bCs/>
          <w:sz w:val="24"/>
          <w:szCs w:val="24"/>
          <w:lang w:eastAsia="fr-FR"/>
        </w:rPr>
        <w:t>.</w:t>
      </w:r>
      <w:r w:rsidR="00B3110E">
        <w:rPr>
          <w:rFonts w:eastAsia="Times New Roman" w:cs="Times New Roman"/>
          <w:sz w:val="24"/>
          <w:szCs w:val="24"/>
          <w:lang w:eastAsia="fr-FR"/>
        </w:rPr>
        <w:t>1</w:t>
      </w:r>
      <w:r w:rsidRPr="00090B3C">
        <w:rPr>
          <w:rFonts w:eastAsia="Times New Roman" w:cs="Times New Roman"/>
          <w:sz w:val="24"/>
          <w:szCs w:val="24"/>
          <w:lang w:eastAsia="fr-FR"/>
        </w:rPr>
        <w:br/>
        <w:t xml:space="preserve">Section 01 : Notions fondamentales et théoriques sur </w:t>
      </w:r>
      <w:r w:rsidR="004C19B1">
        <w:rPr>
          <w:rFonts w:eastAsia="Times New Roman" w:cs="Times New Roman"/>
          <w:sz w:val="24"/>
          <w:szCs w:val="24"/>
          <w:lang w:eastAsia="fr-FR"/>
        </w:rPr>
        <w:t>les Systèmes d’Information (SI)</w:t>
      </w:r>
      <w:r w:rsidR="008101C7" w:rsidRPr="0002562E">
        <w:rPr>
          <w:rFonts w:eastAsia="Times New Roman" w:cs="Times New Roman"/>
          <w:b w:val="0"/>
          <w:bCs/>
          <w:sz w:val="24"/>
          <w:szCs w:val="24"/>
          <w:lang w:eastAsia="fr-FR"/>
        </w:rPr>
        <w:t>…..</w:t>
      </w:r>
      <w:r w:rsidR="004C19B1" w:rsidRPr="0002562E">
        <w:rPr>
          <w:rFonts w:eastAsia="Times New Roman" w:cs="Times New Roman"/>
          <w:b w:val="0"/>
          <w:bCs/>
          <w:sz w:val="24"/>
          <w:szCs w:val="24"/>
          <w:lang w:eastAsia="fr-FR"/>
        </w:rPr>
        <w:t>.</w:t>
      </w:r>
      <w:r w:rsidR="008101C7">
        <w:rPr>
          <w:rFonts w:eastAsia="Times New Roman" w:cs="Times New Roman"/>
          <w:sz w:val="24"/>
          <w:szCs w:val="24"/>
          <w:lang w:eastAsia="fr-FR"/>
        </w:rPr>
        <w:t>3</w:t>
      </w:r>
      <w:r w:rsidRPr="00090B3C">
        <w:rPr>
          <w:rFonts w:eastAsia="Times New Roman" w:cs="Times New Roman"/>
          <w:sz w:val="24"/>
          <w:szCs w:val="24"/>
          <w:lang w:eastAsia="fr-FR"/>
        </w:rPr>
        <w:br/>
        <w:t xml:space="preserve">Section 02 : Le Système </w:t>
      </w:r>
      <w:r>
        <w:rPr>
          <w:rFonts w:eastAsia="Times New Roman" w:cs="Times New Roman"/>
          <w:sz w:val="24"/>
          <w:szCs w:val="24"/>
          <w:lang w:eastAsia="fr-FR"/>
        </w:rPr>
        <w:t>d’Information Hospitalier (SIH)</w:t>
      </w:r>
      <w:r w:rsidRPr="0002562E">
        <w:rPr>
          <w:rFonts w:eastAsia="Times New Roman" w:cs="Times New Roman"/>
          <w:b w:val="0"/>
          <w:bCs/>
          <w:sz w:val="24"/>
          <w:szCs w:val="24"/>
          <w:lang w:eastAsia="fr-FR"/>
        </w:rPr>
        <w:t>....................................</w:t>
      </w:r>
      <w:r w:rsidR="004C19B1" w:rsidRPr="0002562E">
        <w:rPr>
          <w:rFonts w:eastAsia="Times New Roman" w:cs="Times New Roman"/>
          <w:b w:val="0"/>
          <w:bCs/>
          <w:sz w:val="24"/>
          <w:szCs w:val="24"/>
          <w:lang w:eastAsia="fr-FR"/>
        </w:rPr>
        <w:t>................</w:t>
      </w:r>
      <w:r w:rsidR="002C4B9E" w:rsidRPr="0002562E">
        <w:rPr>
          <w:rFonts w:eastAsia="Times New Roman" w:cs="Times New Roman"/>
          <w:b w:val="0"/>
          <w:bCs/>
          <w:sz w:val="24"/>
          <w:szCs w:val="24"/>
          <w:lang w:eastAsia="fr-FR"/>
        </w:rPr>
        <w:t>..</w:t>
      </w:r>
      <w:r w:rsidR="002C4B9E">
        <w:rPr>
          <w:rFonts w:eastAsia="Times New Roman" w:cs="Times New Roman"/>
          <w:sz w:val="24"/>
          <w:szCs w:val="24"/>
          <w:lang w:eastAsia="fr-FR"/>
        </w:rPr>
        <w:t>9</w:t>
      </w:r>
      <w:r w:rsidRPr="00090B3C">
        <w:rPr>
          <w:rFonts w:eastAsia="Times New Roman" w:cs="Times New Roman"/>
          <w:sz w:val="24"/>
          <w:szCs w:val="24"/>
          <w:lang w:eastAsia="fr-FR"/>
        </w:rPr>
        <w:br/>
        <w:t>Section 03 : Le Programme de Médicalisation de</w:t>
      </w:r>
      <w:r>
        <w:rPr>
          <w:rFonts w:eastAsia="Times New Roman" w:cs="Times New Roman"/>
          <w:sz w:val="24"/>
          <w:szCs w:val="24"/>
          <w:lang w:eastAsia="fr-FR"/>
        </w:rPr>
        <w:t>s Systèmes d’</w:t>
      </w:r>
      <w:r w:rsidR="004C19B1">
        <w:rPr>
          <w:rFonts w:eastAsia="Times New Roman" w:cs="Times New Roman"/>
          <w:sz w:val="24"/>
          <w:szCs w:val="24"/>
          <w:lang w:eastAsia="fr-FR"/>
        </w:rPr>
        <w:t>Information (PMSI)</w:t>
      </w:r>
      <w:r w:rsidR="004C19B1" w:rsidRPr="0002562E">
        <w:rPr>
          <w:rFonts w:eastAsia="Times New Roman" w:cs="Times New Roman"/>
          <w:b w:val="0"/>
          <w:bCs/>
          <w:sz w:val="24"/>
          <w:szCs w:val="24"/>
          <w:lang w:eastAsia="fr-FR"/>
        </w:rPr>
        <w:t>.........</w:t>
      </w:r>
      <w:r w:rsidR="006D617B">
        <w:rPr>
          <w:rFonts w:eastAsia="Times New Roman" w:cs="Times New Roman"/>
          <w:sz w:val="24"/>
          <w:szCs w:val="24"/>
          <w:lang w:eastAsia="fr-FR"/>
        </w:rPr>
        <w:t>16</w:t>
      </w:r>
      <w:r w:rsidRPr="00090B3C">
        <w:rPr>
          <w:rFonts w:eastAsia="Times New Roman" w:cs="Times New Roman"/>
          <w:sz w:val="24"/>
          <w:szCs w:val="24"/>
          <w:lang w:eastAsia="fr-FR"/>
        </w:rPr>
        <w:br/>
        <w:t>Section 04 : Les Systèmes d'Informa</w:t>
      </w:r>
      <w:r>
        <w:rPr>
          <w:rFonts w:eastAsia="Times New Roman" w:cs="Times New Roman"/>
          <w:sz w:val="24"/>
          <w:szCs w:val="24"/>
          <w:lang w:eastAsia="fr-FR"/>
        </w:rPr>
        <w:t>tion en Santé à l'International</w:t>
      </w:r>
      <w:r w:rsidRPr="0002562E">
        <w:rPr>
          <w:rFonts w:eastAsia="Times New Roman" w:cs="Times New Roman"/>
          <w:b w:val="0"/>
          <w:bCs/>
          <w:sz w:val="24"/>
          <w:szCs w:val="24"/>
          <w:lang w:eastAsia="fr-FR"/>
        </w:rPr>
        <w:t>.....................</w:t>
      </w:r>
      <w:r w:rsidR="004C19B1" w:rsidRPr="0002562E">
        <w:rPr>
          <w:rFonts w:eastAsia="Times New Roman" w:cs="Times New Roman"/>
          <w:b w:val="0"/>
          <w:bCs/>
          <w:sz w:val="24"/>
          <w:szCs w:val="24"/>
          <w:lang w:eastAsia="fr-FR"/>
        </w:rPr>
        <w:t>...............</w:t>
      </w:r>
      <w:r w:rsidR="006D617B">
        <w:rPr>
          <w:rFonts w:eastAsia="Times New Roman" w:cs="Times New Roman"/>
          <w:sz w:val="24"/>
          <w:szCs w:val="24"/>
          <w:lang w:eastAsia="fr-FR"/>
        </w:rPr>
        <w:t>21</w:t>
      </w:r>
      <w:r w:rsidRPr="00090B3C">
        <w:rPr>
          <w:rFonts w:eastAsia="Times New Roman" w:cs="Times New Roman"/>
          <w:sz w:val="24"/>
          <w:szCs w:val="24"/>
          <w:lang w:eastAsia="fr-FR"/>
        </w:rPr>
        <w:br/>
        <w:t>Section 05 : Les Systèmes d’Information comme Outil de Mise en</w:t>
      </w:r>
      <w:r>
        <w:rPr>
          <w:rFonts w:eastAsia="Times New Roman" w:cs="Times New Roman"/>
          <w:sz w:val="24"/>
          <w:szCs w:val="24"/>
          <w:lang w:eastAsia="fr-FR"/>
        </w:rPr>
        <w:t xml:space="preserve"> Place des Modes de Financement</w:t>
      </w:r>
      <w:r w:rsidRPr="0002562E">
        <w:rPr>
          <w:rFonts w:eastAsia="Times New Roman" w:cs="Times New Roman"/>
          <w:b w:val="0"/>
          <w:bCs/>
          <w:sz w:val="24"/>
          <w:szCs w:val="24"/>
          <w:lang w:eastAsia="fr-FR"/>
        </w:rPr>
        <w:t>.................................................................................................</w:t>
      </w:r>
      <w:r w:rsidR="004C19B1" w:rsidRPr="0002562E">
        <w:rPr>
          <w:rFonts w:eastAsia="Times New Roman" w:cs="Times New Roman"/>
          <w:b w:val="0"/>
          <w:bCs/>
          <w:sz w:val="24"/>
          <w:szCs w:val="24"/>
          <w:lang w:eastAsia="fr-FR"/>
        </w:rPr>
        <w:t>...........................</w:t>
      </w:r>
      <w:r w:rsidR="006D617B">
        <w:rPr>
          <w:rFonts w:eastAsia="Times New Roman" w:cs="Times New Roman"/>
          <w:sz w:val="24"/>
          <w:szCs w:val="24"/>
          <w:lang w:eastAsia="fr-FR"/>
        </w:rPr>
        <w:t>28</w:t>
      </w:r>
      <w:r>
        <w:rPr>
          <w:rFonts w:eastAsia="Times New Roman" w:cs="Times New Roman"/>
          <w:sz w:val="24"/>
          <w:szCs w:val="24"/>
          <w:lang w:eastAsia="fr-FR"/>
        </w:rPr>
        <w:br/>
        <w:t>Conclusion</w:t>
      </w:r>
      <w:r w:rsidRPr="0002562E">
        <w:rPr>
          <w:rFonts w:eastAsia="Times New Roman" w:cs="Times New Roman"/>
          <w:b w:val="0"/>
          <w:bCs/>
          <w:sz w:val="24"/>
          <w:szCs w:val="24"/>
          <w:lang w:eastAsia="fr-FR"/>
        </w:rPr>
        <w:t>................................................................................................................................</w:t>
      </w:r>
      <w:r w:rsidR="006D617B">
        <w:rPr>
          <w:rFonts w:eastAsia="Times New Roman" w:cs="Times New Roman"/>
          <w:sz w:val="24"/>
          <w:szCs w:val="24"/>
          <w:lang w:eastAsia="fr-FR"/>
        </w:rPr>
        <w:t>31</w:t>
      </w:r>
    </w:p>
    <w:p w14:paraId="1EDF3904" w14:textId="11D44946" w:rsidR="00090B3C" w:rsidRPr="00090B3C" w:rsidRDefault="00090B3C" w:rsidP="00362696">
      <w:pPr>
        <w:pStyle w:val="ChapterTitle"/>
        <w:spacing w:before="100" w:beforeAutospacing="1" w:after="100" w:afterAutospacing="1" w:line="360" w:lineRule="auto"/>
        <w:jc w:val="both"/>
        <w:rPr>
          <w:rFonts w:eastAsia="Times New Roman" w:cs="Times New Roman"/>
          <w:sz w:val="24"/>
          <w:szCs w:val="24"/>
          <w:lang w:eastAsia="fr-FR"/>
        </w:rPr>
      </w:pPr>
      <w:r w:rsidRPr="00090B3C">
        <w:rPr>
          <w:rFonts w:eastAsia="Times New Roman" w:cs="Times New Roman"/>
          <w:bCs/>
          <w:sz w:val="24"/>
          <w:szCs w:val="24"/>
          <w:lang w:eastAsia="fr-FR"/>
        </w:rPr>
        <w:t>Chapitre 02 : Les Modes de Financement des Établissements Hospitaliers : Approche Algérienne et Perspectives Internationales</w:t>
      </w:r>
      <w:r w:rsidRPr="0002562E">
        <w:rPr>
          <w:rFonts w:eastAsia="Times New Roman" w:cs="Times New Roman"/>
          <w:b w:val="0"/>
          <w:bCs/>
          <w:sz w:val="24"/>
          <w:szCs w:val="24"/>
          <w:lang w:eastAsia="fr-FR"/>
        </w:rPr>
        <w:t>.........................................................</w:t>
      </w:r>
      <w:r w:rsidR="00C846B7" w:rsidRPr="0002562E">
        <w:rPr>
          <w:rFonts w:eastAsia="Times New Roman" w:cs="Times New Roman"/>
          <w:b w:val="0"/>
          <w:bCs/>
          <w:sz w:val="24"/>
          <w:szCs w:val="24"/>
          <w:lang w:eastAsia="fr-FR"/>
        </w:rPr>
        <w:t>..........</w:t>
      </w:r>
      <w:r w:rsidRPr="0002562E">
        <w:rPr>
          <w:rFonts w:eastAsia="Times New Roman" w:cs="Times New Roman"/>
          <w:b w:val="0"/>
          <w:bCs/>
          <w:sz w:val="24"/>
          <w:szCs w:val="24"/>
          <w:lang w:eastAsia="fr-FR"/>
        </w:rPr>
        <w:t>.........</w:t>
      </w:r>
      <w:r w:rsidR="000F23E3">
        <w:rPr>
          <w:rFonts w:eastAsia="Times New Roman" w:cs="Times New Roman"/>
          <w:sz w:val="24"/>
          <w:szCs w:val="24"/>
          <w:lang w:eastAsia="fr-FR"/>
        </w:rPr>
        <w:t>30</w:t>
      </w:r>
      <w:r w:rsidRPr="00090B3C">
        <w:rPr>
          <w:rFonts w:eastAsia="Times New Roman" w:cs="Times New Roman"/>
          <w:sz w:val="24"/>
          <w:szCs w:val="24"/>
          <w:lang w:eastAsia="fr-FR"/>
        </w:rPr>
        <w:br/>
        <w:t xml:space="preserve">Section 01 : Le Financement des </w:t>
      </w:r>
      <w:r>
        <w:rPr>
          <w:rFonts w:eastAsia="Times New Roman" w:cs="Times New Roman"/>
          <w:sz w:val="24"/>
          <w:szCs w:val="24"/>
          <w:lang w:eastAsia="fr-FR"/>
        </w:rPr>
        <w:t>Systèmes de Santé dans le Monde</w:t>
      </w:r>
      <w:r w:rsidRPr="00BC3368">
        <w:rPr>
          <w:rFonts w:eastAsia="Times New Roman" w:cs="Times New Roman"/>
          <w:b w:val="0"/>
          <w:bCs/>
          <w:sz w:val="24"/>
          <w:szCs w:val="24"/>
          <w:lang w:eastAsia="fr-FR"/>
        </w:rPr>
        <w:t>.........................</w:t>
      </w:r>
      <w:r w:rsidR="00C846B7" w:rsidRPr="00BC3368">
        <w:rPr>
          <w:rFonts w:eastAsia="Times New Roman" w:cs="Times New Roman"/>
          <w:b w:val="0"/>
          <w:bCs/>
          <w:sz w:val="24"/>
          <w:szCs w:val="24"/>
          <w:lang w:eastAsia="fr-FR"/>
        </w:rPr>
        <w:t>....</w:t>
      </w:r>
      <w:r w:rsidRPr="00BC3368">
        <w:rPr>
          <w:rFonts w:eastAsia="Times New Roman" w:cs="Times New Roman"/>
          <w:b w:val="0"/>
          <w:bCs/>
          <w:sz w:val="24"/>
          <w:szCs w:val="24"/>
          <w:lang w:eastAsia="fr-FR"/>
        </w:rPr>
        <w:t>.......</w:t>
      </w:r>
      <w:r w:rsidR="000F23E3">
        <w:rPr>
          <w:rFonts w:eastAsia="Times New Roman" w:cs="Times New Roman"/>
          <w:sz w:val="24"/>
          <w:szCs w:val="24"/>
          <w:lang w:eastAsia="fr-FR"/>
        </w:rPr>
        <w:t>33</w:t>
      </w:r>
      <w:r w:rsidRPr="00090B3C">
        <w:rPr>
          <w:rFonts w:eastAsia="Times New Roman" w:cs="Times New Roman"/>
          <w:sz w:val="24"/>
          <w:szCs w:val="24"/>
          <w:lang w:eastAsia="fr-FR"/>
        </w:rPr>
        <w:br/>
        <w:t>Section 02 : Le Financement</w:t>
      </w:r>
      <w:r>
        <w:rPr>
          <w:rFonts w:eastAsia="Times New Roman" w:cs="Times New Roman"/>
          <w:sz w:val="24"/>
          <w:szCs w:val="24"/>
          <w:lang w:eastAsia="fr-FR"/>
        </w:rPr>
        <w:t xml:space="preserve"> du Système de Santé en Algérie</w:t>
      </w:r>
      <w:r w:rsidRPr="00BC3368">
        <w:rPr>
          <w:rFonts w:eastAsia="Times New Roman" w:cs="Times New Roman"/>
          <w:b w:val="0"/>
          <w:bCs/>
          <w:sz w:val="24"/>
          <w:szCs w:val="24"/>
          <w:lang w:eastAsia="fr-FR"/>
        </w:rPr>
        <w:t>........................................</w:t>
      </w:r>
      <w:r w:rsidR="00F63EF4" w:rsidRPr="00BC3368">
        <w:rPr>
          <w:rFonts w:eastAsia="Times New Roman" w:cs="Times New Roman"/>
          <w:b w:val="0"/>
          <w:bCs/>
          <w:sz w:val="24"/>
          <w:szCs w:val="24"/>
          <w:lang w:eastAsia="fr-FR"/>
        </w:rPr>
        <w:t>.</w:t>
      </w:r>
      <w:r w:rsidRPr="00BC3368">
        <w:rPr>
          <w:rFonts w:eastAsia="Times New Roman" w:cs="Times New Roman"/>
          <w:b w:val="0"/>
          <w:bCs/>
          <w:sz w:val="24"/>
          <w:szCs w:val="24"/>
          <w:lang w:eastAsia="fr-FR"/>
        </w:rPr>
        <w:t>.....</w:t>
      </w:r>
      <w:r w:rsidR="000F23E3">
        <w:rPr>
          <w:rFonts w:eastAsia="Times New Roman" w:cs="Times New Roman"/>
          <w:sz w:val="24"/>
          <w:szCs w:val="24"/>
          <w:lang w:eastAsia="fr-FR"/>
        </w:rPr>
        <w:t>34</w:t>
      </w:r>
      <w:r w:rsidRPr="00090B3C">
        <w:rPr>
          <w:rFonts w:eastAsia="Times New Roman" w:cs="Times New Roman"/>
          <w:sz w:val="24"/>
          <w:szCs w:val="24"/>
          <w:lang w:eastAsia="fr-FR"/>
        </w:rPr>
        <w:br/>
        <w:t xml:space="preserve">Section 03 : Le Financement </w:t>
      </w:r>
      <w:r>
        <w:rPr>
          <w:rFonts w:eastAsia="Times New Roman" w:cs="Times New Roman"/>
          <w:sz w:val="24"/>
          <w:szCs w:val="24"/>
          <w:lang w:eastAsia="fr-FR"/>
        </w:rPr>
        <w:t>des Hôpitaux Publics en Algérie</w:t>
      </w:r>
      <w:r w:rsidRPr="00BC3368">
        <w:rPr>
          <w:rFonts w:eastAsia="Times New Roman" w:cs="Times New Roman"/>
          <w:b w:val="0"/>
          <w:bCs/>
          <w:sz w:val="24"/>
          <w:szCs w:val="24"/>
          <w:lang w:eastAsia="fr-FR"/>
        </w:rPr>
        <w:t>.............................</w:t>
      </w:r>
      <w:r w:rsidR="004C19B1" w:rsidRPr="00BC3368">
        <w:rPr>
          <w:rFonts w:eastAsia="Times New Roman" w:cs="Times New Roman"/>
          <w:b w:val="0"/>
          <w:bCs/>
          <w:sz w:val="24"/>
          <w:szCs w:val="24"/>
          <w:lang w:eastAsia="fr-FR"/>
        </w:rPr>
        <w:t>.........</w:t>
      </w:r>
      <w:r w:rsidR="00F63EF4" w:rsidRPr="00BC3368">
        <w:rPr>
          <w:rFonts w:eastAsia="Times New Roman" w:cs="Times New Roman"/>
          <w:b w:val="0"/>
          <w:bCs/>
          <w:sz w:val="24"/>
          <w:szCs w:val="24"/>
          <w:lang w:eastAsia="fr-FR"/>
        </w:rPr>
        <w:t>..</w:t>
      </w:r>
      <w:r w:rsidR="004C19B1" w:rsidRPr="00BC3368">
        <w:rPr>
          <w:rFonts w:eastAsia="Times New Roman" w:cs="Times New Roman"/>
          <w:b w:val="0"/>
          <w:bCs/>
          <w:sz w:val="24"/>
          <w:szCs w:val="24"/>
          <w:lang w:eastAsia="fr-FR"/>
        </w:rPr>
        <w:t>.....</w:t>
      </w:r>
      <w:r w:rsidR="000F23E3">
        <w:rPr>
          <w:rFonts w:eastAsia="Times New Roman" w:cs="Times New Roman"/>
          <w:sz w:val="24"/>
          <w:szCs w:val="24"/>
          <w:lang w:eastAsia="fr-FR"/>
        </w:rPr>
        <w:t>39</w:t>
      </w:r>
      <w:r w:rsidRPr="00090B3C">
        <w:rPr>
          <w:rFonts w:eastAsia="Times New Roman" w:cs="Times New Roman"/>
          <w:sz w:val="24"/>
          <w:szCs w:val="24"/>
          <w:lang w:eastAsia="fr-FR"/>
        </w:rPr>
        <w:br/>
        <w:t>Section 04 : Les Autres Mod</w:t>
      </w:r>
      <w:r>
        <w:rPr>
          <w:rFonts w:eastAsia="Times New Roman" w:cs="Times New Roman"/>
          <w:sz w:val="24"/>
          <w:szCs w:val="24"/>
          <w:lang w:eastAsia="fr-FR"/>
        </w:rPr>
        <w:t>es de Financement dans le Monde</w:t>
      </w:r>
      <w:r w:rsidRPr="00BC3368">
        <w:rPr>
          <w:rFonts w:eastAsia="Times New Roman" w:cs="Times New Roman"/>
          <w:b w:val="0"/>
          <w:bCs/>
          <w:sz w:val="24"/>
          <w:szCs w:val="24"/>
          <w:lang w:eastAsia="fr-FR"/>
        </w:rPr>
        <w:t>.....................................</w:t>
      </w:r>
      <w:r w:rsidR="00F63EF4" w:rsidRPr="00BC3368">
        <w:rPr>
          <w:rFonts w:eastAsia="Times New Roman" w:cs="Times New Roman"/>
          <w:b w:val="0"/>
          <w:bCs/>
          <w:sz w:val="24"/>
          <w:szCs w:val="24"/>
          <w:lang w:eastAsia="fr-FR"/>
        </w:rPr>
        <w:t>.</w:t>
      </w:r>
      <w:r w:rsidRPr="00BC3368">
        <w:rPr>
          <w:rFonts w:eastAsia="Times New Roman" w:cs="Times New Roman"/>
          <w:b w:val="0"/>
          <w:bCs/>
          <w:sz w:val="24"/>
          <w:szCs w:val="24"/>
          <w:lang w:eastAsia="fr-FR"/>
        </w:rPr>
        <w:t>.....</w:t>
      </w:r>
      <w:r w:rsidR="000F23E3">
        <w:rPr>
          <w:rFonts w:eastAsia="Times New Roman" w:cs="Times New Roman"/>
          <w:sz w:val="24"/>
          <w:szCs w:val="24"/>
          <w:lang w:eastAsia="fr-FR"/>
        </w:rPr>
        <w:t>46</w:t>
      </w:r>
      <w:r>
        <w:rPr>
          <w:rFonts w:eastAsia="Times New Roman" w:cs="Times New Roman"/>
          <w:sz w:val="24"/>
          <w:szCs w:val="24"/>
          <w:lang w:eastAsia="fr-FR"/>
        </w:rPr>
        <w:br/>
        <w:t>Conclusion</w:t>
      </w:r>
      <w:r w:rsidRPr="00BC3368">
        <w:rPr>
          <w:rFonts w:eastAsia="Times New Roman" w:cs="Times New Roman"/>
          <w:b w:val="0"/>
          <w:bCs/>
          <w:sz w:val="24"/>
          <w:szCs w:val="24"/>
          <w:lang w:eastAsia="fr-FR"/>
        </w:rPr>
        <w:t>...............................................................................................................................</w:t>
      </w:r>
      <w:r w:rsidR="00327144" w:rsidRPr="00BC3368">
        <w:rPr>
          <w:rFonts w:eastAsia="Times New Roman" w:cs="Times New Roman"/>
          <w:b w:val="0"/>
          <w:bCs/>
          <w:sz w:val="24"/>
          <w:szCs w:val="24"/>
          <w:lang w:eastAsia="fr-FR"/>
        </w:rPr>
        <w:t>.</w:t>
      </w:r>
      <w:r w:rsidR="00F63EF4">
        <w:rPr>
          <w:rFonts w:eastAsia="Times New Roman" w:cs="Times New Roman"/>
          <w:sz w:val="24"/>
          <w:szCs w:val="24"/>
          <w:lang w:eastAsia="fr-FR"/>
        </w:rPr>
        <w:t>50</w:t>
      </w:r>
    </w:p>
    <w:p w14:paraId="749B1B8D" w14:textId="736F4E3C" w:rsidR="00090B3C" w:rsidRPr="00090B3C" w:rsidRDefault="0038242E" w:rsidP="00362696">
      <w:pPr>
        <w:pStyle w:val="ChapterTitle"/>
        <w:spacing w:before="100" w:beforeAutospacing="1" w:after="100" w:afterAutospacing="1" w:line="360" w:lineRule="auto"/>
        <w:jc w:val="both"/>
        <w:rPr>
          <w:rFonts w:eastAsia="Times New Roman" w:cs="Times New Roman"/>
          <w:sz w:val="24"/>
          <w:szCs w:val="24"/>
          <w:lang w:eastAsia="fr-FR"/>
        </w:rPr>
      </w:pPr>
      <w:r>
        <w:rPr>
          <w:rFonts w:eastAsia="Times New Roman" w:cs="Times New Roman"/>
          <w:bCs/>
          <w:sz w:val="24"/>
          <w:szCs w:val="24"/>
          <w:lang w:eastAsia="fr-FR"/>
        </w:rPr>
        <w:t>Chapitre 03 : Étude empirique</w:t>
      </w:r>
      <w:r w:rsidR="00090B3C" w:rsidRPr="00090B3C">
        <w:rPr>
          <w:rFonts w:eastAsia="Times New Roman" w:cs="Times New Roman"/>
          <w:bCs/>
          <w:sz w:val="24"/>
          <w:szCs w:val="24"/>
          <w:lang w:eastAsia="fr-FR"/>
        </w:rPr>
        <w:t xml:space="preserve"> : SIH et Financement Hospitalier à l’EPH Bouzidi Lakhdar et à la CNAS</w:t>
      </w:r>
      <w:r w:rsidR="00090B3C" w:rsidRPr="00BC3368">
        <w:rPr>
          <w:rFonts w:eastAsia="Times New Roman" w:cs="Times New Roman"/>
          <w:b w:val="0"/>
          <w:bCs/>
          <w:sz w:val="24"/>
          <w:szCs w:val="24"/>
          <w:lang w:eastAsia="fr-FR"/>
        </w:rPr>
        <w:t>.................................................................................</w:t>
      </w:r>
      <w:r w:rsidRPr="00BC3368">
        <w:rPr>
          <w:rFonts w:eastAsia="Times New Roman" w:cs="Times New Roman"/>
          <w:b w:val="0"/>
          <w:bCs/>
          <w:sz w:val="24"/>
          <w:szCs w:val="24"/>
          <w:lang w:eastAsia="fr-FR"/>
        </w:rPr>
        <w:t>............................</w:t>
      </w:r>
      <w:r w:rsidR="00F63EF4">
        <w:rPr>
          <w:rFonts w:eastAsia="Times New Roman" w:cs="Times New Roman"/>
          <w:sz w:val="24"/>
          <w:szCs w:val="24"/>
          <w:lang w:eastAsia="fr-FR"/>
        </w:rPr>
        <w:t>64</w:t>
      </w:r>
      <w:r w:rsidR="00090B3C" w:rsidRPr="00090B3C">
        <w:rPr>
          <w:rFonts w:eastAsia="Times New Roman" w:cs="Times New Roman"/>
          <w:sz w:val="24"/>
          <w:szCs w:val="24"/>
          <w:lang w:eastAsia="fr-FR"/>
        </w:rPr>
        <w:br/>
        <w:t>Section 01 : Compte rendu de stage et a</w:t>
      </w:r>
      <w:r w:rsidR="00090B3C">
        <w:rPr>
          <w:rFonts w:eastAsia="Times New Roman" w:cs="Times New Roman"/>
          <w:sz w:val="24"/>
          <w:szCs w:val="24"/>
          <w:lang w:eastAsia="fr-FR"/>
        </w:rPr>
        <w:t>nalyse du fonctionnement actuel</w:t>
      </w:r>
      <w:r w:rsidR="00090B3C" w:rsidRPr="00BC3368">
        <w:rPr>
          <w:rFonts w:eastAsia="Times New Roman" w:cs="Times New Roman"/>
          <w:b w:val="0"/>
          <w:bCs/>
          <w:sz w:val="24"/>
          <w:szCs w:val="24"/>
          <w:lang w:eastAsia="fr-FR"/>
        </w:rPr>
        <w:t>....................</w:t>
      </w:r>
      <w:r w:rsidR="004C19B1" w:rsidRPr="00BC3368">
        <w:rPr>
          <w:rFonts w:eastAsia="Times New Roman" w:cs="Times New Roman"/>
          <w:b w:val="0"/>
          <w:bCs/>
          <w:sz w:val="24"/>
          <w:szCs w:val="24"/>
          <w:lang w:eastAsia="fr-FR"/>
        </w:rPr>
        <w:t>..</w:t>
      </w:r>
      <w:r w:rsidR="00C846B7" w:rsidRPr="00BC3368">
        <w:rPr>
          <w:rFonts w:eastAsia="Times New Roman" w:cs="Times New Roman"/>
          <w:b w:val="0"/>
          <w:bCs/>
          <w:sz w:val="24"/>
          <w:szCs w:val="24"/>
          <w:lang w:eastAsia="fr-FR"/>
        </w:rPr>
        <w:t>...</w:t>
      </w:r>
      <w:r w:rsidR="004C19B1" w:rsidRPr="00BC3368">
        <w:rPr>
          <w:rFonts w:eastAsia="Times New Roman" w:cs="Times New Roman"/>
          <w:b w:val="0"/>
          <w:bCs/>
          <w:sz w:val="24"/>
          <w:szCs w:val="24"/>
          <w:lang w:eastAsia="fr-FR"/>
        </w:rPr>
        <w:t>..</w:t>
      </w:r>
      <w:r w:rsidR="00F63EF4">
        <w:rPr>
          <w:rFonts w:eastAsia="Times New Roman" w:cs="Times New Roman"/>
          <w:sz w:val="24"/>
          <w:szCs w:val="24"/>
          <w:lang w:eastAsia="fr-FR"/>
        </w:rPr>
        <w:t>67</w:t>
      </w:r>
      <w:r w:rsidR="00090B3C" w:rsidRPr="00090B3C">
        <w:rPr>
          <w:rFonts w:eastAsia="Times New Roman" w:cs="Times New Roman"/>
          <w:sz w:val="24"/>
          <w:szCs w:val="24"/>
          <w:lang w:eastAsia="fr-FR"/>
        </w:rPr>
        <w:br/>
        <w:t>Section 02 : Étude de fais</w:t>
      </w:r>
      <w:r w:rsidR="00090B3C">
        <w:rPr>
          <w:rFonts w:eastAsia="Times New Roman" w:cs="Times New Roman"/>
          <w:sz w:val="24"/>
          <w:szCs w:val="24"/>
          <w:lang w:eastAsia="fr-FR"/>
        </w:rPr>
        <w:t>abilité du modèle mixte proposé</w:t>
      </w:r>
      <w:r w:rsidR="00090B3C" w:rsidRPr="00BC3368">
        <w:rPr>
          <w:rFonts w:eastAsia="Times New Roman" w:cs="Times New Roman"/>
          <w:b w:val="0"/>
          <w:bCs/>
          <w:sz w:val="24"/>
          <w:szCs w:val="24"/>
          <w:lang w:eastAsia="fr-FR"/>
        </w:rPr>
        <w:t>....................................</w:t>
      </w:r>
      <w:r w:rsidR="004C19B1" w:rsidRPr="00BC3368">
        <w:rPr>
          <w:rFonts w:eastAsia="Times New Roman" w:cs="Times New Roman"/>
          <w:b w:val="0"/>
          <w:bCs/>
          <w:sz w:val="24"/>
          <w:szCs w:val="24"/>
          <w:lang w:eastAsia="fr-FR"/>
        </w:rPr>
        <w:t>........</w:t>
      </w:r>
      <w:r w:rsidR="00C846B7" w:rsidRPr="00BC3368">
        <w:rPr>
          <w:rFonts w:eastAsia="Times New Roman" w:cs="Times New Roman"/>
          <w:b w:val="0"/>
          <w:bCs/>
          <w:sz w:val="24"/>
          <w:szCs w:val="24"/>
          <w:lang w:eastAsia="fr-FR"/>
        </w:rPr>
        <w:t>....</w:t>
      </w:r>
      <w:r w:rsidR="008101C7" w:rsidRPr="00BC3368">
        <w:rPr>
          <w:rFonts w:eastAsia="Times New Roman" w:cs="Times New Roman"/>
          <w:b w:val="0"/>
          <w:bCs/>
          <w:sz w:val="24"/>
          <w:szCs w:val="24"/>
          <w:lang w:eastAsia="fr-FR"/>
        </w:rPr>
        <w:t>..</w:t>
      </w:r>
      <w:r w:rsidR="00F63EF4">
        <w:rPr>
          <w:rFonts w:eastAsia="Times New Roman" w:cs="Times New Roman"/>
          <w:sz w:val="24"/>
          <w:szCs w:val="24"/>
          <w:lang w:eastAsia="fr-FR"/>
        </w:rPr>
        <w:t>122</w:t>
      </w:r>
      <w:r w:rsidR="00090B3C" w:rsidRPr="00090B3C">
        <w:rPr>
          <w:rFonts w:eastAsia="Times New Roman" w:cs="Times New Roman"/>
          <w:sz w:val="24"/>
          <w:szCs w:val="24"/>
          <w:lang w:eastAsia="fr-FR"/>
        </w:rPr>
        <w:br/>
        <w:t>Conclusion de l’étude</w:t>
      </w:r>
      <w:r w:rsidR="00090B3C">
        <w:rPr>
          <w:rFonts w:eastAsia="Times New Roman" w:cs="Times New Roman"/>
          <w:sz w:val="24"/>
          <w:szCs w:val="24"/>
          <w:lang w:eastAsia="fr-FR"/>
        </w:rPr>
        <w:t xml:space="preserve"> de cas</w:t>
      </w:r>
      <w:r w:rsidR="00090B3C" w:rsidRPr="00BC3368">
        <w:rPr>
          <w:rFonts w:eastAsia="Times New Roman" w:cs="Times New Roman"/>
          <w:b w:val="0"/>
          <w:bCs/>
          <w:sz w:val="24"/>
          <w:szCs w:val="24"/>
          <w:lang w:eastAsia="fr-FR"/>
        </w:rPr>
        <w:t>.................................................................................................</w:t>
      </w:r>
      <w:r w:rsidR="00872E80">
        <w:rPr>
          <w:rFonts w:eastAsia="Times New Roman" w:cs="Times New Roman"/>
          <w:sz w:val="24"/>
          <w:szCs w:val="24"/>
          <w:lang w:eastAsia="fr-FR"/>
        </w:rPr>
        <w:t>131</w:t>
      </w:r>
    </w:p>
    <w:p w14:paraId="7D7CECE6" w14:textId="34E0EAF5" w:rsidR="00090B3C" w:rsidRPr="00090B3C" w:rsidRDefault="00090B3C" w:rsidP="00362696">
      <w:pPr>
        <w:spacing w:before="100" w:beforeAutospacing="1" w:after="100" w:afterAutospacing="1"/>
        <w:jc w:val="both"/>
        <w:rPr>
          <w:rFonts w:eastAsia="Times New Roman" w:cs="Times New Roman"/>
          <w:szCs w:val="24"/>
          <w:lang w:eastAsia="fr-FR"/>
        </w:rPr>
      </w:pPr>
      <w:r w:rsidRPr="00090B3C">
        <w:rPr>
          <w:rFonts w:eastAsia="Times New Roman" w:cs="Times New Roman"/>
          <w:b/>
          <w:bCs/>
          <w:szCs w:val="24"/>
          <w:lang w:eastAsia="fr-FR"/>
        </w:rPr>
        <w:t>Conclusion Générale</w:t>
      </w:r>
      <w:r w:rsidRPr="00090B3C">
        <w:rPr>
          <w:rFonts w:eastAsia="Times New Roman" w:cs="Times New Roman"/>
          <w:szCs w:val="24"/>
          <w:lang w:eastAsia="fr-FR"/>
        </w:rPr>
        <w:t>.............................................................................................................</w:t>
      </w:r>
      <w:r w:rsidR="00A67CC0" w:rsidRPr="000E727B">
        <w:rPr>
          <w:rFonts w:eastAsia="Times New Roman" w:cs="Times New Roman"/>
          <w:b/>
          <w:bCs/>
          <w:szCs w:val="24"/>
          <w:lang w:eastAsia="fr-FR"/>
        </w:rPr>
        <w:t>13</w:t>
      </w:r>
      <w:r w:rsidR="00627DFF" w:rsidRPr="000E727B">
        <w:rPr>
          <w:rFonts w:eastAsia="Times New Roman" w:cs="Times New Roman"/>
          <w:b/>
          <w:bCs/>
          <w:szCs w:val="24"/>
          <w:lang w:eastAsia="fr-FR"/>
        </w:rPr>
        <w:t>3</w:t>
      </w:r>
    </w:p>
    <w:p w14:paraId="3C993D59" w14:textId="77777777" w:rsidR="00C102E7" w:rsidRPr="00C102E7" w:rsidRDefault="00C102E7" w:rsidP="00232E3E">
      <w:pPr>
        <w:jc w:val="both"/>
        <w:rPr>
          <w:rFonts w:asciiTheme="majorBidi" w:hAnsiTheme="majorBidi" w:cstheme="majorBidi"/>
          <w:szCs w:val="24"/>
        </w:rPr>
      </w:pPr>
    </w:p>
    <w:p w14:paraId="5DD35AAB" w14:textId="77777777" w:rsidR="00C102E7" w:rsidRPr="00C102E7" w:rsidRDefault="00C102E7" w:rsidP="00232E3E">
      <w:pPr>
        <w:jc w:val="both"/>
        <w:rPr>
          <w:rFonts w:asciiTheme="majorBidi" w:hAnsiTheme="majorBidi" w:cstheme="majorBidi"/>
          <w:szCs w:val="24"/>
        </w:rPr>
      </w:pPr>
    </w:p>
    <w:p w14:paraId="104A3C13" w14:textId="77777777" w:rsidR="00C102E7" w:rsidRPr="00C102E7" w:rsidRDefault="00C102E7" w:rsidP="00232E3E">
      <w:pPr>
        <w:jc w:val="both"/>
        <w:rPr>
          <w:rFonts w:asciiTheme="majorBidi" w:hAnsiTheme="majorBidi" w:cstheme="majorBidi"/>
          <w:szCs w:val="24"/>
        </w:rPr>
      </w:pPr>
    </w:p>
    <w:p w14:paraId="0AEF523D" w14:textId="77777777" w:rsidR="00C102E7" w:rsidRPr="00C102E7" w:rsidRDefault="00C102E7" w:rsidP="00232E3E">
      <w:pPr>
        <w:jc w:val="both"/>
        <w:rPr>
          <w:rFonts w:asciiTheme="majorBidi" w:hAnsiTheme="majorBidi" w:cstheme="majorBidi"/>
          <w:szCs w:val="24"/>
        </w:rPr>
      </w:pPr>
    </w:p>
    <w:p w14:paraId="4A52F8AB" w14:textId="77777777" w:rsidR="00C102E7" w:rsidRPr="00727436" w:rsidRDefault="00C102E7" w:rsidP="0077376F">
      <w:pPr>
        <w:pStyle w:val="Titre1"/>
        <w:rPr>
          <w:rStyle w:val="lev"/>
        </w:rPr>
      </w:pPr>
      <w:bookmarkStart w:id="4" w:name="_Toc199958796"/>
      <w:r w:rsidRPr="00727436">
        <w:rPr>
          <w:rStyle w:val="lev"/>
        </w:rPr>
        <w:lastRenderedPageBreak/>
        <w:t>Liste des figures</w:t>
      </w:r>
      <w:bookmarkEnd w:id="4"/>
    </w:p>
    <w:p w14:paraId="794B95C3" w14:textId="115CC5C9" w:rsidR="00512E0A" w:rsidRDefault="00512E0A">
      <w:pPr>
        <w:pStyle w:val="Tabledesillustrations"/>
        <w:tabs>
          <w:tab w:val="right" w:leader="dot" w:pos="9062"/>
        </w:tabs>
        <w:rPr>
          <w:noProof/>
        </w:rPr>
      </w:pPr>
      <w:r>
        <w:fldChar w:fldCharType="begin"/>
      </w:r>
      <w:r>
        <w:instrText xml:space="preserve"> TOC \h \z \c "Figure" </w:instrText>
      </w:r>
      <w:r>
        <w:fldChar w:fldCharType="separate"/>
      </w:r>
      <w:hyperlink w:anchor="_Toc200210068" w:history="1">
        <w:r w:rsidRPr="00BE5758">
          <w:rPr>
            <w:rStyle w:val="Lienhypertexte"/>
            <w:noProof/>
          </w:rPr>
          <w:t>Figure 1 : Le système d’information selon la vision de Lucas</w:t>
        </w:r>
        <w:r>
          <w:rPr>
            <w:noProof/>
            <w:webHidden/>
          </w:rPr>
          <w:tab/>
        </w:r>
        <w:r>
          <w:rPr>
            <w:noProof/>
            <w:webHidden/>
          </w:rPr>
          <w:fldChar w:fldCharType="begin"/>
        </w:r>
        <w:r>
          <w:rPr>
            <w:noProof/>
            <w:webHidden/>
          </w:rPr>
          <w:instrText xml:space="preserve"> PAGEREF _Toc200210068 \h </w:instrText>
        </w:r>
        <w:r>
          <w:rPr>
            <w:noProof/>
            <w:webHidden/>
          </w:rPr>
        </w:r>
        <w:r>
          <w:rPr>
            <w:noProof/>
            <w:webHidden/>
          </w:rPr>
          <w:fldChar w:fldCharType="separate"/>
        </w:r>
        <w:r>
          <w:rPr>
            <w:noProof/>
            <w:webHidden/>
          </w:rPr>
          <w:t>4</w:t>
        </w:r>
        <w:r>
          <w:rPr>
            <w:noProof/>
            <w:webHidden/>
          </w:rPr>
          <w:fldChar w:fldCharType="end"/>
        </w:r>
      </w:hyperlink>
    </w:p>
    <w:p w14:paraId="63BD60B5" w14:textId="7035C464" w:rsidR="00512E0A" w:rsidRDefault="0095621A">
      <w:pPr>
        <w:pStyle w:val="Tabledesillustrations"/>
        <w:tabs>
          <w:tab w:val="right" w:leader="dot" w:pos="9062"/>
        </w:tabs>
        <w:rPr>
          <w:noProof/>
        </w:rPr>
      </w:pPr>
      <w:hyperlink w:anchor="_Toc200210069" w:history="1">
        <w:r w:rsidR="00512E0A" w:rsidRPr="00BE5758">
          <w:rPr>
            <w:rStyle w:val="Lienhypertexte"/>
            <w:noProof/>
          </w:rPr>
          <w:t>Figure 2: Les composantes d’un système d’information</w:t>
        </w:r>
        <w:r w:rsidR="00512E0A">
          <w:rPr>
            <w:noProof/>
            <w:webHidden/>
          </w:rPr>
          <w:tab/>
        </w:r>
        <w:r w:rsidR="00512E0A">
          <w:rPr>
            <w:noProof/>
            <w:webHidden/>
          </w:rPr>
          <w:fldChar w:fldCharType="begin"/>
        </w:r>
        <w:r w:rsidR="00512E0A">
          <w:rPr>
            <w:noProof/>
            <w:webHidden/>
          </w:rPr>
          <w:instrText xml:space="preserve"> PAGEREF _Toc200210069 \h </w:instrText>
        </w:r>
        <w:r w:rsidR="00512E0A">
          <w:rPr>
            <w:noProof/>
            <w:webHidden/>
          </w:rPr>
        </w:r>
        <w:r w:rsidR="00512E0A">
          <w:rPr>
            <w:noProof/>
            <w:webHidden/>
          </w:rPr>
          <w:fldChar w:fldCharType="separate"/>
        </w:r>
        <w:r w:rsidR="00512E0A">
          <w:rPr>
            <w:noProof/>
            <w:webHidden/>
          </w:rPr>
          <w:t>7</w:t>
        </w:r>
        <w:r w:rsidR="00512E0A">
          <w:rPr>
            <w:noProof/>
            <w:webHidden/>
          </w:rPr>
          <w:fldChar w:fldCharType="end"/>
        </w:r>
      </w:hyperlink>
    </w:p>
    <w:p w14:paraId="7333FE28" w14:textId="21C178A0" w:rsidR="00512E0A" w:rsidRDefault="0095621A">
      <w:pPr>
        <w:pStyle w:val="Tabledesillustrations"/>
        <w:tabs>
          <w:tab w:val="right" w:leader="dot" w:pos="9062"/>
        </w:tabs>
        <w:rPr>
          <w:noProof/>
        </w:rPr>
      </w:pPr>
      <w:hyperlink w:anchor="_Toc200210070" w:history="1">
        <w:r w:rsidR="00512E0A" w:rsidRPr="00BE5758">
          <w:rPr>
            <w:rStyle w:val="Lienhypertexte"/>
            <w:noProof/>
          </w:rPr>
          <w:t>Figure 3 : Les composantes d’un système d’information hospitalier (SIH)</w:t>
        </w:r>
        <w:r w:rsidR="00512E0A">
          <w:rPr>
            <w:noProof/>
            <w:webHidden/>
          </w:rPr>
          <w:tab/>
        </w:r>
        <w:r w:rsidR="00512E0A">
          <w:rPr>
            <w:noProof/>
            <w:webHidden/>
          </w:rPr>
          <w:fldChar w:fldCharType="begin"/>
        </w:r>
        <w:r w:rsidR="00512E0A">
          <w:rPr>
            <w:noProof/>
            <w:webHidden/>
          </w:rPr>
          <w:instrText xml:space="preserve"> PAGEREF _Toc200210070 \h </w:instrText>
        </w:r>
        <w:r w:rsidR="00512E0A">
          <w:rPr>
            <w:noProof/>
            <w:webHidden/>
          </w:rPr>
        </w:r>
        <w:r w:rsidR="00512E0A">
          <w:rPr>
            <w:noProof/>
            <w:webHidden/>
          </w:rPr>
          <w:fldChar w:fldCharType="separate"/>
        </w:r>
        <w:r w:rsidR="00512E0A">
          <w:rPr>
            <w:noProof/>
            <w:webHidden/>
          </w:rPr>
          <w:t>12</w:t>
        </w:r>
        <w:r w:rsidR="00512E0A">
          <w:rPr>
            <w:noProof/>
            <w:webHidden/>
          </w:rPr>
          <w:fldChar w:fldCharType="end"/>
        </w:r>
      </w:hyperlink>
    </w:p>
    <w:p w14:paraId="2CAA2EC8" w14:textId="47A6D67D" w:rsidR="00512E0A" w:rsidRDefault="0095621A">
      <w:pPr>
        <w:pStyle w:val="Tabledesillustrations"/>
        <w:tabs>
          <w:tab w:val="right" w:leader="dot" w:pos="9062"/>
        </w:tabs>
        <w:rPr>
          <w:noProof/>
        </w:rPr>
      </w:pPr>
      <w:hyperlink w:anchor="_Toc200210071" w:history="1">
        <w:r w:rsidR="00512E0A" w:rsidRPr="00BE5758">
          <w:rPr>
            <w:rStyle w:val="Lienhypertexte"/>
            <w:noProof/>
          </w:rPr>
          <w:t>Figure 4: Les sources de financement des établissements publics de santé</w:t>
        </w:r>
        <w:r w:rsidR="00512E0A">
          <w:rPr>
            <w:noProof/>
            <w:webHidden/>
          </w:rPr>
          <w:tab/>
        </w:r>
        <w:r w:rsidR="00512E0A">
          <w:rPr>
            <w:noProof/>
            <w:webHidden/>
          </w:rPr>
          <w:fldChar w:fldCharType="begin"/>
        </w:r>
        <w:r w:rsidR="00512E0A">
          <w:rPr>
            <w:noProof/>
            <w:webHidden/>
          </w:rPr>
          <w:instrText xml:space="preserve"> PAGEREF _Toc200210071 \h </w:instrText>
        </w:r>
        <w:r w:rsidR="00512E0A">
          <w:rPr>
            <w:noProof/>
            <w:webHidden/>
          </w:rPr>
        </w:r>
        <w:r w:rsidR="00512E0A">
          <w:rPr>
            <w:noProof/>
            <w:webHidden/>
          </w:rPr>
          <w:fldChar w:fldCharType="separate"/>
        </w:r>
        <w:r w:rsidR="00512E0A">
          <w:rPr>
            <w:noProof/>
            <w:webHidden/>
          </w:rPr>
          <w:t>46</w:t>
        </w:r>
        <w:r w:rsidR="00512E0A">
          <w:rPr>
            <w:noProof/>
            <w:webHidden/>
          </w:rPr>
          <w:fldChar w:fldCharType="end"/>
        </w:r>
      </w:hyperlink>
    </w:p>
    <w:p w14:paraId="17D17804" w14:textId="3CFA37D0" w:rsidR="00512E0A" w:rsidRDefault="0095621A">
      <w:pPr>
        <w:pStyle w:val="Tabledesillustrations"/>
        <w:tabs>
          <w:tab w:val="right" w:leader="dot" w:pos="9062"/>
        </w:tabs>
        <w:rPr>
          <w:noProof/>
        </w:rPr>
      </w:pPr>
      <w:hyperlink w:anchor="_Toc200210072" w:history="1">
        <w:r w:rsidR="00512E0A" w:rsidRPr="00BE5758">
          <w:rPr>
            <w:rStyle w:val="Lienhypertexte"/>
            <w:noProof/>
          </w:rPr>
          <w:t>Figure 5: Organigramme de l’établissement public hospitalier (EPH Bouzidi Lakhdar)</w:t>
        </w:r>
        <w:r w:rsidR="00512E0A">
          <w:rPr>
            <w:noProof/>
            <w:webHidden/>
          </w:rPr>
          <w:tab/>
        </w:r>
        <w:r w:rsidR="00512E0A">
          <w:rPr>
            <w:noProof/>
            <w:webHidden/>
          </w:rPr>
          <w:fldChar w:fldCharType="begin"/>
        </w:r>
        <w:r w:rsidR="00512E0A">
          <w:rPr>
            <w:noProof/>
            <w:webHidden/>
          </w:rPr>
          <w:instrText xml:space="preserve"> PAGEREF _Toc200210072 \h </w:instrText>
        </w:r>
        <w:r w:rsidR="00512E0A">
          <w:rPr>
            <w:noProof/>
            <w:webHidden/>
          </w:rPr>
        </w:r>
        <w:r w:rsidR="00512E0A">
          <w:rPr>
            <w:noProof/>
            <w:webHidden/>
          </w:rPr>
          <w:fldChar w:fldCharType="separate"/>
        </w:r>
        <w:r w:rsidR="00512E0A">
          <w:rPr>
            <w:noProof/>
            <w:webHidden/>
          </w:rPr>
          <w:t>67</w:t>
        </w:r>
        <w:r w:rsidR="00512E0A">
          <w:rPr>
            <w:noProof/>
            <w:webHidden/>
          </w:rPr>
          <w:fldChar w:fldCharType="end"/>
        </w:r>
      </w:hyperlink>
    </w:p>
    <w:p w14:paraId="59F5DE42" w14:textId="2444BF7C" w:rsidR="00512E0A" w:rsidRDefault="0095621A">
      <w:pPr>
        <w:pStyle w:val="Tabledesillustrations"/>
        <w:tabs>
          <w:tab w:val="right" w:leader="dot" w:pos="9062"/>
        </w:tabs>
        <w:rPr>
          <w:noProof/>
        </w:rPr>
      </w:pPr>
      <w:hyperlink w:anchor="_Toc200210073" w:history="1">
        <w:r w:rsidR="00512E0A" w:rsidRPr="00BE5758">
          <w:rPr>
            <w:rStyle w:val="Lienhypertexte"/>
            <w:noProof/>
          </w:rPr>
          <w:t>Figure 6 : Organigramme de la Direction Générale de la CNAS</w:t>
        </w:r>
        <w:r w:rsidR="00512E0A">
          <w:rPr>
            <w:noProof/>
            <w:webHidden/>
          </w:rPr>
          <w:tab/>
        </w:r>
        <w:r w:rsidR="00512E0A">
          <w:rPr>
            <w:noProof/>
            <w:webHidden/>
          </w:rPr>
          <w:fldChar w:fldCharType="begin"/>
        </w:r>
        <w:r w:rsidR="00512E0A">
          <w:rPr>
            <w:noProof/>
            <w:webHidden/>
          </w:rPr>
          <w:instrText xml:space="preserve"> PAGEREF _Toc200210073 \h </w:instrText>
        </w:r>
        <w:r w:rsidR="00512E0A">
          <w:rPr>
            <w:noProof/>
            <w:webHidden/>
          </w:rPr>
        </w:r>
        <w:r w:rsidR="00512E0A">
          <w:rPr>
            <w:noProof/>
            <w:webHidden/>
          </w:rPr>
          <w:fldChar w:fldCharType="separate"/>
        </w:r>
        <w:r w:rsidR="00512E0A">
          <w:rPr>
            <w:noProof/>
            <w:webHidden/>
          </w:rPr>
          <w:t>70</w:t>
        </w:r>
        <w:r w:rsidR="00512E0A">
          <w:rPr>
            <w:noProof/>
            <w:webHidden/>
          </w:rPr>
          <w:fldChar w:fldCharType="end"/>
        </w:r>
      </w:hyperlink>
    </w:p>
    <w:p w14:paraId="485C7BA5" w14:textId="578115F6" w:rsidR="00512E0A" w:rsidRDefault="0095621A">
      <w:pPr>
        <w:pStyle w:val="Tabledesillustrations"/>
        <w:tabs>
          <w:tab w:val="right" w:leader="dot" w:pos="9062"/>
        </w:tabs>
        <w:rPr>
          <w:noProof/>
        </w:rPr>
      </w:pPr>
      <w:hyperlink w:anchor="_Toc200210074" w:history="1">
        <w:r w:rsidR="00512E0A" w:rsidRPr="00BE5758">
          <w:rPr>
            <w:rStyle w:val="Lienhypertexte"/>
            <w:noProof/>
          </w:rPr>
          <w:t>Figure 7: Services/départements représentés</w:t>
        </w:r>
        <w:r w:rsidR="00512E0A">
          <w:rPr>
            <w:noProof/>
            <w:webHidden/>
          </w:rPr>
          <w:tab/>
        </w:r>
        <w:r w:rsidR="00512E0A">
          <w:rPr>
            <w:noProof/>
            <w:webHidden/>
          </w:rPr>
          <w:fldChar w:fldCharType="begin"/>
        </w:r>
        <w:r w:rsidR="00512E0A">
          <w:rPr>
            <w:noProof/>
            <w:webHidden/>
          </w:rPr>
          <w:instrText xml:space="preserve"> PAGEREF _Toc200210074 \h </w:instrText>
        </w:r>
        <w:r w:rsidR="00512E0A">
          <w:rPr>
            <w:noProof/>
            <w:webHidden/>
          </w:rPr>
        </w:r>
        <w:r w:rsidR="00512E0A">
          <w:rPr>
            <w:noProof/>
            <w:webHidden/>
          </w:rPr>
          <w:fldChar w:fldCharType="separate"/>
        </w:r>
        <w:r w:rsidR="00512E0A">
          <w:rPr>
            <w:noProof/>
            <w:webHidden/>
          </w:rPr>
          <w:t>83</w:t>
        </w:r>
        <w:r w:rsidR="00512E0A">
          <w:rPr>
            <w:noProof/>
            <w:webHidden/>
          </w:rPr>
          <w:fldChar w:fldCharType="end"/>
        </w:r>
      </w:hyperlink>
    </w:p>
    <w:p w14:paraId="1F003179" w14:textId="0A596D39" w:rsidR="00512E0A" w:rsidRDefault="0095621A">
      <w:pPr>
        <w:pStyle w:val="Tabledesillustrations"/>
        <w:tabs>
          <w:tab w:val="right" w:leader="dot" w:pos="9062"/>
        </w:tabs>
        <w:rPr>
          <w:noProof/>
        </w:rPr>
      </w:pPr>
      <w:hyperlink w:anchor="_Toc200210075" w:history="1">
        <w:r w:rsidR="00512E0A" w:rsidRPr="00BE5758">
          <w:rPr>
            <w:rStyle w:val="Lienhypertexte"/>
            <w:noProof/>
          </w:rPr>
          <w:t>Figure 8: Répartition régionale des répondants</w:t>
        </w:r>
        <w:r w:rsidR="00512E0A">
          <w:rPr>
            <w:noProof/>
            <w:webHidden/>
          </w:rPr>
          <w:tab/>
        </w:r>
        <w:r w:rsidR="00512E0A">
          <w:rPr>
            <w:noProof/>
            <w:webHidden/>
          </w:rPr>
          <w:fldChar w:fldCharType="begin"/>
        </w:r>
        <w:r w:rsidR="00512E0A">
          <w:rPr>
            <w:noProof/>
            <w:webHidden/>
          </w:rPr>
          <w:instrText xml:space="preserve"> PAGEREF _Toc200210075 \h </w:instrText>
        </w:r>
        <w:r w:rsidR="00512E0A">
          <w:rPr>
            <w:noProof/>
            <w:webHidden/>
          </w:rPr>
        </w:r>
        <w:r w:rsidR="00512E0A">
          <w:rPr>
            <w:noProof/>
            <w:webHidden/>
          </w:rPr>
          <w:fldChar w:fldCharType="separate"/>
        </w:r>
        <w:r w:rsidR="00512E0A">
          <w:rPr>
            <w:noProof/>
            <w:webHidden/>
          </w:rPr>
          <w:t>84</w:t>
        </w:r>
        <w:r w:rsidR="00512E0A">
          <w:rPr>
            <w:noProof/>
            <w:webHidden/>
          </w:rPr>
          <w:fldChar w:fldCharType="end"/>
        </w:r>
      </w:hyperlink>
    </w:p>
    <w:p w14:paraId="6576C233" w14:textId="0F649222" w:rsidR="00512E0A" w:rsidRDefault="0095621A">
      <w:pPr>
        <w:pStyle w:val="Tabledesillustrations"/>
        <w:tabs>
          <w:tab w:val="right" w:leader="dot" w:pos="9062"/>
        </w:tabs>
        <w:rPr>
          <w:noProof/>
        </w:rPr>
      </w:pPr>
      <w:hyperlink w:anchor="_Toc200210076" w:history="1">
        <w:r w:rsidR="00512E0A" w:rsidRPr="00BE5758">
          <w:rPr>
            <w:rStyle w:val="Lienhypertexte"/>
            <w:noProof/>
          </w:rPr>
          <w:t>Figure 9: Perception du fonctionnement du budget global</w:t>
        </w:r>
        <w:r w:rsidR="00512E0A">
          <w:rPr>
            <w:noProof/>
            <w:webHidden/>
          </w:rPr>
          <w:tab/>
        </w:r>
        <w:r w:rsidR="00512E0A">
          <w:rPr>
            <w:noProof/>
            <w:webHidden/>
          </w:rPr>
          <w:fldChar w:fldCharType="begin"/>
        </w:r>
        <w:r w:rsidR="00512E0A">
          <w:rPr>
            <w:noProof/>
            <w:webHidden/>
          </w:rPr>
          <w:instrText xml:space="preserve"> PAGEREF _Toc200210076 \h </w:instrText>
        </w:r>
        <w:r w:rsidR="00512E0A">
          <w:rPr>
            <w:noProof/>
            <w:webHidden/>
          </w:rPr>
        </w:r>
        <w:r w:rsidR="00512E0A">
          <w:rPr>
            <w:noProof/>
            <w:webHidden/>
          </w:rPr>
          <w:fldChar w:fldCharType="separate"/>
        </w:r>
        <w:r w:rsidR="00512E0A">
          <w:rPr>
            <w:noProof/>
            <w:webHidden/>
          </w:rPr>
          <w:t>85</w:t>
        </w:r>
        <w:r w:rsidR="00512E0A">
          <w:rPr>
            <w:noProof/>
            <w:webHidden/>
          </w:rPr>
          <w:fldChar w:fldCharType="end"/>
        </w:r>
      </w:hyperlink>
    </w:p>
    <w:p w14:paraId="1805172A" w14:textId="57F63E27" w:rsidR="00512E0A" w:rsidRDefault="0095621A">
      <w:pPr>
        <w:pStyle w:val="Tabledesillustrations"/>
        <w:tabs>
          <w:tab w:val="right" w:leader="dot" w:pos="9062"/>
        </w:tabs>
        <w:rPr>
          <w:noProof/>
        </w:rPr>
      </w:pPr>
      <w:hyperlink w:anchor="_Toc200210077" w:history="1">
        <w:r w:rsidR="00512E0A" w:rsidRPr="00BE5758">
          <w:rPr>
            <w:rStyle w:val="Lienhypertexte"/>
            <w:noProof/>
          </w:rPr>
          <w:t>Figure 10: Perceptions sur les effets du système actuel de financement</w:t>
        </w:r>
        <w:r w:rsidR="00512E0A">
          <w:rPr>
            <w:noProof/>
            <w:webHidden/>
          </w:rPr>
          <w:tab/>
        </w:r>
        <w:r w:rsidR="00512E0A">
          <w:rPr>
            <w:noProof/>
            <w:webHidden/>
          </w:rPr>
          <w:fldChar w:fldCharType="begin"/>
        </w:r>
        <w:r w:rsidR="00512E0A">
          <w:rPr>
            <w:noProof/>
            <w:webHidden/>
          </w:rPr>
          <w:instrText xml:space="preserve"> PAGEREF _Toc200210077 \h </w:instrText>
        </w:r>
        <w:r w:rsidR="00512E0A">
          <w:rPr>
            <w:noProof/>
            <w:webHidden/>
          </w:rPr>
        </w:r>
        <w:r w:rsidR="00512E0A">
          <w:rPr>
            <w:noProof/>
            <w:webHidden/>
          </w:rPr>
          <w:fldChar w:fldCharType="separate"/>
        </w:r>
        <w:r w:rsidR="00512E0A">
          <w:rPr>
            <w:noProof/>
            <w:webHidden/>
          </w:rPr>
          <w:t>87</w:t>
        </w:r>
        <w:r w:rsidR="00512E0A">
          <w:rPr>
            <w:noProof/>
            <w:webHidden/>
          </w:rPr>
          <w:fldChar w:fldCharType="end"/>
        </w:r>
      </w:hyperlink>
    </w:p>
    <w:p w14:paraId="16566AAC" w14:textId="57715E9A" w:rsidR="00512E0A" w:rsidRDefault="0095621A">
      <w:pPr>
        <w:pStyle w:val="Tabledesillustrations"/>
        <w:tabs>
          <w:tab w:val="right" w:leader="dot" w:pos="9062"/>
        </w:tabs>
        <w:rPr>
          <w:noProof/>
        </w:rPr>
      </w:pPr>
      <w:hyperlink w:anchor="_Toc200210078" w:history="1">
        <w:r w:rsidR="00512E0A" w:rsidRPr="00BE5758">
          <w:rPr>
            <w:rStyle w:val="Lienhypertexte"/>
            <w:noProof/>
          </w:rPr>
          <w:t>Figure 11: Utilisation d’un système d’information intégré</w:t>
        </w:r>
        <w:r w:rsidR="00512E0A">
          <w:rPr>
            <w:noProof/>
            <w:webHidden/>
          </w:rPr>
          <w:tab/>
        </w:r>
        <w:r w:rsidR="00512E0A">
          <w:rPr>
            <w:noProof/>
            <w:webHidden/>
          </w:rPr>
          <w:fldChar w:fldCharType="begin"/>
        </w:r>
        <w:r w:rsidR="00512E0A">
          <w:rPr>
            <w:noProof/>
            <w:webHidden/>
          </w:rPr>
          <w:instrText xml:space="preserve"> PAGEREF _Toc200210078 \h </w:instrText>
        </w:r>
        <w:r w:rsidR="00512E0A">
          <w:rPr>
            <w:noProof/>
            <w:webHidden/>
          </w:rPr>
        </w:r>
        <w:r w:rsidR="00512E0A">
          <w:rPr>
            <w:noProof/>
            <w:webHidden/>
          </w:rPr>
          <w:fldChar w:fldCharType="separate"/>
        </w:r>
        <w:r w:rsidR="00512E0A">
          <w:rPr>
            <w:noProof/>
            <w:webHidden/>
          </w:rPr>
          <w:t>88</w:t>
        </w:r>
        <w:r w:rsidR="00512E0A">
          <w:rPr>
            <w:noProof/>
            <w:webHidden/>
          </w:rPr>
          <w:fldChar w:fldCharType="end"/>
        </w:r>
      </w:hyperlink>
    </w:p>
    <w:p w14:paraId="0C46F5BF" w14:textId="4A1688F3" w:rsidR="00512E0A" w:rsidRDefault="0095621A">
      <w:pPr>
        <w:pStyle w:val="Tabledesillustrations"/>
        <w:tabs>
          <w:tab w:val="right" w:leader="dot" w:pos="9062"/>
        </w:tabs>
        <w:rPr>
          <w:noProof/>
        </w:rPr>
      </w:pPr>
      <w:hyperlink w:anchor="_Toc200210079" w:history="1">
        <w:r w:rsidR="00512E0A" w:rsidRPr="00BE5758">
          <w:rPr>
            <w:rStyle w:val="Lienhypertexte"/>
            <w:noProof/>
          </w:rPr>
          <w:t>Figure 12: Niveau d’interconnexion entre les systèmes d’information</w:t>
        </w:r>
        <w:r w:rsidR="00512E0A">
          <w:rPr>
            <w:noProof/>
            <w:webHidden/>
          </w:rPr>
          <w:tab/>
        </w:r>
        <w:r w:rsidR="00512E0A">
          <w:rPr>
            <w:noProof/>
            <w:webHidden/>
          </w:rPr>
          <w:fldChar w:fldCharType="begin"/>
        </w:r>
        <w:r w:rsidR="00512E0A">
          <w:rPr>
            <w:noProof/>
            <w:webHidden/>
          </w:rPr>
          <w:instrText xml:space="preserve"> PAGEREF _Toc200210079 \h </w:instrText>
        </w:r>
        <w:r w:rsidR="00512E0A">
          <w:rPr>
            <w:noProof/>
            <w:webHidden/>
          </w:rPr>
        </w:r>
        <w:r w:rsidR="00512E0A">
          <w:rPr>
            <w:noProof/>
            <w:webHidden/>
          </w:rPr>
          <w:fldChar w:fldCharType="separate"/>
        </w:r>
        <w:r w:rsidR="00512E0A">
          <w:rPr>
            <w:noProof/>
            <w:webHidden/>
          </w:rPr>
          <w:t>89</w:t>
        </w:r>
        <w:r w:rsidR="00512E0A">
          <w:rPr>
            <w:noProof/>
            <w:webHidden/>
          </w:rPr>
          <w:fldChar w:fldCharType="end"/>
        </w:r>
      </w:hyperlink>
    </w:p>
    <w:p w14:paraId="194E48C7" w14:textId="10AC5DA5" w:rsidR="00512E0A" w:rsidRDefault="0095621A">
      <w:pPr>
        <w:pStyle w:val="Tabledesillustrations"/>
        <w:tabs>
          <w:tab w:val="right" w:leader="dot" w:pos="9062"/>
        </w:tabs>
        <w:rPr>
          <w:noProof/>
        </w:rPr>
      </w:pPr>
      <w:hyperlink w:anchor="_Toc200210080" w:history="1">
        <w:r w:rsidR="00512E0A" w:rsidRPr="00BE5758">
          <w:rPr>
            <w:rStyle w:val="Lienhypertexte"/>
            <w:noProof/>
          </w:rPr>
          <w:t>Figure 13: Fonctions supportées par le système d’information</w:t>
        </w:r>
        <w:r w:rsidR="00512E0A">
          <w:rPr>
            <w:noProof/>
            <w:webHidden/>
          </w:rPr>
          <w:tab/>
        </w:r>
        <w:r w:rsidR="00512E0A">
          <w:rPr>
            <w:noProof/>
            <w:webHidden/>
          </w:rPr>
          <w:fldChar w:fldCharType="begin"/>
        </w:r>
        <w:r w:rsidR="00512E0A">
          <w:rPr>
            <w:noProof/>
            <w:webHidden/>
          </w:rPr>
          <w:instrText xml:space="preserve"> PAGEREF _Toc200210080 \h </w:instrText>
        </w:r>
        <w:r w:rsidR="00512E0A">
          <w:rPr>
            <w:noProof/>
            <w:webHidden/>
          </w:rPr>
        </w:r>
        <w:r w:rsidR="00512E0A">
          <w:rPr>
            <w:noProof/>
            <w:webHidden/>
          </w:rPr>
          <w:fldChar w:fldCharType="separate"/>
        </w:r>
        <w:r w:rsidR="00512E0A">
          <w:rPr>
            <w:noProof/>
            <w:webHidden/>
          </w:rPr>
          <w:t>90</w:t>
        </w:r>
        <w:r w:rsidR="00512E0A">
          <w:rPr>
            <w:noProof/>
            <w:webHidden/>
          </w:rPr>
          <w:fldChar w:fldCharType="end"/>
        </w:r>
      </w:hyperlink>
    </w:p>
    <w:p w14:paraId="6B4AAA18" w14:textId="41D8AD6C" w:rsidR="00512E0A" w:rsidRDefault="0095621A">
      <w:pPr>
        <w:pStyle w:val="Tabledesillustrations"/>
        <w:tabs>
          <w:tab w:val="right" w:leader="dot" w:pos="9062"/>
        </w:tabs>
        <w:rPr>
          <w:noProof/>
        </w:rPr>
      </w:pPr>
      <w:hyperlink w:anchor="_Toc200210081" w:history="1">
        <w:r w:rsidR="00512E0A" w:rsidRPr="00BE5758">
          <w:rPr>
            <w:rStyle w:val="Lienhypertexte"/>
            <w:noProof/>
          </w:rPr>
          <w:t>Figure 14: Niveau de connaissance des systèmes PMSI/DRG</w:t>
        </w:r>
        <w:r w:rsidR="00512E0A">
          <w:rPr>
            <w:noProof/>
            <w:webHidden/>
          </w:rPr>
          <w:tab/>
        </w:r>
        <w:r w:rsidR="00512E0A">
          <w:rPr>
            <w:noProof/>
            <w:webHidden/>
          </w:rPr>
          <w:fldChar w:fldCharType="begin"/>
        </w:r>
        <w:r w:rsidR="00512E0A">
          <w:rPr>
            <w:noProof/>
            <w:webHidden/>
          </w:rPr>
          <w:instrText xml:space="preserve"> PAGEREF _Toc200210081 \h </w:instrText>
        </w:r>
        <w:r w:rsidR="00512E0A">
          <w:rPr>
            <w:noProof/>
            <w:webHidden/>
          </w:rPr>
        </w:r>
        <w:r w:rsidR="00512E0A">
          <w:rPr>
            <w:noProof/>
            <w:webHidden/>
          </w:rPr>
          <w:fldChar w:fldCharType="separate"/>
        </w:r>
        <w:r w:rsidR="00512E0A">
          <w:rPr>
            <w:noProof/>
            <w:webHidden/>
          </w:rPr>
          <w:t>91</w:t>
        </w:r>
        <w:r w:rsidR="00512E0A">
          <w:rPr>
            <w:noProof/>
            <w:webHidden/>
          </w:rPr>
          <w:fldChar w:fldCharType="end"/>
        </w:r>
      </w:hyperlink>
    </w:p>
    <w:p w14:paraId="2A6C5694" w14:textId="005AD522" w:rsidR="00512E0A" w:rsidRDefault="0095621A">
      <w:pPr>
        <w:pStyle w:val="Tabledesillustrations"/>
        <w:tabs>
          <w:tab w:val="right" w:leader="dot" w:pos="9062"/>
        </w:tabs>
        <w:rPr>
          <w:noProof/>
        </w:rPr>
      </w:pPr>
      <w:hyperlink w:anchor="_Toc200210082" w:history="1">
        <w:r w:rsidR="00512E0A" w:rsidRPr="00BE5758">
          <w:rPr>
            <w:rStyle w:val="Lienhypertexte"/>
            <w:noProof/>
          </w:rPr>
          <w:t>Figure 15: Adhésion à un modèle mixte (budget global + T2A)</w:t>
        </w:r>
        <w:r w:rsidR="00512E0A">
          <w:rPr>
            <w:noProof/>
            <w:webHidden/>
          </w:rPr>
          <w:tab/>
        </w:r>
        <w:r w:rsidR="00512E0A">
          <w:rPr>
            <w:noProof/>
            <w:webHidden/>
          </w:rPr>
          <w:fldChar w:fldCharType="begin"/>
        </w:r>
        <w:r w:rsidR="00512E0A">
          <w:rPr>
            <w:noProof/>
            <w:webHidden/>
          </w:rPr>
          <w:instrText xml:space="preserve"> PAGEREF _Toc200210082 \h </w:instrText>
        </w:r>
        <w:r w:rsidR="00512E0A">
          <w:rPr>
            <w:noProof/>
            <w:webHidden/>
          </w:rPr>
        </w:r>
        <w:r w:rsidR="00512E0A">
          <w:rPr>
            <w:noProof/>
            <w:webHidden/>
          </w:rPr>
          <w:fldChar w:fldCharType="separate"/>
        </w:r>
        <w:r w:rsidR="00512E0A">
          <w:rPr>
            <w:noProof/>
            <w:webHidden/>
          </w:rPr>
          <w:t>92</w:t>
        </w:r>
        <w:r w:rsidR="00512E0A">
          <w:rPr>
            <w:noProof/>
            <w:webHidden/>
          </w:rPr>
          <w:fldChar w:fldCharType="end"/>
        </w:r>
      </w:hyperlink>
    </w:p>
    <w:p w14:paraId="194228FC" w14:textId="54D66405" w:rsidR="00512E0A" w:rsidRDefault="0095621A">
      <w:pPr>
        <w:pStyle w:val="Tabledesillustrations"/>
        <w:tabs>
          <w:tab w:val="right" w:leader="dot" w:pos="9062"/>
        </w:tabs>
        <w:rPr>
          <w:noProof/>
        </w:rPr>
      </w:pPr>
      <w:hyperlink w:anchor="_Toc200210083" w:history="1">
        <w:r w:rsidR="00512E0A" w:rsidRPr="00BE5758">
          <w:rPr>
            <w:rStyle w:val="Lienhypertexte"/>
            <w:noProof/>
          </w:rPr>
          <w:t>Figure 16 :Freins perçus à la réforme du financement</w:t>
        </w:r>
        <w:r w:rsidR="00512E0A">
          <w:rPr>
            <w:noProof/>
            <w:webHidden/>
          </w:rPr>
          <w:tab/>
        </w:r>
        <w:r w:rsidR="00512E0A">
          <w:rPr>
            <w:noProof/>
            <w:webHidden/>
          </w:rPr>
          <w:fldChar w:fldCharType="begin"/>
        </w:r>
        <w:r w:rsidR="00512E0A">
          <w:rPr>
            <w:noProof/>
            <w:webHidden/>
          </w:rPr>
          <w:instrText xml:space="preserve"> PAGEREF _Toc200210083 \h </w:instrText>
        </w:r>
        <w:r w:rsidR="00512E0A">
          <w:rPr>
            <w:noProof/>
            <w:webHidden/>
          </w:rPr>
        </w:r>
        <w:r w:rsidR="00512E0A">
          <w:rPr>
            <w:noProof/>
            <w:webHidden/>
          </w:rPr>
          <w:fldChar w:fldCharType="separate"/>
        </w:r>
        <w:r w:rsidR="00512E0A">
          <w:rPr>
            <w:noProof/>
            <w:webHidden/>
          </w:rPr>
          <w:t>93</w:t>
        </w:r>
        <w:r w:rsidR="00512E0A">
          <w:rPr>
            <w:noProof/>
            <w:webHidden/>
          </w:rPr>
          <w:fldChar w:fldCharType="end"/>
        </w:r>
      </w:hyperlink>
    </w:p>
    <w:p w14:paraId="1A2B0E63" w14:textId="7290A7BD" w:rsidR="00512E0A" w:rsidRDefault="0095621A">
      <w:pPr>
        <w:pStyle w:val="Tabledesillustrations"/>
        <w:tabs>
          <w:tab w:val="right" w:leader="dot" w:pos="9062"/>
        </w:tabs>
        <w:rPr>
          <w:noProof/>
        </w:rPr>
      </w:pPr>
      <w:hyperlink w:anchor="_Toc200210084" w:history="1">
        <w:r w:rsidR="00512E0A" w:rsidRPr="00BE5758">
          <w:rPr>
            <w:rStyle w:val="Lienhypertexte"/>
            <w:noProof/>
          </w:rPr>
          <w:t>Figure 17 : Facteurs facilitant la réforme du financement</w:t>
        </w:r>
        <w:r w:rsidR="00512E0A">
          <w:rPr>
            <w:noProof/>
            <w:webHidden/>
          </w:rPr>
          <w:tab/>
        </w:r>
        <w:r w:rsidR="00512E0A">
          <w:rPr>
            <w:noProof/>
            <w:webHidden/>
          </w:rPr>
          <w:fldChar w:fldCharType="begin"/>
        </w:r>
        <w:r w:rsidR="00512E0A">
          <w:rPr>
            <w:noProof/>
            <w:webHidden/>
          </w:rPr>
          <w:instrText xml:space="preserve"> PAGEREF _Toc200210084 \h </w:instrText>
        </w:r>
        <w:r w:rsidR="00512E0A">
          <w:rPr>
            <w:noProof/>
            <w:webHidden/>
          </w:rPr>
        </w:r>
        <w:r w:rsidR="00512E0A">
          <w:rPr>
            <w:noProof/>
            <w:webHidden/>
          </w:rPr>
          <w:fldChar w:fldCharType="separate"/>
        </w:r>
        <w:r w:rsidR="00512E0A">
          <w:rPr>
            <w:noProof/>
            <w:webHidden/>
          </w:rPr>
          <w:t>93</w:t>
        </w:r>
        <w:r w:rsidR="00512E0A">
          <w:rPr>
            <w:noProof/>
            <w:webHidden/>
          </w:rPr>
          <w:fldChar w:fldCharType="end"/>
        </w:r>
      </w:hyperlink>
    </w:p>
    <w:p w14:paraId="00D3A058" w14:textId="6F4146D0" w:rsidR="00512E0A" w:rsidRDefault="0095621A">
      <w:pPr>
        <w:pStyle w:val="Tabledesillustrations"/>
        <w:tabs>
          <w:tab w:val="right" w:leader="dot" w:pos="9062"/>
        </w:tabs>
        <w:rPr>
          <w:noProof/>
        </w:rPr>
      </w:pPr>
      <w:hyperlink w:anchor="_Toc200210085" w:history="1">
        <w:r w:rsidR="00512E0A" w:rsidRPr="00BE5758">
          <w:rPr>
            <w:rStyle w:val="Lienhypertexte"/>
            <w:noProof/>
          </w:rPr>
          <w:t>Figure 18 : Attentes vis-à-vis du nouveau mode de financement</w:t>
        </w:r>
        <w:r w:rsidR="00512E0A">
          <w:rPr>
            <w:noProof/>
            <w:webHidden/>
          </w:rPr>
          <w:tab/>
        </w:r>
        <w:r w:rsidR="00512E0A">
          <w:rPr>
            <w:noProof/>
            <w:webHidden/>
          </w:rPr>
          <w:fldChar w:fldCharType="begin"/>
        </w:r>
        <w:r w:rsidR="00512E0A">
          <w:rPr>
            <w:noProof/>
            <w:webHidden/>
          </w:rPr>
          <w:instrText xml:space="preserve"> PAGEREF _Toc200210085 \h </w:instrText>
        </w:r>
        <w:r w:rsidR="00512E0A">
          <w:rPr>
            <w:noProof/>
            <w:webHidden/>
          </w:rPr>
        </w:r>
        <w:r w:rsidR="00512E0A">
          <w:rPr>
            <w:noProof/>
            <w:webHidden/>
          </w:rPr>
          <w:fldChar w:fldCharType="separate"/>
        </w:r>
        <w:r w:rsidR="00512E0A">
          <w:rPr>
            <w:noProof/>
            <w:webHidden/>
          </w:rPr>
          <w:t>95</w:t>
        </w:r>
        <w:r w:rsidR="00512E0A">
          <w:rPr>
            <w:noProof/>
            <w:webHidden/>
          </w:rPr>
          <w:fldChar w:fldCharType="end"/>
        </w:r>
      </w:hyperlink>
    </w:p>
    <w:p w14:paraId="51BB022C" w14:textId="48E85B07" w:rsidR="00512E0A" w:rsidRDefault="0095621A">
      <w:pPr>
        <w:pStyle w:val="Tabledesillustrations"/>
        <w:tabs>
          <w:tab w:val="right" w:leader="dot" w:pos="9062"/>
        </w:tabs>
        <w:rPr>
          <w:noProof/>
        </w:rPr>
      </w:pPr>
      <w:hyperlink w:anchor="_Toc200210086" w:history="1">
        <w:r w:rsidR="00512E0A" w:rsidRPr="00BE5758">
          <w:rPr>
            <w:rStyle w:val="Lienhypertexte"/>
            <w:noProof/>
          </w:rPr>
          <w:t>Figure 19: Types de suivi recommandés pour l’évaluation du système</w:t>
        </w:r>
        <w:r w:rsidR="00512E0A">
          <w:rPr>
            <w:noProof/>
            <w:webHidden/>
          </w:rPr>
          <w:tab/>
        </w:r>
        <w:r w:rsidR="00512E0A">
          <w:rPr>
            <w:noProof/>
            <w:webHidden/>
          </w:rPr>
          <w:fldChar w:fldCharType="begin"/>
        </w:r>
        <w:r w:rsidR="00512E0A">
          <w:rPr>
            <w:noProof/>
            <w:webHidden/>
          </w:rPr>
          <w:instrText xml:space="preserve"> PAGEREF _Toc200210086 \h </w:instrText>
        </w:r>
        <w:r w:rsidR="00512E0A">
          <w:rPr>
            <w:noProof/>
            <w:webHidden/>
          </w:rPr>
        </w:r>
        <w:r w:rsidR="00512E0A">
          <w:rPr>
            <w:noProof/>
            <w:webHidden/>
          </w:rPr>
          <w:fldChar w:fldCharType="separate"/>
        </w:r>
        <w:r w:rsidR="00512E0A">
          <w:rPr>
            <w:noProof/>
            <w:webHidden/>
          </w:rPr>
          <w:t>96</w:t>
        </w:r>
        <w:r w:rsidR="00512E0A">
          <w:rPr>
            <w:noProof/>
            <w:webHidden/>
          </w:rPr>
          <w:fldChar w:fldCharType="end"/>
        </w:r>
      </w:hyperlink>
    </w:p>
    <w:p w14:paraId="0E4F204A" w14:textId="2EB69918" w:rsidR="00512E0A" w:rsidRDefault="0095621A">
      <w:pPr>
        <w:pStyle w:val="Tabledesillustrations"/>
        <w:tabs>
          <w:tab w:val="right" w:leader="dot" w:pos="9062"/>
        </w:tabs>
        <w:rPr>
          <w:noProof/>
        </w:rPr>
      </w:pPr>
      <w:hyperlink w:anchor="_Toc200210087" w:history="1">
        <w:r w:rsidR="00512E0A" w:rsidRPr="00BE5758">
          <w:rPr>
            <w:rStyle w:val="Lienhypertexte"/>
            <w:noProof/>
          </w:rPr>
          <w:t>Figure 20: Répartition des répondants selon le nom de l’établissement</w:t>
        </w:r>
        <w:r w:rsidR="00512E0A">
          <w:rPr>
            <w:noProof/>
            <w:webHidden/>
          </w:rPr>
          <w:tab/>
        </w:r>
        <w:r w:rsidR="00512E0A">
          <w:rPr>
            <w:noProof/>
            <w:webHidden/>
          </w:rPr>
          <w:fldChar w:fldCharType="begin"/>
        </w:r>
        <w:r w:rsidR="00512E0A">
          <w:rPr>
            <w:noProof/>
            <w:webHidden/>
          </w:rPr>
          <w:instrText xml:space="preserve"> PAGEREF _Toc200210087 \h </w:instrText>
        </w:r>
        <w:r w:rsidR="00512E0A">
          <w:rPr>
            <w:noProof/>
            <w:webHidden/>
          </w:rPr>
        </w:r>
        <w:r w:rsidR="00512E0A">
          <w:rPr>
            <w:noProof/>
            <w:webHidden/>
          </w:rPr>
          <w:fldChar w:fldCharType="separate"/>
        </w:r>
        <w:r w:rsidR="00512E0A">
          <w:rPr>
            <w:noProof/>
            <w:webHidden/>
          </w:rPr>
          <w:t>99</w:t>
        </w:r>
        <w:r w:rsidR="00512E0A">
          <w:rPr>
            <w:noProof/>
            <w:webHidden/>
          </w:rPr>
          <w:fldChar w:fldCharType="end"/>
        </w:r>
      </w:hyperlink>
    </w:p>
    <w:p w14:paraId="0C966EB5" w14:textId="00AED4EA" w:rsidR="00512E0A" w:rsidRDefault="0095621A">
      <w:pPr>
        <w:pStyle w:val="Tabledesillustrations"/>
        <w:tabs>
          <w:tab w:val="right" w:leader="dot" w:pos="9062"/>
        </w:tabs>
        <w:rPr>
          <w:noProof/>
        </w:rPr>
      </w:pPr>
      <w:hyperlink w:anchor="_Toc200210088" w:history="1">
        <w:r w:rsidR="00512E0A" w:rsidRPr="00BE5758">
          <w:rPr>
            <w:rStyle w:val="Lienhypertexte"/>
            <w:noProof/>
          </w:rPr>
          <w:t>Figure 21: Répartition des types d’établissements</w:t>
        </w:r>
        <w:r w:rsidR="00512E0A">
          <w:rPr>
            <w:noProof/>
            <w:webHidden/>
          </w:rPr>
          <w:tab/>
        </w:r>
        <w:r w:rsidR="00512E0A">
          <w:rPr>
            <w:noProof/>
            <w:webHidden/>
          </w:rPr>
          <w:fldChar w:fldCharType="begin"/>
        </w:r>
        <w:r w:rsidR="00512E0A">
          <w:rPr>
            <w:noProof/>
            <w:webHidden/>
          </w:rPr>
          <w:instrText xml:space="preserve"> PAGEREF _Toc200210088 \h </w:instrText>
        </w:r>
        <w:r w:rsidR="00512E0A">
          <w:rPr>
            <w:noProof/>
            <w:webHidden/>
          </w:rPr>
        </w:r>
        <w:r w:rsidR="00512E0A">
          <w:rPr>
            <w:noProof/>
            <w:webHidden/>
          </w:rPr>
          <w:fldChar w:fldCharType="separate"/>
        </w:r>
        <w:r w:rsidR="00512E0A">
          <w:rPr>
            <w:noProof/>
            <w:webHidden/>
          </w:rPr>
          <w:t>100</w:t>
        </w:r>
        <w:r w:rsidR="00512E0A">
          <w:rPr>
            <w:noProof/>
            <w:webHidden/>
          </w:rPr>
          <w:fldChar w:fldCharType="end"/>
        </w:r>
      </w:hyperlink>
    </w:p>
    <w:p w14:paraId="0221D599" w14:textId="5B03A717" w:rsidR="00512E0A" w:rsidRDefault="0095621A">
      <w:pPr>
        <w:pStyle w:val="Tabledesillustrations"/>
        <w:tabs>
          <w:tab w:val="right" w:leader="dot" w:pos="9062"/>
        </w:tabs>
        <w:rPr>
          <w:noProof/>
        </w:rPr>
      </w:pPr>
      <w:hyperlink w:anchor="_Toc200210089" w:history="1">
        <w:r w:rsidR="00512E0A" w:rsidRPr="00BE5758">
          <w:rPr>
            <w:rStyle w:val="Lienhypertexte"/>
            <w:noProof/>
          </w:rPr>
          <w:t>Figure 22: Répartition des fonctions des répondant</w:t>
        </w:r>
        <w:r w:rsidR="00512E0A">
          <w:rPr>
            <w:noProof/>
            <w:webHidden/>
          </w:rPr>
          <w:tab/>
        </w:r>
        <w:r w:rsidR="00512E0A">
          <w:rPr>
            <w:noProof/>
            <w:webHidden/>
          </w:rPr>
          <w:fldChar w:fldCharType="begin"/>
        </w:r>
        <w:r w:rsidR="00512E0A">
          <w:rPr>
            <w:noProof/>
            <w:webHidden/>
          </w:rPr>
          <w:instrText xml:space="preserve"> PAGEREF _Toc200210089 \h </w:instrText>
        </w:r>
        <w:r w:rsidR="00512E0A">
          <w:rPr>
            <w:noProof/>
            <w:webHidden/>
          </w:rPr>
        </w:r>
        <w:r w:rsidR="00512E0A">
          <w:rPr>
            <w:noProof/>
            <w:webHidden/>
          </w:rPr>
          <w:fldChar w:fldCharType="separate"/>
        </w:r>
        <w:r w:rsidR="00512E0A">
          <w:rPr>
            <w:noProof/>
            <w:webHidden/>
          </w:rPr>
          <w:t>102</w:t>
        </w:r>
        <w:r w:rsidR="00512E0A">
          <w:rPr>
            <w:noProof/>
            <w:webHidden/>
          </w:rPr>
          <w:fldChar w:fldCharType="end"/>
        </w:r>
      </w:hyperlink>
    </w:p>
    <w:p w14:paraId="670BF8C4" w14:textId="1C264E33" w:rsidR="00512E0A" w:rsidRDefault="0095621A">
      <w:pPr>
        <w:pStyle w:val="Tabledesillustrations"/>
        <w:tabs>
          <w:tab w:val="right" w:leader="dot" w:pos="9062"/>
        </w:tabs>
        <w:rPr>
          <w:noProof/>
        </w:rPr>
      </w:pPr>
      <w:hyperlink w:anchor="_Toc200210090" w:history="1">
        <w:r w:rsidR="00512E0A" w:rsidRPr="00BE5758">
          <w:rPr>
            <w:rStyle w:val="Lienhypertexte"/>
            <w:noProof/>
          </w:rPr>
          <w:t>Figure 23: Répartition des modes de financement principaux</w:t>
        </w:r>
        <w:r w:rsidR="00512E0A">
          <w:rPr>
            <w:noProof/>
            <w:webHidden/>
          </w:rPr>
          <w:tab/>
        </w:r>
        <w:r w:rsidR="00512E0A">
          <w:rPr>
            <w:noProof/>
            <w:webHidden/>
          </w:rPr>
          <w:fldChar w:fldCharType="begin"/>
        </w:r>
        <w:r w:rsidR="00512E0A">
          <w:rPr>
            <w:noProof/>
            <w:webHidden/>
          </w:rPr>
          <w:instrText xml:space="preserve"> PAGEREF _Toc200210090 \h </w:instrText>
        </w:r>
        <w:r w:rsidR="00512E0A">
          <w:rPr>
            <w:noProof/>
            <w:webHidden/>
          </w:rPr>
        </w:r>
        <w:r w:rsidR="00512E0A">
          <w:rPr>
            <w:noProof/>
            <w:webHidden/>
          </w:rPr>
          <w:fldChar w:fldCharType="separate"/>
        </w:r>
        <w:r w:rsidR="00512E0A">
          <w:rPr>
            <w:noProof/>
            <w:webHidden/>
          </w:rPr>
          <w:t>103</w:t>
        </w:r>
        <w:r w:rsidR="00512E0A">
          <w:rPr>
            <w:noProof/>
            <w:webHidden/>
          </w:rPr>
          <w:fldChar w:fldCharType="end"/>
        </w:r>
      </w:hyperlink>
    </w:p>
    <w:p w14:paraId="51535B29" w14:textId="0EA7FA4F" w:rsidR="00512E0A" w:rsidRDefault="0095621A">
      <w:pPr>
        <w:pStyle w:val="Tabledesillustrations"/>
        <w:tabs>
          <w:tab w:val="right" w:leader="dot" w:pos="9062"/>
        </w:tabs>
        <w:rPr>
          <w:noProof/>
        </w:rPr>
      </w:pPr>
      <w:hyperlink w:anchor="_Toc200210091" w:history="1">
        <w:r w:rsidR="00512E0A" w:rsidRPr="00BE5758">
          <w:rPr>
            <w:rStyle w:val="Lienhypertexte"/>
            <w:noProof/>
          </w:rPr>
          <w:t>Figure 24: Répartition de couverture des dépenses de fonctionnement</w:t>
        </w:r>
        <w:r w:rsidR="00512E0A">
          <w:rPr>
            <w:noProof/>
            <w:webHidden/>
          </w:rPr>
          <w:tab/>
        </w:r>
        <w:r w:rsidR="00512E0A">
          <w:rPr>
            <w:noProof/>
            <w:webHidden/>
          </w:rPr>
          <w:fldChar w:fldCharType="begin"/>
        </w:r>
        <w:r w:rsidR="00512E0A">
          <w:rPr>
            <w:noProof/>
            <w:webHidden/>
          </w:rPr>
          <w:instrText xml:space="preserve"> PAGEREF _Toc200210091 \h </w:instrText>
        </w:r>
        <w:r w:rsidR="00512E0A">
          <w:rPr>
            <w:noProof/>
            <w:webHidden/>
          </w:rPr>
        </w:r>
        <w:r w:rsidR="00512E0A">
          <w:rPr>
            <w:noProof/>
            <w:webHidden/>
          </w:rPr>
          <w:fldChar w:fldCharType="separate"/>
        </w:r>
        <w:r w:rsidR="00512E0A">
          <w:rPr>
            <w:noProof/>
            <w:webHidden/>
          </w:rPr>
          <w:t>104</w:t>
        </w:r>
        <w:r w:rsidR="00512E0A">
          <w:rPr>
            <w:noProof/>
            <w:webHidden/>
          </w:rPr>
          <w:fldChar w:fldCharType="end"/>
        </w:r>
      </w:hyperlink>
    </w:p>
    <w:p w14:paraId="05DD0A37" w14:textId="230BBABA" w:rsidR="00512E0A" w:rsidRDefault="0095621A">
      <w:pPr>
        <w:pStyle w:val="Tabledesillustrations"/>
        <w:tabs>
          <w:tab w:val="right" w:leader="dot" w:pos="9062"/>
        </w:tabs>
        <w:rPr>
          <w:noProof/>
        </w:rPr>
      </w:pPr>
      <w:hyperlink w:anchor="_Toc200210092" w:history="1">
        <w:r w:rsidR="00512E0A" w:rsidRPr="00BE5758">
          <w:rPr>
            <w:rStyle w:val="Lienhypertexte"/>
            <w:noProof/>
          </w:rPr>
          <w:t>Figure 25 : Répartition des jugements sur la transparence du financement</w:t>
        </w:r>
        <w:r w:rsidR="00512E0A">
          <w:rPr>
            <w:noProof/>
            <w:webHidden/>
          </w:rPr>
          <w:tab/>
        </w:r>
        <w:r w:rsidR="00512E0A">
          <w:rPr>
            <w:noProof/>
            <w:webHidden/>
          </w:rPr>
          <w:fldChar w:fldCharType="begin"/>
        </w:r>
        <w:r w:rsidR="00512E0A">
          <w:rPr>
            <w:noProof/>
            <w:webHidden/>
          </w:rPr>
          <w:instrText xml:space="preserve"> PAGEREF _Toc200210092 \h </w:instrText>
        </w:r>
        <w:r w:rsidR="00512E0A">
          <w:rPr>
            <w:noProof/>
            <w:webHidden/>
          </w:rPr>
        </w:r>
        <w:r w:rsidR="00512E0A">
          <w:rPr>
            <w:noProof/>
            <w:webHidden/>
          </w:rPr>
          <w:fldChar w:fldCharType="separate"/>
        </w:r>
        <w:r w:rsidR="00512E0A">
          <w:rPr>
            <w:noProof/>
            <w:webHidden/>
          </w:rPr>
          <w:t>104</w:t>
        </w:r>
        <w:r w:rsidR="00512E0A">
          <w:rPr>
            <w:noProof/>
            <w:webHidden/>
          </w:rPr>
          <w:fldChar w:fldCharType="end"/>
        </w:r>
      </w:hyperlink>
    </w:p>
    <w:p w14:paraId="0BDD9D0D" w14:textId="76665281" w:rsidR="00512E0A" w:rsidRDefault="0095621A">
      <w:pPr>
        <w:pStyle w:val="Tabledesillustrations"/>
        <w:tabs>
          <w:tab w:val="right" w:leader="dot" w:pos="9062"/>
        </w:tabs>
        <w:rPr>
          <w:noProof/>
        </w:rPr>
      </w:pPr>
      <w:hyperlink w:anchor="_Toc200210093" w:history="1">
        <w:r w:rsidR="00512E0A" w:rsidRPr="00BE5758">
          <w:rPr>
            <w:rStyle w:val="Lienhypertexte"/>
            <w:noProof/>
          </w:rPr>
          <w:t>Figure 26: Répartition des principaux défis liés au financement</w:t>
        </w:r>
        <w:r w:rsidR="00512E0A">
          <w:rPr>
            <w:noProof/>
            <w:webHidden/>
          </w:rPr>
          <w:tab/>
        </w:r>
        <w:r w:rsidR="00512E0A">
          <w:rPr>
            <w:noProof/>
            <w:webHidden/>
          </w:rPr>
          <w:fldChar w:fldCharType="begin"/>
        </w:r>
        <w:r w:rsidR="00512E0A">
          <w:rPr>
            <w:noProof/>
            <w:webHidden/>
          </w:rPr>
          <w:instrText xml:space="preserve"> PAGEREF _Toc200210093 \h </w:instrText>
        </w:r>
        <w:r w:rsidR="00512E0A">
          <w:rPr>
            <w:noProof/>
            <w:webHidden/>
          </w:rPr>
        </w:r>
        <w:r w:rsidR="00512E0A">
          <w:rPr>
            <w:noProof/>
            <w:webHidden/>
          </w:rPr>
          <w:fldChar w:fldCharType="separate"/>
        </w:r>
        <w:r w:rsidR="00512E0A">
          <w:rPr>
            <w:noProof/>
            <w:webHidden/>
          </w:rPr>
          <w:t>105</w:t>
        </w:r>
        <w:r w:rsidR="00512E0A">
          <w:rPr>
            <w:noProof/>
            <w:webHidden/>
          </w:rPr>
          <w:fldChar w:fldCharType="end"/>
        </w:r>
      </w:hyperlink>
    </w:p>
    <w:p w14:paraId="4FDEB09F" w14:textId="6FA8F3CD" w:rsidR="00512E0A" w:rsidRDefault="0095621A">
      <w:pPr>
        <w:pStyle w:val="Tabledesillustrations"/>
        <w:tabs>
          <w:tab w:val="right" w:leader="dot" w:pos="9062"/>
        </w:tabs>
        <w:rPr>
          <w:noProof/>
        </w:rPr>
      </w:pPr>
      <w:hyperlink w:anchor="_Toc200210094" w:history="1">
        <w:r w:rsidR="00512E0A" w:rsidRPr="00BE5758">
          <w:rPr>
            <w:rStyle w:val="Lienhypertexte"/>
            <w:noProof/>
          </w:rPr>
          <w:t>Figure 27: Répartition de la présence d’un SI intégré pour la gestion financière</w:t>
        </w:r>
        <w:r w:rsidR="00512E0A">
          <w:rPr>
            <w:noProof/>
            <w:webHidden/>
          </w:rPr>
          <w:tab/>
        </w:r>
        <w:r w:rsidR="00512E0A">
          <w:rPr>
            <w:noProof/>
            <w:webHidden/>
          </w:rPr>
          <w:fldChar w:fldCharType="begin"/>
        </w:r>
        <w:r w:rsidR="00512E0A">
          <w:rPr>
            <w:noProof/>
            <w:webHidden/>
          </w:rPr>
          <w:instrText xml:space="preserve"> PAGEREF _Toc200210094 \h </w:instrText>
        </w:r>
        <w:r w:rsidR="00512E0A">
          <w:rPr>
            <w:noProof/>
            <w:webHidden/>
          </w:rPr>
        </w:r>
        <w:r w:rsidR="00512E0A">
          <w:rPr>
            <w:noProof/>
            <w:webHidden/>
          </w:rPr>
          <w:fldChar w:fldCharType="separate"/>
        </w:r>
        <w:r w:rsidR="00512E0A">
          <w:rPr>
            <w:noProof/>
            <w:webHidden/>
          </w:rPr>
          <w:t>107</w:t>
        </w:r>
        <w:r w:rsidR="00512E0A">
          <w:rPr>
            <w:noProof/>
            <w:webHidden/>
          </w:rPr>
          <w:fldChar w:fldCharType="end"/>
        </w:r>
      </w:hyperlink>
    </w:p>
    <w:p w14:paraId="2D2AA6BE" w14:textId="2A8ECB38" w:rsidR="00512E0A" w:rsidRDefault="0095621A">
      <w:pPr>
        <w:pStyle w:val="Tabledesillustrations"/>
        <w:tabs>
          <w:tab w:val="right" w:leader="dot" w:pos="9062"/>
        </w:tabs>
        <w:rPr>
          <w:noProof/>
        </w:rPr>
      </w:pPr>
      <w:hyperlink w:anchor="_Toc200210095" w:history="1">
        <w:r w:rsidR="00512E0A" w:rsidRPr="00BE5758">
          <w:rPr>
            <w:rStyle w:val="Lienhypertexte"/>
            <w:noProof/>
          </w:rPr>
          <w:t>Figure 28: Répartition des réponses sur l'interconnexion du SI</w:t>
        </w:r>
        <w:r w:rsidR="00512E0A">
          <w:rPr>
            <w:noProof/>
            <w:webHidden/>
          </w:rPr>
          <w:tab/>
        </w:r>
        <w:r w:rsidR="00512E0A">
          <w:rPr>
            <w:noProof/>
            <w:webHidden/>
          </w:rPr>
          <w:fldChar w:fldCharType="begin"/>
        </w:r>
        <w:r w:rsidR="00512E0A">
          <w:rPr>
            <w:noProof/>
            <w:webHidden/>
          </w:rPr>
          <w:instrText xml:space="preserve"> PAGEREF _Toc200210095 \h </w:instrText>
        </w:r>
        <w:r w:rsidR="00512E0A">
          <w:rPr>
            <w:noProof/>
            <w:webHidden/>
          </w:rPr>
        </w:r>
        <w:r w:rsidR="00512E0A">
          <w:rPr>
            <w:noProof/>
            <w:webHidden/>
          </w:rPr>
          <w:fldChar w:fldCharType="separate"/>
        </w:r>
        <w:r w:rsidR="00512E0A">
          <w:rPr>
            <w:noProof/>
            <w:webHidden/>
          </w:rPr>
          <w:t>108</w:t>
        </w:r>
        <w:r w:rsidR="00512E0A">
          <w:rPr>
            <w:noProof/>
            <w:webHidden/>
          </w:rPr>
          <w:fldChar w:fldCharType="end"/>
        </w:r>
      </w:hyperlink>
    </w:p>
    <w:p w14:paraId="584B9ED7" w14:textId="643DE2C5" w:rsidR="00512E0A" w:rsidRDefault="0095621A">
      <w:pPr>
        <w:pStyle w:val="Tabledesillustrations"/>
        <w:tabs>
          <w:tab w:val="right" w:leader="dot" w:pos="9062"/>
        </w:tabs>
        <w:rPr>
          <w:noProof/>
        </w:rPr>
      </w:pPr>
      <w:hyperlink w:anchor="_Toc200210096" w:history="1">
        <w:r w:rsidR="00512E0A" w:rsidRPr="00BE5758">
          <w:rPr>
            <w:rStyle w:val="Lienhypertexte"/>
            <w:noProof/>
          </w:rPr>
          <w:t>Figure 29 : L'existence d'une plateforme numérique interconnectée</w:t>
        </w:r>
        <w:r w:rsidR="00512E0A">
          <w:rPr>
            <w:noProof/>
            <w:webHidden/>
          </w:rPr>
          <w:tab/>
        </w:r>
        <w:r w:rsidR="00512E0A">
          <w:rPr>
            <w:noProof/>
            <w:webHidden/>
          </w:rPr>
          <w:fldChar w:fldCharType="begin"/>
        </w:r>
        <w:r w:rsidR="00512E0A">
          <w:rPr>
            <w:noProof/>
            <w:webHidden/>
          </w:rPr>
          <w:instrText xml:space="preserve"> PAGEREF _Toc200210096 \h </w:instrText>
        </w:r>
        <w:r w:rsidR="00512E0A">
          <w:rPr>
            <w:noProof/>
            <w:webHidden/>
          </w:rPr>
        </w:r>
        <w:r w:rsidR="00512E0A">
          <w:rPr>
            <w:noProof/>
            <w:webHidden/>
          </w:rPr>
          <w:fldChar w:fldCharType="separate"/>
        </w:r>
        <w:r w:rsidR="00512E0A">
          <w:rPr>
            <w:noProof/>
            <w:webHidden/>
          </w:rPr>
          <w:t>109</w:t>
        </w:r>
        <w:r w:rsidR="00512E0A">
          <w:rPr>
            <w:noProof/>
            <w:webHidden/>
          </w:rPr>
          <w:fldChar w:fldCharType="end"/>
        </w:r>
      </w:hyperlink>
    </w:p>
    <w:p w14:paraId="68197372" w14:textId="49051A2E" w:rsidR="00512E0A" w:rsidRDefault="0095621A">
      <w:pPr>
        <w:pStyle w:val="Tabledesillustrations"/>
        <w:tabs>
          <w:tab w:val="right" w:leader="dot" w:pos="9062"/>
        </w:tabs>
        <w:rPr>
          <w:noProof/>
        </w:rPr>
      </w:pPr>
      <w:hyperlink w:anchor="_Toc200210097" w:history="1">
        <w:r w:rsidR="00512E0A" w:rsidRPr="00BE5758">
          <w:rPr>
            <w:rStyle w:val="Lienhypertexte"/>
            <w:noProof/>
          </w:rPr>
          <w:t>Figure 30: Répartition des faveurs pour une réforme du mode de financement</w:t>
        </w:r>
        <w:r w:rsidR="00512E0A">
          <w:rPr>
            <w:noProof/>
            <w:webHidden/>
          </w:rPr>
          <w:tab/>
        </w:r>
        <w:r w:rsidR="00512E0A">
          <w:rPr>
            <w:noProof/>
            <w:webHidden/>
          </w:rPr>
          <w:fldChar w:fldCharType="begin"/>
        </w:r>
        <w:r w:rsidR="00512E0A">
          <w:rPr>
            <w:noProof/>
            <w:webHidden/>
          </w:rPr>
          <w:instrText xml:space="preserve"> PAGEREF _Toc200210097 \h </w:instrText>
        </w:r>
        <w:r w:rsidR="00512E0A">
          <w:rPr>
            <w:noProof/>
            <w:webHidden/>
          </w:rPr>
        </w:r>
        <w:r w:rsidR="00512E0A">
          <w:rPr>
            <w:noProof/>
            <w:webHidden/>
          </w:rPr>
          <w:fldChar w:fldCharType="separate"/>
        </w:r>
        <w:r w:rsidR="00512E0A">
          <w:rPr>
            <w:noProof/>
            <w:webHidden/>
          </w:rPr>
          <w:t>110</w:t>
        </w:r>
        <w:r w:rsidR="00512E0A">
          <w:rPr>
            <w:noProof/>
            <w:webHidden/>
          </w:rPr>
          <w:fldChar w:fldCharType="end"/>
        </w:r>
      </w:hyperlink>
    </w:p>
    <w:p w14:paraId="336ED859" w14:textId="61B4E05D" w:rsidR="00512E0A" w:rsidRDefault="0095621A">
      <w:pPr>
        <w:pStyle w:val="Tabledesillustrations"/>
        <w:tabs>
          <w:tab w:val="right" w:leader="dot" w:pos="9062"/>
        </w:tabs>
        <w:rPr>
          <w:noProof/>
        </w:rPr>
      </w:pPr>
      <w:hyperlink w:anchor="_Toc200210098" w:history="1">
        <w:r w:rsidR="00512E0A" w:rsidRPr="00BE5758">
          <w:rPr>
            <w:rStyle w:val="Lienhypertexte"/>
            <w:noProof/>
          </w:rPr>
          <w:t>Figure 31: Répartition des avantages perçus du financement partiel à l’activité</w:t>
        </w:r>
        <w:r w:rsidR="00512E0A">
          <w:rPr>
            <w:noProof/>
            <w:webHidden/>
          </w:rPr>
          <w:tab/>
        </w:r>
        <w:r w:rsidR="00512E0A">
          <w:rPr>
            <w:noProof/>
            <w:webHidden/>
          </w:rPr>
          <w:fldChar w:fldCharType="begin"/>
        </w:r>
        <w:r w:rsidR="00512E0A">
          <w:rPr>
            <w:noProof/>
            <w:webHidden/>
          </w:rPr>
          <w:instrText xml:space="preserve"> PAGEREF _Toc200210098 \h </w:instrText>
        </w:r>
        <w:r w:rsidR="00512E0A">
          <w:rPr>
            <w:noProof/>
            <w:webHidden/>
          </w:rPr>
        </w:r>
        <w:r w:rsidR="00512E0A">
          <w:rPr>
            <w:noProof/>
            <w:webHidden/>
          </w:rPr>
          <w:fldChar w:fldCharType="separate"/>
        </w:r>
        <w:r w:rsidR="00512E0A">
          <w:rPr>
            <w:noProof/>
            <w:webHidden/>
          </w:rPr>
          <w:t>111</w:t>
        </w:r>
        <w:r w:rsidR="00512E0A">
          <w:rPr>
            <w:noProof/>
            <w:webHidden/>
          </w:rPr>
          <w:fldChar w:fldCharType="end"/>
        </w:r>
      </w:hyperlink>
    </w:p>
    <w:p w14:paraId="3E6E9271" w14:textId="4FDCFC7E" w:rsidR="00512E0A" w:rsidRDefault="0095621A">
      <w:pPr>
        <w:pStyle w:val="Tabledesillustrations"/>
        <w:tabs>
          <w:tab w:val="right" w:leader="dot" w:pos="9062"/>
        </w:tabs>
        <w:rPr>
          <w:noProof/>
        </w:rPr>
      </w:pPr>
      <w:hyperlink w:anchor="_Toc200210099" w:history="1">
        <w:r w:rsidR="00512E0A" w:rsidRPr="00BE5758">
          <w:rPr>
            <w:rStyle w:val="Lienhypertexte"/>
            <w:noProof/>
          </w:rPr>
          <w:t>Figure 32: Répartition des réponses sur l'applicabilité d'un financement mixte</w:t>
        </w:r>
        <w:r w:rsidR="00512E0A">
          <w:rPr>
            <w:noProof/>
            <w:webHidden/>
          </w:rPr>
          <w:tab/>
        </w:r>
        <w:r w:rsidR="00512E0A">
          <w:rPr>
            <w:noProof/>
            <w:webHidden/>
          </w:rPr>
          <w:fldChar w:fldCharType="begin"/>
        </w:r>
        <w:r w:rsidR="00512E0A">
          <w:rPr>
            <w:noProof/>
            <w:webHidden/>
          </w:rPr>
          <w:instrText xml:space="preserve"> PAGEREF _Toc200210099 \h </w:instrText>
        </w:r>
        <w:r w:rsidR="00512E0A">
          <w:rPr>
            <w:noProof/>
            <w:webHidden/>
          </w:rPr>
        </w:r>
        <w:r w:rsidR="00512E0A">
          <w:rPr>
            <w:noProof/>
            <w:webHidden/>
          </w:rPr>
          <w:fldChar w:fldCharType="separate"/>
        </w:r>
        <w:r w:rsidR="00512E0A">
          <w:rPr>
            <w:noProof/>
            <w:webHidden/>
          </w:rPr>
          <w:t>112</w:t>
        </w:r>
        <w:r w:rsidR="00512E0A">
          <w:rPr>
            <w:noProof/>
            <w:webHidden/>
          </w:rPr>
          <w:fldChar w:fldCharType="end"/>
        </w:r>
      </w:hyperlink>
    </w:p>
    <w:p w14:paraId="32F4D729" w14:textId="0AB31B6F" w:rsidR="00512E0A" w:rsidRDefault="0095621A">
      <w:pPr>
        <w:pStyle w:val="Tabledesillustrations"/>
        <w:tabs>
          <w:tab w:val="right" w:leader="dot" w:pos="9062"/>
        </w:tabs>
        <w:rPr>
          <w:noProof/>
        </w:rPr>
      </w:pPr>
      <w:hyperlink w:anchor="_Toc200210100" w:history="1">
        <w:r w:rsidR="00512E0A" w:rsidRPr="00BE5758">
          <w:rPr>
            <w:rStyle w:val="Lienhypertexte"/>
            <w:noProof/>
          </w:rPr>
          <w:t>Figure 33: Répartition des conditions de réussite d’un modèle de financement mixte</w:t>
        </w:r>
        <w:r w:rsidR="00512E0A">
          <w:rPr>
            <w:noProof/>
            <w:webHidden/>
          </w:rPr>
          <w:tab/>
        </w:r>
        <w:r w:rsidR="00512E0A">
          <w:rPr>
            <w:noProof/>
            <w:webHidden/>
          </w:rPr>
          <w:fldChar w:fldCharType="begin"/>
        </w:r>
        <w:r w:rsidR="00512E0A">
          <w:rPr>
            <w:noProof/>
            <w:webHidden/>
          </w:rPr>
          <w:instrText xml:space="preserve"> PAGEREF _Toc200210100 \h </w:instrText>
        </w:r>
        <w:r w:rsidR="00512E0A">
          <w:rPr>
            <w:noProof/>
            <w:webHidden/>
          </w:rPr>
        </w:r>
        <w:r w:rsidR="00512E0A">
          <w:rPr>
            <w:noProof/>
            <w:webHidden/>
          </w:rPr>
          <w:fldChar w:fldCharType="separate"/>
        </w:r>
        <w:r w:rsidR="00512E0A">
          <w:rPr>
            <w:noProof/>
            <w:webHidden/>
          </w:rPr>
          <w:t>113</w:t>
        </w:r>
        <w:r w:rsidR="00512E0A">
          <w:rPr>
            <w:noProof/>
            <w:webHidden/>
          </w:rPr>
          <w:fldChar w:fldCharType="end"/>
        </w:r>
      </w:hyperlink>
    </w:p>
    <w:p w14:paraId="75EF1F20" w14:textId="16AD1663" w:rsidR="00512E0A" w:rsidRDefault="0095621A">
      <w:pPr>
        <w:pStyle w:val="Tabledesillustrations"/>
        <w:tabs>
          <w:tab w:val="right" w:leader="dot" w:pos="9062"/>
        </w:tabs>
        <w:rPr>
          <w:noProof/>
        </w:rPr>
      </w:pPr>
      <w:hyperlink w:anchor="_Toc200210101" w:history="1">
        <w:r w:rsidR="00512E0A" w:rsidRPr="00BE5758">
          <w:rPr>
            <w:rStyle w:val="Lienhypertexte"/>
            <w:noProof/>
          </w:rPr>
          <w:t>Figure 34: Répartition des avantages perçus d’un financement mixte</w:t>
        </w:r>
        <w:r w:rsidR="00512E0A">
          <w:rPr>
            <w:noProof/>
            <w:webHidden/>
          </w:rPr>
          <w:tab/>
        </w:r>
        <w:r w:rsidR="00512E0A">
          <w:rPr>
            <w:noProof/>
            <w:webHidden/>
          </w:rPr>
          <w:fldChar w:fldCharType="begin"/>
        </w:r>
        <w:r w:rsidR="00512E0A">
          <w:rPr>
            <w:noProof/>
            <w:webHidden/>
          </w:rPr>
          <w:instrText xml:space="preserve"> PAGEREF _Toc200210101 \h </w:instrText>
        </w:r>
        <w:r w:rsidR="00512E0A">
          <w:rPr>
            <w:noProof/>
            <w:webHidden/>
          </w:rPr>
        </w:r>
        <w:r w:rsidR="00512E0A">
          <w:rPr>
            <w:noProof/>
            <w:webHidden/>
          </w:rPr>
          <w:fldChar w:fldCharType="separate"/>
        </w:r>
        <w:r w:rsidR="00512E0A">
          <w:rPr>
            <w:noProof/>
            <w:webHidden/>
          </w:rPr>
          <w:t>114</w:t>
        </w:r>
        <w:r w:rsidR="00512E0A">
          <w:rPr>
            <w:noProof/>
            <w:webHidden/>
          </w:rPr>
          <w:fldChar w:fldCharType="end"/>
        </w:r>
      </w:hyperlink>
    </w:p>
    <w:p w14:paraId="718A09A8" w14:textId="0EB7E7C6" w:rsidR="00512E0A" w:rsidRDefault="0095621A">
      <w:pPr>
        <w:pStyle w:val="Tabledesillustrations"/>
        <w:tabs>
          <w:tab w:val="right" w:leader="dot" w:pos="9062"/>
        </w:tabs>
        <w:rPr>
          <w:noProof/>
        </w:rPr>
      </w:pPr>
      <w:hyperlink w:anchor="_Toc200210102" w:history="1">
        <w:r w:rsidR="00512E0A" w:rsidRPr="00BE5758">
          <w:rPr>
            <w:rStyle w:val="Lienhypertexte"/>
            <w:noProof/>
          </w:rPr>
          <w:t>Figure 35: Répartition des facteurs facilitateurs identifiés</w:t>
        </w:r>
        <w:r w:rsidR="00512E0A">
          <w:rPr>
            <w:noProof/>
            <w:webHidden/>
          </w:rPr>
          <w:tab/>
        </w:r>
        <w:r w:rsidR="00512E0A">
          <w:rPr>
            <w:noProof/>
            <w:webHidden/>
          </w:rPr>
          <w:fldChar w:fldCharType="begin"/>
        </w:r>
        <w:r w:rsidR="00512E0A">
          <w:rPr>
            <w:noProof/>
            <w:webHidden/>
          </w:rPr>
          <w:instrText xml:space="preserve"> PAGEREF _Toc200210102 \h </w:instrText>
        </w:r>
        <w:r w:rsidR="00512E0A">
          <w:rPr>
            <w:noProof/>
            <w:webHidden/>
          </w:rPr>
        </w:r>
        <w:r w:rsidR="00512E0A">
          <w:rPr>
            <w:noProof/>
            <w:webHidden/>
          </w:rPr>
          <w:fldChar w:fldCharType="separate"/>
        </w:r>
        <w:r w:rsidR="00512E0A">
          <w:rPr>
            <w:noProof/>
            <w:webHidden/>
          </w:rPr>
          <w:t>115</w:t>
        </w:r>
        <w:r w:rsidR="00512E0A">
          <w:rPr>
            <w:noProof/>
            <w:webHidden/>
          </w:rPr>
          <w:fldChar w:fldCharType="end"/>
        </w:r>
      </w:hyperlink>
    </w:p>
    <w:p w14:paraId="57A155C2" w14:textId="7142412C" w:rsidR="00512E0A" w:rsidRDefault="0095621A">
      <w:pPr>
        <w:pStyle w:val="Tabledesillustrations"/>
        <w:tabs>
          <w:tab w:val="right" w:leader="dot" w:pos="9062"/>
        </w:tabs>
        <w:rPr>
          <w:noProof/>
        </w:rPr>
      </w:pPr>
      <w:hyperlink w:anchor="_Toc200210103" w:history="1">
        <w:r w:rsidR="00512E0A" w:rsidRPr="00BE5758">
          <w:rPr>
            <w:rStyle w:val="Lienhypertexte"/>
            <w:noProof/>
          </w:rPr>
          <w:t>Figure 36 : Répartition des obstacles à la mise en place d’un financement mixte</w:t>
        </w:r>
        <w:r w:rsidR="00512E0A">
          <w:rPr>
            <w:noProof/>
            <w:webHidden/>
          </w:rPr>
          <w:tab/>
        </w:r>
        <w:r w:rsidR="00512E0A">
          <w:rPr>
            <w:noProof/>
            <w:webHidden/>
          </w:rPr>
          <w:fldChar w:fldCharType="begin"/>
        </w:r>
        <w:r w:rsidR="00512E0A">
          <w:rPr>
            <w:noProof/>
            <w:webHidden/>
          </w:rPr>
          <w:instrText xml:space="preserve"> PAGEREF _Toc200210103 \h </w:instrText>
        </w:r>
        <w:r w:rsidR="00512E0A">
          <w:rPr>
            <w:noProof/>
            <w:webHidden/>
          </w:rPr>
        </w:r>
        <w:r w:rsidR="00512E0A">
          <w:rPr>
            <w:noProof/>
            <w:webHidden/>
          </w:rPr>
          <w:fldChar w:fldCharType="separate"/>
        </w:r>
        <w:r w:rsidR="00512E0A">
          <w:rPr>
            <w:noProof/>
            <w:webHidden/>
          </w:rPr>
          <w:t>116</w:t>
        </w:r>
        <w:r w:rsidR="00512E0A">
          <w:rPr>
            <w:noProof/>
            <w:webHidden/>
          </w:rPr>
          <w:fldChar w:fldCharType="end"/>
        </w:r>
      </w:hyperlink>
    </w:p>
    <w:p w14:paraId="6363EAB0" w14:textId="306AFCAF" w:rsidR="00512E0A" w:rsidRDefault="0095621A">
      <w:pPr>
        <w:pStyle w:val="Tabledesillustrations"/>
        <w:tabs>
          <w:tab w:val="right" w:leader="dot" w:pos="9062"/>
        </w:tabs>
        <w:rPr>
          <w:noProof/>
        </w:rPr>
      </w:pPr>
      <w:hyperlink w:anchor="_Toc200210104" w:history="1">
        <w:r w:rsidR="00512E0A" w:rsidRPr="00BE5758">
          <w:rPr>
            <w:rStyle w:val="Lienhypertexte"/>
            <w:noProof/>
          </w:rPr>
          <w:t>Figure 37: Répartition des éléments souhaités dans le nouveau mode de financement</w:t>
        </w:r>
        <w:r w:rsidR="00512E0A">
          <w:rPr>
            <w:noProof/>
            <w:webHidden/>
          </w:rPr>
          <w:tab/>
        </w:r>
        <w:r w:rsidR="00512E0A">
          <w:rPr>
            <w:noProof/>
            <w:webHidden/>
          </w:rPr>
          <w:fldChar w:fldCharType="begin"/>
        </w:r>
        <w:r w:rsidR="00512E0A">
          <w:rPr>
            <w:noProof/>
            <w:webHidden/>
          </w:rPr>
          <w:instrText xml:space="preserve"> PAGEREF _Toc200210104 \h </w:instrText>
        </w:r>
        <w:r w:rsidR="00512E0A">
          <w:rPr>
            <w:noProof/>
            <w:webHidden/>
          </w:rPr>
        </w:r>
        <w:r w:rsidR="00512E0A">
          <w:rPr>
            <w:noProof/>
            <w:webHidden/>
          </w:rPr>
          <w:fldChar w:fldCharType="separate"/>
        </w:r>
        <w:r w:rsidR="00512E0A">
          <w:rPr>
            <w:noProof/>
            <w:webHidden/>
          </w:rPr>
          <w:t>118</w:t>
        </w:r>
        <w:r w:rsidR="00512E0A">
          <w:rPr>
            <w:noProof/>
            <w:webHidden/>
          </w:rPr>
          <w:fldChar w:fldCharType="end"/>
        </w:r>
      </w:hyperlink>
    </w:p>
    <w:p w14:paraId="2664E201" w14:textId="0B2F3B68" w:rsidR="004C19B1" w:rsidRPr="00512E0A" w:rsidRDefault="00512E0A" w:rsidP="00512E0A">
      <w:pPr>
        <w:pStyle w:val="Paragraphedeliste"/>
        <w:rPr>
          <w:b/>
          <w:bCs/>
        </w:rPr>
      </w:pPr>
      <w:r>
        <w:fldChar w:fldCharType="end"/>
      </w:r>
      <w:r w:rsidR="00884AD2" w:rsidRPr="00884AD2">
        <w:br/>
      </w:r>
      <w:r>
        <w:rPr>
          <w:b/>
          <w:bCs/>
        </w:rPr>
        <w:br w:type="page"/>
      </w:r>
    </w:p>
    <w:p w14:paraId="70067176" w14:textId="06051701" w:rsidR="00884AD2" w:rsidRPr="00DB6BEE" w:rsidRDefault="00884AD2" w:rsidP="00DB6BEE">
      <w:pPr>
        <w:pStyle w:val="Titre1"/>
        <w:rPr>
          <w:b w:val="0"/>
          <w:bCs/>
          <w:sz w:val="32"/>
        </w:rPr>
      </w:pPr>
      <w:bookmarkStart w:id="5" w:name="_Toc199958797"/>
      <w:r w:rsidRPr="00727436">
        <w:rPr>
          <w:rStyle w:val="lev"/>
        </w:rPr>
        <w:lastRenderedPageBreak/>
        <w:t>Liste des tableaux :</w:t>
      </w:r>
      <w:bookmarkEnd w:id="5"/>
    </w:p>
    <w:p w14:paraId="2D806DDE" w14:textId="53E729D5" w:rsidR="00DB6BEE" w:rsidRDefault="00DB6BEE">
      <w:pPr>
        <w:pStyle w:val="Tabledesillustrations"/>
        <w:tabs>
          <w:tab w:val="right" w:leader="dot" w:pos="9062"/>
        </w:tabs>
        <w:rPr>
          <w:rFonts w:asciiTheme="minorHAnsi" w:eastAsiaTheme="minorEastAsia" w:hAnsiTheme="minorHAnsi"/>
          <w:noProof/>
          <w:kern w:val="2"/>
          <w:szCs w:val="24"/>
          <w:lang w:eastAsia="fr-FR"/>
          <w14:ligatures w14:val="standardContextual"/>
        </w:rPr>
      </w:pPr>
      <w:r>
        <w:rPr>
          <w:rFonts w:eastAsiaTheme="minorEastAsia"/>
          <w:b/>
          <w:bCs/>
          <w:lang w:eastAsia="fr-FR"/>
        </w:rPr>
        <w:fldChar w:fldCharType="begin"/>
      </w:r>
      <w:r>
        <w:rPr>
          <w:rFonts w:eastAsiaTheme="minorEastAsia"/>
          <w:b/>
          <w:bCs/>
          <w:lang w:eastAsia="fr-FR"/>
        </w:rPr>
        <w:instrText xml:space="preserve"> TOC \h \z \c "Tableau" </w:instrText>
      </w:r>
      <w:r>
        <w:rPr>
          <w:rFonts w:eastAsiaTheme="minorEastAsia"/>
          <w:b/>
          <w:bCs/>
          <w:lang w:eastAsia="fr-FR"/>
        </w:rPr>
        <w:fldChar w:fldCharType="separate"/>
      </w:r>
      <w:hyperlink w:anchor="_Toc200210109" w:history="1">
        <w:r w:rsidRPr="00421087">
          <w:rPr>
            <w:rStyle w:val="Lienhypertexte"/>
            <w:noProof/>
          </w:rPr>
          <w:t>Tableau 1: Objectifs d’un système d’information hospitalier</w:t>
        </w:r>
        <w:r>
          <w:rPr>
            <w:noProof/>
            <w:webHidden/>
          </w:rPr>
          <w:tab/>
        </w:r>
        <w:r>
          <w:rPr>
            <w:noProof/>
            <w:webHidden/>
          </w:rPr>
          <w:fldChar w:fldCharType="begin"/>
        </w:r>
        <w:r>
          <w:rPr>
            <w:noProof/>
            <w:webHidden/>
          </w:rPr>
          <w:instrText xml:space="preserve"> PAGEREF _Toc200210109 \h </w:instrText>
        </w:r>
        <w:r>
          <w:rPr>
            <w:noProof/>
            <w:webHidden/>
          </w:rPr>
        </w:r>
        <w:r>
          <w:rPr>
            <w:noProof/>
            <w:webHidden/>
          </w:rPr>
          <w:fldChar w:fldCharType="separate"/>
        </w:r>
        <w:r>
          <w:rPr>
            <w:noProof/>
            <w:webHidden/>
          </w:rPr>
          <w:t>12</w:t>
        </w:r>
        <w:r>
          <w:rPr>
            <w:noProof/>
            <w:webHidden/>
          </w:rPr>
          <w:fldChar w:fldCharType="end"/>
        </w:r>
      </w:hyperlink>
    </w:p>
    <w:p w14:paraId="330398FE" w14:textId="40217A9A"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0" w:history="1">
        <w:r w:rsidR="00DB6BEE" w:rsidRPr="00421087">
          <w:rPr>
            <w:rStyle w:val="Lienhypertexte"/>
            <w:noProof/>
          </w:rPr>
          <w:t>Tableau 2 : Comparaison des systèmes d’information en santé à l’international</w:t>
        </w:r>
        <w:r w:rsidR="00DB6BEE">
          <w:rPr>
            <w:noProof/>
            <w:webHidden/>
          </w:rPr>
          <w:tab/>
        </w:r>
        <w:r w:rsidR="00DB6BEE">
          <w:rPr>
            <w:noProof/>
            <w:webHidden/>
          </w:rPr>
          <w:fldChar w:fldCharType="begin"/>
        </w:r>
        <w:r w:rsidR="00DB6BEE">
          <w:rPr>
            <w:noProof/>
            <w:webHidden/>
          </w:rPr>
          <w:instrText xml:space="preserve"> PAGEREF _Toc200210110 \h </w:instrText>
        </w:r>
        <w:r w:rsidR="00DB6BEE">
          <w:rPr>
            <w:noProof/>
            <w:webHidden/>
          </w:rPr>
        </w:r>
        <w:r w:rsidR="00DB6BEE">
          <w:rPr>
            <w:noProof/>
            <w:webHidden/>
          </w:rPr>
          <w:fldChar w:fldCharType="separate"/>
        </w:r>
        <w:r w:rsidR="00DB6BEE">
          <w:rPr>
            <w:noProof/>
            <w:webHidden/>
          </w:rPr>
          <w:t>25</w:t>
        </w:r>
        <w:r w:rsidR="00DB6BEE">
          <w:rPr>
            <w:noProof/>
            <w:webHidden/>
          </w:rPr>
          <w:fldChar w:fldCharType="end"/>
        </w:r>
      </w:hyperlink>
    </w:p>
    <w:p w14:paraId="2C111CB8" w14:textId="648A0AA3"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1" w:history="1">
        <w:r w:rsidR="00DB6BEE" w:rsidRPr="00421087">
          <w:rPr>
            <w:rStyle w:val="Lienhypertexte"/>
            <w:noProof/>
          </w:rPr>
          <w:t>Tableau 3: Évolution de la part des sources de financement du système de santé en Algérie (% des dépenses totales de santé)</w:t>
        </w:r>
        <w:r w:rsidR="00DB6BEE">
          <w:rPr>
            <w:noProof/>
            <w:webHidden/>
          </w:rPr>
          <w:tab/>
        </w:r>
        <w:r w:rsidR="00DB6BEE">
          <w:rPr>
            <w:noProof/>
            <w:webHidden/>
          </w:rPr>
          <w:fldChar w:fldCharType="begin"/>
        </w:r>
        <w:r w:rsidR="00DB6BEE">
          <w:rPr>
            <w:noProof/>
            <w:webHidden/>
          </w:rPr>
          <w:instrText xml:space="preserve"> PAGEREF _Toc200210111 \h </w:instrText>
        </w:r>
        <w:r w:rsidR="00DB6BEE">
          <w:rPr>
            <w:noProof/>
            <w:webHidden/>
          </w:rPr>
        </w:r>
        <w:r w:rsidR="00DB6BEE">
          <w:rPr>
            <w:noProof/>
            <w:webHidden/>
          </w:rPr>
          <w:fldChar w:fldCharType="separate"/>
        </w:r>
        <w:r w:rsidR="00DB6BEE">
          <w:rPr>
            <w:noProof/>
            <w:webHidden/>
          </w:rPr>
          <w:t>40</w:t>
        </w:r>
        <w:r w:rsidR="00DB6BEE">
          <w:rPr>
            <w:noProof/>
            <w:webHidden/>
          </w:rPr>
          <w:fldChar w:fldCharType="end"/>
        </w:r>
      </w:hyperlink>
    </w:p>
    <w:p w14:paraId="27878D85" w14:textId="529970B8"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2" w:history="1">
        <w:r w:rsidR="00DB6BEE" w:rsidRPr="00421087">
          <w:rPr>
            <w:rStyle w:val="Lienhypertexte"/>
            <w:noProof/>
          </w:rPr>
          <w:t>Tableau 4: Évolution de la participation de la sécurité sociale au financement de la santé (1974–2018), en millions de dinars</w:t>
        </w:r>
        <w:r w:rsidR="00DB6BEE">
          <w:rPr>
            <w:noProof/>
            <w:webHidden/>
          </w:rPr>
          <w:tab/>
        </w:r>
        <w:r w:rsidR="00DB6BEE">
          <w:rPr>
            <w:noProof/>
            <w:webHidden/>
          </w:rPr>
          <w:fldChar w:fldCharType="begin"/>
        </w:r>
        <w:r w:rsidR="00DB6BEE">
          <w:rPr>
            <w:noProof/>
            <w:webHidden/>
          </w:rPr>
          <w:instrText xml:space="preserve"> PAGEREF _Toc200210112 \h </w:instrText>
        </w:r>
        <w:r w:rsidR="00DB6BEE">
          <w:rPr>
            <w:noProof/>
            <w:webHidden/>
          </w:rPr>
        </w:r>
        <w:r w:rsidR="00DB6BEE">
          <w:rPr>
            <w:noProof/>
            <w:webHidden/>
          </w:rPr>
          <w:fldChar w:fldCharType="separate"/>
        </w:r>
        <w:r w:rsidR="00DB6BEE">
          <w:rPr>
            <w:noProof/>
            <w:webHidden/>
          </w:rPr>
          <w:t>43</w:t>
        </w:r>
        <w:r w:rsidR="00DB6BEE">
          <w:rPr>
            <w:noProof/>
            <w:webHidden/>
          </w:rPr>
          <w:fldChar w:fldCharType="end"/>
        </w:r>
      </w:hyperlink>
    </w:p>
    <w:p w14:paraId="164CF685" w14:textId="2C37E98A"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3" w:history="1">
        <w:r w:rsidR="00DB6BEE" w:rsidRPr="00421087">
          <w:rPr>
            <w:rStyle w:val="Lienhypertexte"/>
            <w:noProof/>
          </w:rPr>
          <w:t>Tableau 5 : Recettes annuelles de l’hôpital Bouzidi Lakhdar – Exercice 2025</w:t>
        </w:r>
        <w:r w:rsidR="00DB6BEE">
          <w:rPr>
            <w:noProof/>
            <w:webHidden/>
          </w:rPr>
          <w:tab/>
        </w:r>
        <w:r w:rsidR="00DB6BEE">
          <w:rPr>
            <w:noProof/>
            <w:webHidden/>
          </w:rPr>
          <w:fldChar w:fldCharType="begin"/>
        </w:r>
        <w:r w:rsidR="00DB6BEE">
          <w:rPr>
            <w:noProof/>
            <w:webHidden/>
          </w:rPr>
          <w:instrText xml:space="preserve"> PAGEREF _Toc200210113 \h </w:instrText>
        </w:r>
        <w:r w:rsidR="00DB6BEE">
          <w:rPr>
            <w:noProof/>
            <w:webHidden/>
          </w:rPr>
        </w:r>
        <w:r w:rsidR="00DB6BEE">
          <w:rPr>
            <w:noProof/>
            <w:webHidden/>
          </w:rPr>
          <w:fldChar w:fldCharType="separate"/>
        </w:r>
        <w:r w:rsidR="00DB6BEE">
          <w:rPr>
            <w:noProof/>
            <w:webHidden/>
          </w:rPr>
          <w:t>73</w:t>
        </w:r>
        <w:r w:rsidR="00DB6BEE">
          <w:rPr>
            <w:noProof/>
            <w:webHidden/>
          </w:rPr>
          <w:fldChar w:fldCharType="end"/>
        </w:r>
      </w:hyperlink>
    </w:p>
    <w:p w14:paraId="2199FF92" w14:textId="440AB883"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4" w:history="1">
        <w:r w:rsidR="00DB6BEE" w:rsidRPr="00421087">
          <w:rPr>
            <w:rStyle w:val="Lienhypertexte"/>
            <w:noProof/>
          </w:rPr>
          <w:t>Tableau 6 : Répartition des dépenses de l’hôpital Bouzidi Lakhdar – Exercice 2025</w:t>
        </w:r>
        <w:r w:rsidR="00DB6BEE">
          <w:rPr>
            <w:noProof/>
            <w:webHidden/>
          </w:rPr>
          <w:tab/>
        </w:r>
        <w:r w:rsidR="00DB6BEE">
          <w:rPr>
            <w:noProof/>
            <w:webHidden/>
          </w:rPr>
          <w:fldChar w:fldCharType="begin"/>
        </w:r>
        <w:r w:rsidR="00DB6BEE">
          <w:rPr>
            <w:noProof/>
            <w:webHidden/>
          </w:rPr>
          <w:instrText xml:space="preserve"> PAGEREF _Toc200210114 \h </w:instrText>
        </w:r>
        <w:r w:rsidR="00DB6BEE">
          <w:rPr>
            <w:noProof/>
            <w:webHidden/>
          </w:rPr>
        </w:r>
        <w:r w:rsidR="00DB6BEE">
          <w:rPr>
            <w:noProof/>
            <w:webHidden/>
          </w:rPr>
          <w:fldChar w:fldCharType="separate"/>
        </w:r>
        <w:r w:rsidR="00DB6BEE">
          <w:rPr>
            <w:noProof/>
            <w:webHidden/>
          </w:rPr>
          <w:t>74</w:t>
        </w:r>
        <w:r w:rsidR="00DB6BEE">
          <w:rPr>
            <w:noProof/>
            <w:webHidden/>
          </w:rPr>
          <w:fldChar w:fldCharType="end"/>
        </w:r>
      </w:hyperlink>
    </w:p>
    <w:p w14:paraId="2BEE40CF" w14:textId="65E47AD7"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5" w:history="1">
        <w:r w:rsidR="00DB6BEE" w:rsidRPr="00421087">
          <w:rPr>
            <w:rStyle w:val="Lienhypertexte"/>
            <w:noProof/>
          </w:rPr>
          <w:t>Tableau 7: Représentation des questionnaires</w:t>
        </w:r>
        <w:r w:rsidR="00DB6BEE">
          <w:rPr>
            <w:noProof/>
            <w:webHidden/>
          </w:rPr>
          <w:tab/>
        </w:r>
        <w:r w:rsidR="00DB6BEE">
          <w:rPr>
            <w:noProof/>
            <w:webHidden/>
          </w:rPr>
          <w:fldChar w:fldCharType="begin"/>
        </w:r>
        <w:r w:rsidR="00DB6BEE">
          <w:rPr>
            <w:noProof/>
            <w:webHidden/>
          </w:rPr>
          <w:instrText xml:space="preserve"> PAGEREF _Toc200210115 \h </w:instrText>
        </w:r>
        <w:r w:rsidR="00DB6BEE">
          <w:rPr>
            <w:noProof/>
            <w:webHidden/>
          </w:rPr>
        </w:r>
        <w:r w:rsidR="00DB6BEE">
          <w:rPr>
            <w:noProof/>
            <w:webHidden/>
          </w:rPr>
          <w:fldChar w:fldCharType="separate"/>
        </w:r>
        <w:r w:rsidR="00DB6BEE">
          <w:rPr>
            <w:noProof/>
            <w:webHidden/>
          </w:rPr>
          <w:t>77</w:t>
        </w:r>
        <w:r w:rsidR="00DB6BEE">
          <w:rPr>
            <w:noProof/>
            <w:webHidden/>
          </w:rPr>
          <w:fldChar w:fldCharType="end"/>
        </w:r>
      </w:hyperlink>
    </w:p>
    <w:p w14:paraId="6E390496" w14:textId="6060C304"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6" w:history="1">
        <w:r w:rsidR="00DB6BEE" w:rsidRPr="00421087">
          <w:rPr>
            <w:rStyle w:val="Lienhypertexte"/>
            <w:noProof/>
          </w:rPr>
          <w:t>Tableau 8 : Représentation des variables étudier</w:t>
        </w:r>
        <w:r w:rsidR="00DB6BEE">
          <w:rPr>
            <w:noProof/>
            <w:webHidden/>
          </w:rPr>
          <w:tab/>
        </w:r>
        <w:r w:rsidR="00DB6BEE">
          <w:rPr>
            <w:noProof/>
            <w:webHidden/>
          </w:rPr>
          <w:fldChar w:fldCharType="begin"/>
        </w:r>
        <w:r w:rsidR="00DB6BEE">
          <w:rPr>
            <w:noProof/>
            <w:webHidden/>
          </w:rPr>
          <w:instrText xml:space="preserve"> PAGEREF _Toc200210116 \h </w:instrText>
        </w:r>
        <w:r w:rsidR="00DB6BEE">
          <w:rPr>
            <w:noProof/>
            <w:webHidden/>
          </w:rPr>
        </w:r>
        <w:r w:rsidR="00DB6BEE">
          <w:rPr>
            <w:noProof/>
            <w:webHidden/>
          </w:rPr>
          <w:fldChar w:fldCharType="separate"/>
        </w:r>
        <w:r w:rsidR="00DB6BEE">
          <w:rPr>
            <w:noProof/>
            <w:webHidden/>
          </w:rPr>
          <w:t>79</w:t>
        </w:r>
        <w:r w:rsidR="00DB6BEE">
          <w:rPr>
            <w:noProof/>
            <w:webHidden/>
          </w:rPr>
          <w:fldChar w:fldCharType="end"/>
        </w:r>
      </w:hyperlink>
    </w:p>
    <w:p w14:paraId="1C71E1F6" w14:textId="07366E56"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7" w:history="1">
        <w:r w:rsidR="00DB6BEE" w:rsidRPr="00421087">
          <w:rPr>
            <w:rStyle w:val="Lienhypertexte"/>
            <w:noProof/>
          </w:rPr>
          <w:t>Tableau 9: Répartition des répondants par département/service</w:t>
        </w:r>
        <w:r w:rsidR="00DB6BEE">
          <w:rPr>
            <w:noProof/>
            <w:webHidden/>
          </w:rPr>
          <w:tab/>
        </w:r>
        <w:r w:rsidR="00DB6BEE">
          <w:rPr>
            <w:noProof/>
            <w:webHidden/>
          </w:rPr>
          <w:fldChar w:fldCharType="begin"/>
        </w:r>
        <w:r w:rsidR="00DB6BEE">
          <w:rPr>
            <w:noProof/>
            <w:webHidden/>
          </w:rPr>
          <w:instrText xml:space="preserve"> PAGEREF _Toc200210117 \h </w:instrText>
        </w:r>
        <w:r w:rsidR="00DB6BEE">
          <w:rPr>
            <w:noProof/>
            <w:webHidden/>
          </w:rPr>
        </w:r>
        <w:r w:rsidR="00DB6BEE">
          <w:rPr>
            <w:noProof/>
            <w:webHidden/>
          </w:rPr>
          <w:fldChar w:fldCharType="separate"/>
        </w:r>
        <w:r w:rsidR="00DB6BEE">
          <w:rPr>
            <w:noProof/>
            <w:webHidden/>
          </w:rPr>
          <w:t>81</w:t>
        </w:r>
        <w:r w:rsidR="00DB6BEE">
          <w:rPr>
            <w:noProof/>
            <w:webHidden/>
          </w:rPr>
          <w:fldChar w:fldCharType="end"/>
        </w:r>
      </w:hyperlink>
    </w:p>
    <w:p w14:paraId="57F64A65" w14:textId="29C44ADD"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8" w:history="1">
        <w:r w:rsidR="00DB6BEE" w:rsidRPr="00421087">
          <w:rPr>
            <w:rStyle w:val="Lienhypertexte"/>
            <w:noProof/>
          </w:rPr>
          <w:t>Tableau 10 : Répartition géographique des répondants par wilaya</w:t>
        </w:r>
        <w:r w:rsidR="00DB6BEE">
          <w:rPr>
            <w:noProof/>
            <w:webHidden/>
          </w:rPr>
          <w:tab/>
        </w:r>
        <w:r w:rsidR="00DB6BEE">
          <w:rPr>
            <w:noProof/>
            <w:webHidden/>
          </w:rPr>
          <w:fldChar w:fldCharType="begin"/>
        </w:r>
        <w:r w:rsidR="00DB6BEE">
          <w:rPr>
            <w:noProof/>
            <w:webHidden/>
          </w:rPr>
          <w:instrText xml:space="preserve"> PAGEREF _Toc200210118 \h </w:instrText>
        </w:r>
        <w:r w:rsidR="00DB6BEE">
          <w:rPr>
            <w:noProof/>
            <w:webHidden/>
          </w:rPr>
        </w:r>
        <w:r w:rsidR="00DB6BEE">
          <w:rPr>
            <w:noProof/>
            <w:webHidden/>
          </w:rPr>
          <w:fldChar w:fldCharType="separate"/>
        </w:r>
        <w:r w:rsidR="00DB6BEE">
          <w:rPr>
            <w:noProof/>
            <w:webHidden/>
          </w:rPr>
          <w:t>83</w:t>
        </w:r>
        <w:r w:rsidR="00DB6BEE">
          <w:rPr>
            <w:noProof/>
            <w:webHidden/>
          </w:rPr>
          <w:fldChar w:fldCharType="end"/>
        </w:r>
      </w:hyperlink>
    </w:p>
    <w:p w14:paraId="1E90EF18" w14:textId="36EDAAF9"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19" w:history="1">
        <w:r w:rsidR="00DB6BEE" w:rsidRPr="00421087">
          <w:rPr>
            <w:rStyle w:val="Lienhypertexte"/>
            <w:noProof/>
          </w:rPr>
          <w:t>Tableau 11: Évaluation du fonctionnement du budget global</w:t>
        </w:r>
        <w:r w:rsidR="00DB6BEE">
          <w:rPr>
            <w:noProof/>
            <w:webHidden/>
          </w:rPr>
          <w:tab/>
        </w:r>
        <w:r w:rsidR="00DB6BEE">
          <w:rPr>
            <w:noProof/>
            <w:webHidden/>
          </w:rPr>
          <w:fldChar w:fldCharType="begin"/>
        </w:r>
        <w:r w:rsidR="00DB6BEE">
          <w:rPr>
            <w:noProof/>
            <w:webHidden/>
          </w:rPr>
          <w:instrText xml:space="preserve"> PAGEREF _Toc200210119 \h </w:instrText>
        </w:r>
        <w:r w:rsidR="00DB6BEE">
          <w:rPr>
            <w:noProof/>
            <w:webHidden/>
          </w:rPr>
        </w:r>
        <w:r w:rsidR="00DB6BEE">
          <w:rPr>
            <w:noProof/>
            <w:webHidden/>
          </w:rPr>
          <w:fldChar w:fldCharType="separate"/>
        </w:r>
        <w:r w:rsidR="00DB6BEE">
          <w:rPr>
            <w:noProof/>
            <w:webHidden/>
          </w:rPr>
          <w:t>84</w:t>
        </w:r>
        <w:r w:rsidR="00DB6BEE">
          <w:rPr>
            <w:noProof/>
            <w:webHidden/>
          </w:rPr>
          <w:fldChar w:fldCharType="end"/>
        </w:r>
      </w:hyperlink>
    </w:p>
    <w:p w14:paraId="39311C7F" w14:textId="5B8772D5"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0" w:history="1">
        <w:r w:rsidR="00DB6BEE" w:rsidRPr="00421087">
          <w:rPr>
            <w:rStyle w:val="Lienhypertexte"/>
            <w:noProof/>
          </w:rPr>
          <w:t>Tableau 12: Répartition des perceptions sur les effets du système actuel de financement</w:t>
        </w:r>
        <w:r w:rsidR="00DB6BEE">
          <w:rPr>
            <w:noProof/>
            <w:webHidden/>
          </w:rPr>
          <w:tab/>
        </w:r>
        <w:r w:rsidR="00DB6BEE">
          <w:rPr>
            <w:noProof/>
            <w:webHidden/>
          </w:rPr>
          <w:fldChar w:fldCharType="begin"/>
        </w:r>
        <w:r w:rsidR="00DB6BEE">
          <w:rPr>
            <w:noProof/>
            <w:webHidden/>
          </w:rPr>
          <w:instrText xml:space="preserve"> PAGEREF _Toc200210120 \h </w:instrText>
        </w:r>
        <w:r w:rsidR="00DB6BEE">
          <w:rPr>
            <w:noProof/>
            <w:webHidden/>
          </w:rPr>
        </w:r>
        <w:r w:rsidR="00DB6BEE">
          <w:rPr>
            <w:noProof/>
            <w:webHidden/>
          </w:rPr>
          <w:fldChar w:fldCharType="separate"/>
        </w:r>
        <w:r w:rsidR="00DB6BEE">
          <w:rPr>
            <w:noProof/>
            <w:webHidden/>
          </w:rPr>
          <w:t>86</w:t>
        </w:r>
        <w:r w:rsidR="00DB6BEE">
          <w:rPr>
            <w:noProof/>
            <w:webHidden/>
          </w:rPr>
          <w:fldChar w:fldCharType="end"/>
        </w:r>
      </w:hyperlink>
    </w:p>
    <w:p w14:paraId="2C1F177E" w14:textId="0BB176A8"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1" w:history="1">
        <w:r w:rsidR="00DB6BEE" w:rsidRPr="00421087">
          <w:rPr>
            <w:rStyle w:val="Lienhypertexte"/>
            <w:noProof/>
          </w:rPr>
          <w:t>Tableau 13 : Utilisation d’un système d’information intégré</w:t>
        </w:r>
        <w:r w:rsidR="00DB6BEE">
          <w:rPr>
            <w:noProof/>
            <w:webHidden/>
          </w:rPr>
          <w:tab/>
        </w:r>
        <w:r w:rsidR="00DB6BEE">
          <w:rPr>
            <w:noProof/>
            <w:webHidden/>
          </w:rPr>
          <w:fldChar w:fldCharType="begin"/>
        </w:r>
        <w:r w:rsidR="00DB6BEE">
          <w:rPr>
            <w:noProof/>
            <w:webHidden/>
          </w:rPr>
          <w:instrText xml:space="preserve"> PAGEREF _Toc200210121 \h </w:instrText>
        </w:r>
        <w:r w:rsidR="00DB6BEE">
          <w:rPr>
            <w:noProof/>
            <w:webHidden/>
          </w:rPr>
        </w:r>
        <w:r w:rsidR="00DB6BEE">
          <w:rPr>
            <w:noProof/>
            <w:webHidden/>
          </w:rPr>
          <w:fldChar w:fldCharType="separate"/>
        </w:r>
        <w:r w:rsidR="00DB6BEE">
          <w:rPr>
            <w:noProof/>
            <w:webHidden/>
          </w:rPr>
          <w:t>87</w:t>
        </w:r>
        <w:r w:rsidR="00DB6BEE">
          <w:rPr>
            <w:noProof/>
            <w:webHidden/>
          </w:rPr>
          <w:fldChar w:fldCharType="end"/>
        </w:r>
      </w:hyperlink>
    </w:p>
    <w:p w14:paraId="3FD51111" w14:textId="520F647C"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2" w:history="1">
        <w:r w:rsidR="00DB6BEE" w:rsidRPr="00421087">
          <w:rPr>
            <w:rStyle w:val="Lienhypertexte"/>
            <w:noProof/>
          </w:rPr>
          <w:t>Tableau 14: Niveau d’interconnexion entre les systèmes d’information</w:t>
        </w:r>
        <w:r w:rsidR="00DB6BEE">
          <w:rPr>
            <w:noProof/>
            <w:webHidden/>
          </w:rPr>
          <w:tab/>
        </w:r>
        <w:r w:rsidR="00DB6BEE">
          <w:rPr>
            <w:noProof/>
            <w:webHidden/>
          </w:rPr>
          <w:fldChar w:fldCharType="begin"/>
        </w:r>
        <w:r w:rsidR="00DB6BEE">
          <w:rPr>
            <w:noProof/>
            <w:webHidden/>
          </w:rPr>
          <w:instrText xml:space="preserve"> PAGEREF _Toc200210122 \h </w:instrText>
        </w:r>
        <w:r w:rsidR="00DB6BEE">
          <w:rPr>
            <w:noProof/>
            <w:webHidden/>
          </w:rPr>
        </w:r>
        <w:r w:rsidR="00DB6BEE">
          <w:rPr>
            <w:noProof/>
            <w:webHidden/>
          </w:rPr>
          <w:fldChar w:fldCharType="separate"/>
        </w:r>
        <w:r w:rsidR="00DB6BEE">
          <w:rPr>
            <w:noProof/>
            <w:webHidden/>
          </w:rPr>
          <w:t>88</w:t>
        </w:r>
        <w:r w:rsidR="00DB6BEE">
          <w:rPr>
            <w:noProof/>
            <w:webHidden/>
          </w:rPr>
          <w:fldChar w:fldCharType="end"/>
        </w:r>
      </w:hyperlink>
    </w:p>
    <w:p w14:paraId="6BFCA046" w14:textId="0A46E891"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3" w:history="1">
        <w:r w:rsidR="00DB6BEE" w:rsidRPr="00421087">
          <w:rPr>
            <w:rStyle w:val="Lienhypertexte"/>
            <w:noProof/>
          </w:rPr>
          <w:t>Tableau 15: Fonctions supportées par le système d’information</w:t>
        </w:r>
        <w:r w:rsidR="00DB6BEE">
          <w:rPr>
            <w:noProof/>
            <w:webHidden/>
          </w:rPr>
          <w:tab/>
        </w:r>
        <w:r w:rsidR="00DB6BEE">
          <w:rPr>
            <w:noProof/>
            <w:webHidden/>
          </w:rPr>
          <w:fldChar w:fldCharType="begin"/>
        </w:r>
        <w:r w:rsidR="00DB6BEE">
          <w:rPr>
            <w:noProof/>
            <w:webHidden/>
          </w:rPr>
          <w:instrText xml:space="preserve"> PAGEREF _Toc200210123 \h </w:instrText>
        </w:r>
        <w:r w:rsidR="00DB6BEE">
          <w:rPr>
            <w:noProof/>
            <w:webHidden/>
          </w:rPr>
        </w:r>
        <w:r w:rsidR="00DB6BEE">
          <w:rPr>
            <w:noProof/>
            <w:webHidden/>
          </w:rPr>
          <w:fldChar w:fldCharType="separate"/>
        </w:r>
        <w:r w:rsidR="00DB6BEE">
          <w:rPr>
            <w:noProof/>
            <w:webHidden/>
          </w:rPr>
          <w:t>89</w:t>
        </w:r>
        <w:r w:rsidR="00DB6BEE">
          <w:rPr>
            <w:noProof/>
            <w:webHidden/>
          </w:rPr>
          <w:fldChar w:fldCharType="end"/>
        </w:r>
      </w:hyperlink>
    </w:p>
    <w:p w14:paraId="559D9B3C" w14:textId="16894015"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4" w:history="1">
        <w:r w:rsidR="00DB6BEE" w:rsidRPr="00421087">
          <w:rPr>
            <w:rStyle w:val="Lienhypertexte"/>
            <w:noProof/>
          </w:rPr>
          <w:t>Tableau 16: Niveau de connaissance des systèmes PMSI/DRG</w:t>
        </w:r>
        <w:r w:rsidR="00DB6BEE">
          <w:rPr>
            <w:noProof/>
            <w:webHidden/>
          </w:rPr>
          <w:tab/>
        </w:r>
        <w:r w:rsidR="00DB6BEE">
          <w:rPr>
            <w:noProof/>
            <w:webHidden/>
          </w:rPr>
          <w:fldChar w:fldCharType="begin"/>
        </w:r>
        <w:r w:rsidR="00DB6BEE">
          <w:rPr>
            <w:noProof/>
            <w:webHidden/>
          </w:rPr>
          <w:instrText xml:space="preserve"> PAGEREF _Toc200210124 \h </w:instrText>
        </w:r>
        <w:r w:rsidR="00DB6BEE">
          <w:rPr>
            <w:noProof/>
            <w:webHidden/>
          </w:rPr>
        </w:r>
        <w:r w:rsidR="00DB6BEE">
          <w:rPr>
            <w:noProof/>
            <w:webHidden/>
          </w:rPr>
          <w:fldChar w:fldCharType="separate"/>
        </w:r>
        <w:r w:rsidR="00DB6BEE">
          <w:rPr>
            <w:noProof/>
            <w:webHidden/>
          </w:rPr>
          <w:t>90</w:t>
        </w:r>
        <w:r w:rsidR="00DB6BEE">
          <w:rPr>
            <w:noProof/>
            <w:webHidden/>
          </w:rPr>
          <w:fldChar w:fldCharType="end"/>
        </w:r>
      </w:hyperlink>
    </w:p>
    <w:p w14:paraId="1A5925BD" w14:textId="132B0E88"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5" w:history="1">
        <w:r w:rsidR="00DB6BEE" w:rsidRPr="00421087">
          <w:rPr>
            <w:rStyle w:val="Lienhypertexte"/>
            <w:noProof/>
          </w:rPr>
          <w:t>Tableau 17: Adhésion à un modèle mixte (budget global + T2A)</w:t>
        </w:r>
        <w:r w:rsidR="00DB6BEE">
          <w:rPr>
            <w:noProof/>
            <w:webHidden/>
          </w:rPr>
          <w:tab/>
        </w:r>
        <w:r w:rsidR="00DB6BEE">
          <w:rPr>
            <w:noProof/>
            <w:webHidden/>
          </w:rPr>
          <w:fldChar w:fldCharType="begin"/>
        </w:r>
        <w:r w:rsidR="00DB6BEE">
          <w:rPr>
            <w:noProof/>
            <w:webHidden/>
          </w:rPr>
          <w:instrText xml:space="preserve"> PAGEREF _Toc200210125 \h </w:instrText>
        </w:r>
        <w:r w:rsidR="00DB6BEE">
          <w:rPr>
            <w:noProof/>
            <w:webHidden/>
          </w:rPr>
        </w:r>
        <w:r w:rsidR="00DB6BEE">
          <w:rPr>
            <w:noProof/>
            <w:webHidden/>
          </w:rPr>
          <w:fldChar w:fldCharType="separate"/>
        </w:r>
        <w:r w:rsidR="00DB6BEE">
          <w:rPr>
            <w:noProof/>
            <w:webHidden/>
          </w:rPr>
          <w:t>91</w:t>
        </w:r>
        <w:r w:rsidR="00DB6BEE">
          <w:rPr>
            <w:noProof/>
            <w:webHidden/>
          </w:rPr>
          <w:fldChar w:fldCharType="end"/>
        </w:r>
      </w:hyperlink>
    </w:p>
    <w:p w14:paraId="69098E70" w14:textId="2806E980"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6" w:history="1">
        <w:r w:rsidR="00DB6BEE" w:rsidRPr="00421087">
          <w:rPr>
            <w:rStyle w:val="Lienhypertexte"/>
            <w:noProof/>
          </w:rPr>
          <w:t>Tableau 18: Freins perçus à la réforme du financement</w:t>
        </w:r>
        <w:r w:rsidR="00DB6BEE">
          <w:rPr>
            <w:noProof/>
            <w:webHidden/>
          </w:rPr>
          <w:tab/>
        </w:r>
        <w:r w:rsidR="00DB6BEE">
          <w:rPr>
            <w:noProof/>
            <w:webHidden/>
          </w:rPr>
          <w:fldChar w:fldCharType="begin"/>
        </w:r>
        <w:r w:rsidR="00DB6BEE">
          <w:rPr>
            <w:noProof/>
            <w:webHidden/>
          </w:rPr>
          <w:instrText xml:space="preserve"> PAGEREF _Toc200210126 \h </w:instrText>
        </w:r>
        <w:r w:rsidR="00DB6BEE">
          <w:rPr>
            <w:noProof/>
            <w:webHidden/>
          </w:rPr>
        </w:r>
        <w:r w:rsidR="00DB6BEE">
          <w:rPr>
            <w:noProof/>
            <w:webHidden/>
          </w:rPr>
          <w:fldChar w:fldCharType="separate"/>
        </w:r>
        <w:r w:rsidR="00DB6BEE">
          <w:rPr>
            <w:noProof/>
            <w:webHidden/>
          </w:rPr>
          <w:t>92</w:t>
        </w:r>
        <w:r w:rsidR="00DB6BEE">
          <w:rPr>
            <w:noProof/>
            <w:webHidden/>
          </w:rPr>
          <w:fldChar w:fldCharType="end"/>
        </w:r>
      </w:hyperlink>
    </w:p>
    <w:p w14:paraId="2EAA432B" w14:textId="104B6EBC"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7" w:history="1">
        <w:r w:rsidR="00DB6BEE" w:rsidRPr="00421087">
          <w:rPr>
            <w:rStyle w:val="Lienhypertexte"/>
            <w:noProof/>
          </w:rPr>
          <w:t>Tableau 19: Facteurs facilitant la réforme du financement</w:t>
        </w:r>
        <w:r w:rsidR="00DB6BEE">
          <w:rPr>
            <w:noProof/>
            <w:webHidden/>
          </w:rPr>
          <w:tab/>
        </w:r>
        <w:r w:rsidR="00DB6BEE">
          <w:rPr>
            <w:noProof/>
            <w:webHidden/>
          </w:rPr>
          <w:fldChar w:fldCharType="begin"/>
        </w:r>
        <w:r w:rsidR="00DB6BEE">
          <w:rPr>
            <w:noProof/>
            <w:webHidden/>
          </w:rPr>
          <w:instrText xml:space="preserve"> PAGEREF _Toc200210127 \h </w:instrText>
        </w:r>
        <w:r w:rsidR="00DB6BEE">
          <w:rPr>
            <w:noProof/>
            <w:webHidden/>
          </w:rPr>
        </w:r>
        <w:r w:rsidR="00DB6BEE">
          <w:rPr>
            <w:noProof/>
            <w:webHidden/>
          </w:rPr>
          <w:fldChar w:fldCharType="separate"/>
        </w:r>
        <w:r w:rsidR="00DB6BEE">
          <w:rPr>
            <w:noProof/>
            <w:webHidden/>
          </w:rPr>
          <w:t>93</w:t>
        </w:r>
        <w:r w:rsidR="00DB6BEE">
          <w:rPr>
            <w:noProof/>
            <w:webHidden/>
          </w:rPr>
          <w:fldChar w:fldCharType="end"/>
        </w:r>
      </w:hyperlink>
    </w:p>
    <w:p w14:paraId="54DF9259" w14:textId="1AABFAA7"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8" w:history="1">
        <w:r w:rsidR="00DB6BEE" w:rsidRPr="00421087">
          <w:rPr>
            <w:rStyle w:val="Lienhypertexte"/>
            <w:noProof/>
          </w:rPr>
          <w:t>Tableau 20: Attentes vis-à-vis du nouveau mode de financement</w:t>
        </w:r>
        <w:r w:rsidR="00DB6BEE">
          <w:rPr>
            <w:noProof/>
            <w:webHidden/>
          </w:rPr>
          <w:tab/>
        </w:r>
        <w:r w:rsidR="00DB6BEE">
          <w:rPr>
            <w:noProof/>
            <w:webHidden/>
          </w:rPr>
          <w:fldChar w:fldCharType="begin"/>
        </w:r>
        <w:r w:rsidR="00DB6BEE">
          <w:rPr>
            <w:noProof/>
            <w:webHidden/>
          </w:rPr>
          <w:instrText xml:space="preserve"> PAGEREF _Toc200210128 \h </w:instrText>
        </w:r>
        <w:r w:rsidR="00DB6BEE">
          <w:rPr>
            <w:noProof/>
            <w:webHidden/>
          </w:rPr>
        </w:r>
        <w:r w:rsidR="00DB6BEE">
          <w:rPr>
            <w:noProof/>
            <w:webHidden/>
          </w:rPr>
          <w:fldChar w:fldCharType="separate"/>
        </w:r>
        <w:r w:rsidR="00DB6BEE">
          <w:rPr>
            <w:noProof/>
            <w:webHidden/>
          </w:rPr>
          <w:t>94</w:t>
        </w:r>
        <w:r w:rsidR="00DB6BEE">
          <w:rPr>
            <w:noProof/>
            <w:webHidden/>
          </w:rPr>
          <w:fldChar w:fldCharType="end"/>
        </w:r>
      </w:hyperlink>
    </w:p>
    <w:p w14:paraId="1FFE5659" w14:textId="00B430D7"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29" w:history="1">
        <w:r w:rsidR="00DB6BEE" w:rsidRPr="00421087">
          <w:rPr>
            <w:rStyle w:val="Lienhypertexte"/>
            <w:noProof/>
          </w:rPr>
          <w:t>Tableau 21: Types de suivi recommandés pour l’évaluation du système</w:t>
        </w:r>
        <w:r w:rsidR="00DB6BEE">
          <w:rPr>
            <w:noProof/>
            <w:webHidden/>
          </w:rPr>
          <w:tab/>
        </w:r>
        <w:r w:rsidR="00DB6BEE">
          <w:rPr>
            <w:noProof/>
            <w:webHidden/>
          </w:rPr>
          <w:fldChar w:fldCharType="begin"/>
        </w:r>
        <w:r w:rsidR="00DB6BEE">
          <w:rPr>
            <w:noProof/>
            <w:webHidden/>
          </w:rPr>
          <w:instrText xml:space="preserve"> PAGEREF _Toc200210129 \h </w:instrText>
        </w:r>
        <w:r w:rsidR="00DB6BEE">
          <w:rPr>
            <w:noProof/>
            <w:webHidden/>
          </w:rPr>
        </w:r>
        <w:r w:rsidR="00DB6BEE">
          <w:rPr>
            <w:noProof/>
            <w:webHidden/>
          </w:rPr>
          <w:fldChar w:fldCharType="separate"/>
        </w:r>
        <w:r w:rsidR="00DB6BEE">
          <w:rPr>
            <w:noProof/>
            <w:webHidden/>
          </w:rPr>
          <w:t>96</w:t>
        </w:r>
        <w:r w:rsidR="00DB6BEE">
          <w:rPr>
            <w:noProof/>
            <w:webHidden/>
          </w:rPr>
          <w:fldChar w:fldCharType="end"/>
        </w:r>
      </w:hyperlink>
    </w:p>
    <w:p w14:paraId="7B434B07" w14:textId="0AE6ED4E"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0" w:history="1">
        <w:r w:rsidR="00DB6BEE" w:rsidRPr="00421087">
          <w:rPr>
            <w:rStyle w:val="Lienhypertexte"/>
            <w:noProof/>
          </w:rPr>
          <w:t>Tableau 22: Croisement de la question 8 et la question 10</w:t>
        </w:r>
        <w:r w:rsidR="00DB6BEE">
          <w:rPr>
            <w:noProof/>
            <w:webHidden/>
          </w:rPr>
          <w:tab/>
        </w:r>
        <w:r w:rsidR="00DB6BEE">
          <w:rPr>
            <w:noProof/>
            <w:webHidden/>
          </w:rPr>
          <w:fldChar w:fldCharType="begin"/>
        </w:r>
        <w:r w:rsidR="00DB6BEE">
          <w:rPr>
            <w:noProof/>
            <w:webHidden/>
          </w:rPr>
          <w:instrText xml:space="preserve"> PAGEREF _Toc200210130 \h </w:instrText>
        </w:r>
        <w:r w:rsidR="00DB6BEE">
          <w:rPr>
            <w:noProof/>
            <w:webHidden/>
          </w:rPr>
        </w:r>
        <w:r w:rsidR="00DB6BEE">
          <w:rPr>
            <w:noProof/>
            <w:webHidden/>
          </w:rPr>
          <w:fldChar w:fldCharType="separate"/>
        </w:r>
        <w:r w:rsidR="00DB6BEE">
          <w:rPr>
            <w:noProof/>
            <w:webHidden/>
          </w:rPr>
          <w:t>98</w:t>
        </w:r>
        <w:r w:rsidR="00DB6BEE">
          <w:rPr>
            <w:noProof/>
            <w:webHidden/>
          </w:rPr>
          <w:fldChar w:fldCharType="end"/>
        </w:r>
      </w:hyperlink>
    </w:p>
    <w:p w14:paraId="5FA23C4F" w14:textId="7157D56B"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1" w:history="1">
        <w:r w:rsidR="00DB6BEE" w:rsidRPr="00421087">
          <w:rPr>
            <w:rStyle w:val="Lienhypertexte"/>
            <w:noProof/>
          </w:rPr>
          <w:t>Tableau 23: Test du Khi²</w:t>
        </w:r>
        <w:r w:rsidR="00DB6BEE">
          <w:rPr>
            <w:noProof/>
            <w:webHidden/>
          </w:rPr>
          <w:tab/>
        </w:r>
        <w:r w:rsidR="00DB6BEE">
          <w:rPr>
            <w:noProof/>
            <w:webHidden/>
          </w:rPr>
          <w:fldChar w:fldCharType="begin"/>
        </w:r>
        <w:r w:rsidR="00DB6BEE">
          <w:rPr>
            <w:noProof/>
            <w:webHidden/>
          </w:rPr>
          <w:instrText xml:space="preserve"> PAGEREF _Toc200210131 \h </w:instrText>
        </w:r>
        <w:r w:rsidR="00DB6BEE">
          <w:rPr>
            <w:noProof/>
            <w:webHidden/>
          </w:rPr>
        </w:r>
        <w:r w:rsidR="00DB6BEE">
          <w:rPr>
            <w:noProof/>
            <w:webHidden/>
          </w:rPr>
          <w:fldChar w:fldCharType="separate"/>
        </w:r>
        <w:r w:rsidR="00DB6BEE">
          <w:rPr>
            <w:noProof/>
            <w:webHidden/>
          </w:rPr>
          <w:t>98</w:t>
        </w:r>
        <w:r w:rsidR="00DB6BEE">
          <w:rPr>
            <w:noProof/>
            <w:webHidden/>
          </w:rPr>
          <w:fldChar w:fldCharType="end"/>
        </w:r>
      </w:hyperlink>
    </w:p>
    <w:p w14:paraId="6DF08AC6" w14:textId="013DF9DD"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2" w:history="1">
        <w:r w:rsidR="00DB6BEE" w:rsidRPr="00421087">
          <w:rPr>
            <w:rStyle w:val="Lienhypertexte"/>
            <w:noProof/>
          </w:rPr>
          <w:t>Tableau 24:  Répartition des répondants selon le nom de l’établissement</w:t>
        </w:r>
        <w:r w:rsidR="00DB6BEE">
          <w:rPr>
            <w:noProof/>
            <w:webHidden/>
          </w:rPr>
          <w:tab/>
        </w:r>
        <w:r w:rsidR="00DB6BEE">
          <w:rPr>
            <w:noProof/>
            <w:webHidden/>
          </w:rPr>
          <w:fldChar w:fldCharType="begin"/>
        </w:r>
        <w:r w:rsidR="00DB6BEE">
          <w:rPr>
            <w:noProof/>
            <w:webHidden/>
          </w:rPr>
          <w:instrText xml:space="preserve"> PAGEREF _Toc200210132 \h </w:instrText>
        </w:r>
        <w:r w:rsidR="00DB6BEE">
          <w:rPr>
            <w:noProof/>
            <w:webHidden/>
          </w:rPr>
        </w:r>
        <w:r w:rsidR="00DB6BEE">
          <w:rPr>
            <w:noProof/>
            <w:webHidden/>
          </w:rPr>
          <w:fldChar w:fldCharType="separate"/>
        </w:r>
        <w:r w:rsidR="00DB6BEE">
          <w:rPr>
            <w:noProof/>
            <w:webHidden/>
          </w:rPr>
          <w:t>99</w:t>
        </w:r>
        <w:r w:rsidR="00DB6BEE">
          <w:rPr>
            <w:noProof/>
            <w:webHidden/>
          </w:rPr>
          <w:fldChar w:fldCharType="end"/>
        </w:r>
      </w:hyperlink>
    </w:p>
    <w:p w14:paraId="4008B33C" w14:textId="4869A2FD"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3" w:history="1">
        <w:r w:rsidR="00DB6BEE" w:rsidRPr="00421087">
          <w:rPr>
            <w:rStyle w:val="Lienhypertexte"/>
            <w:noProof/>
          </w:rPr>
          <w:t>Tableau 25 :  Fréquence des types d’établissements</w:t>
        </w:r>
        <w:r w:rsidR="00DB6BEE">
          <w:rPr>
            <w:noProof/>
            <w:webHidden/>
          </w:rPr>
          <w:tab/>
        </w:r>
        <w:r w:rsidR="00DB6BEE">
          <w:rPr>
            <w:noProof/>
            <w:webHidden/>
          </w:rPr>
          <w:fldChar w:fldCharType="begin"/>
        </w:r>
        <w:r w:rsidR="00DB6BEE">
          <w:rPr>
            <w:noProof/>
            <w:webHidden/>
          </w:rPr>
          <w:instrText xml:space="preserve"> PAGEREF _Toc200210133 \h </w:instrText>
        </w:r>
        <w:r w:rsidR="00DB6BEE">
          <w:rPr>
            <w:noProof/>
            <w:webHidden/>
          </w:rPr>
        </w:r>
        <w:r w:rsidR="00DB6BEE">
          <w:rPr>
            <w:noProof/>
            <w:webHidden/>
          </w:rPr>
          <w:fldChar w:fldCharType="separate"/>
        </w:r>
        <w:r w:rsidR="00DB6BEE">
          <w:rPr>
            <w:noProof/>
            <w:webHidden/>
          </w:rPr>
          <w:t>100</w:t>
        </w:r>
        <w:r w:rsidR="00DB6BEE">
          <w:rPr>
            <w:noProof/>
            <w:webHidden/>
          </w:rPr>
          <w:fldChar w:fldCharType="end"/>
        </w:r>
      </w:hyperlink>
    </w:p>
    <w:p w14:paraId="28D0CE74" w14:textId="3B056133"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4" w:history="1">
        <w:r w:rsidR="00DB6BEE" w:rsidRPr="00421087">
          <w:rPr>
            <w:rStyle w:val="Lienhypertexte"/>
            <w:noProof/>
          </w:rPr>
          <w:t>Tableau 26:  Fréquence des fonctions des répondant</w:t>
        </w:r>
        <w:r w:rsidR="00DB6BEE">
          <w:rPr>
            <w:noProof/>
            <w:webHidden/>
          </w:rPr>
          <w:tab/>
        </w:r>
        <w:r w:rsidR="00DB6BEE">
          <w:rPr>
            <w:noProof/>
            <w:webHidden/>
          </w:rPr>
          <w:fldChar w:fldCharType="begin"/>
        </w:r>
        <w:r w:rsidR="00DB6BEE">
          <w:rPr>
            <w:noProof/>
            <w:webHidden/>
          </w:rPr>
          <w:instrText xml:space="preserve"> PAGEREF _Toc200210134 \h </w:instrText>
        </w:r>
        <w:r w:rsidR="00DB6BEE">
          <w:rPr>
            <w:noProof/>
            <w:webHidden/>
          </w:rPr>
        </w:r>
        <w:r w:rsidR="00DB6BEE">
          <w:rPr>
            <w:noProof/>
            <w:webHidden/>
          </w:rPr>
          <w:fldChar w:fldCharType="separate"/>
        </w:r>
        <w:r w:rsidR="00DB6BEE">
          <w:rPr>
            <w:noProof/>
            <w:webHidden/>
          </w:rPr>
          <w:t>101</w:t>
        </w:r>
        <w:r w:rsidR="00DB6BEE">
          <w:rPr>
            <w:noProof/>
            <w:webHidden/>
          </w:rPr>
          <w:fldChar w:fldCharType="end"/>
        </w:r>
      </w:hyperlink>
    </w:p>
    <w:p w14:paraId="6D8D00D2" w14:textId="28FA6F23"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5" w:history="1">
        <w:r w:rsidR="00DB6BEE" w:rsidRPr="00421087">
          <w:rPr>
            <w:rStyle w:val="Lienhypertexte"/>
            <w:noProof/>
          </w:rPr>
          <w:t>Tableau 27:  Fréquence des modes de financement principaux</w:t>
        </w:r>
        <w:r w:rsidR="00DB6BEE">
          <w:rPr>
            <w:noProof/>
            <w:webHidden/>
          </w:rPr>
          <w:tab/>
        </w:r>
        <w:r w:rsidR="00DB6BEE">
          <w:rPr>
            <w:noProof/>
            <w:webHidden/>
          </w:rPr>
          <w:fldChar w:fldCharType="begin"/>
        </w:r>
        <w:r w:rsidR="00DB6BEE">
          <w:rPr>
            <w:noProof/>
            <w:webHidden/>
          </w:rPr>
          <w:instrText xml:space="preserve"> PAGEREF _Toc200210135 \h </w:instrText>
        </w:r>
        <w:r w:rsidR="00DB6BEE">
          <w:rPr>
            <w:noProof/>
            <w:webHidden/>
          </w:rPr>
        </w:r>
        <w:r w:rsidR="00DB6BEE">
          <w:rPr>
            <w:noProof/>
            <w:webHidden/>
          </w:rPr>
          <w:fldChar w:fldCharType="separate"/>
        </w:r>
        <w:r w:rsidR="00DB6BEE">
          <w:rPr>
            <w:noProof/>
            <w:webHidden/>
          </w:rPr>
          <w:t>103</w:t>
        </w:r>
        <w:r w:rsidR="00DB6BEE">
          <w:rPr>
            <w:noProof/>
            <w:webHidden/>
          </w:rPr>
          <w:fldChar w:fldCharType="end"/>
        </w:r>
      </w:hyperlink>
    </w:p>
    <w:p w14:paraId="55655978" w14:textId="7D276E50"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6" w:history="1">
        <w:r w:rsidR="00DB6BEE" w:rsidRPr="00421087">
          <w:rPr>
            <w:rStyle w:val="Lienhypertexte"/>
            <w:noProof/>
          </w:rPr>
          <w:t>Tableau 28:  Répartition des réponses sur la couverture des dépenses de fonctionnement</w:t>
        </w:r>
        <w:r w:rsidR="00DB6BEE">
          <w:rPr>
            <w:noProof/>
            <w:webHidden/>
          </w:rPr>
          <w:tab/>
        </w:r>
        <w:r w:rsidR="00DB6BEE">
          <w:rPr>
            <w:noProof/>
            <w:webHidden/>
          </w:rPr>
          <w:fldChar w:fldCharType="begin"/>
        </w:r>
        <w:r w:rsidR="00DB6BEE">
          <w:rPr>
            <w:noProof/>
            <w:webHidden/>
          </w:rPr>
          <w:instrText xml:space="preserve"> PAGEREF _Toc200210136 \h </w:instrText>
        </w:r>
        <w:r w:rsidR="00DB6BEE">
          <w:rPr>
            <w:noProof/>
            <w:webHidden/>
          </w:rPr>
        </w:r>
        <w:r w:rsidR="00DB6BEE">
          <w:rPr>
            <w:noProof/>
            <w:webHidden/>
          </w:rPr>
          <w:fldChar w:fldCharType="separate"/>
        </w:r>
        <w:r w:rsidR="00DB6BEE">
          <w:rPr>
            <w:noProof/>
            <w:webHidden/>
          </w:rPr>
          <w:t>103</w:t>
        </w:r>
        <w:r w:rsidR="00DB6BEE">
          <w:rPr>
            <w:noProof/>
            <w:webHidden/>
          </w:rPr>
          <w:fldChar w:fldCharType="end"/>
        </w:r>
      </w:hyperlink>
    </w:p>
    <w:p w14:paraId="2C264110" w14:textId="1A4350B2"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7" w:history="1">
        <w:r w:rsidR="00DB6BEE" w:rsidRPr="00421087">
          <w:rPr>
            <w:rStyle w:val="Lienhypertexte"/>
            <w:noProof/>
          </w:rPr>
          <w:t>Tableau 29 :  Fréquence des jugements sur la transparence du financement</w:t>
        </w:r>
        <w:r w:rsidR="00DB6BEE">
          <w:rPr>
            <w:noProof/>
            <w:webHidden/>
          </w:rPr>
          <w:tab/>
        </w:r>
        <w:r w:rsidR="00DB6BEE">
          <w:rPr>
            <w:noProof/>
            <w:webHidden/>
          </w:rPr>
          <w:fldChar w:fldCharType="begin"/>
        </w:r>
        <w:r w:rsidR="00DB6BEE">
          <w:rPr>
            <w:noProof/>
            <w:webHidden/>
          </w:rPr>
          <w:instrText xml:space="preserve"> PAGEREF _Toc200210137 \h </w:instrText>
        </w:r>
        <w:r w:rsidR="00DB6BEE">
          <w:rPr>
            <w:noProof/>
            <w:webHidden/>
          </w:rPr>
        </w:r>
        <w:r w:rsidR="00DB6BEE">
          <w:rPr>
            <w:noProof/>
            <w:webHidden/>
          </w:rPr>
          <w:fldChar w:fldCharType="separate"/>
        </w:r>
        <w:r w:rsidR="00DB6BEE">
          <w:rPr>
            <w:noProof/>
            <w:webHidden/>
          </w:rPr>
          <w:t>104</w:t>
        </w:r>
        <w:r w:rsidR="00DB6BEE">
          <w:rPr>
            <w:noProof/>
            <w:webHidden/>
          </w:rPr>
          <w:fldChar w:fldCharType="end"/>
        </w:r>
      </w:hyperlink>
    </w:p>
    <w:p w14:paraId="529ACEF0" w14:textId="529DDA55"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8" w:history="1">
        <w:r w:rsidR="00DB6BEE" w:rsidRPr="00421087">
          <w:rPr>
            <w:rStyle w:val="Lienhypertexte"/>
            <w:noProof/>
          </w:rPr>
          <w:t>Tableau 30 :  Fréquence des principaux défis liés au financement</w:t>
        </w:r>
        <w:r w:rsidR="00DB6BEE">
          <w:rPr>
            <w:noProof/>
            <w:webHidden/>
          </w:rPr>
          <w:tab/>
        </w:r>
        <w:r w:rsidR="00DB6BEE">
          <w:rPr>
            <w:noProof/>
            <w:webHidden/>
          </w:rPr>
          <w:fldChar w:fldCharType="begin"/>
        </w:r>
        <w:r w:rsidR="00DB6BEE">
          <w:rPr>
            <w:noProof/>
            <w:webHidden/>
          </w:rPr>
          <w:instrText xml:space="preserve"> PAGEREF _Toc200210138 \h </w:instrText>
        </w:r>
        <w:r w:rsidR="00DB6BEE">
          <w:rPr>
            <w:noProof/>
            <w:webHidden/>
          </w:rPr>
        </w:r>
        <w:r w:rsidR="00DB6BEE">
          <w:rPr>
            <w:noProof/>
            <w:webHidden/>
          </w:rPr>
          <w:fldChar w:fldCharType="separate"/>
        </w:r>
        <w:r w:rsidR="00DB6BEE">
          <w:rPr>
            <w:noProof/>
            <w:webHidden/>
          </w:rPr>
          <w:t>105</w:t>
        </w:r>
        <w:r w:rsidR="00DB6BEE">
          <w:rPr>
            <w:noProof/>
            <w:webHidden/>
          </w:rPr>
          <w:fldChar w:fldCharType="end"/>
        </w:r>
      </w:hyperlink>
    </w:p>
    <w:p w14:paraId="1801BC02" w14:textId="517C9FC5"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39" w:history="1">
        <w:r w:rsidR="00DB6BEE" w:rsidRPr="00421087">
          <w:rPr>
            <w:rStyle w:val="Lienhypertexte"/>
            <w:noProof/>
          </w:rPr>
          <w:t>Tableau 31 :  Fréquence des réponses sur la présence d’un SI intégré pour la gestion financière</w:t>
        </w:r>
        <w:r w:rsidR="00DB6BEE">
          <w:rPr>
            <w:noProof/>
            <w:webHidden/>
          </w:rPr>
          <w:tab/>
        </w:r>
        <w:r w:rsidR="00DB6BEE">
          <w:rPr>
            <w:noProof/>
            <w:webHidden/>
          </w:rPr>
          <w:fldChar w:fldCharType="begin"/>
        </w:r>
        <w:r w:rsidR="00DB6BEE">
          <w:rPr>
            <w:noProof/>
            <w:webHidden/>
          </w:rPr>
          <w:instrText xml:space="preserve"> PAGEREF _Toc200210139 \h </w:instrText>
        </w:r>
        <w:r w:rsidR="00DB6BEE">
          <w:rPr>
            <w:noProof/>
            <w:webHidden/>
          </w:rPr>
        </w:r>
        <w:r w:rsidR="00DB6BEE">
          <w:rPr>
            <w:noProof/>
            <w:webHidden/>
          </w:rPr>
          <w:fldChar w:fldCharType="separate"/>
        </w:r>
        <w:r w:rsidR="00DB6BEE">
          <w:rPr>
            <w:noProof/>
            <w:webHidden/>
          </w:rPr>
          <w:t>107</w:t>
        </w:r>
        <w:r w:rsidR="00DB6BEE">
          <w:rPr>
            <w:noProof/>
            <w:webHidden/>
          </w:rPr>
          <w:fldChar w:fldCharType="end"/>
        </w:r>
      </w:hyperlink>
    </w:p>
    <w:p w14:paraId="15966502" w14:textId="5FCE4D59"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0" w:history="1">
        <w:r w:rsidR="00DB6BEE" w:rsidRPr="00421087">
          <w:rPr>
            <w:rStyle w:val="Lienhypertexte"/>
            <w:noProof/>
          </w:rPr>
          <w:t>Tableau 32:  Fréquence des réponses sur l'interconnexion du SI</w:t>
        </w:r>
        <w:r w:rsidR="00DB6BEE">
          <w:rPr>
            <w:noProof/>
            <w:webHidden/>
          </w:rPr>
          <w:tab/>
        </w:r>
        <w:r w:rsidR="00DB6BEE">
          <w:rPr>
            <w:noProof/>
            <w:webHidden/>
          </w:rPr>
          <w:fldChar w:fldCharType="begin"/>
        </w:r>
        <w:r w:rsidR="00DB6BEE">
          <w:rPr>
            <w:noProof/>
            <w:webHidden/>
          </w:rPr>
          <w:instrText xml:space="preserve"> PAGEREF _Toc200210140 \h </w:instrText>
        </w:r>
        <w:r w:rsidR="00DB6BEE">
          <w:rPr>
            <w:noProof/>
            <w:webHidden/>
          </w:rPr>
        </w:r>
        <w:r w:rsidR="00DB6BEE">
          <w:rPr>
            <w:noProof/>
            <w:webHidden/>
          </w:rPr>
          <w:fldChar w:fldCharType="separate"/>
        </w:r>
        <w:r w:rsidR="00DB6BEE">
          <w:rPr>
            <w:noProof/>
            <w:webHidden/>
          </w:rPr>
          <w:t>108</w:t>
        </w:r>
        <w:r w:rsidR="00DB6BEE">
          <w:rPr>
            <w:noProof/>
            <w:webHidden/>
          </w:rPr>
          <w:fldChar w:fldCharType="end"/>
        </w:r>
      </w:hyperlink>
    </w:p>
    <w:p w14:paraId="45ADADC1" w14:textId="568C54FA"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1" w:history="1">
        <w:r w:rsidR="00DB6BEE" w:rsidRPr="00421087">
          <w:rPr>
            <w:rStyle w:val="Lienhypertexte"/>
            <w:noProof/>
          </w:rPr>
          <w:t>Tableau 33 :  Fréquence des réponses sur l'existence d'une plateforme numérique interconnectée</w:t>
        </w:r>
        <w:r w:rsidR="00DB6BEE">
          <w:rPr>
            <w:noProof/>
            <w:webHidden/>
          </w:rPr>
          <w:tab/>
        </w:r>
        <w:r w:rsidR="00DB6BEE">
          <w:rPr>
            <w:noProof/>
            <w:webHidden/>
          </w:rPr>
          <w:fldChar w:fldCharType="begin"/>
        </w:r>
        <w:r w:rsidR="00DB6BEE">
          <w:rPr>
            <w:noProof/>
            <w:webHidden/>
          </w:rPr>
          <w:instrText xml:space="preserve"> PAGEREF _Toc200210141 \h </w:instrText>
        </w:r>
        <w:r w:rsidR="00DB6BEE">
          <w:rPr>
            <w:noProof/>
            <w:webHidden/>
          </w:rPr>
        </w:r>
        <w:r w:rsidR="00DB6BEE">
          <w:rPr>
            <w:noProof/>
            <w:webHidden/>
          </w:rPr>
          <w:fldChar w:fldCharType="separate"/>
        </w:r>
        <w:r w:rsidR="00DB6BEE">
          <w:rPr>
            <w:noProof/>
            <w:webHidden/>
          </w:rPr>
          <w:t>108</w:t>
        </w:r>
        <w:r w:rsidR="00DB6BEE">
          <w:rPr>
            <w:noProof/>
            <w:webHidden/>
          </w:rPr>
          <w:fldChar w:fldCharType="end"/>
        </w:r>
      </w:hyperlink>
    </w:p>
    <w:p w14:paraId="32EFAF83" w14:textId="2EF223E5"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2" w:history="1">
        <w:r w:rsidR="00DB6BEE" w:rsidRPr="00421087">
          <w:rPr>
            <w:rStyle w:val="Lienhypertexte"/>
            <w:noProof/>
          </w:rPr>
          <w:t>Tableau 34:  Fréquence des réponses sur la faveur pour une réforme du mode de financement</w:t>
        </w:r>
        <w:r w:rsidR="00DB6BEE">
          <w:rPr>
            <w:noProof/>
            <w:webHidden/>
          </w:rPr>
          <w:tab/>
        </w:r>
        <w:r w:rsidR="00DB6BEE">
          <w:rPr>
            <w:noProof/>
            <w:webHidden/>
          </w:rPr>
          <w:fldChar w:fldCharType="begin"/>
        </w:r>
        <w:r w:rsidR="00DB6BEE">
          <w:rPr>
            <w:noProof/>
            <w:webHidden/>
          </w:rPr>
          <w:instrText xml:space="preserve"> PAGEREF _Toc200210142 \h </w:instrText>
        </w:r>
        <w:r w:rsidR="00DB6BEE">
          <w:rPr>
            <w:noProof/>
            <w:webHidden/>
          </w:rPr>
        </w:r>
        <w:r w:rsidR="00DB6BEE">
          <w:rPr>
            <w:noProof/>
            <w:webHidden/>
          </w:rPr>
          <w:fldChar w:fldCharType="separate"/>
        </w:r>
        <w:r w:rsidR="00DB6BEE">
          <w:rPr>
            <w:noProof/>
            <w:webHidden/>
          </w:rPr>
          <w:t>110</w:t>
        </w:r>
        <w:r w:rsidR="00DB6BEE">
          <w:rPr>
            <w:noProof/>
            <w:webHidden/>
          </w:rPr>
          <w:fldChar w:fldCharType="end"/>
        </w:r>
      </w:hyperlink>
    </w:p>
    <w:p w14:paraId="302D0BBC" w14:textId="36C0F303"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3" w:history="1">
        <w:r w:rsidR="00DB6BEE" w:rsidRPr="00421087">
          <w:rPr>
            <w:rStyle w:val="Lienhypertexte"/>
            <w:noProof/>
          </w:rPr>
          <w:t>Tableau 35:  Fréquence des avantages perçus du financement partiel à l’activité</w:t>
        </w:r>
        <w:r w:rsidR="00DB6BEE">
          <w:rPr>
            <w:noProof/>
            <w:webHidden/>
          </w:rPr>
          <w:tab/>
        </w:r>
        <w:r w:rsidR="00DB6BEE">
          <w:rPr>
            <w:noProof/>
            <w:webHidden/>
          </w:rPr>
          <w:fldChar w:fldCharType="begin"/>
        </w:r>
        <w:r w:rsidR="00DB6BEE">
          <w:rPr>
            <w:noProof/>
            <w:webHidden/>
          </w:rPr>
          <w:instrText xml:space="preserve"> PAGEREF _Toc200210143 \h </w:instrText>
        </w:r>
        <w:r w:rsidR="00DB6BEE">
          <w:rPr>
            <w:noProof/>
            <w:webHidden/>
          </w:rPr>
        </w:r>
        <w:r w:rsidR="00DB6BEE">
          <w:rPr>
            <w:noProof/>
            <w:webHidden/>
          </w:rPr>
          <w:fldChar w:fldCharType="separate"/>
        </w:r>
        <w:r w:rsidR="00DB6BEE">
          <w:rPr>
            <w:noProof/>
            <w:webHidden/>
          </w:rPr>
          <w:t>110</w:t>
        </w:r>
        <w:r w:rsidR="00DB6BEE">
          <w:rPr>
            <w:noProof/>
            <w:webHidden/>
          </w:rPr>
          <w:fldChar w:fldCharType="end"/>
        </w:r>
      </w:hyperlink>
    </w:p>
    <w:p w14:paraId="4B27E84A" w14:textId="25F965B9"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4" w:history="1">
        <w:r w:rsidR="00DB6BEE" w:rsidRPr="00421087">
          <w:rPr>
            <w:rStyle w:val="Lienhypertexte"/>
            <w:noProof/>
          </w:rPr>
          <w:t>Tableau 36:  Fréquence des réponses sur l'applicabilité d'un financement mixte</w:t>
        </w:r>
        <w:r w:rsidR="00DB6BEE">
          <w:rPr>
            <w:noProof/>
            <w:webHidden/>
          </w:rPr>
          <w:tab/>
        </w:r>
        <w:r w:rsidR="00DB6BEE">
          <w:rPr>
            <w:noProof/>
            <w:webHidden/>
          </w:rPr>
          <w:fldChar w:fldCharType="begin"/>
        </w:r>
        <w:r w:rsidR="00DB6BEE">
          <w:rPr>
            <w:noProof/>
            <w:webHidden/>
          </w:rPr>
          <w:instrText xml:space="preserve"> PAGEREF _Toc200210144 \h </w:instrText>
        </w:r>
        <w:r w:rsidR="00DB6BEE">
          <w:rPr>
            <w:noProof/>
            <w:webHidden/>
          </w:rPr>
        </w:r>
        <w:r w:rsidR="00DB6BEE">
          <w:rPr>
            <w:noProof/>
            <w:webHidden/>
          </w:rPr>
          <w:fldChar w:fldCharType="separate"/>
        </w:r>
        <w:r w:rsidR="00DB6BEE">
          <w:rPr>
            <w:noProof/>
            <w:webHidden/>
          </w:rPr>
          <w:t>112</w:t>
        </w:r>
        <w:r w:rsidR="00DB6BEE">
          <w:rPr>
            <w:noProof/>
            <w:webHidden/>
          </w:rPr>
          <w:fldChar w:fldCharType="end"/>
        </w:r>
      </w:hyperlink>
    </w:p>
    <w:p w14:paraId="5507332D" w14:textId="4508CB31"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5" w:history="1">
        <w:r w:rsidR="00DB6BEE" w:rsidRPr="00421087">
          <w:rPr>
            <w:rStyle w:val="Lienhypertexte"/>
            <w:noProof/>
          </w:rPr>
          <w:t>Tableau 37:  Fréquence des conditions de réussite d’un modèle de financement mixte</w:t>
        </w:r>
        <w:r w:rsidR="00DB6BEE">
          <w:rPr>
            <w:noProof/>
            <w:webHidden/>
          </w:rPr>
          <w:tab/>
        </w:r>
        <w:r w:rsidR="00DB6BEE">
          <w:rPr>
            <w:noProof/>
            <w:webHidden/>
          </w:rPr>
          <w:fldChar w:fldCharType="begin"/>
        </w:r>
        <w:r w:rsidR="00DB6BEE">
          <w:rPr>
            <w:noProof/>
            <w:webHidden/>
          </w:rPr>
          <w:instrText xml:space="preserve"> PAGEREF _Toc200210145 \h </w:instrText>
        </w:r>
        <w:r w:rsidR="00DB6BEE">
          <w:rPr>
            <w:noProof/>
            <w:webHidden/>
          </w:rPr>
        </w:r>
        <w:r w:rsidR="00DB6BEE">
          <w:rPr>
            <w:noProof/>
            <w:webHidden/>
          </w:rPr>
          <w:fldChar w:fldCharType="separate"/>
        </w:r>
        <w:r w:rsidR="00DB6BEE">
          <w:rPr>
            <w:noProof/>
            <w:webHidden/>
          </w:rPr>
          <w:t>113</w:t>
        </w:r>
        <w:r w:rsidR="00DB6BEE">
          <w:rPr>
            <w:noProof/>
            <w:webHidden/>
          </w:rPr>
          <w:fldChar w:fldCharType="end"/>
        </w:r>
      </w:hyperlink>
    </w:p>
    <w:p w14:paraId="10432C74" w14:textId="1A397637"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6" w:history="1">
        <w:r w:rsidR="00DB6BEE" w:rsidRPr="00421087">
          <w:rPr>
            <w:rStyle w:val="Lienhypertexte"/>
            <w:noProof/>
          </w:rPr>
          <w:t>Tableau 38 :  Fréquence des avantages perçus d’un financement mixte</w:t>
        </w:r>
        <w:r w:rsidR="00DB6BEE">
          <w:rPr>
            <w:noProof/>
            <w:webHidden/>
          </w:rPr>
          <w:tab/>
        </w:r>
        <w:r w:rsidR="00DB6BEE">
          <w:rPr>
            <w:noProof/>
            <w:webHidden/>
          </w:rPr>
          <w:fldChar w:fldCharType="begin"/>
        </w:r>
        <w:r w:rsidR="00DB6BEE">
          <w:rPr>
            <w:noProof/>
            <w:webHidden/>
          </w:rPr>
          <w:instrText xml:space="preserve"> PAGEREF _Toc200210146 \h </w:instrText>
        </w:r>
        <w:r w:rsidR="00DB6BEE">
          <w:rPr>
            <w:noProof/>
            <w:webHidden/>
          </w:rPr>
        </w:r>
        <w:r w:rsidR="00DB6BEE">
          <w:rPr>
            <w:noProof/>
            <w:webHidden/>
          </w:rPr>
          <w:fldChar w:fldCharType="separate"/>
        </w:r>
        <w:r w:rsidR="00DB6BEE">
          <w:rPr>
            <w:noProof/>
            <w:webHidden/>
          </w:rPr>
          <w:t>114</w:t>
        </w:r>
        <w:r w:rsidR="00DB6BEE">
          <w:rPr>
            <w:noProof/>
            <w:webHidden/>
          </w:rPr>
          <w:fldChar w:fldCharType="end"/>
        </w:r>
      </w:hyperlink>
    </w:p>
    <w:p w14:paraId="7C0D0F37" w14:textId="1BF1FF36"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7" w:history="1">
        <w:r w:rsidR="00DB6BEE" w:rsidRPr="00421087">
          <w:rPr>
            <w:rStyle w:val="Lienhypertexte"/>
            <w:noProof/>
          </w:rPr>
          <w:t>Tableau 39:  Fréquence des facteurs facilitateurs identifiés</w:t>
        </w:r>
        <w:r w:rsidR="00DB6BEE">
          <w:rPr>
            <w:noProof/>
            <w:webHidden/>
          </w:rPr>
          <w:tab/>
        </w:r>
        <w:r w:rsidR="00DB6BEE">
          <w:rPr>
            <w:noProof/>
            <w:webHidden/>
          </w:rPr>
          <w:fldChar w:fldCharType="begin"/>
        </w:r>
        <w:r w:rsidR="00DB6BEE">
          <w:rPr>
            <w:noProof/>
            <w:webHidden/>
          </w:rPr>
          <w:instrText xml:space="preserve"> PAGEREF _Toc200210147 \h </w:instrText>
        </w:r>
        <w:r w:rsidR="00DB6BEE">
          <w:rPr>
            <w:noProof/>
            <w:webHidden/>
          </w:rPr>
        </w:r>
        <w:r w:rsidR="00DB6BEE">
          <w:rPr>
            <w:noProof/>
            <w:webHidden/>
          </w:rPr>
          <w:fldChar w:fldCharType="separate"/>
        </w:r>
        <w:r w:rsidR="00DB6BEE">
          <w:rPr>
            <w:noProof/>
            <w:webHidden/>
          </w:rPr>
          <w:t>115</w:t>
        </w:r>
        <w:r w:rsidR="00DB6BEE">
          <w:rPr>
            <w:noProof/>
            <w:webHidden/>
          </w:rPr>
          <w:fldChar w:fldCharType="end"/>
        </w:r>
      </w:hyperlink>
    </w:p>
    <w:p w14:paraId="1C0DB036" w14:textId="653D86C8"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8" w:history="1">
        <w:r w:rsidR="00DB6BEE" w:rsidRPr="00421087">
          <w:rPr>
            <w:rStyle w:val="Lienhypertexte"/>
            <w:noProof/>
          </w:rPr>
          <w:t>Tableau 40 :  Fréquence des obstacles à la mise en place d’un financement mixte</w:t>
        </w:r>
        <w:r w:rsidR="00DB6BEE">
          <w:rPr>
            <w:noProof/>
            <w:webHidden/>
          </w:rPr>
          <w:tab/>
        </w:r>
        <w:r w:rsidR="00DB6BEE">
          <w:rPr>
            <w:noProof/>
            <w:webHidden/>
          </w:rPr>
          <w:fldChar w:fldCharType="begin"/>
        </w:r>
        <w:r w:rsidR="00DB6BEE">
          <w:rPr>
            <w:noProof/>
            <w:webHidden/>
          </w:rPr>
          <w:instrText xml:space="preserve"> PAGEREF _Toc200210148 \h </w:instrText>
        </w:r>
        <w:r w:rsidR="00DB6BEE">
          <w:rPr>
            <w:noProof/>
            <w:webHidden/>
          </w:rPr>
        </w:r>
        <w:r w:rsidR="00DB6BEE">
          <w:rPr>
            <w:noProof/>
            <w:webHidden/>
          </w:rPr>
          <w:fldChar w:fldCharType="separate"/>
        </w:r>
        <w:r w:rsidR="00DB6BEE">
          <w:rPr>
            <w:noProof/>
            <w:webHidden/>
          </w:rPr>
          <w:t>116</w:t>
        </w:r>
        <w:r w:rsidR="00DB6BEE">
          <w:rPr>
            <w:noProof/>
            <w:webHidden/>
          </w:rPr>
          <w:fldChar w:fldCharType="end"/>
        </w:r>
      </w:hyperlink>
    </w:p>
    <w:p w14:paraId="542DCB94" w14:textId="3C382A38"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49" w:history="1">
        <w:r w:rsidR="00DB6BEE" w:rsidRPr="00421087">
          <w:rPr>
            <w:rStyle w:val="Lienhypertexte"/>
            <w:noProof/>
          </w:rPr>
          <w:t>Tableau 41 :  Fréquence des éléments souhaités dans le nouveau mode de financement</w:t>
        </w:r>
        <w:r w:rsidR="00DB6BEE">
          <w:rPr>
            <w:noProof/>
            <w:webHidden/>
          </w:rPr>
          <w:tab/>
        </w:r>
        <w:r w:rsidR="00DB6BEE">
          <w:rPr>
            <w:noProof/>
            <w:webHidden/>
          </w:rPr>
          <w:fldChar w:fldCharType="begin"/>
        </w:r>
        <w:r w:rsidR="00DB6BEE">
          <w:rPr>
            <w:noProof/>
            <w:webHidden/>
          </w:rPr>
          <w:instrText xml:space="preserve"> PAGEREF _Toc200210149 \h </w:instrText>
        </w:r>
        <w:r w:rsidR="00DB6BEE">
          <w:rPr>
            <w:noProof/>
            <w:webHidden/>
          </w:rPr>
        </w:r>
        <w:r w:rsidR="00DB6BEE">
          <w:rPr>
            <w:noProof/>
            <w:webHidden/>
          </w:rPr>
          <w:fldChar w:fldCharType="separate"/>
        </w:r>
        <w:r w:rsidR="00DB6BEE">
          <w:rPr>
            <w:noProof/>
            <w:webHidden/>
          </w:rPr>
          <w:t>117</w:t>
        </w:r>
        <w:r w:rsidR="00DB6BEE">
          <w:rPr>
            <w:noProof/>
            <w:webHidden/>
          </w:rPr>
          <w:fldChar w:fldCharType="end"/>
        </w:r>
      </w:hyperlink>
    </w:p>
    <w:p w14:paraId="7BE7BCF0" w14:textId="2AFB40B3"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50" w:history="1">
        <w:r w:rsidR="00DB6BEE" w:rsidRPr="00421087">
          <w:rPr>
            <w:rStyle w:val="Lienhypertexte"/>
            <w:noProof/>
          </w:rPr>
          <w:t>Tableau 42: Croisement la question 5 et la question 11</w:t>
        </w:r>
        <w:r w:rsidR="00DB6BEE">
          <w:rPr>
            <w:noProof/>
            <w:webHidden/>
          </w:rPr>
          <w:tab/>
        </w:r>
        <w:r w:rsidR="00DB6BEE">
          <w:rPr>
            <w:noProof/>
            <w:webHidden/>
          </w:rPr>
          <w:fldChar w:fldCharType="begin"/>
        </w:r>
        <w:r w:rsidR="00DB6BEE">
          <w:rPr>
            <w:noProof/>
            <w:webHidden/>
          </w:rPr>
          <w:instrText xml:space="preserve"> PAGEREF _Toc200210150 \h </w:instrText>
        </w:r>
        <w:r w:rsidR="00DB6BEE">
          <w:rPr>
            <w:noProof/>
            <w:webHidden/>
          </w:rPr>
        </w:r>
        <w:r w:rsidR="00DB6BEE">
          <w:rPr>
            <w:noProof/>
            <w:webHidden/>
          </w:rPr>
          <w:fldChar w:fldCharType="separate"/>
        </w:r>
        <w:r w:rsidR="00DB6BEE">
          <w:rPr>
            <w:noProof/>
            <w:webHidden/>
          </w:rPr>
          <w:t>119</w:t>
        </w:r>
        <w:r w:rsidR="00DB6BEE">
          <w:rPr>
            <w:noProof/>
            <w:webHidden/>
          </w:rPr>
          <w:fldChar w:fldCharType="end"/>
        </w:r>
      </w:hyperlink>
    </w:p>
    <w:p w14:paraId="04482AAB" w14:textId="58CA5C26"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51" w:history="1">
        <w:r w:rsidR="00DB6BEE" w:rsidRPr="00421087">
          <w:rPr>
            <w:rStyle w:val="Lienhypertexte"/>
            <w:noProof/>
          </w:rPr>
          <w:t>Tableau 43:  Test du Khi²</w:t>
        </w:r>
        <w:r w:rsidR="00DB6BEE">
          <w:rPr>
            <w:noProof/>
            <w:webHidden/>
          </w:rPr>
          <w:tab/>
        </w:r>
        <w:r w:rsidR="00DB6BEE">
          <w:rPr>
            <w:noProof/>
            <w:webHidden/>
          </w:rPr>
          <w:fldChar w:fldCharType="begin"/>
        </w:r>
        <w:r w:rsidR="00DB6BEE">
          <w:rPr>
            <w:noProof/>
            <w:webHidden/>
          </w:rPr>
          <w:instrText xml:space="preserve"> PAGEREF _Toc200210151 \h </w:instrText>
        </w:r>
        <w:r w:rsidR="00DB6BEE">
          <w:rPr>
            <w:noProof/>
            <w:webHidden/>
          </w:rPr>
        </w:r>
        <w:r w:rsidR="00DB6BEE">
          <w:rPr>
            <w:noProof/>
            <w:webHidden/>
          </w:rPr>
          <w:fldChar w:fldCharType="separate"/>
        </w:r>
        <w:r w:rsidR="00DB6BEE">
          <w:rPr>
            <w:noProof/>
            <w:webHidden/>
          </w:rPr>
          <w:t>119</w:t>
        </w:r>
        <w:r w:rsidR="00DB6BEE">
          <w:rPr>
            <w:noProof/>
            <w:webHidden/>
          </w:rPr>
          <w:fldChar w:fldCharType="end"/>
        </w:r>
      </w:hyperlink>
    </w:p>
    <w:p w14:paraId="5F998FC0" w14:textId="73327C86" w:rsidR="00DB6BEE" w:rsidRDefault="0095621A">
      <w:pPr>
        <w:pStyle w:val="Tabledesillustrations"/>
        <w:tabs>
          <w:tab w:val="right" w:leader="dot" w:pos="9062"/>
        </w:tabs>
        <w:rPr>
          <w:rFonts w:asciiTheme="minorHAnsi" w:eastAsiaTheme="minorEastAsia" w:hAnsiTheme="minorHAnsi"/>
          <w:noProof/>
          <w:kern w:val="2"/>
          <w:szCs w:val="24"/>
          <w:lang w:eastAsia="fr-FR"/>
          <w14:ligatures w14:val="standardContextual"/>
        </w:rPr>
      </w:pPr>
      <w:hyperlink w:anchor="_Toc200210152" w:history="1">
        <w:r w:rsidR="00DB6BEE" w:rsidRPr="00421087">
          <w:rPr>
            <w:rStyle w:val="Lienhypertexte"/>
            <w:noProof/>
          </w:rPr>
          <w:t>Tableau 44: Tableau comparatif : Budget global actuel vs Base fixe du modèle mixte</w:t>
        </w:r>
        <w:r w:rsidR="00DB6BEE">
          <w:rPr>
            <w:noProof/>
            <w:webHidden/>
          </w:rPr>
          <w:tab/>
        </w:r>
        <w:r w:rsidR="00DB6BEE">
          <w:rPr>
            <w:noProof/>
            <w:webHidden/>
          </w:rPr>
          <w:fldChar w:fldCharType="begin"/>
        </w:r>
        <w:r w:rsidR="00DB6BEE">
          <w:rPr>
            <w:noProof/>
            <w:webHidden/>
          </w:rPr>
          <w:instrText xml:space="preserve"> PAGEREF _Toc200210152 \h </w:instrText>
        </w:r>
        <w:r w:rsidR="00DB6BEE">
          <w:rPr>
            <w:noProof/>
            <w:webHidden/>
          </w:rPr>
        </w:r>
        <w:r w:rsidR="00DB6BEE">
          <w:rPr>
            <w:noProof/>
            <w:webHidden/>
          </w:rPr>
          <w:fldChar w:fldCharType="separate"/>
        </w:r>
        <w:r w:rsidR="00DB6BEE">
          <w:rPr>
            <w:noProof/>
            <w:webHidden/>
          </w:rPr>
          <w:t>122</w:t>
        </w:r>
        <w:r w:rsidR="00DB6BEE">
          <w:rPr>
            <w:noProof/>
            <w:webHidden/>
          </w:rPr>
          <w:fldChar w:fldCharType="end"/>
        </w:r>
      </w:hyperlink>
    </w:p>
    <w:p w14:paraId="222921EC" w14:textId="0100DD07" w:rsidR="00512E0A" w:rsidRPr="0042292B" w:rsidRDefault="00DB6BEE" w:rsidP="0042292B">
      <w:pPr>
        <w:jc w:val="both"/>
        <w:rPr>
          <w:rStyle w:val="lev"/>
          <w:rFonts w:asciiTheme="majorBidi" w:hAnsiTheme="majorBidi" w:cstheme="majorBidi"/>
          <w:b w:val="0"/>
          <w:bCs w:val="0"/>
          <w:sz w:val="24"/>
          <w:szCs w:val="24"/>
        </w:rPr>
      </w:pPr>
      <w:r>
        <w:rPr>
          <w:rFonts w:eastAsiaTheme="minorEastAsia"/>
          <w:b/>
          <w:bCs/>
          <w:lang w:eastAsia="fr-FR"/>
        </w:rPr>
        <w:fldChar w:fldCharType="end"/>
      </w:r>
      <w:bookmarkStart w:id="6" w:name="_Toc199958798"/>
      <w:r w:rsidR="00512E0A">
        <w:rPr>
          <w:rStyle w:val="lev"/>
        </w:rPr>
        <w:br w:type="page"/>
      </w:r>
    </w:p>
    <w:p w14:paraId="04838117" w14:textId="2C53B3E5" w:rsidR="00C102E7" w:rsidRPr="00727436" w:rsidRDefault="00C102E7" w:rsidP="0077376F">
      <w:pPr>
        <w:pStyle w:val="Titre1"/>
        <w:rPr>
          <w:rStyle w:val="lev"/>
        </w:rPr>
      </w:pPr>
      <w:r w:rsidRPr="00727436">
        <w:rPr>
          <w:rStyle w:val="lev"/>
        </w:rPr>
        <w:lastRenderedPageBreak/>
        <w:t>Liste des abréviations</w:t>
      </w:r>
      <w:bookmarkEnd w:id="6"/>
    </w:p>
    <w:p w14:paraId="43FBFF3C" w14:textId="4064DB43" w:rsidR="00C44494" w:rsidRDefault="00F079DC" w:rsidP="00232E3E">
      <w:pPr>
        <w:pStyle w:val="NormalWeb"/>
        <w:jc w:val="both"/>
      </w:pPr>
      <w:r>
        <w:rPr>
          <w:rFonts w:hAnsi="Symbol"/>
        </w:rPr>
        <w:t></w:t>
      </w:r>
      <w:r>
        <w:t xml:space="preserve"> ATIH</w:t>
      </w:r>
      <w:r w:rsidR="00C44494">
        <w:t xml:space="preserve"> : Agence Technique de l’Information sur l’Hospitalisation</w:t>
      </w:r>
    </w:p>
    <w:p w14:paraId="357B7D42" w14:textId="5AE7A1FC" w:rsidR="00C44494" w:rsidRDefault="00F079DC" w:rsidP="00232E3E">
      <w:pPr>
        <w:pStyle w:val="NormalWeb"/>
        <w:jc w:val="both"/>
      </w:pPr>
      <w:r>
        <w:rPr>
          <w:rFonts w:hAnsi="Symbol"/>
        </w:rPr>
        <w:t></w:t>
      </w:r>
      <w:r>
        <w:t xml:space="preserve"> CASNOS</w:t>
      </w:r>
      <w:r w:rsidR="00C44494">
        <w:t xml:space="preserve"> : Caisse Nationale de Sécurité Sociale des Non-Salariés</w:t>
      </w:r>
    </w:p>
    <w:p w14:paraId="5D812C5C" w14:textId="218302D8" w:rsidR="00C44494" w:rsidRDefault="00F079DC" w:rsidP="00232E3E">
      <w:pPr>
        <w:pStyle w:val="NormalWeb"/>
        <w:jc w:val="both"/>
      </w:pPr>
      <w:r>
        <w:rPr>
          <w:rFonts w:hAnsi="Symbol"/>
        </w:rPr>
        <w:t></w:t>
      </w:r>
      <w:r>
        <w:t xml:space="preserve"> CNAS</w:t>
      </w:r>
      <w:r w:rsidR="00C44494">
        <w:t xml:space="preserve"> : Caisse Nationale des Assurances Sociales des Travailleurs Salariés</w:t>
      </w:r>
    </w:p>
    <w:p w14:paraId="3F8FA807" w14:textId="1E97082D" w:rsidR="00C44494" w:rsidRDefault="00F079DC" w:rsidP="00232E3E">
      <w:pPr>
        <w:pStyle w:val="NormalWeb"/>
        <w:jc w:val="both"/>
      </w:pPr>
      <w:r>
        <w:rPr>
          <w:rFonts w:hAnsi="Symbol"/>
        </w:rPr>
        <w:t></w:t>
      </w:r>
      <w:r>
        <w:t xml:space="preserve"> DRASS</w:t>
      </w:r>
      <w:r w:rsidR="00C44494">
        <w:t xml:space="preserve"> : Direction Régionale des Affaires Sanitaires et Sociales</w:t>
      </w:r>
    </w:p>
    <w:p w14:paraId="052DEFE2" w14:textId="0DC4A436" w:rsidR="00C44494" w:rsidRDefault="00F079DC" w:rsidP="00232E3E">
      <w:pPr>
        <w:pStyle w:val="NormalWeb"/>
        <w:jc w:val="both"/>
      </w:pPr>
      <w:r>
        <w:rPr>
          <w:rFonts w:hAnsi="Symbol"/>
        </w:rPr>
        <w:t></w:t>
      </w:r>
      <w:r>
        <w:t xml:space="preserve"> DRG</w:t>
      </w:r>
      <w:r w:rsidR="00C44494">
        <w:t xml:space="preserve"> : </w:t>
      </w:r>
      <w:proofErr w:type="spellStart"/>
      <w:r w:rsidR="00C44494">
        <w:t>Diagnosis</w:t>
      </w:r>
      <w:proofErr w:type="spellEnd"/>
      <w:r w:rsidR="00C44494">
        <w:t xml:space="preserve"> </w:t>
      </w:r>
      <w:proofErr w:type="spellStart"/>
      <w:r w:rsidR="00C44494">
        <w:t>Related</w:t>
      </w:r>
      <w:proofErr w:type="spellEnd"/>
      <w:r w:rsidR="00C44494">
        <w:t xml:space="preserve"> Groups</w:t>
      </w:r>
    </w:p>
    <w:p w14:paraId="4E5874B0" w14:textId="2AE57293" w:rsidR="00C44494" w:rsidRDefault="00F079DC" w:rsidP="00232E3E">
      <w:pPr>
        <w:pStyle w:val="NormalWeb"/>
        <w:jc w:val="both"/>
      </w:pPr>
      <w:r>
        <w:rPr>
          <w:rFonts w:hAnsi="Symbol"/>
        </w:rPr>
        <w:t></w:t>
      </w:r>
      <w:r>
        <w:t xml:space="preserve"> EPH</w:t>
      </w:r>
      <w:r w:rsidR="00C44494">
        <w:t xml:space="preserve"> : Établissement Public Hospitalier</w:t>
      </w:r>
    </w:p>
    <w:p w14:paraId="328157A2" w14:textId="3156CC38" w:rsidR="00C44494" w:rsidRDefault="00F079DC" w:rsidP="00232E3E">
      <w:pPr>
        <w:pStyle w:val="NormalWeb"/>
        <w:jc w:val="both"/>
      </w:pPr>
      <w:r>
        <w:rPr>
          <w:rFonts w:hAnsi="Symbol"/>
        </w:rPr>
        <w:t></w:t>
      </w:r>
      <w:r>
        <w:t xml:space="preserve"> GHM</w:t>
      </w:r>
      <w:r w:rsidR="00C44494">
        <w:t xml:space="preserve"> : Groupe Homogène de Malades</w:t>
      </w:r>
    </w:p>
    <w:p w14:paraId="270BB792" w14:textId="6E57ACB5" w:rsidR="00C44494" w:rsidRDefault="00F079DC" w:rsidP="00232E3E">
      <w:pPr>
        <w:pStyle w:val="NormalWeb"/>
        <w:jc w:val="both"/>
      </w:pPr>
      <w:r>
        <w:rPr>
          <w:rFonts w:hAnsi="Symbol"/>
        </w:rPr>
        <w:t></w:t>
      </w:r>
      <w:r>
        <w:t xml:space="preserve"> GHS</w:t>
      </w:r>
      <w:r w:rsidR="00C44494">
        <w:t xml:space="preserve"> : Groupe Homogène de Séjours</w:t>
      </w:r>
    </w:p>
    <w:p w14:paraId="078E2E17" w14:textId="23119E25" w:rsidR="00C44494" w:rsidRDefault="00F079DC" w:rsidP="00232E3E">
      <w:pPr>
        <w:pStyle w:val="NormalWeb"/>
        <w:jc w:val="both"/>
      </w:pPr>
      <w:r>
        <w:rPr>
          <w:rFonts w:hAnsi="Symbol"/>
        </w:rPr>
        <w:t></w:t>
      </w:r>
      <w:r>
        <w:t xml:space="preserve"> HAD</w:t>
      </w:r>
      <w:r w:rsidR="00C44494">
        <w:t xml:space="preserve"> : Hospitalisation À Domicile</w:t>
      </w:r>
    </w:p>
    <w:p w14:paraId="748AD7DB" w14:textId="5C6A69AF" w:rsidR="00C44494" w:rsidRDefault="00F079DC" w:rsidP="00232E3E">
      <w:pPr>
        <w:pStyle w:val="NormalWeb"/>
        <w:jc w:val="both"/>
      </w:pPr>
      <w:r>
        <w:rPr>
          <w:rFonts w:hAnsi="Symbol"/>
        </w:rPr>
        <w:t></w:t>
      </w:r>
      <w:r>
        <w:t xml:space="preserve"> HMO</w:t>
      </w:r>
      <w:r w:rsidR="00C44494">
        <w:t xml:space="preserve"> : Health Maintenance </w:t>
      </w:r>
      <w:proofErr w:type="spellStart"/>
      <w:r w:rsidR="00C44494">
        <w:t>Organization</w:t>
      </w:r>
      <w:proofErr w:type="spellEnd"/>
    </w:p>
    <w:p w14:paraId="0D87F2E9" w14:textId="66EB7849" w:rsidR="00C44494" w:rsidRDefault="00F079DC" w:rsidP="00232E3E">
      <w:pPr>
        <w:pStyle w:val="NormalWeb"/>
        <w:jc w:val="both"/>
      </w:pPr>
      <w:r>
        <w:rPr>
          <w:rFonts w:hAnsi="Symbol"/>
        </w:rPr>
        <w:t></w:t>
      </w:r>
      <w:r>
        <w:t xml:space="preserve"> MCO</w:t>
      </w:r>
      <w:r w:rsidR="00C44494">
        <w:t xml:space="preserve"> : Médecine, Chirurgie, Obstétrique</w:t>
      </w:r>
    </w:p>
    <w:p w14:paraId="337E7BFC" w14:textId="609BEF2D" w:rsidR="00C44494" w:rsidRDefault="00F079DC" w:rsidP="00232E3E">
      <w:pPr>
        <w:pStyle w:val="NormalWeb"/>
        <w:jc w:val="both"/>
      </w:pPr>
      <w:r>
        <w:rPr>
          <w:rFonts w:hAnsi="Symbol"/>
        </w:rPr>
        <w:t></w:t>
      </w:r>
      <w:r>
        <w:t xml:space="preserve"> MIGAC</w:t>
      </w:r>
      <w:r w:rsidR="00C44494">
        <w:t xml:space="preserve"> : Missions d’Intérêt Général et d’Aide à la Contractualisation</w:t>
      </w:r>
    </w:p>
    <w:p w14:paraId="166733E3" w14:textId="3F59C1BB" w:rsidR="00C44494" w:rsidRDefault="00F079DC" w:rsidP="00232E3E">
      <w:pPr>
        <w:pStyle w:val="NormalWeb"/>
        <w:jc w:val="both"/>
      </w:pPr>
      <w:r>
        <w:rPr>
          <w:rFonts w:hAnsi="Symbol"/>
        </w:rPr>
        <w:t></w:t>
      </w:r>
      <w:r>
        <w:t xml:space="preserve"> NHS</w:t>
      </w:r>
      <w:r w:rsidR="00C44494">
        <w:t xml:space="preserve"> : National Health Service</w:t>
      </w:r>
    </w:p>
    <w:p w14:paraId="103E4DEE" w14:textId="578510F6" w:rsidR="00C44494" w:rsidRDefault="00F079DC" w:rsidP="00232E3E">
      <w:pPr>
        <w:pStyle w:val="NormalWeb"/>
        <w:jc w:val="both"/>
      </w:pPr>
      <w:r>
        <w:rPr>
          <w:rFonts w:hAnsi="Symbol"/>
        </w:rPr>
        <w:t></w:t>
      </w:r>
      <w:r>
        <w:t xml:space="preserve"> OCAM</w:t>
      </w:r>
      <w:r w:rsidR="00C44494">
        <w:t xml:space="preserve"> : Organismes Complémentaires d’Assurance Maladie</w:t>
      </w:r>
    </w:p>
    <w:p w14:paraId="41405B5C" w14:textId="0A209D80" w:rsidR="00C44494" w:rsidRDefault="00F079DC" w:rsidP="00232E3E">
      <w:pPr>
        <w:pStyle w:val="NormalWeb"/>
        <w:jc w:val="both"/>
      </w:pPr>
      <w:r>
        <w:rPr>
          <w:rFonts w:hAnsi="Symbol"/>
        </w:rPr>
        <w:t></w:t>
      </w:r>
      <w:r>
        <w:t xml:space="preserve"> OMS</w:t>
      </w:r>
      <w:r w:rsidR="00C44494">
        <w:t xml:space="preserve"> : Organisation Mondiale de la Santé</w:t>
      </w:r>
    </w:p>
    <w:p w14:paraId="5CFD9F3A" w14:textId="41C57A01" w:rsidR="00C44494" w:rsidRDefault="00F079DC" w:rsidP="00232E3E">
      <w:pPr>
        <w:pStyle w:val="NormalWeb"/>
        <w:jc w:val="both"/>
      </w:pPr>
      <w:r>
        <w:rPr>
          <w:rFonts w:hAnsi="Symbol"/>
        </w:rPr>
        <w:t></w:t>
      </w:r>
      <w:r>
        <w:t xml:space="preserve"> PMSI</w:t>
      </w:r>
      <w:r w:rsidR="00C44494">
        <w:t xml:space="preserve"> : Programme de Médicalisation des Systèmes d’Information</w:t>
      </w:r>
    </w:p>
    <w:p w14:paraId="08D266DD" w14:textId="6C5EF4FE" w:rsidR="00C44494" w:rsidRDefault="00F079DC" w:rsidP="00232E3E">
      <w:pPr>
        <w:pStyle w:val="NormalWeb"/>
        <w:jc w:val="both"/>
      </w:pPr>
      <w:r>
        <w:rPr>
          <w:rFonts w:hAnsi="Symbol"/>
        </w:rPr>
        <w:t></w:t>
      </w:r>
      <w:r>
        <w:t xml:space="preserve"> RSA</w:t>
      </w:r>
      <w:r w:rsidR="00C44494">
        <w:t xml:space="preserve"> : Résumé de Sortie Anonyme</w:t>
      </w:r>
    </w:p>
    <w:p w14:paraId="0AC0EA41" w14:textId="4F268CB8" w:rsidR="00C44494" w:rsidRDefault="00F079DC" w:rsidP="00232E3E">
      <w:pPr>
        <w:pStyle w:val="NormalWeb"/>
        <w:jc w:val="both"/>
      </w:pPr>
      <w:r>
        <w:rPr>
          <w:rFonts w:hAnsi="Symbol"/>
        </w:rPr>
        <w:t></w:t>
      </w:r>
      <w:r>
        <w:t xml:space="preserve"> SDAM</w:t>
      </w:r>
      <w:r w:rsidR="00C44494">
        <w:t xml:space="preserve"> : Sous-direction de l’Administration des Moyens</w:t>
      </w:r>
    </w:p>
    <w:p w14:paraId="25E77B68" w14:textId="552585F3" w:rsidR="00C44494" w:rsidRDefault="00F079DC" w:rsidP="00232E3E">
      <w:pPr>
        <w:pStyle w:val="NormalWeb"/>
        <w:jc w:val="both"/>
      </w:pPr>
      <w:r>
        <w:rPr>
          <w:rFonts w:hAnsi="Symbol"/>
        </w:rPr>
        <w:t></w:t>
      </w:r>
      <w:r>
        <w:t xml:space="preserve"> SI</w:t>
      </w:r>
      <w:r w:rsidR="00C44494">
        <w:t xml:space="preserve"> : Système d’Information</w:t>
      </w:r>
    </w:p>
    <w:p w14:paraId="3C761CAC" w14:textId="316AD600" w:rsidR="00C44494" w:rsidRDefault="00F079DC" w:rsidP="00232E3E">
      <w:pPr>
        <w:pStyle w:val="NormalWeb"/>
        <w:jc w:val="both"/>
      </w:pPr>
      <w:r>
        <w:rPr>
          <w:rFonts w:hAnsi="Symbol"/>
        </w:rPr>
        <w:t></w:t>
      </w:r>
      <w:r>
        <w:t xml:space="preserve"> SIH</w:t>
      </w:r>
      <w:r w:rsidR="00C44494">
        <w:t xml:space="preserve"> : Système d’Information Hospitalier</w:t>
      </w:r>
    </w:p>
    <w:p w14:paraId="1A36CECC" w14:textId="440F5E8F" w:rsidR="00C44494" w:rsidRDefault="00F079DC" w:rsidP="00232E3E">
      <w:pPr>
        <w:pStyle w:val="NormalWeb"/>
        <w:jc w:val="both"/>
      </w:pPr>
      <w:r>
        <w:rPr>
          <w:rFonts w:hAnsi="Symbol"/>
        </w:rPr>
        <w:t></w:t>
      </w:r>
      <w:r>
        <w:t xml:space="preserve"> SIS</w:t>
      </w:r>
      <w:r w:rsidR="00C44494">
        <w:t xml:space="preserve"> : Système d’Information en Santé</w:t>
      </w:r>
    </w:p>
    <w:p w14:paraId="43A8398E" w14:textId="43720008" w:rsidR="00C44494" w:rsidRDefault="00F079DC" w:rsidP="00232E3E">
      <w:pPr>
        <w:pStyle w:val="NormalWeb"/>
        <w:jc w:val="both"/>
      </w:pPr>
      <w:r>
        <w:rPr>
          <w:rFonts w:hAnsi="Symbol"/>
        </w:rPr>
        <w:t></w:t>
      </w:r>
      <w:r>
        <w:t xml:space="preserve"> SNIS</w:t>
      </w:r>
      <w:r w:rsidR="00C44494">
        <w:t xml:space="preserve"> : Système National d’Information Sanitaire</w:t>
      </w:r>
    </w:p>
    <w:p w14:paraId="27B4E76F" w14:textId="113EFBC7" w:rsidR="00C44494" w:rsidRDefault="00F079DC" w:rsidP="00232E3E">
      <w:pPr>
        <w:pStyle w:val="NormalWeb"/>
        <w:jc w:val="both"/>
      </w:pPr>
      <w:r>
        <w:rPr>
          <w:rFonts w:hAnsi="Symbol"/>
        </w:rPr>
        <w:t></w:t>
      </w:r>
      <w:r>
        <w:t xml:space="preserve"> SNAPO</w:t>
      </w:r>
      <w:r w:rsidR="00C44494">
        <w:t xml:space="preserve"> : Syndicat National Algérien des Pharmaciens d’Officine</w:t>
      </w:r>
    </w:p>
    <w:p w14:paraId="621F67E9" w14:textId="3289F117" w:rsidR="00C44494" w:rsidRPr="00C44494" w:rsidRDefault="00F079DC" w:rsidP="00232E3E">
      <w:pPr>
        <w:pStyle w:val="NormalWeb"/>
        <w:jc w:val="both"/>
        <w:rPr>
          <w:lang w:val="en-US"/>
        </w:rPr>
      </w:pPr>
      <w:r>
        <w:rPr>
          <w:rFonts w:hAnsi="Symbol"/>
        </w:rPr>
        <w:lastRenderedPageBreak/>
        <w:t></w:t>
      </w:r>
      <w:r w:rsidRPr="00C44494">
        <w:rPr>
          <w:lang w:val="en-US"/>
        </w:rPr>
        <w:t xml:space="preserve"> SPSS</w:t>
      </w:r>
      <w:r w:rsidR="00C44494" w:rsidRPr="00C44494">
        <w:rPr>
          <w:lang w:val="en-US"/>
        </w:rPr>
        <w:t xml:space="preserve"> : Statistical Package for the Social Sciences</w:t>
      </w:r>
    </w:p>
    <w:p w14:paraId="69E246A2" w14:textId="44A2FC90" w:rsidR="00C44494" w:rsidRDefault="00F079DC" w:rsidP="00232E3E">
      <w:pPr>
        <w:pStyle w:val="NormalWeb"/>
        <w:jc w:val="both"/>
      </w:pPr>
      <w:r>
        <w:rPr>
          <w:rFonts w:hAnsi="Symbol"/>
        </w:rPr>
        <w:t></w:t>
      </w:r>
      <w:r>
        <w:t xml:space="preserve"> SSR</w:t>
      </w:r>
      <w:r w:rsidR="00C44494">
        <w:t xml:space="preserve"> : Soins de Suite et de Réadaptation</w:t>
      </w:r>
    </w:p>
    <w:p w14:paraId="28BCB1C2" w14:textId="76FE3BD6" w:rsidR="00C44494" w:rsidRDefault="00F079DC" w:rsidP="00232E3E">
      <w:pPr>
        <w:pStyle w:val="NormalWeb"/>
        <w:jc w:val="both"/>
      </w:pPr>
      <w:r>
        <w:rPr>
          <w:rFonts w:hAnsi="Symbol"/>
        </w:rPr>
        <w:t></w:t>
      </w:r>
      <w:r>
        <w:t xml:space="preserve"> T</w:t>
      </w:r>
      <w:r w:rsidR="00C44494" w:rsidRPr="00DA0A6B">
        <w:rPr>
          <w:rStyle w:val="lev"/>
          <w:b w:val="0"/>
          <w:bCs w:val="0"/>
          <w:sz w:val="24"/>
        </w:rPr>
        <w:t>2A</w:t>
      </w:r>
      <w:r w:rsidR="00C44494">
        <w:t xml:space="preserve"> : Tarification à l’Activité</w:t>
      </w:r>
    </w:p>
    <w:p w14:paraId="69FC3172" w14:textId="77777777" w:rsidR="00C102E7" w:rsidRPr="00C102E7" w:rsidRDefault="00C102E7" w:rsidP="00232E3E">
      <w:pPr>
        <w:jc w:val="both"/>
        <w:rPr>
          <w:rFonts w:asciiTheme="majorBidi" w:hAnsiTheme="majorBidi" w:cstheme="majorBidi"/>
          <w:szCs w:val="24"/>
        </w:rPr>
      </w:pPr>
    </w:p>
    <w:p w14:paraId="0B01D7AE" w14:textId="77777777" w:rsidR="00C102E7" w:rsidRPr="00C102E7" w:rsidRDefault="00C102E7" w:rsidP="00232E3E">
      <w:pPr>
        <w:jc w:val="both"/>
        <w:rPr>
          <w:rFonts w:asciiTheme="majorBidi" w:hAnsiTheme="majorBidi" w:cstheme="majorBidi"/>
          <w:szCs w:val="24"/>
        </w:rPr>
      </w:pPr>
    </w:p>
    <w:p w14:paraId="60BBEBF3" w14:textId="77777777" w:rsidR="00C102E7" w:rsidRPr="00C102E7" w:rsidRDefault="00C102E7" w:rsidP="00232E3E">
      <w:pPr>
        <w:jc w:val="both"/>
        <w:rPr>
          <w:rFonts w:asciiTheme="majorBidi" w:hAnsiTheme="majorBidi" w:cstheme="majorBidi"/>
          <w:szCs w:val="24"/>
        </w:rPr>
      </w:pPr>
    </w:p>
    <w:p w14:paraId="2457BCE5" w14:textId="77777777" w:rsidR="00C102E7" w:rsidRPr="00C102E7" w:rsidRDefault="00C102E7" w:rsidP="00232E3E">
      <w:pPr>
        <w:jc w:val="both"/>
        <w:rPr>
          <w:rFonts w:asciiTheme="majorBidi" w:hAnsiTheme="majorBidi" w:cstheme="majorBidi"/>
          <w:szCs w:val="24"/>
        </w:rPr>
      </w:pPr>
    </w:p>
    <w:p w14:paraId="54F65B15" w14:textId="77777777" w:rsidR="00C102E7" w:rsidRPr="00C102E7" w:rsidRDefault="00C102E7" w:rsidP="00232E3E">
      <w:pPr>
        <w:jc w:val="both"/>
        <w:rPr>
          <w:rFonts w:asciiTheme="majorBidi" w:hAnsiTheme="majorBidi" w:cstheme="majorBidi"/>
          <w:szCs w:val="24"/>
        </w:rPr>
      </w:pPr>
    </w:p>
    <w:p w14:paraId="0A110FD2" w14:textId="77777777" w:rsidR="00C102E7" w:rsidRPr="00C102E7" w:rsidRDefault="00C102E7" w:rsidP="00232E3E">
      <w:pPr>
        <w:jc w:val="both"/>
        <w:rPr>
          <w:rFonts w:asciiTheme="majorBidi" w:hAnsiTheme="majorBidi" w:cstheme="majorBidi"/>
          <w:szCs w:val="24"/>
        </w:rPr>
      </w:pPr>
    </w:p>
    <w:p w14:paraId="4B98A0F0" w14:textId="77777777" w:rsidR="00C102E7" w:rsidRPr="00C102E7" w:rsidRDefault="00C102E7" w:rsidP="00232E3E">
      <w:pPr>
        <w:jc w:val="both"/>
        <w:rPr>
          <w:rFonts w:asciiTheme="majorBidi" w:hAnsiTheme="majorBidi" w:cstheme="majorBidi"/>
          <w:szCs w:val="24"/>
        </w:rPr>
      </w:pPr>
    </w:p>
    <w:p w14:paraId="3962F320" w14:textId="77777777" w:rsidR="00C102E7" w:rsidRPr="00C102E7" w:rsidRDefault="00C102E7" w:rsidP="00232E3E">
      <w:pPr>
        <w:jc w:val="both"/>
        <w:rPr>
          <w:rFonts w:asciiTheme="majorBidi" w:hAnsiTheme="majorBidi" w:cstheme="majorBidi"/>
          <w:szCs w:val="24"/>
        </w:rPr>
      </w:pPr>
    </w:p>
    <w:p w14:paraId="2415E799" w14:textId="77777777" w:rsidR="00C102E7" w:rsidRDefault="00C102E7" w:rsidP="00232E3E">
      <w:pPr>
        <w:jc w:val="both"/>
        <w:rPr>
          <w:rFonts w:asciiTheme="majorBidi" w:hAnsiTheme="majorBidi" w:cstheme="majorBidi"/>
          <w:szCs w:val="24"/>
        </w:rPr>
      </w:pPr>
    </w:p>
    <w:p w14:paraId="77628B4E" w14:textId="77777777" w:rsidR="00C102E7" w:rsidRDefault="00C102E7" w:rsidP="00232E3E">
      <w:pPr>
        <w:jc w:val="both"/>
        <w:rPr>
          <w:rFonts w:asciiTheme="majorBidi" w:hAnsiTheme="majorBidi" w:cstheme="majorBidi"/>
          <w:szCs w:val="24"/>
        </w:rPr>
      </w:pPr>
    </w:p>
    <w:p w14:paraId="1A872E6B" w14:textId="77777777" w:rsidR="00C102E7" w:rsidRDefault="00C102E7" w:rsidP="00232E3E">
      <w:pPr>
        <w:jc w:val="both"/>
        <w:rPr>
          <w:rFonts w:asciiTheme="majorBidi" w:hAnsiTheme="majorBidi" w:cstheme="majorBidi"/>
          <w:szCs w:val="24"/>
        </w:rPr>
      </w:pPr>
    </w:p>
    <w:p w14:paraId="4F0C74BE" w14:textId="77777777" w:rsidR="00C102E7" w:rsidRDefault="00C102E7" w:rsidP="00232E3E">
      <w:pPr>
        <w:jc w:val="both"/>
        <w:rPr>
          <w:rFonts w:asciiTheme="majorBidi" w:hAnsiTheme="majorBidi" w:cstheme="majorBidi"/>
          <w:szCs w:val="24"/>
        </w:rPr>
      </w:pPr>
    </w:p>
    <w:p w14:paraId="2BE78DDE" w14:textId="77777777" w:rsidR="00C102E7" w:rsidRDefault="00C102E7" w:rsidP="00232E3E">
      <w:pPr>
        <w:jc w:val="both"/>
        <w:rPr>
          <w:rFonts w:asciiTheme="majorBidi" w:hAnsiTheme="majorBidi" w:cstheme="majorBidi"/>
          <w:szCs w:val="24"/>
        </w:rPr>
      </w:pPr>
    </w:p>
    <w:p w14:paraId="6D3A4640" w14:textId="77777777" w:rsidR="00C102E7" w:rsidRDefault="00C102E7" w:rsidP="00232E3E">
      <w:pPr>
        <w:jc w:val="both"/>
        <w:rPr>
          <w:rFonts w:asciiTheme="majorBidi" w:hAnsiTheme="majorBidi" w:cstheme="majorBidi"/>
          <w:szCs w:val="24"/>
        </w:rPr>
      </w:pPr>
    </w:p>
    <w:p w14:paraId="6FA605D3" w14:textId="77777777" w:rsidR="00C102E7" w:rsidRDefault="00C102E7" w:rsidP="00232E3E">
      <w:pPr>
        <w:jc w:val="both"/>
        <w:rPr>
          <w:rFonts w:asciiTheme="majorBidi" w:hAnsiTheme="majorBidi" w:cstheme="majorBidi"/>
          <w:szCs w:val="24"/>
        </w:rPr>
      </w:pPr>
    </w:p>
    <w:p w14:paraId="4F3A642A" w14:textId="77777777" w:rsidR="00C102E7" w:rsidRDefault="00C102E7" w:rsidP="00232E3E">
      <w:pPr>
        <w:jc w:val="both"/>
        <w:rPr>
          <w:rFonts w:asciiTheme="majorBidi" w:hAnsiTheme="majorBidi" w:cstheme="majorBidi"/>
          <w:szCs w:val="24"/>
        </w:rPr>
      </w:pPr>
    </w:p>
    <w:p w14:paraId="0E218A7C" w14:textId="77777777" w:rsidR="00C102E7" w:rsidRDefault="00C102E7" w:rsidP="00232E3E">
      <w:pPr>
        <w:jc w:val="both"/>
        <w:rPr>
          <w:rFonts w:asciiTheme="majorBidi" w:hAnsiTheme="majorBidi" w:cstheme="majorBidi"/>
          <w:szCs w:val="24"/>
        </w:rPr>
      </w:pPr>
    </w:p>
    <w:p w14:paraId="37CA67C0" w14:textId="77777777" w:rsidR="00C102E7" w:rsidRDefault="00C102E7" w:rsidP="00232E3E">
      <w:pPr>
        <w:jc w:val="both"/>
        <w:rPr>
          <w:rFonts w:asciiTheme="majorBidi" w:hAnsiTheme="majorBidi" w:cstheme="majorBidi"/>
          <w:szCs w:val="24"/>
        </w:rPr>
      </w:pPr>
    </w:p>
    <w:p w14:paraId="6AFB0D22" w14:textId="77777777" w:rsidR="00C102E7" w:rsidRDefault="00C102E7" w:rsidP="00232E3E">
      <w:pPr>
        <w:jc w:val="both"/>
        <w:rPr>
          <w:rFonts w:asciiTheme="majorBidi" w:hAnsiTheme="majorBidi" w:cstheme="majorBidi"/>
          <w:szCs w:val="24"/>
        </w:rPr>
      </w:pPr>
    </w:p>
    <w:p w14:paraId="3C33D021" w14:textId="77777777" w:rsidR="00C102E7" w:rsidRDefault="00C102E7" w:rsidP="00232E3E">
      <w:pPr>
        <w:jc w:val="both"/>
        <w:rPr>
          <w:rFonts w:asciiTheme="majorBidi" w:hAnsiTheme="majorBidi" w:cstheme="majorBidi"/>
          <w:szCs w:val="24"/>
        </w:rPr>
      </w:pPr>
    </w:p>
    <w:p w14:paraId="2AC468B7" w14:textId="77777777" w:rsidR="004C19B1" w:rsidRDefault="004C19B1" w:rsidP="00232E3E">
      <w:pPr>
        <w:jc w:val="both"/>
        <w:rPr>
          <w:rFonts w:asciiTheme="majorBidi" w:hAnsiTheme="majorBidi" w:cstheme="majorBidi"/>
          <w:szCs w:val="24"/>
        </w:rPr>
      </w:pPr>
    </w:p>
    <w:p w14:paraId="4BF20F71" w14:textId="77777777" w:rsidR="00046F45" w:rsidRPr="00164A60" w:rsidRDefault="00C102E7" w:rsidP="00232E3E">
      <w:pPr>
        <w:jc w:val="both"/>
        <w:rPr>
          <w:rStyle w:val="lev"/>
        </w:rPr>
      </w:pPr>
      <w:r w:rsidRPr="00164A60">
        <w:rPr>
          <w:rStyle w:val="lev"/>
        </w:rPr>
        <w:lastRenderedPageBreak/>
        <w:t>Liste des annexes</w:t>
      </w:r>
    </w:p>
    <w:p w14:paraId="20474F86" w14:textId="77777777" w:rsidR="0038242E" w:rsidRPr="0038242E" w:rsidRDefault="0038242E" w:rsidP="00232E3E">
      <w:pPr>
        <w:jc w:val="both"/>
        <w:rPr>
          <w:rFonts w:asciiTheme="majorBidi" w:hAnsiTheme="majorBidi" w:cstheme="majorBidi"/>
          <w:szCs w:val="24"/>
        </w:rPr>
      </w:pPr>
      <w:r w:rsidRPr="0038242E">
        <w:rPr>
          <w:rFonts w:asciiTheme="majorBidi" w:hAnsiTheme="majorBidi" w:cstheme="majorBidi"/>
          <w:b/>
          <w:bCs/>
          <w:szCs w:val="24"/>
        </w:rPr>
        <w:t>Annexe1</w:t>
      </w:r>
      <w:r w:rsidRPr="0038242E">
        <w:rPr>
          <w:rFonts w:asciiTheme="majorBidi" w:hAnsiTheme="majorBidi" w:cstheme="majorBidi"/>
          <w:szCs w:val="24"/>
        </w:rPr>
        <w:t xml:space="preserve"> : Situation géographique de l’établissement hospitalier</w:t>
      </w:r>
    </w:p>
    <w:p w14:paraId="6AC2899D" w14:textId="77777777" w:rsidR="0038242E" w:rsidRPr="0038242E" w:rsidRDefault="0038242E" w:rsidP="00232E3E">
      <w:pPr>
        <w:jc w:val="both"/>
        <w:rPr>
          <w:rFonts w:asciiTheme="majorBidi" w:hAnsiTheme="majorBidi" w:cstheme="majorBidi"/>
          <w:szCs w:val="24"/>
        </w:rPr>
      </w:pPr>
      <w:r w:rsidRPr="0038242E">
        <w:rPr>
          <w:rFonts w:asciiTheme="majorBidi" w:hAnsiTheme="majorBidi" w:cstheme="majorBidi"/>
          <w:b/>
          <w:bCs/>
          <w:szCs w:val="24"/>
        </w:rPr>
        <w:t>Annexe 2</w:t>
      </w:r>
      <w:r w:rsidRPr="0038242E">
        <w:rPr>
          <w:rFonts w:asciiTheme="majorBidi" w:hAnsiTheme="majorBidi" w:cstheme="majorBidi"/>
          <w:szCs w:val="24"/>
        </w:rPr>
        <w:t> : Budget de l’hôpital pour l’année 2025</w:t>
      </w:r>
    </w:p>
    <w:p w14:paraId="4426463E" w14:textId="045161A1" w:rsidR="0038242E" w:rsidRPr="0038242E" w:rsidRDefault="0038242E" w:rsidP="00232E3E">
      <w:pPr>
        <w:jc w:val="both"/>
        <w:rPr>
          <w:rFonts w:asciiTheme="majorBidi" w:hAnsiTheme="majorBidi" w:cstheme="majorBidi"/>
          <w:szCs w:val="24"/>
        </w:rPr>
      </w:pPr>
      <w:r w:rsidRPr="0038242E">
        <w:rPr>
          <w:rFonts w:asciiTheme="majorBidi" w:hAnsiTheme="majorBidi" w:cstheme="majorBidi"/>
          <w:b/>
          <w:bCs/>
          <w:szCs w:val="24"/>
        </w:rPr>
        <w:t>Annexe 3</w:t>
      </w:r>
      <w:r w:rsidRPr="0038242E">
        <w:rPr>
          <w:rFonts w:asciiTheme="majorBidi" w:hAnsiTheme="majorBidi" w:cstheme="majorBidi"/>
          <w:szCs w:val="24"/>
        </w:rPr>
        <w:t xml:space="preserve"> : Questionnaire </w:t>
      </w:r>
      <w:r w:rsidR="00AD4F68" w:rsidRPr="0038242E">
        <w:rPr>
          <w:rFonts w:asciiTheme="majorBidi" w:hAnsiTheme="majorBidi" w:cstheme="majorBidi"/>
          <w:szCs w:val="24"/>
        </w:rPr>
        <w:t>à</w:t>
      </w:r>
      <w:r w:rsidRPr="0038242E">
        <w:rPr>
          <w:rFonts w:asciiTheme="majorBidi" w:hAnsiTheme="majorBidi" w:cstheme="majorBidi"/>
          <w:szCs w:val="24"/>
        </w:rPr>
        <w:t xml:space="preserve"> destination des responsables de l’</w:t>
      </w:r>
      <w:r w:rsidR="00DE3F3E" w:rsidRPr="0038242E">
        <w:rPr>
          <w:rFonts w:asciiTheme="majorBidi" w:hAnsiTheme="majorBidi" w:cstheme="majorBidi"/>
          <w:szCs w:val="24"/>
        </w:rPr>
        <w:t>hôpital</w:t>
      </w:r>
    </w:p>
    <w:p w14:paraId="40EA5092" w14:textId="43786728" w:rsidR="0038242E" w:rsidRPr="0038242E" w:rsidRDefault="0038242E" w:rsidP="00232E3E">
      <w:pPr>
        <w:jc w:val="both"/>
        <w:rPr>
          <w:rFonts w:asciiTheme="majorBidi" w:hAnsiTheme="majorBidi" w:cstheme="majorBidi"/>
          <w:szCs w:val="24"/>
        </w:rPr>
        <w:sectPr w:rsidR="0038242E" w:rsidRPr="0038242E" w:rsidSect="0014664C">
          <w:footerReference w:type="default" r:id="rId9"/>
          <w:pgSz w:w="11906" w:h="16838"/>
          <w:pgMar w:top="1417" w:right="1417" w:bottom="1417" w:left="1417" w:header="708" w:footer="708" w:gutter="0"/>
          <w:pgBorders w:offsetFrom="page">
            <w:top w:val="single" w:sz="2" w:space="24" w:color="auto"/>
            <w:left w:val="single" w:sz="2" w:space="24" w:color="auto"/>
            <w:bottom w:val="single" w:sz="2" w:space="24" w:color="auto"/>
            <w:right w:val="single" w:sz="2" w:space="24" w:color="auto"/>
          </w:pgBorders>
          <w:cols w:space="708"/>
          <w:docGrid w:linePitch="360"/>
        </w:sectPr>
      </w:pPr>
      <w:r w:rsidRPr="0038242E">
        <w:rPr>
          <w:rFonts w:asciiTheme="majorBidi" w:hAnsiTheme="majorBidi" w:cstheme="majorBidi"/>
          <w:b/>
          <w:bCs/>
          <w:szCs w:val="24"/>
        </w:rPr>
        <w:t>Annexe 4 </w:t>
      </w:r>
      <w:r w:rsidRPr="0038242E">
        <w:rPr>
          <w:rFonts w:asciiTheme="majorBidi" w:hAnsiTheme="majorBidi" w:cstheme="majorBidi"/>
          <w:szCs w:val="24"/>
        </w:rPr>
        <w:t xml:space="preserve">: Questionnaire </w:t>
      </w:r>
      <w:r w:rsidR="00AD4F68" w:rsidRPr="0038242E">
        <w:rPr>
          <w:rFonts w:asciiTheme="majorBidi" w:hAnsiTheme="majorBidi" w:cstheme="majorBidi"/>
          <w:szCs w:val="24"/>
        </w:rPr>
        <w:t>à</w:t>
      </w:r>
      <w:r w:rsidRPr="0038242E">
        <w:rPr>
          <w:rFonts w:asciiTheme="majorBidi" w:hAnsiTheme="majorBidi" w:cstheme="majorBidi"/>
          <w:szCs w:val="24"/>
        </w:rPr>
        <w:t xml:space="preserve"> destination des responsables de la CNAS</w:t>
      </w:r>
    </w:p>
    <w:p w14:paraId="7821C9FA" w14:textId="77777777" w:rsidR="00C102E7" w:rsidRDefault="00C102E7" w:rsidP="00232E3E">
      <w:pPr>
        <w:jc w:val="both"/>
        <w:rPr>
          <w:rFonts w:asciiTheme="majorBidi" w:hAnsiTheme="majorBidi" w:cstheme="majorBidi"/>
          <w:szCs w:val="24"/>
        </w:rPr>
      </w:pPr>
    </w:p>
    <w:p w14:paraId="434E6CF6" w14:textId="77777777" w:rsidR="009F336B" w:rsidRDefault="009F336B" w:rsidP="00232E3E">
      <w:pPr>
        <w:jc w:val="both"/>
        <w:rPr>
          <w:rFonts w:asciiTheme="majorBidi" w:hAnsiTheme="majorBidi" w:cstheme="majorBidi"/>
          <w:szCs w:val="24"/>
        </w:rPr>
      </w:pPr>
    </w:p>
    <w:p w14:paraId="32B6FDFF" w14:textId="77777777" w:rsidR="009F336B" w:rsidRDefault="009F336B" w:rsidP="00232E3E">
      <w:pPr>
        <w:jc w:val="both"/>
        <w:rPr>
          <w:rFonts w:asciiTheme="majorBidi" w:hAnsiTheme="majorBidi" w:cstheme="majorBidi"/>
          <w:szCs w:val="24"/>
        </w:rPr>
      </w:pPr>
    </w:p>
    <w:p w14:paraId="313AF74E" w14:textId="77777777" w:rsidR="009F336B" w:rsidRDefault="009F336B" w:rsidP="00232E3E">
      <w:pPr>
        <w:jc w:val="both"/>
        <w:rPr>
          <w:rFonts w:asciiTheme="majorBidi" w:hAnsiTheme="majorBidi" w:cstheme="majorBidi"/>
          <w:szCs w:val="24"/>
        </w:rPr>
      </w:pPr>
    </w:p>
    <w:p w14:paraId="3E2E32BE" w14:textId="77777777" w:rsidR="009F336B" w:rsidRDefault="009F336B" w:rsidP="00232E3E">
      <w:pPr>
        <w:jc w:val="both"/>
        <w:rPr>
          <w:rFonts w:asciiTheme="majorBidi" w:hAnsiTheme="majorBidi" w:cstheme="majorBidi"/>
          <w:szCs w:val="24"/>
        </w:rPr>
      </w:pPr>
    </w:p>
    <w:p w14:paraId="0D5D80D6" w14:textId="77777777" w:rsidR="009F336B" w:rsidRDefault="009F336B" w:rsidP="00232E3E">
      <w:pPr>
        <w:jc w:val="both"/>
        <w:rPr>
          <w:rFonts w:asciiTheme="majorBidi" w:hAnsiTheme="majorBidi" w:cstheme="majorBidi"/>
          <w:szCs w:val="24"/>
        </w:rPr>
      </w:pPr>
    </w:p>
    <w:p w14:paraId="5724551A" w14:textId="77777777" w:rsidR="009F336B" w:rsidRDefault="009F336B" w:rsidP="00232E3E">
      <w:pPr>
        <w:jc w:val="both"/>
        <w:rPr>
          <w:rFonts w:asciiTheme="majorBidi" w:hAnsiTheme="majorBidi" w:cstheme="majorBidi"/>
          <w:szCs w:val="24"/>
        </w:rPr>
      </w:pPr>
      <w:r>
        <w:rPr>
          <w:b/>
          <w:bCs/>
          <w:noProof/>
          <w:sz w:val="48"/>
          <w:szCs w:val="48"/>
          <w:u w:val="single"/>
          <w:lang w:eastAsia="fr-FR"/>
        </w:rPr>
        <mc:AlternateContent>
          <mc:Choice Requires="wps">
            <w:drawing>
              <wp:anchor distT="0" distB="0" distL="114300" distR="114300" simplePos="0" relativeHeight="251669504" behindDoc="0" locked="0" layoutInCell="1" allowOverlap="1" wp14:anchorId="59C745FB" wp14:editId="4CD48E04">
                <wp:simplePos x="0" y="0"/>
                <wp:positionH relativeFrom="margin">
                  <wp:posOffset>0</wp:posOffset>
                </wp:positionH>
                <wp:positionV relativeFrom="paragraph">
                  <wp:posOffset>-635</wp:posOffset>
                </wp:positionV>
                <wp:extent cx="5600700" cy="3743325"/>
                <wp:effectExtent l="0" t="0" r="19050" b="28575"/>
                <wp:wrapNone/>
                <wp:docPr id="196" name="Parchemin horizontal 196"/>
                <wp:cNvGraphicFramePr/>
                <a:graphic xmlns:a="http://schemas.openxmlformats.org/drawingml/2006/main">
                  <a:graphicData uri="http://schemas.microsoft.com/office/word/2010/wordprocessingShape">
                    <wps:wsp>
                      <wps:cNvSpPr/>
                      <wps:spPr>
                        <a:xfrm>
                          <a:off x="0" y="0"/>
                          <a:ext cx="5600700" cy="374332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4850C0AE" w14:textId="77777777" w:rsidR="0095621A" w:rsidRPr="00737E2F" w:rsidRDefault="0095621A" w:rsidP="00CD160A">
                            <w:pPr>
                              <w:pStyle w:val="Titre"/>
                            </w:pPr>
                            <w:r w:rsidRPr="00737E2F">
                              <w:t>Introduction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9C745FB"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96" o:spid="_x0000_s1033" type="#_x0000_t98" style="position:absolute;left:0;text-align:left;margin-left:0;margin-top:-.05pt;width:441pt;height:294.75pt;z-index:2516695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" fillcolor="#c3c3c3 [2166]" strokecolor="#a5a5a5 [3206]" strokeweight=".5pt">
                <v:fill color2="#b6b6b6 [2614]" rotate="t" colors="0 #d2d2d2;.5 #c8c8c8;1 silver" focus="100%" type="gradient">
                  <o:fill v:ext="view" type="gradientUnscaled"/>
                </v:fill>
                <v:stroke joinstyle="miter"/>
                <v:textbox>
                  <w:txbxContent>
                    <w:p w14:paraId="4850C0AE" w14:textId="77777777" w:rsidR="0095621A" w:rsidRPr="00737E2F" w:rsidRDefault="0095621A" w:rsidP="00CD160A">
                      <w:pPr>
                        <w:pStyle w:val="Titre"/>
                      </w:pPr>
                      <w:r w:rsidRPr="00737E2F">
                        <w:t>Introduction Générale</w:t>
                      </w:r>
                    </w:p>
                  </w:txbxContent>
                </v:textbox>
                <w10:wrap anchorx="margin"/>
              </v:shape>
            </w:pict>
          </mc:Fallback>
        </mc:AlternateContent>
      </w:r>
    </w:p>
    <w:p w14:paraId="5CFCB3A4" w14:textId="77777777" w:rsidR="009F336B" w:rsidRDefault="009F336B" w:rsidP="00232E3E">
      <w:pPr>
        <w:jc w:val="both"/>
        <w:rPr>
          <w:rFonts w:asciiTheme="majorBidi" w:hAnsiTheme="majorBidi" w:cstheme="majorBidi"/>
          <w:szCs w:val="24"/>
        </w:rPr>
      </w:pPr>
    </w:p>
    <w:p w14:paraId="65849203" w14:textId="77777777" w:rsidR="009F336B" w:rsidRDefault="009F336B" w:rsidP="00232E3E">
      <w:pPr>
        <w:jc w:val="both"/>
        <w:rPr>
          <w:rFonts w:asciiTheme="majorBidi" w:hAnsiTheme="majorBidi" w:cstheme="majorBidi"/>
          <w:szCs w:val="24"/>
        </w:rPr>
      </w:pPr>
    </w:p>
    <w:p w14:paraId="29E26B76" w14:textId="77777777" w:rsidR="009F336B" w:rsidRDefault="009F336B" w:rsidP="00232E3E">
      <w:pPr>
        <w:jc w:val="both"/>
        <w:rPr>
          <w:rFonts w:asciiTheme="majorBidi" w:hAnsiTheme="majorBidi" w:cstheme="majorBidi"/>
          <w:szCs w:val="24"/>
        </w:rPr>
      </w:pPr>
    </w:p>
    <w:p w14:paraId="6E4156B2" w14:textId="77777777" w:rsidR="009F336B" w:rsidRDefault="009F336B" w:rsidP="00232E3E">
      <w:pPr>
        <w:jc w:val="both"/>
        <w:rPr>
          <w:rFonts w:asciiTheme="majorBidi" w:hAnsiTheme="majorBidi" w:cstheme="majorBidi"/>
          <w:szCs w:val="24"/>
        </w:rPr>
      </w:pPr>
    </w:p>
    <w:p w14:paraId="5BA7D9C8" w14:textId="77777777" w:rsidR="009F336B" w:rsidRDefault="009F336B" w:rsidP="00232E3E">
      <w:pPr>
        <w:jc w:val="both"/>
        <w:rPr>
          <w:rFonts w:asciiTheme="majorBidi" w:hAnsiTheme="majorBidi" w:cstheme="majorBidi"/>
          <w:szCs w:val="24"/>
        </w:rPr>
      </w:pPr>
    </w:p>
    <w:p w14:paraId="515AB5E1" w14:textId="77777777" w:rsidR="009F336B" w:rsidRDefault="009F336B" w:rsidP="00232E3E">
      <w:pPr>
        <w:jc w:val="both"/>
        <w:rPr>
          <w:rFonts w:asciiTheme="majorBidi" w:hAnsiTheme="majorBidi" w:cstheme="majorBidi"/>
          <w:szCs w:val="24"/>
        </w:rPr>
      </w:pPr>
    </w:p>
    <w:p w14:paraId="20006BFB" w14:textId="77777777" w:rsidR="009F336B" w:rsidRDefault="009F336B" w:rsidP="00232E3E">
      <w:pPr>
        <w:jc w:val="both"/>
        <w:rPr>
          <w:rFonts w:asciiTheme="majorBidi" w:hAnsiTheme="majorBidi" w:cstheme="majorBidi"/>
          <w:szCs w:val="24"/>
        </w:rPr>
      </w:pPr>
    </w:p>
    <w:p w14:paraId="4B3B3D98" w14:textId="77777777" w:rsidR="009F336B" w:rsidRDefault="009F336B" w:rsidP="00232E3E">
      <w:pPr>
        <w:jc w:val="both"/>
        <w:rPr>
          <w:rFonts w:asciiTheme="majorBidi" w:hAnsiTheme="majorBidi" w:cstheme="majorBidi"/>
          <w:szCs w:val="24"/>
        </w:rPr>
      </w:pPr>
    </w:p>
    <w:p w14:paraId="3AB6E003" w14:textId="77777777" w:rsidR="009F336B" w:rsidRDefault="009F336B" w:rsidP="00232E3E">
      <w:pPr>
        <w:jc w:val="both"/>
        <w:rPr>
          <w:rFonts w:asciiTheme="majorBidi" w:hAnsiTheme="majorBidi" w:cstheme="majorBidi"/>
          <w:szCs w:val="24"/>
        </w:rPr>
      </w:pPr>
    </w:p>
    <w:p w14:paraId="14BCAD3B" w14:textId="77777777" w:rsidR="009F336B" w:rsidRDefault="009F336B" w:rsidP="00232E3E">
      <w:pPr>
        <w:jc w:val="both"/>
        <w:rPr>
          <w:rFonts w:asciiTheme="majorBidi" w:hAnsiTheme="majorBidi" w:cstheme="majorBidi"/>
          <w:szCs w:val="24"/>
        </w:rPr>
      </w:pPr>
    </w:p>
    <w:p w14:paraId="254E779E" w14:textId="77777777" w:rsidR="009F336B" w:rsidRDefault="009F336B" w:rsidP="00232E3E">
      <w:pPr>
        <w:jc w:val="both"/>
        <w:rPr>
          <w:rFonts w:asciiTheme="majorBidi" w:hAnsiTheme="majorBidi" w:cstheme="majorBidi"/>
          <w:szCs w:val="24"/>
        </w:rPr>
      </w:pPr>
    </w:p>
    <w:p w14:paraId="4E4FB14E" w14:textId="77777777" w:rsidR="009F336B" w:rsidRDefault="009F336B" w:rsidP="00232E3E">
      <w:pPr>
        <w:jc w:val="both"/>
        <w:rPr>
          <w:rFonts w:asciiTheme="majorBidi" w:hAnsiTheme="majorBidi" w:cstheme="majorBidi"/>
          <w:szCs w:val="24"/>
        </w:rPr>
      </w:pPr>
    </w:p>
    <w:p w14:paraId="6251CD0F" w14:textId="77777777" w:rsidR="009F336B" w:rsidRDefault="009F336B" w:rsidP="00232E3E">
      <w:pPr>
        <w:jc w:val="both"/>
        <w:rPr>
          <w:rFonts w:asciiTheme="majorBidi" w:hAnsiTheme="majorBidi" w:cstheme="majorBidi"/>
          <w:szCs w:val="24"/>
        </w:rPr>
      </w:pPr>
    </w:p>
    <w:p w14:paraId="77349C7A" w14:textId="77777777" w:rsidR="009F336B" w:rsidRDefault="009F336B" w:rsidP="00232E3E">
      <w:pPr>
        <w:jc w:val="both"/>
        <w:rPr>
          <w:rFonts w:asciiTheme="majorBidi" w:hAnsiTheme="majorBidi" w:cstheme="majorBidi"/>
          <w:szCs w:val="24"/>
        </w:rPr>
      </w:pPr>
    </w:p>
    <w:p w14:paraId="3863E0F8" w14:textId="77777777" w:rsidR="009F336B" w:rsidRDefault="009F336B" w:rsidP="00232E3E">
      <w:pPr>
        <w:jc w:val="both"/>
        <w:rPr>
          <w:rFonts w:asciiTheme="majorBidi" w:hAnsiTheme="majorBidi" w:cstheme="majorBidi"/>
          <w:szCs w:val="24"/>
        </w:rPr>
      </w:pPr>
    </w:p>
    <w:p w14:paraId="6ABA4C41" w14:textId="77777777" w:rsidR="009F336B" w:rsidRDefault="009F336B" w:rsidP="00232E3E">
      <w:pPr>
        <w:jc w:val="both"/>
        <w:rPr>
          <w:rFonts w:asciiTheme="majorBidi" w:hAnsiTheme="majorBidi" w:cstheme="majorBidi"/>
          <w:szCs w:val="24"/>
        </w:rPr>
      </w:pPr>
    </w:p>
    <w:p w14:paraId="080C425E" w14:textId="77777777" w:rsidR="004C19B1" w:rsidRDefault="004C19B1" w:rsidP="00232E3E">
      <w:pPr>
        <w:jc w:val="both"/>
        <w:rPr>
          <w:rFonts w:asciiTheme="majorBidi" w:hAnsiTheme="majorBidi" w:cstheme="majorBidi"/>
          <w:szCs w:val="24"/>
        </w:rPr>
      </w:pPr>
    </w:p>
    <w:p w14:paraId="3286F475" w14:textId="2AC29CEC" w:rsidR="007C08B8" w:rsidRPr="000C1114" w:rsidRDefault="007C08B8" w:rsidP="000C1114">
      <w:pPr>
        <w:pStyle w:val="Titre1"/>
        <w:jc w:val="both"/>
        <w:rPr>
          <w:rFonts w:asciiTheme="majorBidi" w:hAnsiTheme="majorBidi"/>
          <w:sz w:val="24"/>
          <w:szCs w:val="24"/>
        </w:rPr>
      </w:pPr>
      <w:bookmarkStart w:id="7" w:name="_Toc199958799"/>
      <w:r w:rsidRPr="000C1114">
        <w:rPr>
          <w:rFonts w:asciiTheme="majorBidi" w:hAnsiTheme="majorBidi"/>
          <w:sz w:val="24"/>
          <w:szCs w:val="24"/>
        </w:rPr>
        <w:lastRenderedPageBreak/>
        <w:t>Introduction générale :</w:t>
      </w:r>
      <w:bookmarkEnd w:id="7"/>
    </w:p>
    <w:p w14:paraId="595AC113" w14:textId="3C15FC90" w:rsidR="00920042" w:rsidRPr="000C1114" w:rsidRDefault="00920042" w:rsidP="000C1114">
      <w:pPr>
        <w:jc w:val="both"/>
        <w:rPr>
          <w:rFonts w:asciiTheme="majorBidi" w:hAnsiTheme="majorBidi" w:cstheme="majorBidi"/>
          <w:szCs w:val="24"/>
        </w:rPr>
      </w:pPr>
      <w:r w:rsidRPr="000C1114">
        <w:rPr>
          <w:rFonts w:asciiTheme="majorBidi" w:hAnsiTheme="majorBidi" w:cstheme="majorBidi"/>
          <w:szCs w:val="24"/>
        </w:rPr>
        <w:t>Le développement rapide des technologies de l’information et les évolutions économiques et sociales ont transformé profondément le secteur de la santé dans de nombreux pays. Les besoins croissants en matière de soins, la diversification des services hospitaliers, ainsi que les contraintes budgétaires grandissantes ont conduit les systèmes de santé à repenser leur mode d’organisation et de financement.</w:t>
      </w:r>
    </w:p>
    <w:p w14:paraId="09ADE733" w14:textId="77777777" w:rsidR="00920042" w:rsidRPr="000C1114" w:rsidRDefault="00920042" w:rsidP="000C1114">
      <w:pPr>
        <w:jc w:val="both"/>
        <w:rPr>
          <w:rFonts w:asciiTheme="majorBidi" w:hAnsiTheme="majorBidi" w:cstheme="majorBidi"/>
          <w:szCs w:val="24"/>
        </w:rPr>
      </w:pPr>
      <w:r w:rsidRPr="000C1114">
        <w:rPr>
          <w:rFonts w:asciiTheme="majorBidi" w:hAnsiTheme="majorBidi" w:cstheme="majorBidi"/>
          <w:szCs w:val="24"/>
        </w:rPr>
        <w:t>Parallèlement à ces mutations, les systèmes d’information en santé ont pris une place centrale dans la gestion des établissements hospitaliers. Outils incontournables du pilotage moderne, ils permettent une meilleure circulation de l’information, une traçabilité des actes médicaux, et une optimisation des ressources matérielles, humaines et financières.</w:t>
      </w:r>
    </w:p>
    <w:p w14:paraId="6F8B3537" w14:textId="77777777" w:rsidR="00920042" w:rsidRPr="000C1114" w:rsidRDefault="00920042" w:rsidP="000C1114">
      <w:pPr>
        <w:jc w:val="both"/>
        <w:rPr>
          <w:rFonts w:asciiTheme="majorBidi" w:hAnsiTheme="majorBidi" w:cstheme="majorBidi"/>
          <w:szCs w:val="24"/>
        </w:rPr>
      </w:pPr>
      <w:r w:rsidRPr="000C1114">
        <w:rPr>
          <w:rFonts w:asciiTheme="majorBidi" w:hAnsiTheme="majorBidi" w:cstheme="majorBidi"/>
          <w:szCs w:val="24"/>
        </w:rPr>
        <w:t>Dans de nombreux pays, les systèmes d'information en santé ont été étroitement liés à la mise en place de nouveaux modes de financement basés sur l’activité réelle des hôpitaux. Ces réformes visent à améliorer la performance, renforcer la transparence, et garantir une meilleure allocation des ressources dans un environnement en constante évolution.</w:t>
      </w:r>
    </w:p>
    <w:p w14:paraId="4A8566D5" w14:textId="77777777" w:rsidR="00920042" w:rsidRPr="000C1114" w:rsidRDefault="00920042" w:rsidP="000C1114">
      <w:pPr>
        <w:jc w:val="both"/>
        <w:rPr>
          <w:rFonts w:asciiTheme="majorBidi" w:hAnsiTheme="majorBidi" w:cstheme="majorBidi"/>
          <w:szCs w:val="24"/>
        </w:rPr>
      </w:pPr>
      <w:r w:rsidRPr="000C1114">
        <w:rPr>
          <w:rFonts w:asciiTheme="majorBidi" w:hAnsiTheme="majorBidi" w:cstheme="majorBidi"/>
          <w:szCs w:val="24"/>
        </w:rPr>
        <w:t xml:space="preserve">En Algérie, le financement des établissements hospitaliers repose principalement sur un système de </w:t>
      </w:r>
      <w:r w:rsidRPr="000C1114">
        <w:rPr>
          <w:rFonts w:asciiTheme="majorBidi" w:hAnsiTheme="majorBidi" w:cstheme="majorBidi"/>
          <w:b/>
          <w:bCs/>
          <w:szCs w:val="24"/>
        </w:rPr>
        <w:t>budget global</w:t>
      </w:r>
      <w:r w:rsidRPr="000C1114">
        <w:rPr>
          <w:rFonts w:asciiTheme="majorBidi" w:hAnsiTheme="majorBidi" w:cstheme="majorBidi"/>
          <w:szCs w:val="24"/>
        </w:rPr>
        <w:t>, dont les limites sont aujourd’hui largement reconnues : rigidité, manque de lien avec l’activité réelle, absence d’incitation à la performance. Ce contexte soulève la nécessité d’envisager des approches alternatives et plus efficaces, en tirant parti des outils numériques et des innovations en matière de gestion hospitalière.</w:t>
      </w:r>
    </w:p>
    <w:p w14:paraId="7AC6C9EC" w14:textId="77777777" w:rsidR="00920042" w:rsidRPr="000C1114" w:rsidRDefault="00920042" w:rsidP="000C1114">
      <w:pPr>
        <w:jc w:val="both"/>
        <w:rPr>
          <w:rFonts w:asciiTheme="majorBidi" w:hAnsiTheme="majorBidi" w:cstheme="majorBidi"/>
          <w:szCs w:val="24"/>
        </w:rPr>
      </w:pPr>
      <w:r w:rsidRPr="000C1114">
        <w:rPr>
          <w:rFonts w:asciiTheme="majorBidi" w:hAnsiTheme="majorBidi" w:cstheme="majorBidi"/>
          <w:szCs w:val="24"/>
        </w:rPr>
        <w:t>L'introduction de systèmes d'information performants, couplée à une réforme progressive du financement, constitue une piste de réflexion sérieuse pour répondre aux enjeux actuels du secteur. Cette approche pourrait permettre d’atteindre des objectifs tels que l’amélioration de la qualité des soins, une meilleure transparence dans la gestion des fonds publics, et une utilisation plus rationnelle des ressources hospitalières.</w:t>
      </w:r>
    </w:p>
    <w:p w14:paraId="373D6D0E" w14:textId="77777777" w:rsidR="00920042" w:rsidRPr="000C1114" w:rsidRDefault="00920042" w:rsidP="000C1114">
      <w:pPr>
        <w:jc w:val="both"/>
        <w:rPr>
          <w:rFonts w:asciiTheme="majorBidi" w:hAnsiTheme="majorBidi" w:cstheme="majorBidi"/>
          <w:szCs w:val="24"/>
        </w:rPr>
      </w:pPr>
      <w:r w:rsidRPr="000C1114">
        <w:rPr>
          <w:rFonts w:asciiTheme="majorBidi" w:hAnsiTheme="majorBidi" w:cstheme="majorBidi"/>
          <w:szCs w:val="24"/>
        </w:rPr>
        <w:t>C’est dans ce cadre que s’inscrit la réflexion autour du lien entre les systèmes d'information et les modes de financement, avec pour ambition de contribuer à la modernisation du système hospitalier algérien, en s’inspirant des expériences internationales tout en tenant compte des spécificités locales.</w:t>
      </w:r>
    </w:p>
    <w:p w14:paraId="4A8D718D" w14:textId="77777777" w:rsidR="004F5E38" w:rsidRPr="000C1114" w:rsidRDefault="004F5E38" w:rsidP="000C1114">
      <w:pPr>
        <w:jc w:val="both"/>
        <w:rPr>
          <w:rFonts w:asciiTheme="majorBidi" w:hAnsiTheme="majorBidi" w:cstheme="majorBidi"/>
          <w:b/>
          <w:bCs/>
          <w:szCs w:val="24"/>
        </w:rPr>
      </w:pPr>
      <w:r w:rsidRPr="000C1114">
        <w:rPr>
          <w:rFonts w:asciiTheme="majorBidi" w:hAnsiTheme="majorBidi" w:cstheme="majorBidi"/>
          <w:b/>
          <w:bCs/>
          <w:szCs w:val="24"/>
        </w:rPr>
        <w:t>Problématique de recherche</w:t>
      </w:r>
    </w:p>
    <w:p w14:paraId="1025DA87" w14:textId="77777777" w:rsidR="00E83C7F" w:rsidRPr="000C1114" w:rsidRDefault="00E83C7F" w:rsidP="000C1114">
      <w:pPr>
        <w:jc w:val="both"/>
        <w:rPr>
          <w:rFonts w:asciiTheme="majorBidi" w:hAnsiTheme="majorBidi" w:cstheme="majorBidi"/>
          <w:szCs w:val="24"/>
        </w:rPr>
      </w:pPr>
    </w:p>
    <w:p w14:paraId="2F4A024B" w14:textId="77777777" w:rsidR="004F5E38" w:rsidRPr="000C1114" w:rsidRDefault="004F5E38" w:rsidP="000C1114">
      <w:pPr>
        <w:jc w:val="both"/>
        <w:rPr>
          <w:rFonts w:asciiTheme="majorBidi" w:hAnsiTheme="majorBidi" w:cstheme="majorBidi"/>
          <w:szCs w:val="24"/>
        </w:rPr>
      </w:pPr>
      <w:r w:rsidRPr="000C1114">
        <w:rPr>
          <w:rFonts w:asciiTheme="majorBidi" w:hAnsiTheme="majorBidi" w:cstheme="majorBidi"/>
          <w:szCs w:val="24"/>
        </w:rPr>
        <w:lastRenderedPageBreak/>
        <w:t>À la lumière de ce qui précède, et face aux limites observées dans le mode de financement actuel des établissements hospitaliers en Algérie – reposant principalement sur le budget global – ainsi qu’à la faible exploitation des systèmes d'information dans le pilotage stratégique, il devient essentiel de s’interroger sur la possibilité d’un changement structurel.</w:t>
      </w:r>
    </w:p>
    <w:p w14:paraId="4546C971" w14:textId="77777777" w:rsidR="004F5E38" w:rsidRPr="000C1114" w:rsidRDefault="004F5E38" w:rsidP="000C1114">
      <w:pPr>
        <w:jc w:val="both"/>
        <w:rPr>
          <w:rFonts w:asciiTheme="majorBidi" w:hAnsiTheme="majorBidi" w:cstheme="majorBidi"/>
          <w:szCs w:val="24"/>
        </w:rPr>
      </w:pPr>
      <w:r w:rsidRPr="000C1114">
        <w:rPr>
          <w:rFonts w:asciiTheme="majorBidi" w:hAnsiTheme="majorBidi" w:cstheme="majorBidi"/>
          <w:szCs w:val="24"/>
        </w:rPr>
        <w:t>Ainsi, la problématique centrale de cette étude peut être formulée comme suit :</w:t>
      </w:r>
    </w:p>
    <w:p w14:paraId="47AAD7DB" w14:textId="77777777" w:rsidR="004F5E38" w:rsidRPr="000C1114" w:rsidRDefault="004F5E38" w:rsidP="000C1114">
      <w:pPr>
        <w:jc w:val="both"/>
        <w:rPr>
          <w:rFonts w:asciiTheme="majorBidi" w:hAnsiTheme="majorBidi" w:cstheme="majorBidi"/>
          <w:szCs w:val="24"/>
        </w:rPr>
      </w:pPr>
      <w:r w:rsidRPr="000C1114">
        <w:rPr>
          <w:rFonts w:asciiTheme="majorBidi" w:hAnsiTheme="majorBidi" w:cstheme="majorBidi"/>
          <w:b/>
          <w:bCs/>
          <w:szCs w:val="24"/>
        </w:rPr>
        <w:t>Dans quelle mesure le développement des systèmes d'information en santé peut-il contribuer à la restructuration des modes de financement des établissements de santé en Algérie ?</w:t>
      </w:r>
    </w:p>
    <w:p w14:paraId="0027C44E" w14:textId="77777777" w:rsidR="004F5E38" w:rsidRPr="000C1114" w:rsidRDefault="004F5E38" w:rsidP="000C1114">
      <w:pPr>
        <w:jc w:val="both"/>
        <w:rPr>
          <w:rFonts w:asciiTheme="majorBidi" w:hAnsiTheme="majorBidi" w:cstheme="majorBidi"/>
          <w:szCs w:val="24"/>
        </w:rPr>
      </w:pPr>
      <w:r w:rsidRPr="000C1114">
        <w:rPr>
          <w:rFonts w:asciiTheme="majorBidi" w:hAnsiTheme="majorBidi" w:cstheme="majorBidi"/>
          <w:szCs w:val="24"/>
        </w:rPr>
        <w:t>À partir de cette problématique principale, plusieurs questions secondaires émergent :</w:t>
      </w:r>
    </w:p>
    <w:p w14:paraId="10A28C5A" w14:textId="77777777" w:rsidR="004F5E38" w:rsidRPr="000C1114" w:rsidRDefault="004F5E38" w:rsidP="000C1114">
      <w:pPr>
        <w:numPr>
          <w:ilvl w:val="0"/>
          <w:numId w:val="1"/>
        </w:numPr>
        <w:jc w:val="both"/>
        <w:rPr>
          <w:rFonts w:asciiTheme="majorBidi" w:hAnsiTheme="majorBidi" w:cstheme="majorBidi"/>
          <w:szCs w:val="24"/>
        </w:rPr>
      </w:pPr>
      <w:r w:rsidRPr="000C1114">
        <w:rPr>
          <w:rFonts w:asciiTheme="majorBidi" w:hAnsiTheme="majorBidi" w:cstheme="majorBidi"/>
          <w:szCs w:val="24"/>
        </w:rPr>
        <w:t>Quels sont les rôles et les apports concrets des systèmes d'information en santé dans la gestion des établissements hospitaliers ?</w:t>
      </w:r>
    </w:p>
    <w:p w14:paraId="46EF0C06" w14:textId="77777777" w:rsidR="004F5E38" w:rsidRPr="000C1114" w:rsidRDefault="004F5E38" w:rsidP="000C1114">
      <w:pPr>
        <w:numPr>
          <w:ilvl w:val="0"/>
          <w:numId w:val="1"/>
        </w:numPr>
        <w:jc w:val="both"/>
        <w:rPr>
          <w:rFonts w:asciiTheme="majorBidi" w:hAnsiTheme="majorBidi" w:cstheme="majorBidi"/>
          <w:szCs w:val="24"/>
        </w:rPr>
      </w:pPr>
      <w:r w:rsidRPr="000C1114">
        <w:rPr>
          <w:rFonts w:asciiTheme="majorBidi" w:hAnsiTheme="majorBidi" w:cstheme="majorBidi"/>
          <w:szCs w:val="24"/>
        </w:rPr>
        <w:t>Quelles sont les limites du mode de financement actuel basé sur le budget global ?</w:t>
      </w:r>
    </w:p>
    <w:p w14:paraId="5BAD1448" w14:textId="77777777" w:rsidR="004F5E38" w:rsidRPr="000C1114" w:rsidRDefault="004F5E38" w:rsidP="000C1114">
      <w:pPr>
        <w:numPr>
          <w:ilvl w:val="0"/>
          <w:numId w:val="1"/>
        </w:numPr>
        <w:jc w:val="both"/>
        <w:rPr>
          <w:rFonts w:asciiTheme="majorBidi" w:hAnsiTheme="majorBidi" w:cstheme="majorBidi"/>
          <w:szCs w:val="24"/>
        </w:rPr>
      </w:pPr>
      <w:r w:rsidRPr="000C1114">
        <w:rPr>
          <w:rFonts w:asciiTheme="majorBidi" w:hAnsiTheme="majorBidi" w:cstheme="majorBidi"/>
          <w:szCs w:val="24"/>
        </w:rPr>
        <w:t>Quelles sont les alternatives internationales en matière de financement des hôpitaux, et quels enseignements peuvent être tirés pour l’Algérie ?</w:t>
      </w:r>
    </w:p>
    <w:p w14:paraId="19EFF2DD" w14:textId="77777777" w:rsidR="004F5E38" w:rsidRPr="000C1114" w:rsidRDefault="004F5E38" w:rsidP="000C1114">
      <w:pPr>
        <w:numPr>
          <w:ilvl w:val="0"/>
          <w:numId w:val="1"/>
        </w:numPr>
        <w:jc w:val="both"/>
        <w:rPr>
          <w:rFonts w:asciiTheme="majorBidi" w:hAnsiTheme="majorBidi" w:cstheme="majorBidi"/>
          <w:szCs w:val="24"/>
        </w:rPr>
      </w:pPr>
      <w:r w:rsidRPr="000C1114">
        <w:rPr>
          <w:rFonts w:asciiTheme="majorBidi" w:hAnsiTheme="majorBidi" w:cstheme="majorBidi"/>
          <w:szCs w:val="24"/>
        </w:rPr>
        <w:t>Dans quelles conditions un modèle de financement mixte, associant une base fixe et une part variable liée à l’activité, pourrait-il être mis en place avec l’appui d’un système d'information performant ?</w:t>
      </w:r>
    </w:p>
    <w:p w14:paraId="2544C08F" w14:textId="77777777" w:rsidR="00D32754" w:rsidRPr="000C1114" w:rsidRDefault="00D32754" w:rsidP="000C1114">
      <w:pPr>
        <w:jc w:val="both"/>
        <w:rPr>
          <w:rFonts w:asciiTheme="majorBidi" w:hAnsiTheme="majorBidi" w:cstheme="majorBidi"/>
          <w:b/>
          <w:bCs/>
          <w:szCs w:val="24"/>
          <w:lang w:eastAsia="fr-FR"/>
        </w:rPr>
      </w:pPr>
      <w:bookmarkStart w:id="8" w:name="_Toc199955905"/>
      <w:bookmarkStart w:id="9" w:name="_Toc199957535"/>
      <w:r w:rsidRPr="000C1114">
        <w:rPr>
          <w:rFonts w:asciiTheme="majorBidi" w:hAnsiTheme="majorBidi" w:cstheme="majorBidi"/>
          <w:b/>
          <w:bCs/>
          <w:szCs w:val="24"/>
          <w:lang w:eastAsia="fr-FR"/>
        </w:rPr>
        <w:t>Hypothèses de la recherche</w:t>
      </w:r>
      <w:r w:rsidR="00EB6D98" w:rsidRPr="000C1114">
        <w:rPr>
          <w:rFonts w:asciiTheme="majorBidi" w:hAnsiTheme="majorBidi" w:cstheme="majorBidi"/>
          <w:b/>
          <w:bCs/>
          <w:szCs w:val="24"/>
          <w:lang w:eastAsia="fr-FR"/>
        </w:rPr>
        <w:t> :</w:t>
      </w:r>
      <w:bookmarkEnd w:id="8"/>
      <w:bookmarkEnd w:id="9"/>
    </w:p>
    <w:p w14:paraId="599BF13C" w14:textId="77777777" w:rsidR="005045D6" w:rsidRPr="000C1114" w:rsidRDefault="005045D6" w:rsidP="000C1114">
      <w:pPr>
        <w:jc w:val="both"/>
        <w:rPr>
          <w:rFonts w:asciiTheme="majorBidi" w:hAnsiTheme="majorBidi" w:cstheme="majorBidi"/>
          <w:b/>
          <w:bCs/>
          <w:szCs w:val="24"/>
        </w:rPr>
      </w:pPr>
      <w:bookmarkStart w:id="10" w:name="_Toc199955906"/>
      <w:bookmarkStart w:id="11" w:name="_Toc199957536"/>
      <w:r w:rsidRPr="000C1114">
        <w:rPr>
          <w:rFonts w:asciiTheme="majorBidi" w:hAnsiTheme="majorBidi" w:cstheme="majorBidi"/>
          <w:szCs w:val="24"/>
        </w:rPr>
        <w:t>Afin de répondre à la problématique de cette étude portant sur le lien entre les systèmes d'information en santé et la restructuration des modes de financement hospitaliers, deux hypothèses principales sont formulées :</w:t>
      </w:r>
      <w:bookmarkEnd w:id="10"/>
      <w:bookmarkEnd w:id="11"/>
    </w:p>
    <w:p w14:paraId="4E8268FB" w14:textId="77777777" w:rsidR="005045D6" w:rsidRPr="000C1114" w:rsidRDefault="005045D6" w:rsidP="000C1114">
      <w:pPr>
        <w:jc w:val="both"/>
        <w:rPr>
          <w:rFonts w:asciiTheme="majorBidi" w:hAnsiTheme="majorBidi" w:cstheme="majorBidi"/>
          <w:b/>
          <w:bCs/>
          <w:szCs w:val="24"/>
        </w:rPr>
      </w:pPr>
      <w:bookmarkStart w:id="12" w:name="_Toc199955907"/>
      <w:bookmarkStart w:id="13" w:name="_Toc199957537"/>
      <w:r w:rsidRPr="000C1114">
        <w:rPr>
          <w:rFonts w:asciiTheme="majorBidi" w:hAnsiTheme="majorBidi" w:cstheme="majorBidi"/>
          <w:szCs w:val="24"/>
        </w:rPr>
        <w:t>Hypothèse 1 : Les hôpitaux dotés d’un système d'information intégré parviennent à mieux couvrir leurs dépenses de fonctionnement.</w:t>
      </w:r>
      <w:bookmarkEnd w:id="12"/>
      <w:bookmarkEnd w:id="13"/>
    </w:p>
    <w:p w14:paraId="7C024B62" w14:textId="77777777" w:rsidR="005045D6" w:rsidRPr="000C1114" w:rsidRDefault="005045D6" w:rsidP="000C1114">
      <w:pPr>
        <w:jc w:val="both"/>
        <w:rPr>
          <w:rFonts w:asciiTheme="majorBidi" w:hAnsiTheme="majorBidi" w:cstheme="majorBidi"/>
          <w:b/>
          <w:bCs/>
          <w:szCs w:val="24"/>
        </w:rPr>
      </w:pPr>
      <w:bookmarkStart w:id="14" w:name="_Toc199955908"/>
      <w:bookmarkStart w:id="15" w:name="_Toc199957538"/>
      <w:r w:rsidRPr="000C1114">
        <w:rPr>
          <w:rFonts w:asciiTheme="majorBidi" w:hAnsiTheme="majorBidi" w:cstheme="majorBidi"/>
          <w:szCs w:val="24"/>
        </w:rPr>
        <w:t>Hypothèse 2 : Les caisses de sécurité sociale disposant d’un système d'information performant estiment suivre plus efficacement les dépenses hospitalières et contrôler les flux financiers.</w:t>
      </w:r>
      <w:bookmarkEnd w:id="14"/>
      <w:bookmarkEnd w:id="15"/>
    </w:p>
    <w:p w14:paraId="7F12E582" w14:textId="77777777" w:rsidR="00D32754" w:rsidRPr="000C1114" w:rsidRDefault="00D32754" w:rsidP="000C1114">
      <w:pPr>
        <w:jc w:val="both"/>
        <w:rPr>
          <w:rFonts w:asciiTheme="majorBidi" w:hAnsiTheme="majorBidi" w:cstheme="majorBidi"/>
          <w:szCs w:val="24"/>
        </w:rPr>
      </w:pPr>
      <w:bookmarkStart w:id="16" w:name="_Toc199955909"/>
      <w:bookmarkStart w:id="17" w:name="_Toc199957539"/>
      <w:r w:rsidRPr="000C1114">
        <w:rPr>
          <w:rStyle w:val="lev"/>
          <w:rFonts w:asciiTheme="majorBidi" w:hAnsiTheme="majorBidi" w:cstheme="majorBidi"/>
          <w:sz w:val="24"/>
          <w:szCs w:val="24"/>
        </w:rPr>
        <w:t>Importance de l’étude</w:t>
      </w:r>
      <w:r w:rsidR="00EB6D98" w:rsidRPr="000C1114">
        <w:rPr>
          <w:rStyle w:val="lev"/>
          <w:rFonts w:asciiTheme="majorBidi" w:hAnsiTheme="majorBidi" w:cstheme="majorBidi"/>
          <w:sz w:val="24"/>
          <w:szCs w:val="24"/>
        </w:rPr>
        <w:t> :</w:t>
      </w:r>
      <w:bookmarkEnd w:id="16"/>
      <w:bookmarkEnd w:id="17"/>
    </w:p>
    <w:p w14:paraId="12FBB69F" w14:textId="77777777" w:rsidR="00D32754" w:rsidRPr="000C1114" w:rsidRDefault="00D32754"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La question du financement des établissements hospitaliers est aujourd’hui au cœur des préoccupations des systèmes de santé, notamment dans les pays en développement comme </w:t>
      </w:r>
      <w:r w:rsidRPr="000C1114">
        <w:rPr>
          <w:rFonts w:asciiTheme="majorBidi" w:hAnsiTheme="majorBidi" w:cstheme="majorBidi"/>
        </w:rPr>
        <w:lastRenderedPageBreak/>
        <w:t>l’Algérie. La nécessité d’allouer les ressources de manière plus juste, plus transparente et plus efficace rend impérative l’évolution vers des modes de financement modernisés, capables de répondre aux besoins réels des hôpitaux.</w:t>
      </w:r>
    </w:p>
    <w:p w14:paraId="5D99B81E" w14:textId="77777777" w:rsidR="00D32754" w:rsidRPr="000C1114" w:rsidRDefault="00D32754"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Dans ce cadre, les </w:t>
      </w:r>
      <w:r w:rsidRPr="000C1114">
        <w:rPr>
          <w:rStyle w:val="lev"/>
          <w:rFonts w:asciiTheme="majorBidi" w:hAnsiTheme="majorBidi" w:cstheme="majorBidi"/>
          <w:sz w:val="24"/>
        </w:rPr>
        <w:t>systèmes d'information en santé</w:t>
      </w:r>
      <w:r w:rsidRPr="000C1114">
        <w:rPr>
          <w:rFonts w:asciiTheme="majorBidi" w:hAnsiTheme="majorBidi" w:cstheme="majorBidi"/>
        </w:rPr>
        <w:t xml:space="preserve"> représentent un levier stratégique. Leur capacité à produire des données fiables, à suivre l’activité des établissements en temps réel, et à soutenir les décisions de financement en fait un outil essentiel pour toute réforme du financement.</w:t>
      </w:r>
    </w:p>
    <w:p w14:paraId="6D39463D" w14:textId="77777777" w:rsidR="00D32754" w:rsidRPr="000C1114" w:rsidRDefault="00D32754"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Cette étude revêt donc une </w:t>
      </w:r>
      <w:r w:rsidRPr="000C1114">
        <w:rPr>
          <w:rStyle w:val="lev"/>
          <w:rFonts w:asciiTheme="majorBidi" w:hAnsiTheme="majorBidi" w:cstheme="majorBidi"/>
          <w:sz w:val="24"/>
        </w:rPr>
        <w:t>importance particulière</w:t>
      </w:r>
      <w:r w:rsidRPr="000C1114">
        <w:rPr>
          <w:rFonts w:asciiTheme="majorBidi" w:hAnsiTheme="majorBidi" w:cstheme="majorBidi"/>
        </w:rPr>
        <w:t xml:space="preserve"> sur plusieurs plans :</w:t>
      </w:r>
    </w:p>
    <w:p w14:paraId="49488F37" w14:textId="77777777" w:rsidR="00D32754" w:rsidRPr="000C1114" w:rsidRDefault="00D32754" w:rsidP="000C1114">
      <w:pPr>
        <w:pStyle w:val="NormalWeb"/>
        <w:numPr>
          <w:ilvl w:val="0"/>
          <w:numId w:val="2"/>
        </w:numPr>
        <w:spacing w:line="360" w:lineRule="auto"/>
        <w:jc w:val="both"/>
        <w:rPr>
          <w:rFonts w:asciiTheme="majorBidi" w:hAnsiTheme="majorBidi" w:cstheme="majorBidi"/>
        </w:rPr>
      </w:pPr>
      <w:r w:rsidRPr="000C1114">
        <w:rPr>
          <w:rStyle w:val="lev"/>
          <w:rFonts w:asciiTheme="majorBidi" w:hAnsiTheme="majorBidi" w:cstheme="majorBidi"/>
          <w:sz w:val="24"/>
        </w:rPr>
        <w:t>Sur le plan pratique</w:t>
      </w:r>
      <w:r w:rsidRPr="000C1114">
        <w:rPr>
          <w:rFonts w:asciiTheme="majorBidi" w:hAnsiTheme="majorBidi" w:cstheme="majorBidi"/>
        </w:rPr>
        <w:t>, elle met en lumière les insuffisances du modèle actuel basé sur le budget global, et explore une voie alternative réaliste et progressive.</w:t>
      </w:r>
    </w:p>
    <w:p w14:paraId="7FAB10F6" w14:textId="77777777" w:rsidR="00D32754" w:rsidRPr="000C1114" w:rsidRDefault="00D32754" w:rsidP="000C1114">
      <w:pPr>
        <w:pStyle w:val="NormalWeb"/>
        <w:numPr>
          <w:ilvl w:val="0"/>
          <w:numId w:val="2"/>
        </w:numPr>
        <w:spacing w:line="360" w:lineRule="auto"/>
        <w:jc w:val="both"/>
        <w:rPr>
          <w:rFonts w:asciiTheme="majorBidi" w:hAnsiTheme="majorBidi" w:cstheme="majorBidi"/>
        </w:rPr>
      </w:pPr>
      <w:r w:rsidRPr="000C1114">
        <w:rPr>
          <w:rStyle w:val="lev"/>
          <w:rFonts w:asciiTheme="majorBidi" w:hAnsiTheme="majorBidi" w:cstheme="majorBidi"/>
          <w:sz w:val="24"/>
        </w:rPr>
        <w:t>Sur le plan scientifique</w:t>
      </w:r>
      <w:r w:rsidRPr="000C1114">
        <w:rPr>
          <w:rFonts w:asciiTheme="majorBidi" w:hAnsiTheme="majorBidi" w:cstheme="majorBidi"/>
        </w:rPr>
        <w:t>, elle contribue à enrichir les travaux sur la modernisation de la gestion hospitalière en Algérie, en liant deux domaines rarement analysés ensemble : les systèmes d’information et le financement.</w:t>
      </w:r>
    </w:p>
    <w:p w14:paraId="60B6A15B" w14:textId="77777777" w:rsidR="00D32754" w:rsidRPr="000C1114" w:rsidRDefault="00D32754" w:rsidP="000C1114">
      <w:pPr>
        <w:pStyle w:val="NormalWeb"/>
        <w:numPr>
          <w:ilvl w:val="0"/>
          <w:numId w:val="2"/>
        </w:numPr>
        <w:spacing w:line="360" w:lineRule="auto"/>
        <w:jc w:val="both"/>
        <w:rPr>
          <w:rFonts w:asciiTheme="majorBidi" w:hAnsiTheme="majorBidi" w:cstheme="majorBidi"/>
        </w:rPr>
      </w:pPr>
      <w:r w:rsidRPr="000C1114">
        <w:rPr>
          <w:rStyle w:val="lev"/>
          <w:rFonts w:asciiTheme="majorBidi" w:hAnsiTheme="majorBidi" w:cstheme="majorBidi"/>
          <w:sz w:val="24"/>
        </w:rPr>
        <w:t>Sur le plan managérial</w:t>
      </w:r>
      <w:r w:rsidRPr="000C1114">
        <w:rPr>
          <w:rFonts w:asciiTheme="majorBidi" w:hAnsiTheme="majorBidi" w:cstheme="majorBidi"/>
        </w:rPr>
        <w:t>, elle sensibilise les responsables hospitaliers et les institutions sociales à l’intérêt d’intégrer les technologies de l’information dans les processus de pilotage financier.</w:t>
      </w:r>
    </w:p>
    <w:p w14:paraId="595900CA" w14:textId="77777777" w:rsidR="00D32754" w:rsidRPr="000C1114" w:rsidRDefault="00D32754" w:rsidP="000C1114">
      <w:pPr>
        <w:pStyle w:val="NormalWeb"/>
        <w:numPr>
          <w:ilvl w:val="0"/>
          <w:numId w:val="2"/>
        </w:numPr>
        <w:spacing w:line="360" w:lineRule="auto"/>
        <w:jc w:val="both"/>
        <w:rPr>
          <w:rFonts w:asciiTheme="majorBidi" w:hAnsiTheme="majorBidi" w:cstheme="majorBidi"/>
        </w:rPr>
      </w:pPr>
      <w:r w:rsidRPr="000C1114">
        <w:rPr>
          <w:rStyle w:val="lev"/>
          <w:rFonts w:asciiTheme="majorBidi" w:hAnsiTheme="majorBidi" w:cstheme="majorBidi"/>
          <w:sz w:val="24"/>
        </w:rPr>
        <w:t>Sur le plan personnel</w:t>
      </w:r>
      <w:r w:rsidRPr="000C1114">
        <w:rPr>
          <w:rFonts w:asciiTheme="majorBidi" w:hAnsiTheme="majorBidi" w:cstheme="majorBidi"/>
        </w:rPr>
        <w:t>, cette étude s’inscrit dans une démarche de spécialisation en management des services de santé et renforce la compréhension des mécanismes de gouvernance hospitalière.</w:t>
      </w:r>
    </w:p>
    <w:p w14:paraId="46803254" w14:textId="77777777" w:rsidR="002572A3" w:rsidRPr="000C1114" w:rsidRDefault="002572A3" w:rsidP="000C1114">
      <w:pPr>
        <w:jc w:val="both"/>
        <w:rPr>
          <w:rFonts w:asciiTheme="majorBidi" w:hAnsiTheme="majorBidi" w:cstheme="majorBidi"/>
          <w:szCs w:val="24"/>
        </w:rPr>
      </w:pPr>
      <w:bookmarkStart w:id="18" w:name="_Toc199955910"/>
      <w:bookmarkStart w:id="19" w:name="_Toc199957540"/>
      <w:r w:rsidRPr="000C1114">
        <w:rPr>
          <w:rStyle w:val="lev"/>
          <w:rFonts w:asciiTheme="majorBidi" w:hAnsiTheme="majorBidi" w:cstheme="majorBidi"/>
          <w:sz w:val="24"/>
          <w:szCs w:val="24"/>
        </w:rPr>
        <w:t>Objectifs de l’étude</w:t>
      </w:r>
      <w:r w:rsidR="00EB6D98" w:rsidRPr="000C1114">
        <w:rPr>
          <w:rStyle w:val="lev"/>
          <w:rFonts w:asciiTheme="majorBidi" w:hAnsiTheme="majorBidi" w:cstheme="majorBidi"/>
          <w:sz w:val="24"/>
          <w:szCs w:val="24"/>
        </w:rPr>
        <w:t> :</w:t>
      </w:r>
      <w:bookmarkEnd w:id="18"/>
      <w:bookmarkEnd w:id="19"/>
    </w:p>
    <w:p w14:paraId="3F179E67" w14:textId="77777777" w:rsidR="002572A3" w:rsidRPr="000C1114" w:rsidRDefault="002572A3"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L’étude menée vise à mieux comprendre comment les systèmes d'information en santé peuvent être mobilisés pour accompagner une réforme du mode de financement des établissements hospitaliers en Algérie. Elle se donne pour ambition d’évaluer la faisabilité d’un </w:t>
      </w:r>
      <w:r w:rsidRPr="000C1114">
        <w:rPr>
          <w:rStyle w:val="lev"/>
          <w:rFonts w:asciiTheme="majorBidi" w:hAnsiTheme="majorBidi" w:cstheme="majorBidi"/>
          <w:sz w:val="24"/>
        </w:rPr>
        <w:t>modèle de financement mixte</w:t>
      </w:r>
      <w:r w:rsidRPr="000C1114">
        <w:rPr>
          <w:rFonts w:asciiTheme="majorBidi" w:hAnsiTheme="majorBidi" w:cstheme="majorBidi"/>
        </w:rPr>
        <w:t>, plus adapté à l’activité réelle des structures de santé, et appuyé sur un système d'information fiable.</w:t>
      </w:r>
    </w:p>
    <w:p w14:paraId="08249FC0" w14:textId="77777777" w:rsidR="002572A3" w:rsidRPr="000C1114" w:rsidRDefault="002572A3" w:rsidP="000C1114">
      <w:pPr>
        <w:pStyle w:val="NormalWeb"/>
        <w:spacing w:line="360" w:lineRule="auto"/>
        <w:jc w:val="both"/>
        <w:rPr>
          <w:rFonts w:asciiTheme="majorBidi" w:hAnsiTheme="majorBidi" w:cstheme="majorBidi"/>
        </w:rPr>
      </w:pPr>
      <w:r w:rsidRPr="000C1114">
        <w:rPr>
          <w:rFonts w:asciiTheme="majorBidi" w:hAnsiTheme="majorBidi" w:cstheme="majorBidi"/>
        </w:rPr>
        <w:t>À cet effet, plusieurs objectifs ont été définis :</w:t>
      </w:r>
    </w:p>
    <w:p w14:paraId="0011436C" w14:textId="77777777" w:rsidR="002572A3" w:rsidRPr="000C1114" w:rsidRDefault="002572A3" w:rsidP="000C1114">
      <w:pPr>
        <w:jc w:val="both"/>
        <w:rPr>
          <w:rFonts w:asciiTheme="majorBidi" w:hAnsiTheme="majorBidi" w:cstheme="majorBidi"/>
          <w:szCs w:val="24"/>
        </w:rPr>
      </w:pPr>
      <w:r w:rsidRPr="000C1114">
        <w:rPr>
          <w:rStyle w:val="lev"/>
          <w:rFonts w:asciiTheme="majorBidi" w:hAnsiTheme="majorBidi" w:cstheme="majorBidi"/>
          <w:sz w:val="24"/>
          <w:szCs w:val="24"/>
        </w:rPr>
        <w:t>Objectif général :</w:t>
      </w:r>
    </w:p>
    <w:p w14:paraId="31544254" w14:textId="77777777" w:rsidR="002572A3" w:rsidRPr="000C1114" w:rsidRDefault="002572A3" w:rsidP="000C1114">
      <w:pPr>
        <w:jc w:val="both"/>
        <w:rPr>
          <w:rFonts w:asciiTheme="majorBidi" w:hAnsiTheme="majorBidi" w:cstheme="majorBidi"/>
          <w:szCs w:val="24"/>
        </w:rPr>
      </w:pPr>
      <w:r w:rsidRPr="000C1114">
        <w:rPr>
          <w:rFonts w:asciiTheme="majorBidi" w:hAnsiTheme="majorBidi" w:cstheme="majorBidi"/>
          <w:szCs w:val="24"/>
        </w:rPr>
        <w:lastRenderedPageBreak/>
        <w:t>Analyser dans quelle mesure le développement des systèmes d'information en santé peut contribuer à la restructuration des modes de financement des établissements hospitaliers publics en Algérie.</w:t>
      </w:r>
    </w:p>
    <w:p w14:paraId="08815DEC" w14:textId="77777777" w:rsidR="002572A3" w:rsidRPr="000C1114" w:rsidRDefault="002572A3" w:rsidP="000C1114">
      <w:pPr>
        <w:jc w:val="both"/>
        <w:rPr>
          <w:rFonts w:asciiTheme="majorBidi" w:hAnsiTheme="majorBidi" w:cstheme="majorBidi"/>
          <w:szCs w:val="24"/>
        </w:rPr>
      </w:pPr>
      <w:r w:rsidRPr="000C1114">
        <w:rPr>
          <w:rStyle w:val="lev"/>
          <w:rFonts w:asciiTheme="majorBidi" w:hAnsiTheme="majorBidi" w:cstheme="majorBidi"/>
          <w:sz w:val="24"/>
          <w:szCs w:val="24"/>
        </w:rPr>
        <w:t>Objectifs spécifiques :</w:t>
      </w:r>
    </w:p>
    <w:p w14:paraId="65FCD9D5" w14:textId="77777777" w:rsidR="002572A3" w:rsidRPr="000C1114" w:rsidRDefault="002572A3" w:rsidP="000C1114">
      <w:pPr>
        <w:pStyle w:val="NormalWeb"/>
        <w:numPr>
          <w:ilvl w:val="0"/>
          <w:numId w:val="3"/>
        </w:numPr>
        <w:spacing w:line="360" w:lineRule="auto"/>
        <w:jc w:val="both"/>
        <w:rPr>
          <w:rFonts w:asciiTheme="majorBidi" w:hAnsiTheme="majorBidi" w:cstheme="majorBidi"/>
        </w:rPr>
      </w:pPr>
      <w:r w:rsidRPr="000C1114">
        <w:rPr>
          <w:rFonts w:asciiTheme="majorBidi" w:hAnsiTheme="majorBidi" w:cstheme="majorBidi"/>
        </w:rPr>
        <w:t>Identifier les limites du mode de financement actuel basé sur le budget global.</w:t>
      </w:r>
    </w:p>
    <w:p w14:paraId="303DBBF0" w14:textId="77777777" w:rsidR="002572A3" w:rsidRPr="000C1114" w:rsidRDefault="002572A3" w:rsidP="000C1114">
      <w:pPr>
        <w:pStyle w:val="NormalWeb"/>
        <w:numPr>
          <w:ilvl w:val="0"/>
          <w:numId w:val="3"/>
        </w:numPr>
        <w:spacing w:line="360" w:lineRule="auto"/>
        <w:jc w:val="both"/>
        <w:rPr>
          <w:rFonts w:asciiTheme="majorBidi" w:hAnsiTheme="majorBidi" w:cstheme="majorBidi"/>
        </w:rPr>
      </w:pPr>
      <w:r w:rsidRPr="000C1114">
        <w:rPr>
          <w:rFonts w:asciiTheme="majorBidi" w:hAnsiTheme="majorBidi" w:cstheme="majorBidi"/>
        </w:rPr>
        <w:t>Étudier les apports des systèmes d'information dans le pilotage de l’activité hospitalière et la gestion financière.</w:t>
      </w:r>
    </w:p>
    <w:p w14:paraId="4B5FADD2" w14:textId="77777777" w:rsidR="002572A3" w:rsidRPr="000C1114" w:rsidRDefault="002572A3" w:rsidP="000C1114">
      <w:pPr>
        <w:pStyle w:val="NormalWeb"/>
        <w:numPr>
          <w:ilvl w:val="0"/>
          <w:numId w:val="3"/>
        </w:numPr>
        <w:spacing w:line="360" w:lineRule="auto"/>
        <w:jc w:val="both"/>
        <w:rPr>
          <w:rFonts w:asciiTheme="majorBidi" w:hAnsiTheme="majorBidi" w:cstheme="majorBidi"/>
        </w:rPr>
      </w:pPr>
      <w:r w:rsidRPr="000C1114">
        <w:rPr>
          <w:rFonts w:asciiTheme="majorBidi" w:hAnsiTheme="majorBidi" w:cstheme="majorBidi"/>
        </w:rPr>
        <w:t>Analyser les modèles internationaux de financement liés à l’activité, et en tirer les enseignements pour le contexte algérien.</w:t>
      </w:r>
    </w:p>
    <w:p w14:paraId="309C1DA4" w14:textId="77777777" w:rsidR="002572A3" w:rsidRPr="000C1114" w:rsidRDefault="002572A3" w:rsidP="000C1114">
      <w:pPr>
        <w:pStyle w:val="NormalWeb"/>
        <w:numPr>
          <w:ilvl w:val="0"/>
          <w:numId w:val="3"/>
        </w:numPr>
        <w:spacing w:line="360" w:lineRule="auto"/>
        <w:jc w:val="both"/>
        <w:rPr>
          <w:rFonts w:asciiTheme="majorBidi" w:hAnsiTheme="majorBidi" w:cstheme="majorBidi"/>
        </w:rPr>
      </w:pPr>
      <w:r w:rsidRPr="000C1114">
        <w:rPr>
          <w:rFonts w:asciiTheme="majorBidi" w:hAnsiTheme="majorBidi" w:cstheme="majorBidi"/>
        </w:rPr>
        <w:t>Évaluer la faisabilité d’un modèle de financement mixte, combinant base fixe et part variable.</w:t>
      </w:r>
    </w:p>
    <w:p w14:paraId="7029F9F0" w14:textId="77777777" w:rsidR="002572A3" w:rsidRPr="000C1114" w:rsidRDefault="002572A3" w:rsidP="000C1114">
      <w:pPr>
        <w:pStyle w:val="NormalWeb"/>
        <w:numPr>
          <w:ilvl w:val="0"/>
          <w:numId w:val="3"/>
        </w:numPr>
        <w:spacing w:line="360" w:lineRule="auto"/>
        <w:jc w:val="both"/>
        <w:rPr>
          <w:rFonts w:asciiTheme="majorBidi" w:hAnsiTheme="majorBidi" w:cstheme="majorBidi"/>
        </w:rPr>
      </w:pPr>
      <w:r w:rsidRPr="000C1114">
        <w:rPr>
          <w:rFonts w:asciiTheme="majorBidi" w:hAnsiTheme="majorBidi" w:cstheme="majorBidi"/>
        </w:rPr>
        <w:t>Formuler des recommandations concrètes pour l’intégration progressive d’un système d’information hospitalier efficace au service d’une réforme du financement.</w:t>
      </w:r>
    </w:p>
    <w:p w14:paraId="15665278" w14:textId="77777777" w:rsidR="002209C5" w:rsidRPr="000C1114" w:rsidRDefault="002572A3" w:rsidP="000C1114">
      <w:pPr>
        <w:jc w:val="both"/>
        <w:rPr>
          <w:rFonts w:asciiTheme="majorBidi" w:hAnsiTheme="majorBidi" w:cstheme="majorBidi"/>
          <w:b/>
          <w:bCs/>
          <w:szCs w:val="24"/>
        </w:rPr>
      </w:pPr>
      <w:r w:rsidRPr="000C1114">
        <w:rPr>
          <w:rFonts w:asciiTheme="majorBidi" w:hAnsiTheme="majorBidi" w:cstheme="majorBidi"/>
          <w:b/>
          <w:bCs/>
          <w:szCs w:val="24"/>
        </w:rPr>
        <w:t>Raisons du choix du sujet</w:t>
      </w:r>
    </w:p>
    <w:p w14:paraId="117676D3" w14:textId="77777777" w:rsidR="002572A3" w:rsidRPr="000C1114" w:rsidRDefault="002572A3" w:rsidP="000C1114">
      <w:pPr>
        <w:jc w:val="both"/>
        <w:rPr>
          <w:rFonts w:asciiTheme="majorBidi" w:hAnsiTheme="majorBidi" w:cstheme="majorBidi"/>
          <w:b/>
          <w:bCs/>
          <w:szCs w:val="24"/>
        </w:rPr>
      </w:pPr>
      <w:r w:rsidRPr="000C1114">
        <w:rPr>
          <w:rFonts w:asciiTheme="majorBidi" w:hAnsiTheme="majorBidi" w:cstheme="majorBidi"/>
          <w:szCs w:val="24"/>
        </w:rPr>
        <w:t xml:space="preserve">Le choix de ce sujet découle d’un double intérêt : un </w:t>
      </w:r>
      <w:r w:rsidRPr="000C1114">
        <w:rPr>
          <w:rFonts w:asciiTheme="majorBidi" w:hAnsiTheme="majorBidi" w:cstheme="majorBidi"/>
          <w:b/>
          <w:bCs/>
          <w:szCs w:val="24"/>
        </w:rPr>
        <w:t>intérêt scientifique</w:t>
      </w:r>
      <w:r w:rsidRPr="000C1114">
        <w:rPr>
          <w:rFonts w:asciiTheme="majorBidi" w:hAnsiTheme="majorBidi" w:cstheme="majorBidi"/>
          <w:szCs w:val="24"/>
        </w:rPr>
        <w:t xml:space="preserve">, en lien avec les transformations actuelles du secteur hospitalier, et un </w:t>
      </w:r>
      <w:r w:rsidRPr="000C1114">
        <w:rPr>
          <w:rFonts w:asciiTheme="majorBidi" w:hAnsiTheme="majorBidi" w:cstheme="majorBidi"/>
          <w:b/>
          <w:bCs/>
          <w:szCs w:val="24"/>
        </w:rPr>
        <w:t>intérêt personnel</w:t>
      </w:r>
      <w:r w:rsidRPr="000C1114">
        <w:rPr>
          <w:rFonts w:asciiTheme="majorBidi" w:hAnsiTheme="majorBidi" w:cstheme="majorBidi"/>
          <w:szCs w:val="24"/>
        </w:rPr>
        <w:t>, lié à la spécialité universitaire en management des services de santé.</w:t>
      </w:r>
    </w:p>
    <w:p w14:paraId="08B93D18" w14:textId="77777777" w:rsidR="002572A3" w:rsidRPr="000C1114" w:rsidRDefault="002572A3" w:rsidP="000C1114">
      <w:pPr>
        <w:jc w:val="both"/>
        <w:rPr>
          <w:rFonts w:asciiTheme="majorBidi" w:hAnsiTheme="majorBidi" w:cstheme="majorBidi"/>
          <w:b/>
          <w:bCs/>
          <w:szCs w:val="24"/>
        </w:rPr>
      </w:pPr>
      <w:r w:rsidRPr="000C1114">
        <w:rPr>
          <w:rFonts w:asciiTheme="majorBidi" w:hAnsiTheme="majorBidi" w:cstheme="majorBidi"/>
          <w:b/>
          <w:bCs/>
          <w:szCs w:val="24"/>
        </w:rPr>
        <w:t>Motifs scientifiques :</w:t>
      </w:r>
    </w:p>
    <w:p w14:paraId="45697D49" w14:textId="77777777" w:rsidR="002572A3" w:rsidRPr="000C1114" w:rsidRDefault="002572A3" w:rsidP="000C1114">
      <w:pPr>
        <w:numPr>
          <w:ilvl w:val="0"/>
          <w:numId w:val="4"/>
        </w:numPr>
        <w:jc w:val="both"/>
        <w:rPr>
          <w:rFonts w:asciiTheme="majorBidi" w:hAnsiTheme="majorBidi" w:cstheme="majorBidi"/>
          <w:szCs w:val="24"/>
        </w:rPr>
      </w:pPr>
      <w:r w:rsidRPr="000C1114">
        <w:rPr>
          <w:rFonts w:asciiTheme="majorBidi" w:hAnsiTheme="majorBidi" w:cstheme="majorBidi"/>
          <w:szCs w:val="24"/>
        </w:rPr>
        <w:t>La question du financement hospitalier en Algérie reste peu explorée dans une perspective managériale et numérique, alors qu’elle représente un enjeu stratégique majeur.</w:t>
      </w:r>
    </w:p>
    <w:p w14:paraId="7AF842DE" w14:textId="77777777" w:rsidR="002572A3" w:rsidRPr="000C1114" w:rsidRDefault="002572A3" w:rsidP="000C1114">
      <w:pPr>
        <w:numPr>
          <w:ilvl w:val="0"/>
          <w:numId w:val="4"/>
        </w:numPr>
        <w:jc w:val="both"/>
        <w:rPr>
          <w:rFonts w:asciiTheme="majorBidi" w:hAnsiTheme="majorBidi" w:cstheme="majorBidi"/>
          <w:szCs w:val="24"/>
        </w:rPr>
      </w:pPr>
      <w:r w:rsidRPr="000C1114">
        <w:rPr>
          <w:rFonts w:asciiTheme="majorBidi" w:hAnsiTheme="majorBidi" w:cstheme="majorBidi"/>
          <w:szCs w:val="24"/>
        </w:rPr>
        <w:t xml:space="preserve">Le lien entre </w:t>
      </w:r>
      <w:r w:rsidRPr="000C1114">
        <w:rPr>
          <w:rFonts w:asciiTheme="majorBidi" w:hAnsiTheme="majorBidi" w:cstheme="majorBidi"/>
          <w:b/>
          <w:bCs/>
          <w:szCs w:val="24"/>
        </w:rPr>
        <w:t>systèmes d'information</w:t>
      </w:r>
      <w:r w:rsidRPr="000C1114">
        <w:rPr>
          <w:rFonts w:asciiTheme="majorBidi" w:hAnsiTheme="majorBidi" w:cstheme="majorBidi"/>
          <w:szCs w:val="24"/>
        </w:rPr>
        <w:t xml:space="preserve"> et </w:t>
      </w:r>
      <w:r w:rsidRPr="000C1114">
        <w:rPr>
          <w:rFonts w:asciiTheme="majorBidi" w:hAnsiTheme="majorBidi" w:cstheme="majorBidi"/>
          <w:b/>
          <w:bCs/>
          <w:szCs w:val="24"/>
        </w:rPr>
        <w:t>restructuration financière</w:t>
      </w:r>
      <w:r w:rsidRPr="000C1114">
        <w:rPr>
          <w:rFonts w:asciiTheme="majorBidi" w:hAnsiTheme="majorBidi" w:cstheme="majorBidi"/>
          <w:szCs w:val="24"/>
        </w:rPr>
        <w:t xml:space="preserve"> est encore rarement abordé dans les recherches universitaires, bien qu’il soit central dans les politiques de santé modernes.</w:t>
      </w:r>
    </w:p>
    <w:p w14:paraId="212A2753" w14:textId="77777777" w:rsidR="002572A3" w:rsidRPr="000C1114" w:rsidRDefault="002572A3" w:rsidP="000C1114">
      <w:pPr>
        <w:numPr>
          <w:ilvl w:val="0"/>
          <w:numId w:val="4"/>
        </w:numPr>
        <w:jc w:val="both"/>
        <w:rPr>
          <w:rFonts w:asciiTheme="majorBidi" w:hAnsiTheme="majorBidi" w:cstheme="majorBidi"/>
          <w:szCs w:val="24"/>
        </w:rPr>
      </w:pPr>
      <w:r w:rsidRPr="000C1114">
        <w:rPr>
          <w:rFonts w:asciiTheme="majorBidi" w:hAnsiTheme="majorBidi" w:cstheme="majorBidi"/>
          <w:szCs w:val="24"/>
        </w:rPr>
        <w:t xml:space="preserve">Cette étude permet d’analyser une problématique concrète et actuelle à travers une approche combinant </w:t>
      </w:r>
      <w:r w:rsidRPr="000C1114">
        <w:rPr>
          <w:rFonts w:asciiTheme="majorBidi" w:hAnsiTheme="majorBidi" w:cstheme="majorBidi"/>
          <w:b/>
          <w:bCs/>
          <w:szCs w:val="24"/>
        </w:rPr>
        <w:t>étude de terrain</w:t>
      </w:r>
      <w:r w:rsidRPr="000C1114">
        <w:rPr>
          <w:rFonts w:asciiTheme="majorBidi" w:hAnsiTheme="majorBidi" w:cstheme="majorBidi"/>
          <w:szCs w:val="24"/>
        </w:rPr>
        <w:t xml:space="preserve"> et </w:t>
      </w:r>
      <w:r w:rsidRPr="000C1114">
        <w:rPr>
          <w:rFonts w:asciiTheme="majorBidi" w:hAnsiTheme="majorBidi" w:cstheme="majorBidi"/>
          <w:b/>
          <w:bCs/>
          <w:szCs w:val="24"/>
        </w:rPr>
        <w:t>réflexion théorique</w:t>
      </w:r>
      <w:r w:rsidRPr="000C1114">
        <w:rPr>
          <w:rFonts w:asciiTheme="majorBidi" w:hAnsiTheme="majorBidi" w:cstheme="majorBidi"/>
          <w:szCs w:val="24"/>
        </w:rPr>
        <w:t>, offrant ainsi une valeur ajoutée académique et pratique.</w:t>
      </w:r>
    </w:p>
    <w:p w14:paraId="69336B8C" w14:textId="77777777" w:rsidR="002572A3" w:rsidRPr="000C1114" w:rsidRDefault="002572A3" w:rsidP="000C1114">
      <w:pPr>
        <w:jc w:val="both"/>
        <w:rPr>
          <w:rFonts w:asciiTheme="majorBidi" w:hAnsiTheme="majorBidi" w:cstheme="majorBidi"/>
          <w:b/>
          <w:bCs/>
          <w:szCs w:val="24"/>
        </w:rPr>
      </w:pPr>
      <w:r w:rsidRPr="000C1114">
        <w:rPr>
          <w:rFonts w:asciiTheme="majorBidi" w:hAnsiTheme="majorBidi" w:cstheme="majorBidi"/>
          <w:b/>
          <w:bCs/>
          <w:szCs w:val="24"/>
        </w:rPr>
        <w:t>Motifs personnels :</w:t>
      </w:r>
    </w:p>
    <w:p w14:paraId="74B1D63D" w14:textId="77777777" w:rsidR="002572A3" w:rsidRPr="000C1114" w:rsidRDefault="002572A3" w:rsidP="000C1114">
      <w:pPr>
        <w:numPr>
          <w:ilvl w:val="0"/>
          <w:numId w:val="5"/>
        </w:numPr>
        <w:jc w:val="both"/>
        <w:rPr>
          <w:rFonts w:asciiTheme="majorBidi" w:hAnsiTheme="majorBidi" w:cstheme="majorBidi"/>
          <w:szCs w:val="24"/>
        </w:rPr>
      </w:pPr>
      <w:r w:rsidRPr="000C1114">
        <w:rPr>
          <w:rFonts w:asciiTheme="majorBidi" w:hAnsiTheme="majorBidi" w:cstheme="majorBidi"/>
          <w:szCs w:val="24"/>
        </w:rPr>
        <w:lastRenderedPageBreak/>
        <w:t>L</w:t>
      </w:r>
      <w:r w:rsidR="004D1B32" w:rsidRPr="000C1114">
        <w:rPr>
          <w:rFonts w:asciiTheme="majorBidi" w:hAnsiTheme="majorBidi" w:cstheme="majorBidi"/>
          <w:szCs w:val="24"/>
        </w:rPr>
        <w:t>e sujet est directement lié à notre</w:t>
      </w:r>
      <w:r w:rsidRPr="000C1114">
        <w:rPr>
          <w:rFonts w:asciiTheme="majorBidi" w:hAnsiTheme="majorBidi" w:cstheme="majorBidi"/>
          <w:szCs w:val="24"/>
        </w:rPr>
        <w:t xml:space="preserve"> spécialité en </w:t>
      </w:r>
      <w:r w:rsidRPr="000C1114">
        <w:rPr>
          <w:rFonts w:asciiTheme="majorBidi" w:hAnsiTheme="majorBidi" w:cstheme="majorBidi"/>
          <w:b/>
          <w:bCs/>
          <w:szCs w:val="24"/>
        </w:rPr>
        <w:t>management des services de santé</w:t>
      </w:r>
      <w:r w:rsidRPr="000C1114">
        <w:rPr>
          <w:rFonts w:asciiTheme="majorBidi" w:hAnsiTheme="majorBidi" w:cstheme="majorBidi"/>
          <w:szCs w:val="24"/>
        </w:rPr>
        <w:t>, et contribue au développement de compétences concrètes dans la gouvernance hospitalière.</w:t>
      </w:r>
    </w:p>
    <w:p w14:paraId="6574D014" w14:textId="77777777" w:rsidR="002572A3" w:rsidRPr="000C1114" w:rsidRDefault="002572A3" w:rsidP="000C1114">
      <w:pPr>
        <w:numPr>
          <w:ilvl w:val="0"/>
          <w:numId w:val="5"/>
        </w:numPr>
        <w:jc w:val="both"/>
        <w:rPr>
          <w:rFonts w:asciiTheme="majorBidi" w:hAnsiTheme="majorBidi" w:cstheme="majorBidi"/>
          <w:szCs w:val="24"/>
        </w:rPr>
      </w:pPr>
      <w:r w:rsidRPr="000C1114">
        <w:rPr>
          <w:rFonts w:asciiTheme="majorBidi" w:hAnsiTheme="majorBidi" w:cstheme="majorBidi"/>
          <w:szCs w:val="24"/>
        </w:rPr>
        <w:t>L’intérêt porté aux innovations en matière de gestion publique et à l’intégration des technologie</w:t>
      </w:r>
      <w:r w:rsidR="004D1B32" w:rsidRPr="000C1114">
        <w:rPr>
          <w:rFonts w:asciiTheme="majorBidi" w:hAnsiTheme="majorBidi" w:cstheme="majorBidi"/>
          <w:szCs w:val="24"/>
        </w:rPr>
        <w:t>s dans les services de santé nous a motivée</w:t>
      </w:r>
      <w:r w:rsidRPr="000C1114">
        <w:rPr>
          <w:rFonts w:asciiTheme="majorBidi" w:hAnsiTheme="majorBidi" w:cstheme="majorBidi"/>
          <w:szCs w:val="24"/>
        </w:rPr>
        <w:t xml:space="preserve"> à approfondir cette thématique.</w:t>
      </w:r>
    </w:p>
    <w:p w14:paraId="4D5F7B16" w14:textId="77777777" w:rsidR="002572A3" w:rsidRPr="000C1114" w:rsidRDefault="002572A3" w:rsidP="000C1114">
      <w:pPr>
        <w:numPr>
          <w:ilvl w:val="0"/>
          <w:numId w:val="5"/>
        </w:numPr>
        <w:jc w:val="both"/>
        <w:rPr>
          <w:rFonts w:asciiTheme="majorBidi" w:hAnsiTheme="majorBidi" w:cstheme="majorBidi"/>
          <w:szCs w:val="24"/>
        </w:rPr>
      </w:pPr>
      <w:r w:rsidRPr="000C1114">
        <w:rPr>
          <w:rFonts w:asciiTheme="majorBidi" w:hAnsiTheme="majorBidi" w:cstheme="majorBidi"/>
          <w:szCs w:val="24"/>
        </w:rPr>
        <w:t xml:space="preserve">L’observation de certaines </w:t>
      </w:r>
      <w:r w:rsidRPr="000C1114">
        <w:rPr>
          <w:rFonts w:asciiTheme="majorBidi" w:hAnsiTheme="majorBidi" w:cstheme="majorBidi"/>
          <w:b/>
          <w:bCs/>
          <w:szCs w:val="24"/>
        </w:rPr>
        <w:t>difficultés de gestion dans les hôpitaux publics algériens</w:t>
      </w:r>
      <w:r w:rsidRPr="000C1114">
        <w:rPr>
          <w:rFonts w:asciiTheme="majorBidi" w:hAnsiTheme="majorBidi" w:cstheme="majorBidi"/>
          <w:szCs w:val="24"/>
        </w:rPr>
        <w:t>, notamment en matière de financement et d’organisation, a renforcé ma volonté de réfléchir à des pistes d’amélioration réalistes et adaptées.</w:t>
      </w:r>
    </w:p>
    <w:p w14:paraId="6301E371" w14:textId="77777777" w:rsidR="002572A3" w:rsidRPr="000C1114" w:rsidRDefault="002572A3" w:rsidP="000C1114">
      <w:pPr>
        <w:jc w:val="both"/>
        <w:rPr>
          <w:rFonts w:asciiTheme="majorBidi" w:hAnsiTheme="majorBidi" w:cstheme="majorBidi"/>
          <w:szCs w:val="24"/>
        </w:rPr>
      </w:pPr>
      <w:bookmarkStart w:id="20" w:name="_Toc199955911"/>
      <w:bookmarkStart w:id="21" w:name="_Toc199957541"/>
      <w:r w:rsidRPr="000C1114">
        <w:rPr>
          <w:rStyle w:val="lev"/>
          <w:rFonts w:asciiTheme="majorBidi" w:hAnsiTheme="majorBidi" w:cstheme="majorBidi"/>
          <w:sz w:val="24"/>
          <w:szCs w:val="24"/>
        </w:rPr>
        <w:t>Méthodologie de l’étude</w:t>
      </w:r>
      <w:bookmarkEnd w:id="20"/>
      <w:bookmarkEnd w:id="21"/>
    </w:p>
    <w:p w14:paraId="5A7F47D5" w14:textId="77777777" w:rsidR="002572A3" w:rsidRPr="000C1114" w:rsidRDefault="002572A3"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Nous avons adopté dans notre travail </w:t>
      </w:r>
      <w:r w:rsidRPr="000C1114">
        <w:rPr>
          <w:rStyle w:val="lev"/>
          <w:rFonts w:asciiTheme="majorBidi" w:hAnsiTheme="majorBidi" w:cstheme="majorBidi"/>
          <w:sz w:val="24"/>
        </w:rPr>
        <w:t>deux approches méthodologiques principales</w:t>
      </w:r>
      <w:r w:rsidRPr="000C1114">
        <w:rPr>
          <w:rFonts w:asciiTheme="majorBidi" w:hAnsiTheme="majorBidi" w:cstheme="majorBidi"/>
        </w:rPr>
        <w:t>, selon la nature du traitement de l’information :</w:t>
      </w:r>
    </w:p>
    <w:p w14:paraId="5FF391CA" w14:textId="77777777" w:rsidR="002572A3" w:rsidRPr="000C1114" w:rsidRDefault="002572A3" w:rsidP="000C1114">
      <w:pPr>
        <w:pStyle w:val="NormalWeb"/>
        <w:numPr>
          <w:ilvl w:val="0"/>
          <w:numId w:val="6"/>
        </w:numPr>
        <w:spacing w:line="360" w:lineRule="auto"/>
        <w:jc w:val="both"/>
        <w:rPr>
          <w:rFonts w:asciiTheme="majorBidi" w:hAnsiTheme="majorBidi" w:cstheme="majorBidi"/>
        </w:rPr>
      </w:pPr>
      <w:r w:rsidRPr="000C1114">
        <w:rPr>
          <w:rStyle w:val="lev"/>
          <w:rFonts w:asciiTheme="majorBidi" w:hAnsiTheme="majorBidi" w:cstheme="majorBidi"/>
          <w:sz w:val="24"/>
        </w:rPr>
        <w:t>La méthode descriptive</w:t>
      </w:r>
      <w:r w:rsidRPr="000C1114">
        <w:rPr>
          <w:rFonts w:asciiTheme="majorBidi" w:hAnsiTheme="majorBidi" w:cstheme="majorBidi"/>
        </w:rPr>
        <w:t xml:space="preserve"> a été mobilisée dans la partie théorique. Elle nous a permis d’aborder les différentes dimensions du sujet en analysant les concepts fondamentaux liés aux </w:t>
      </w:r>
      <w:r w:rsidRPr="000C1114">
        <w:rPr>
          <w:rStyle w:val="lev"/>
          <w:rFonts w:asciiTheme="majorBidi" w:hAnsiTheme="majorBidi" w:cstheme="majorBidi"/>
          <w:sz w:val="24"/>
        </w:rPr>
        <w:t>systèmes d'information en santé</w:t>
      </w:r>
      <w:r w:rsidRPr="000C1114">
        <w:rPr>
          <w:rFonts w:asciiTheme="majorBidi" w:hAnsiTheme="majorBidi" w:cstheme="majorBidi"/>
        </w:rPr>
        <w:t xml:space="preserve"> ainsi qu’aux </w:t>
      </w:r>
      <w:r w:rsidRPr="000C1114">
        <w:rPr>
          <w:rStyle w:val="lev"/>
          <w:rFonts w:asciiTheme="majorBidi" w:hAnsiTheme="majorBidi" w:cstheme="majorBidi"/>
          <w:sz w:val="24"/>
        </w:rPr>
        <w:t>modes de financement hospitaliers</w:t>
      </w:r>
      <w:r w:rsidRPr="000C1114">
        <w:rPr>
          <w:rFonts w:asciiTheme="majorBidi" w:hAnsiTheme="majorBidi" w:cstheme="majorBidi"/>
        </w:rPr>
        <w:t>, à travers l’étude d’une littérature spécialisée composée d’ouvrages, articles scientifiques, mémoires universitaires, lois, rapports institutionnels, et documents de conférences nationales et internationales.</w:t>
      </w:r>
    </w:p>
    <w:p w14:paraId="1E2CE34D" w14:textId="77777777" w:rsidR="002572A3" w:rsidRPr="000C1114" w:rsidRDefault="002572A3" w:rsidP="000C1114">
      <w:pPr>
        <w:pStyle w:val="NormalWeb"/>
        <w:numPr>
          <w:ilvl w:val="0"/>
          <w:numId w:val="6"/>
        </w:numPr>
        <w:spacing w:line="360" w:lineRule="auto"/>
        <w:jc w:val="both"/>
        <w:rPr>
          <w:rFonts w:asciiTheme="majorBidi" w:hAnsiTheme="majorBidi" w:cstheme="majorBidi"/>
        </w:rPr>
      </w:pPr>
      <w:r w:rsidRPr="000C1114">
        <w:rPr>
          <w:rFonts w:asciiTheme="majorBidi" w:hAnsiTheme="majorBidi" w:cstheme="majorBidi"/>
        </w:rPr>
        <w:t xml:space="preserve"> </w:t>
      </w:r>
      <w:r w:rsidRPr="000C1114">
        <w:rPr>
          <w:rStyle w:val="lev"/>
          <w:rFonts w:asciiTheme="majorBidi" w:hAnsiTheme="majorBidi" w:cstheme="majorBidi"/>
          <w:sz w:val="24"/>
        </w:rPr>
        <w:t>La méthode analytique</w:t>
      </w:r>
      <w:r w:rsidRPr="000C1114">
        <w:rPr>
          <w:rFonts w:asciiTheme="majorBidi" w:hAnsiTheme="majorBidi" w:cstheme="majorBidi"/>
        </w:rPr>
        <w:t xml:space="preserve"> a été utilisée dans la partie pratique, afin de comprendre la réalité du financement et de l’usage des SI dans deux structures publiques (un hôpital et une caisse de sécurité sociale).</w:t>
      </w:r>
      <w:r w:rsidRPr="000C1114">
        <w:rPr>
          <w:rFonts w:asciiTheme="majorBidi" w:hAnsiTheme="majorBidi" w:cstheme="majorBidi"/>
        </w:rPr>
        <w:br/>
        <w:t xml:space="preserve">Nous avons eu recours à deux </w:t>
      </w:r>
      <w:r w:rsidRPr="000C1114">
        <w:rPr>
          <w:rStyle w:val="lev"/>
          <w:rFonts w:asciiTheme="majorBidi" w:hAnsiTheme="majorBidi" w:cstheme="majorBidi"/>
          <w:sz w:val="24"/>
        </w:rPr>
        <w:t>questionnaires distincts</w:t>
      </w:r>
      <w:r w:rsidRPr="000C1114">
        <w:rPr>
          <w:rFonts w:asciiTheme="majorBidi" w:hAnsiTheme="majorBidi" w:cstheme="majorBidi"/>
        </w:rPr>
        <w:t xml:space="preserve">, destinés respectivement aux responsables d’hôpitaux et aux cadres de la </w:t>
      </w:r>
      <w:r w:rsidR="004D1B32" w:rsidRPr="000C1114">
        <w:rPr>
          <w:rFonts w:asciiTheme="majorBidi" w:hAnsiTheme="majorBidi" w:cstheme="majorBidi"/>
        </w:rPr>
        <w:t>Caisse nationale des assurances sociales des travailleurs salariés (</w:t>
      </w:r>
      <w:r w:rsidRPr="000C1114">
        <w:rPr>
          <w:rFonts w:asciiTheme="majorBidi" w:hAnsiTheme="majorBidi" w:cstheme="majorBidi"/>
        </w:rPr>
        <w:t>CNAS</w:t>
      </w:r>
      <w:r w:rsidR="004D1B32" w:rsidRPr="000C1114">
        <w:rPr>
          <w:rFonts w:asciiTheme="majorBidi" w:hAnsiTheme="majorBidi" w:cstheme="majorBidi"/>
        </w:rPr>
        <w:t>)</w:t>
      </w:r>
      <w:r w:rsidRPr="000C1114">
        <w:rPr>
          <w:rFonts w:asciiTheme="majorBidi" w:hAnsiTheme="majorBidi" w:cstheme="majorBidi"/>
        </w:rPr>
        <w:t xml:space="preserve">. Les résultats ont été traités et interprétés statistiquement à l’aide du logiciel </w:t>
      </w:r>
      <w:r w:rsidRPr="000C1114">
        <w:rPr>
          <w:rStyle w:val="lev"/>
          <w:rFonts w:asciiTheme="majorBidi" w:hAnsiTheme="majorBidi" w:cstheme="majorBidi"/>
          <w:sz w:val="24"/>
        </w:rPr>
        <w:t>SPSS</w:t>
      </w:r>
      <w:r w:rsidRPr="000C1114">
        <w:rPr>
          <w:rFonts w:asciiTheme="majorBidi" w:hAnsiTheme="majorBidi" w:cstheme="majorBidi"/>
        </w:rPr>
        <w:t xml:space="preserve">, notamment par des </w:t>
      </w:r>
      <w:r w:rsidRPr="000C1114">
        <w:rPr>
          <w:rStyle w:val="lev"/>
          <w:rFonts w:asciiTheme="majorBidi" w:hAnsiTheme="majorBidi" w:cstheme="majorBidi"/>
          <w:sz w:val="24"/>
        </w:rPr>
        <w:t>analyses croisées et tests Khi²</w:t>
      </w:r>
      <w:r w:rsidRPr="000C1114">
        <w:rPr>
          <w:rFonts w:asciiTheme="majorBidi" w:hAnsiTheme="majorBidi" w:cstheme="majorBidi"/>
        </w:rPr>
        <w:t>, afin de tester la validité des hypothèses.</w:t>
      </w:r>
      <w:r w:rsidRPr="000C1114">
        <w:rPr>
          <w:rFonts w:asciiTheme="majorBidi" w:hAnsiTheme="majorBidi" w:cstheme="majorBidi"/>
        </w:rPr>
        <w:br/>
        <w:t xml:space="preserve">En complément, des </w:t>
      </w:r>
      <w:r w:rsidR="004D1B32" w:rsidRPr="000C1114">
        <w:rPr>
          <w:rStyle w:val="lev"/>
          <w:rFonts w:asciiTheme="majorBidi" w:hAnsiTheme="majorBidi" w:cstheme="majorBidi"/>
          <w:sz w:val="24"/>
        </w:rPr>
        <w:t xml:space="preserve">documents </w:t>
      </w:r>
      <w:r w:rsidRPr="000C1114">
        <w:rPr>
          <w:rFonts w:asciiTheme="majorBidi" w:hAnsiTheme="majorBidi" w:cstheme="majorBidi"/>
        </w:rPr>
        <w:t>ont été analysés pour enrichir la compréhension du contexte sur le terrain.</w:t>
      </w:r>
    </w:p>
    <w:p w14:paraId="3B18D08C" w14:textId="77777777" w:rsidR="004D054F" w:rsidRPr="000C1114" w:rsidRDefault="004D054F" w:rsidP="000C1114">
      <w:pPr>
        <w:jc w:val="both"/>
        <w:rPr>
          <w:rFonts w:asciiTheme="majorBidi" w:hAnsiTheme="majorBidi" w:cstheme="majorBidi"/>
          <w:szCs w:val="24"/>
        </w:rPr>
      </w:pPr>
      <w:bookmarkStart w:id="22" w:name="_Toc199955912"/>
      <w:bookmarkStart w:id="23" w:name="_Toc199957542"/>
      <w:r w:rsidRPr="000C1114">
        <w:rPr>
          <w:rStyle w:val="lev"/>
          <w:rFonts w:asciiTheme="majorBidi" w:hAnsiTheme="majorBidi" w:cstheme="majorBidi"/>
          <w:sz w:val="24"/>
          <w:szCs w:val="24"/>
        </w:rPr>
        <w:t>Champ de l’étude</w:t>
      </w:r>
      <w:bookmarkEnd w:id="22"/>
      <w:bookmarkEnd w:id="23"/>
    </w:p>
    <w:p w14:paraId="420560F4" w14:textId="77777777" w:rsidR="004D054F" w:rsidRPr="000C1114" w:rsidRDefault="004D054F" w:rsidP="000C1114">
      <w:pPr>
        <w:pStyle w:val="NormalWeb"/>
        <w:spacing w:line="360" w:lineRule="auto"/>
        <w:jc w:val="both"/>
        <w:rPr>
          <w:rFonts w:asciiTheme="majorBidi" w:hAnsiTheme="majorBidi" w:cstheme="majorBidi"/>
        </w:rPr>
      </w:pPr>
      <w:r w:rsidRPr="000C1114">
        <w:rPr>
          <w:rFonts w:asciiTheme="majorBidi" w:hAnsiTheme="majorBidi" w:cstheme="majorBidi"/>
        </w:rPr>
        <w:lastRenderedPageBreak/>
        <w:t xml:space="preserve">Le champ de cette étude comprend trois dimensions essentielles : </w:t>
      </w:r>
      <w:r w:rsidRPr="000C1114">
        <w:rPr>
          <w:rStyle w:val="lev"/>
          <w:rFonts w:asciiTheme="majorBidi" w:hAnsiTheme="majorBidi" w:cstheme="majorBidi"/>
          <w:sz w:val="24"/>
        </w:rPr>
        <w:t>le champ thématique</w:t>
      </w:r>
      <w:r w:rsidRPr="000C1114">
        <w:rPr>
          <w:rFonts w:asciiTheme="majorBidi" w:hAnsiTheme="majorBidi" w:cstheme="majorBidi"/>
        </w:rPr>
        <w:t xml:space="preserve">, </w:t>
      </w:r>
      <w:r w:rsidR="004D1B32" w:rsidRPr="000C1114">
        <w:rPr>
          <w:rStyle w:val="lev"/>
          <w:rFonts w:asciiTheme="majorBidi" w:hAnsiTheme="majorBidi" w:cstheme="majorBidi"/>
          <w:sz w:val="24"/>
        </w:rPr>
        <w:t>le champ géographique</w:t>
      </w:r>
      <w:r w:rsidRPr="000C1114">
        <w:rPr>
          <w:rFonts w:asciiTheme="majorBidi" w:hAnsiTheme="majorBidi" w:cstheme="majorBidi"/>
        </w:rPr>
        <w:t xml:space="preserve">, et </w:t>
      </w:r>
      <w:r w:rsidRPr="000C1114">
        <w:rPr>
          <w:rStyle w:val="lev"/>
          <w:rFonts w:asciiTheme="majorBidi" w:hAnsiTheme="majorBidi" w:cstheme="majorBidi"/>
          <w:sz w:val="24"/>
        </w:rPr>
        <w:t>le champ temporel</w:t>
      </w:r>
      <w:r w:rsidRPr="000C1114">
        <w:rPr>
          <w:rFonts w:asciiTheme="majorBidi" w:hAnsiTheme="majorBidi" w:cstheme="majorBidi"/>
        </w:rPr>
        <w:t>, qui définissent le périmètre dans lequel s’inscrit l’analyse menée.</w:t>
      </w:r>
    </w:p>
    <w:p w14:paraId="63653F2A" w14:textId="77777777" w:rsidR="004D054F" w:rsidRPr="000C1114" w:rsidRDefault="004D1B32" w:rsidP="000C1114">
      <w:pPr>
        <w:jc w:val="both"/>
        <w:rPr>
          <w:rFonts w:asciiTheme="majorBidi" w:hAnsiTheme="majorBidi" w:cstheme="majorBidi"/>
          <w:szCs w:val="24"/>
        </w:rPr>
      </w:pPr>
      <w:r w:rsidRPr="000C1114">
        <w:rPr>
          <w:rStyle w:val="lev"/>
          <w:rFonts w:asciiTheme="majorBidi" w:hAnsiTheme="majorBidi" w:cstheme="majorBidi"/>
          <w:sz w:val="24"/>
          <w:szCs w:val="24"/>
        </w:rPr>
        <w:t>1. Champ thématique et géographique</w:t>
      </w:r>
      <w:r w:rsidR="004D054F" w:rsidRPr="000C1114">
        <w:rPr>
          <w:rStyle w:val="lev"/>
          <w:rFonts w:asciiTheme="majorBidi" w:hAnsiTheme="majorBidi" w:cstheme="majorBidi"/>
          <w:sz w:val="24"/>
          <w:szCs w:val="24"/>
        </w:rPr>
        <w:t xml:space="preserve"> :</w:t>
      </w:r>
    </w:p>
    <w:p w14:paraId="3E3515E2" w14:textId="77777777" w:rsidR="004D054F" w:rsidRPr="000C1114" w:rsidRDefault="004D054F"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Cette recherche porte sur l’articulation entre les </w:t>
      </w:r>
      <w:r w:rsidRPr="000C1114">
        <w:rPr>
          <w:rStyle w:val="lev"/>
          <w:rFonts w:asciiTheme="majorBidi" w:hAnsiTheme="majorBidi" w:cstheme="majorBidi"/>
          <w:sz w:val="24"/>
        </w:rPr>
        <w:t>systèmes d'information en santé</w:t>
      </w:r>
      <w:r w:rsidRPr="000C1114">
        <w:rPr>
          <w:rFonts w:asciiTheme="majorBidi" w:hAnsiTheme="majorBidi" w:cstheme="majorBidi"/>
        </w:rPr>
        <w:t xml:space="preserve"> (variable indépendante) et les </w:t>
      </w:r>
      <w:r w:rsidRPr="000C1114">
        <w:rPr>
          <w:rStyle w:val="lev"/>
          <w:rFonts w:asciiTheme="majorBidi" w:hAnsiTheme="majorBidi" w:cstheme="majorBidi"/>
          <w:sz w:val="24"/>
        </w:rPr>
        <w:t>modes de financement hospitaliers</w:t>
      </w:r>
      <w:r w:rsidRPr="000C1114">
        <w:rPr>
          <w:rFonts w:asciiTheme="majorBidi" w:hAnsiTheme="majorBidi" w:cstheme="majorBidi"/>
        </w:rPr>
        <w:t xml:space="preserve"> (variable dépendante), dans une logique de restructuration progressive du financement des établissements de santé en Algérie.</w:t>
      </w:r>
    </w:p>
    <w:p w14:paraId="159560F6" w14:textId="77777777" w:rsidR="004D054F" w:rsidRPr="000C1114" w:rsidRDefault="004D054F"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Le volet pratique a été mené au sein de </w:t>
      </w:r>
      <w:r w:rsidRPr="000C1114">
        <w:rPr>
          <w:rStyle w:val="lev"/>
          <w:rFonts w:asciiTheme="majorBidi" w:hAnsiTheme="majorBidi" w:cstheme="majorBidi"/>
          <w:sz w:val="24"/>
        </w:rPr>
        <w:t>deux structures publiques</w:t>
      </w:r>
      <w:r w:rsidRPr="000C1114">
        <w:rPr>
          <w:rFonts w:asciiTheme="majorBidi" w:hAnsiTheme="majorBidi" w:cstheme="majorBidi"/>
        </w:rPr>
        <w:t xml:space="preserve"> :</w:t>
      </w:r>
    </w:p>
    <w:p w14:paraId="1EB57963" w14:textId="77777777" w:rsidR="004D054F" w:rsidRPr="000C1114" w:rsidRDefault="004D054F" w:rsidP="000C1114">
      <w:pPr>
        <w:pStyle w:val="NormalWeb"/>
        <w:numPr>
          <w:ilvl w:val="0"/>
          <w:numId w:val="7"/>
        </w:numPr>
        <w:spacing w:line="360" w:lineRule="auto"/>
        <w:jc w:val="both"/>
        <w:rPr>
          <w:rFonts w:asciiTheme="majorBidi" w:hAnsiTheme="majorBidi" w:cstheme="majorBidi"/>
        </w:rPr>
      </w:pPr>
      <w:r w:rsidRPr="000C1114">
        <w:rPr>
          <w:rFonts w:asciiTheme="majorBidi" w:hAnsiTheme="majorBidi" w:cstheme="majorBidi"/>
        </w:rPr>
        <w:t xml:space="preserve">Un </w:t>
      </w:r>
      <w:r w:rsidRPr="000C1114">
        <w:rPr>
          <w:rStyle w:val="lev"/>
          <w:rFonts w:asciiTheme="majorBidi" w:hAnsiTheme="majorBidi" w:cstheme="majorBidi"/>
          <w:sz w:val="24"/>
        </w:rPr>
        <w:t>établissement hospitalier public</w:t>
      </w:r>
      <w:r w:rsidRPr="000C1114">
        <w:rPr>
          <w:rFonts w:asciiTheme="majorBidi" w:hAnsiTheme="majorBidi" w:cstheme="majorBidi"/>
        </w:rPr>
        <w:t>, pour analyser le fonctionnement interne, l’utilisation du SI, et les difficultés du financement basé sur le budget global.</w:t>
      </w:r>
    </w:p>
    <w:p w14:paraId="32FE9166" w14:textId="77777777" w:rsidR="004D054F" w:rsidRPr="000C1114" w:rsidRDefault="004D054F" w:rsidP="000C1114">
      <w:pPr>
        <w:pStyle w:val="NormalWeb"/>
        <w:numPr>
          <w:ilvl w:val="0"/>
          <w:numId w:val="7"/>
        </w:numPr>
        <w:spacing w:line="360" w:lineRule="auto"/>
        <w:jc w:val="both"/>
        <w:rPr>
          <w:rFonts w:asciiTheme="majorBidi" w:hAnsiTheme="majorBidi" w:cstheme="majorBidi"/>
        </w:rPr>
      </w:pPr>
      <w:r w:rsidRPr="000C1114">
        <w:rPr>
          <w:rFonts w:asciiTheme="majorBidi" w:hAnsiTheme="majorBidi" w:cstheme="majorBidi"/>
        </w:rPr>
        <w:t xml:space="preserve">Une </w:t>
      </w:r>
      <w:r w:rsidRPr="000C1114">
        <w:rPr>
          <w:rStyle w:val="lev"/>
          <w:rFonts w:asciiTheme="majorBidi" w:hAnsiTheme="majorBidi" w:cstheme="majorBidi"/>
          <w:sz w:val="24"/>
        </w:rPr>
        <w:t>caisse de sécurité sociale (CNAS)</w:t>
      </w:r>
      <w:r w:rsidRPr="000C1114">
        <w:rPr>
          <w:rFonts w:asciiTheme="majorBidi" w:hAnsiTheme="majorBidi" w:cstheme="majorBidi"/>
        </w:rPr>
        <w:t>, afin d’évaluer le rôle du système d’information dans le suivi des dépenses de santé et la coordination avec les établissements.</w:t>
      </w:r>
    </w:p>
    <w:p w14:paraId="6B1CC600" w14:textId="77777777" w:rsidR="004D054F" w:rsidRPr="000C1114" w:rsidRDefault="004D054F" w:rsidP="000C1114">
      <w:pPr>
        <w:jc w:val="both"/>
        <w:rPr>
          <w:rFonts w:asciiTheme="majorBidi" w:hAnsiTheme="majorBidi" w:cstheme="majorBidi"/>
          <w:szCs w:val="24"/>
        </w:rPr>
      </w:pPr>
      <w:r w:rsidRPr="000C1114">
        <w:rPr>
          <w:rStyle w:val="lev"/>
          <w:rFonts w:asciiTheme="majorBidi" w:hAnsiTheme="majorBidi" w:cstheme="majorBidi"/>
          <w:sz w:val="24"/>
          <w:szCs w:val="24"/>
        </w:rPr>
        <w:t>2. Champ temporel :</w:t>
      </w:r>
    </w:p>
    <w:p w14:paraId="49E4E6EF" w14:textId="77777777" w:rsidR="004D054F" w:rsidRPr="000C1114" w:rsidRDefault="004D054F" w:rsidP="000C1114">
      <w:pPr>
        <w:pStyle w:val="NormalWeb"/>
        <w:spacing w:line="360" w:lineRule="auto"/>
        <w:jc w:val="both"/>
        <w:rPr>
          <w:rFonts w:asciiTheme="majorBidi" w:hAnsiTheme="majorBidi" w:cstheme="majorBidi"/>
        </w:rPr>
      </w:pPr>
      <w:r w:rsidRPr="000C1114">
        <w:rPr>
          <w:rFonts w:asciiTheme="majorBidi" w:hAnsiTheme="majorBidi" w:cstheme="majorBidi"/>
        </w:rPr>
        <w:t xml:space="preserve">La période de réalisation de l’enquête de terrain s’étend du </w:t>
      </w:r>
      <w:r w:rsidR="004D1B32" w:rsidRPr="000C1114">
        <w:rPr>
          <w:rFonts w:asciiTheme="majorBidi" w:hAnsiTheme="majorBidi" w:cstheme="majorBidi"/>
        </w:rPr>
        <w:t xml:space="preserve">mois de </w:t>
      </w:r>
      <w:r w:rsidR="004D1B32" w:rsidRPr="000C1114">
        <w:rPr>
          <w:rStyle w:val="lev"/>
          <w:rFonts w:asciiTheme="majorBidi" w:hAnsiTheme="majorBidi" w:cstheme="majorBidi"/>
          <w:sz w:val="24"/>
        </w:rPr>
        <w:t>mars a</w:t>
      </w:r>
      <w:r w:rsidR="00400BEB" w:rsidRPr="000C1114">
        <w:rPr>
          <w:rStyle w:val="lev"/>
          <w:rFonts w:asciiTheme="majorBidi" w:hAnsiTheme="majorBidi" w:cstheme="majorBidi"/>
          <w:sz w:val="24"/>
        </w:rPr>
        <w:t xml:space="preserve"> avril 2025</w:t>
      </w:r>
      <w:r w:rsidRPr="000C1114">
        <w:rPr>
          <w:rFonts w:asciiTheme="majorBidi" w:hAnsiTheme="majorBidi" w:cstheme="majorBidi"/>
        </w:rPr>
        <w:t>, durant laquelle les questionnaires ont été distribués et les données collectées, traitées et interprétées.</w:t>
      </w:r>
    </w:p>
    <w:p w14:paraId="6D7C3F41" w14:textId="77777777" w:rsidR="00407D8B" w:rsidRPr="000C1114" w:rsidRDefault="00407D8B" w:rsidP="000C1114">
      <w:pPr>
        <w:jc w:val="both"/>
        <w:rPr>
          <w:rFonts w:asciiTheme="majorBidi" w:hAnsiTheme="majorBidi" w:cstheme="majorBidi"/>
          <w:b/>
          <w:bCs/>
          <w:szCs w:val="24"/>
        </w:rPr>
      </w:pPr>
      <w:r w:rsidRPr="000C1114">
        <w:rPr>
          <w:rFonts w:asciiTheme="majorBidi" w:hAnsiTheme="majorBidi" w:cstheme="majorBidi"/>
          <w:b/>
          <w:bCs/>
          <w:szCs w:val="24"/>
        </w:rPr>
        <w:t>Structure de l’étude</w:t>
      </w:r>
      <w:r w:rsidR="004D1B32" w:rsidRPr="000C1114">
        <w:rPr>
          <w:rFonts w:asciiTheme="majorBidi" w:hAnsiTheme="majorBidi" w:cstheme="majorBidi"/>
          <w:b/>
          <w:bCs/>
          <w:szCs w:val="24"/>
        </w:rPr>
        <w:t> :</w:t>
      </w:r>
    </w:p>
    <w:p w14:paraId="5293980C" w14:textId="77777777" w:rsidR="00407D8B" w:rsidRPr="000C1114" w:rsidRDefault="00407D8B" w:rsidP="000C1114">
      <w:pPr>
        <w:jc w:val="both"/>
        <w:rPr>
          <w:rFonts w:asciiTheme="majorBidi" w:hAnsiTheme="majorBidi" w:cstheme="majorBidi"/>
          <w:szCs w:val="24"/>
        </w:rPr>
      </w:pPr>
      <w:r w:rsidRPr="000C1114">
        <w:rPr>
          <w:rFonts w:asciiTheme="majorBidi" w:hAnsiTheme="majorBidi" w:cstheme="majorBidi"/>
          <w:szCs w:val="24"/>
        </w:rPr>
        <w:t xml:space="preserve">Afin de couvrir de manière complète le thème étudié, le travail a été structuré en </w:t>
      </w:r>
      <w:r w:rsidRPr="000C1114">
        <w:rPr>
          <w:rFonts w:asciiTheme="majorBidi" w:hAnsiTheme="majorBidi" w:cstheme="majorBidi"/>
          <w:b/>
          <w:bCs/>
          <w:szCs w:val="24"/>
        </w:rPr>
        <w:t>trois chapitres principaux</w:t>
      </w:r>
      <w:r w:rsidRPr="000C1114">
        <w:rPr>
          <w:rFonts w:asciiTheme="majorBidi" w:hAnsiTheme="majorBidi" w:cstheme="majorBidi"/>
          <w:szCs w:val="24"/>
        </w:rPr>
        <w:t>.</w:t>
      </w:r>
      <w:r w:rsidRPr="000C1114">
        <w:rPr>
          <w:rFonts w:asciiTheme="majorBidi" w:hAnsiTheme="majorBidi" w:cstheme="majorBidi"/>
          <w:szCs w:val="24"/>
        </w:rPr>
        <w:br/>
        <w:t xml:space="preserve">Les deux premiers chapitres constituent le </w:t>
      </w:r>
      <w:r w:rsidRPr="000C1114">
        <w:rPr>
          <w:rFonts w:asciiTheme="majorBidi" w:hAnsiTheme="majorBidi" w:cstheme="majorBidi"/>
          <w:b/>
          <w:bCs/>
          <w:szCs w:val="24"/>
        </w:rPr>
        <w:t>cadre théorique</w:t>
      </w:r>
      <w:r w:rsidRPr="000C1114">
        <w:rPr>
          <w:rFonts w:asciiTheme="majorBidi" w:hAnsiTheme="majorBidi" w:cstheme="majorBidi"/>
          <w:szCs w:val="24"/>
        </w:rPr>
        <w:t xml:space="preserve">, permettant d'exposer les concepts fondamentaux liés aux </w:t>
      </w:r>
      <w:r w:rsidRPr="000C1114">
        <w:rPr>
          <w:rFonts w:asciiTheme="majorBidi" w:hAnsiTheme="majorBidi" w:cstheme="majorBidi"/>
          <w:b/>
          <w:bCs/>
          <w:szCs w:val="24"/>
        </w:rPr>
        <w:t>systèmes d'information en santé</w:t>
      </w:r>
      <w:r w:rsidRPr="000C1114">
        <w:rPr>
          <w:rFonts w:asciiTheme="majorBidi" w:hAnsiTheme="majorBidi" w:cstheme="majorBidi"/>
          <w:szCs w:val="24"/>
        </w:rPr>
        <w:t xml:space="preserve"> et aux </w:t>
      </w:r>
      <w:r w:rsidRPr="000C1114">
        <w:rPr>
          <w:rFonts w:asciiTheme="majorBidi" w:hAnsiTheme="majorBidi" w:cstheme="majorBidi"/>
          <w:b/>
          <w:bCs/>
          <w:szCs w:val="24"/>
        </w:rPr>
        <w:t>modes de financement hospitaliers</w:t>
      </w:r>
      <w:r w:rsidRPr="000C1114">
        <w:rPr>
          <w:rFonts w:asciiTheme="majorBidi" w:hAnsiTheme="majorBidi" w:cstheme="majorBidi"/>
          <w:szCs w:val="24"/>
        </w:rPr>
        <w:t xml:space="preserve">, tandis que le </w:t>
      </w:r>
      <w:r w:rsidRPr="000C1114">
        <w:rPr>
          <w:rFonts w:asciiTheme="majorBidi" w:hAnsiTheme="majorBidi" w:cstheme="majorBidi"/>
          <w:b/>
          <w:bCs/>
          <w:szCs w:val="24"/>
        </w:rPr>
        <w:t>troisième chapitre e</w:t>
      </w:r>
      <w:r w:rsidR="00F432AA" w:rsidRPr="000C1114">
        <w:rPr>
          <w:rFonts w:asciiTheme="majorBidi" w:hAnsiTheme="majorBidi" w:cstheme="majorBidi"/>
          <w:b/>
          <w:bCs/>
          <w:szCs w:val="24"/>
        </w:rPr>
        <w:t>st consacré à l’étude empirique</w:t>
      </w:r>
      <w:r w:rsidRPr="000C1114">
        <w:rPr>
          <w:rFonts w:asciiTheme="majorBidi" w:hAnsiTheme="majorBidi" w:cstheme="majorBidi"/>
          <w:szCs w:val="24"/>
        </w:rPr>
        <w:t>, menée auprès d’un hôpital public et d’une caisse de sécurité sociale</w:t>
      </w:r>
      <w:r w:rsidR="00F432AA" w:rsidRPr="000C1114">
        <w:rPr>
          <w:rFonts w:asciiTheme="majorBidi" w:hAnsiTheme="majorBidi" w:cstheme="majorBidi"/>
          <w:szCs w:val="24"/>
        </w:rPr>
        <w:t xml:space="preserve"> (CNAS)</w:t>
      </w:r>
      <w:r w:rsidRPr="000C1114">
        <w:rPr>
          <w:rFonts w:asciiTheme="majorBidi" w:hAnsiTheme="majorBidi" w:cstheme="majorBidi"/>
          <w:szCs w:val="24"/>
        </w:rPr>
        <w:t>.</w:t>
      </w:r>
    </w:p>
    <w:p w14:paraId="033CF2E2" w14:textId="77777777" w:rsidR="00407D8B" w:rsidRPr="000C1114" w:rsidRDefault="00407D8B" w:rsidP="000C1114">
      <w:pPr>
        <w:numPr>
          <w:ilvl w:val="0"/>
          <w:numId w:val="8"/>
        </w:numPr>
        <w:jc w:val="both"/>
        <w:rPr>
          <w:rFonts w:asciiTheme="majorBidi" w:hAnsiTheme="majorBidi" w:cstheme="majorBidi"/>
          <w:szCs w:val="24"/>
        </w:rPr>
      </w:pPr>
      <w:r w:rsidRPr="000C1114">
        <w:rPr>
          <w:rFonts w:asciiTheme="majorBidi" w:hAnsiTheme="majorBidi" w:cstheme="majorBidi"/>
          <w:szCs w:val="24"/>
        </w:rPr>
        <w:t xml:space="preserve">Le </w:t>
      </w:r>
      <w:r w:rsidRPr="000C1114">
        <w:rPr>
          <w:rFonts w:asciiTheme="majorBidi" w:hAnsiTheme="majorBidi" w:cstheme="majorBidi"/>
          <w:b/>
          <w:bCs/>
          <w:szCs w:val="24"/>
        </w:rPr>
        <w:t>premier chapitre</w:t>
      </w:r>
      <w:r w:rsidRPr="000C1114">
        <w:rPr>
          <w:rFonts w:asciiTheme="majorBidi" w:hAnsiTheme="majorBidi" w:cstheme="majorBidi"/>
          <w:szCs w:val="24"/>
        </w:rPr>
        <w:t xml:space="preserve"> est consacré à l’analyse du système d'information en santé et à son rôle stratégique dans le financement des établissements hospitaliers. Il comprend plusieurs sections : définitions, composantes, objectifs et fonctionnalités des SIH, ainsi qu’un aperçu international comparatif (PMSI, DRG, NHS Digital). Une attention particulière est accordée à l’utilisation des SI comme </w:t>
      </w:r>
      <w:r w:rsidRPr="000C1114">
        <w:rPr>
          <w:rFonts w:asciiTheme="majorBidi" w:hAnsiTheme="majorBidi" w:cstheme="majorBidi"/>
          <w:b/>
          <w:bCs/>
          <w:szCs w:val="24"/>
        </w:rPr>
        <w:t>outil de pilotage financier</w:t>
      </w:r>
      <w:r w:rsidRPr="000C1114">
        <w:rPr>
          <w:rFonts w:asciiTheme="majorBidi" w:hAnsiTheme="majorBidi" w:cstheme="majorBidi"/>
          <w:szCs w:val="24"/>
        </w:rPr>
        <w:t xml:space="preserve"> dans les réformes hospitalières.</w:t>
      </w:r>
    </w:p>
    <w:p w14:paraId="543E7881" w14:textId="77777777" w:rsidR="00407D8B" w:rsidRPr="000C1114" w:rsidRDefault="00407D8B" w:rsidP="000C1114">
      <w:pPr>
        <w:numPr>
          <w:ilvl w:val="0"/>
          <w:numId w:val="8"/>
        </w:numPr>
        <w:jc w:val="both"/>
        <w:rPr>
          <w:rFonts w:asciiTheme="majorBidi" w:hAnsiTheme="majorBidi" w:cstheme="majorBidi"/>
          <w:szCs w:val="24"/>
        </w:rPr>
      </w:pPr>
      <w:r w:rsidRPr="000C1114">
        <w:rPr>
          <w:rFonts w:asciiTheme="majorBidi" w:hAnsiTheme="majorBidi" w:cstheme="majorBidi"/>
          <w:szCs w:val="24"/>
        </w:rPr>
        <w:lastRenderedPageBreak/>
        <w:t xml:space="preserve">Le </w:t>
      </w:r>
      <w:r w:rsidRPr="000C1114">
        <w:rPr>
          <w:rFonts w:asciiTheme="majorBidi" w:hAnsiTheme="majorBidi" w:cstheme="majorBidi"/>
          <w:b/>
          <w:bCs/>
          <w:szCs w:val="24"/>
        </w:rPr>
        <w:t>deuxième chapitre</w:t>
      </w:r>
      <w:r w:rsidRPr="000C1114">
        <w:rPr>
          <w:rFonts w:asciiTheme="majorBidi" w:hAnsiTheme="majorBidi" w:cstheme="majorBidi"/>
          <w:szCs w:val="24"/>
        </w:rPr>
        <w:t xml:space="preserve"> aborde les différents </w:t>
      </w:r>
      <w:r w:rsidRPr="000C1114">
        <w:rPr>
          <w:rFonts w:asciiTheme="majorBidi" w:hAnsiTheme="majorBidi" w:cstheme="majorBidi"/>
          <w:b/>
          <w:bCs/>
          <w:szCs w:val="24"/>
        </w:rPr>
        <w:t>modes de financement hospitaliers</w:t>
      </w:r>
      <w:r w:rsidRPr="000C1114">
        <w:rPr>
          <w:rFonts w:asciiTheme="majorBidi" w:hAnsiTheme="majorBidi" w:cstheme="majorBidi"/>
          <w:szCs w:val="24"/>
        </w:rPr>
        <w:t>, en commençant par une vue d’ensemble des mécanismes mondiaux, puis en s’attardant sur le système algérien (budget global, sécurité sociale, contribution des ménages). Des expériences étrangères sont analysées pour alimenter la réflexion, notamment autour de la T2A ou de la capitation. Le chapitre se conclut sur une comparaison critique et les perspectives d’adaptation pour l’Algérie.</w:t>
      </w:r>
    </w:p>
    <w:p w14:paraId="7BA1D3BD" w14:textId="79FA0952" w:rsidR="00407D8B" w:rsidRPr="000C1114" w:rsidRDefault="00407D8B" w:rsidP="000C1114">
      <w:pPr>
        <w:numPr>
          <w:ilvl w:val="0"/>
          <w:numId w:val="8"/>
        </w:numPr>
        <w:jc w:val="both"/>
        <w:rPr>
          <w:rFonts w:asciiTheme="majorBidi" w:hAnsiTheme="majorBidi" w:cstheme="majorBidi"/>
          <w:szCs w:val="24"/>
        </w:rPr>
      </w:pPr>
      <w:r w:rsidRPr="000C1114">
        <w:rPr>
          <w:rFonts w:asciiTheme="majorBidi" w:hAnsiTheme="majorBidi" w:cstheme="majorBidi"/>
          <w:szCs w:val="24"/>
        </w:rPr>
        <w:t xml:space="preserve">Le </w:t>
      </w:r>
      <w:r w:rsidRPr="000C1114">
        <w:rPr>
          <w:rFonts w:asciiTheme="majorBidi" w:hAnsiTheme="majorBidi" w:cstheme="majorBidi"/>
          <w:b/>
          <w:bCs/>
          <w:szCs w:val="24"/>
        </w:rPr>
        <w:t>troisième chapitre</w:t>
      </w:r>
      <w:r w:rsidR="00F432AA" w:rsidRPr="000C1114">
        <w:rPr>
          <w:rFonts w:asciiTheme="majorBidi" w:hAnsiTheme="majorBidi" w:cstheme="majorBidi"/>
          <w:szCs w:val="24"/>
        </w:rPr>
        <w:t xml:space="preserve"> présente l’étude empirique</w:t>
      </w:r>
      <w:r w:rsidRPr="000C1114">
        <w:rPr>
          <w:rFonts w:asciiTheme="majorBidi" w:hAnsiTheme="majorBidi" w:cstheme="majorBidi"/>
          <w:szCs w:val="24"/>
        </w:rPr>
        <w:t>. Il est</w:t>
      </w:r>
      <w:r w:rsidR="00F432AA" w:rsidRPr="000C1114">
        <w:rPr>
          <w:rFonts w:asciiTheme="majorBidi" w:hAnsiTheme="majorBidi" w:cstheme="majorBidi"/>
          <w:szCs w:val="24"/>
        </w:rPr>
        <w:t xml:space="preserve"> divisé en deux grandes </w:t>
      </w:r>
      <w:proofErr w:type="gramStart"/>
      <w:r w:rsidR="00AD4F68" w:rsidRPr="000C1114">
        <w:rPr>
          <w:rFonts w:asciiTheme="majorBidi" w:hAnsiTheme="majorBidi" w:cstheme="majorBidi"/>
          <w:szCs w:val="24"/>
        </w:rPr>
        <w:t>parties:</w:t>
      </w:r>
      <w:proofErr w:type="gramEnd"/>
    </w:p>
    <w:p w14:paraId="0A44F991" w14:textId="77777777" w:rsidR="00407D8B" w:rsidRPr="000C1114" w:rsidRDefault="00407D8B" w:rsidP="000C1114">
      <w:pPr>
        <w:numPr>
          <w:ilvl w:val="1"/>
          <w:numId w:val="8"/>
        </w:numPr>
        <w:jc w:val="both"/>
        <w:rPr>
          <w:rFonts w:asciiTheme="majorBidi" w:hAnsiTheme="majorBidi" w:cstheme="majorBidi"/>
          <w:szCs w:val="24"/>
        </w:rPr>
      </w:pPr>
      <w:r w:rsidRPr="000C1114">
        <w:rPr>
          <w:rFonts w:asciiTheme="majorBidi" w:hAnsiTheme="majorBidi" w:cstheme="majorBidi"/>
          <w:szCs w:val="24"/>
        </w:rPr>
        <w:t>La première partie décrit le fonctionnement du financement et du SI dans les deux structures enquêtées.</w:t>
      </w:r>
    </w:p>
    <w:p w14:paraId="1326E58D" w14:textId="77777777" w:rsidR="00407D8B" w:rsidRPr="000C1114" w:rsidRDefault="00407D8B" w:rsidP="000C1114">
      <w:pPr>
        <w:numPr>
          <w:ilvl w:val="1"/>
          <w:numId w:val="8"/>
        </w:numPr>
        <w:jc w:val="both"/>
        <w:rPr>
          <w:rFonts w:asciiTheme="majorBidi" w:hAnsiTheme="majorBidi" w:cstheme="majorBidi"/>
          <w:szCs w:val="24"/>
        </w:rPr>
      </w:pPr>
      <w:r w:rsidRPr="000C1114">
        <w:rPr>
          <w:rFonts w:asciiTheme="majorBidi" w:hAnsiTheme="majorBidi" w:cstheme="majorBidi"/>
          <w:szCs w:val="24"/>
        </w:rPr>
        <w:t xml:space="preserve">La seconde partie est dédiée à l’analyse des </w:t>
      </w:r>
      <w:r w:rsidRPr="000C1114">
        <w:rPr>
          <w:rFonts w:asciiTheme="majorBidi" w:hAnsiTheme="majorBidi" w:cstheme="majorBidi"/>
          <w:b/>
          <w:bCs/>
          <w:szCs w:val="24"/>
        </w:rPr>
        <w:t>questionnaires</w:t>
      </w:r>
      <w:r w:rsidRPr="000C1114">
        <w:rPr>
          <w:rFonts w:asciiTheme="majorBidi" w:hAnsiTheme="majorBidi" w:cstheme="majorBidi"/>
          <w:szCs w:val="24"/>
        </w:rPr>
        <w:t xml:space="preserve">, à la </w:t>
      </w:r>
      <w:r w:rsidRPr="000C1114">
        <w:rPr>
          <w:rFonts w:asciiTheme="majorBidi" w:hAnsiTheme="majorBidi" w:cstheme="majorBidi"/>
          <w:b/>
          <w:bCs/>
          <w:szCs w:val="24"/>
        </w:rPr>
        <w:t>vérification des hypothèses</w:t>
      </w:r>
      <w:r w:rsidRPr="000C1114">
        <w:rPr>
          <w:rFonts w:asciiTheme="majorBidi" w:hAnsiTheme="majorBidi" w:cstheme="majorBidi"/>
          <w:szCs w:val="24"/>
        </w:rPr>
        <w:t xml:space="preserve">, puis à la </w:t>
      </w:r>
      <w:r w:rsidRPr="000C1114">
        <w:rPr>
          <w:rFonts w:asciiTheme="majorBidi" w:hAnsiTheme="majorBidi" w:cstheme="majorBidi"/>
          <w:b/>
          <w:bCs/>
          <w:szCs w:val="24"/>
        </w:rPr>
        <w:t>proposition d’un modèle de financement mixte</w:t>
      </w:r>
      <w:r w:rsidRPr="000C1114">
        <w:rPr>
          <w:rFonts w:asciiTheme="majorBidi" w:hAnsiTheme="majorBidi" w:cstheme="majorBidi"/>
          <w:szCs w:val="24"/>
        </w:rPr>
        <w:t xml:space="preserve">, combinant une </w:t>
      </w:r>
      <w:r w:rsidRPr="000C1114">
        <w:rPr>
          <w:rFonts w:asciiTheme="majorBidi" w:hAnsiTheme="majorBidi" w:cstheme="majorBidi"/>
          <w:b/>
          <w:bCs/>
          <w:szCs w:val="24"/>
        </w:rPr>
        <w:t>base fixe solidaire</w:t>
      </w:r>
      <w:r w:rsidRPr="000C1114">
        <w:rPr>
          <w:rFonts w:asciiTheme="majorBidi" w:hAnsiTheme="majorBidi" w:cstheme="majorBidi"/>
          <w:szCs w:val="24"/>
        </w:rPr>
        <w:t xml:space="preserve"> et une </w:t>
      </w:r>
      <w:r w:rsidRPr="000C1114">
        <w:rPr>
          <w:rFonts w:asciiTheme="majorBidi" w:hAnsiTheme="majorBidi" w:cstheme="majorBidi"/>
          <w:b/>
          <w:bCs/>
          <w:szCs w:val="24"/>
        </w:rPr>
        <w:t>part variable indexée sur l’activité réelle</w:t>
      </w:r>
      <w:r w:rsidRPr="000C1114">
        <w:rPr>
          <w:rFonts w:asciiTheme="majorBidi" w:hAnsiTheme="majorBidi" w:cstheme="majorBidi"/>
          <w:szCs w:val="24"/>
        </w:rPr>
        <w:t xml:space="preserve"> mesurée via un SI performant.</w:t>
      </w:r>
    </w:p>
    <w:p w14:paraId="37528BF8" w14:textId="77777777" w:rsidR="00434A51" w:rsidRPr="000C1114" w:rsidRDefault="00407D8B" w:rsidP="000C1114">
      <w:pPr>
        <w:jc w:val="both"/>
        <w:rPr>
          <w:rStyle w:val="lev"/>
          <w:rFonts w:asciiTheme="majorBidi" w:hAnsiTheme="majorBidi" w:cstheme="majorBidi"/>
          <w:sz w:val="24"/>
          <w:szCs w:val="24"/>
        </w:rPr>
      </w:pPr>
      <w:bookmarkStart w:id="24" w:name="_Toc199955913"/>
      <w:bookmarkStart w:id="25" w:name="_Toc199957543"/>
      <w:r w:rsidRPr="000C1114">
        <w:rPr>
          <w:rStyle w:val="lev"/>
          <w:rFonts w:asciiTheme="majorBidi" w:hAnsiTheme="majorBidi" w:cstheme="majorBidi"/>
          <w:sz w:val="24"/>
          <w:szCs w:val="24"/>
        </w:rPr>
        <w:t>Difficultés rencontrées au cours de l’étude</w:t>
      </w:r>
      <w:r w:rsidR="00F432AA" w:rsidRPr="000C1114">
        <w:rPr>
          <w:rStyle w:val="lev"/>
          <w:rFonts w:asciiTheme="majorBidi" w:hAnsiTheme="majorBidi" w:cstheme="majorBidi"/>
          <w:sz w:val="24"/>
          <w:szCs w:val="24"/>
        </w:rPr>
        <w:t> :</w:t>
      </w:r>
      <w:bookmarkEnd w:id="24"/>
      <w:bookmarkEnd w:id="25"/>
    </w:p>
    <w:p w14:paraId="1AF6EE00" w14:textId="512C9B66" w:rsidR="00407D8B" w:rsidRPr="000C1114" w:rsidRDefault="00407D8B" w:rsidP="000C1114">
      <w:pPr>
        <w:jc w:val="both"/>
        <w:rPr>
          <w:rFonts w:asciiTheme="majorBidi" w:hAnsiTheme="majorBidi" w:cstheme="majorBidi"/>
          <w:szCs w:val="24"/>
        </w:rPr>
      </w:pPr>
      <w:r w:rsidRPr="000C1114">
        <w:rPr>
          <w:rFonts w:asciiTheme="majorBidi" w:hAnsiTheme="majorBidi" w:cstheme="majorBidi"/>
          <w:szCs w:val="24"/>
        </w:rPr>
        <w:t>Au cours de la réalisation de ce travail, plusieurs obstacles ont été rencontrés, tant sur le plan théorique que pratique :</w:t>
      </w:r>
    </w:p>
    <w:p w14:paraId="0E1529DB" w14:textId="77777777" w:rsidR="00407D8B" w:rsidRPr="000C1114" w:rsidRDefault="00407D8B" w:rsidP="000C1114">
      <w:pPr>
        <w:pStyle w:val="NormalWeb"/>
        <w:numPr>
          <w:ilvl w:val="0"/>
          <w:numId w:val="9"/>
        </w:numPr>
        <w:spacing w:line="360" w:lineRule="auto"/>
        <w:jc w:val="both"/>
        <w:rPr>
          <w:rFonts w:asciiTheme="majorBidi" w:hAnsiTheme="majorBidi" w:cstheme="majorBidi"/>
        </w:rPr>
      </w:pPr>
      <w:r w:rsidRPr="000C1114">
        <w:rPr>
          <w:rFonts w:asciiTheme="majorBidi" w:hAnsiTheme="majorBidi" w:cstheme="majorBidi"/>
        </w:rPr>
        <w:t xml:space="preserve"> </w:t>
      </w:r>
      <w:r w:rsidRPr="000C1114">
        <w:rPr>
          <w:rStyle w:val="lev"/>
          <w:rFonts w:asciiTheme="majorBidi" w:hAnsiTheme="majorBidi" w:cstheme="majorBidi"/>
          <w:sz w:val="24"/>
        </w:rPr>
        <w:t>La rareté des références académiques nationales</w:t>
      </w:r>
      <w:r w:rsidRPr="000C1114">
        <w:rPr>
          <w:rFonts w:asciiTheme="majorBidi" w:hAnsiTheme="majorBidi" w:cstheme="majorBidi"/>
        </w:rPr>
        <w:t xml:space="preserve"> traitant du lien entre systèmes d'information en santé et financement hospitalier, en particulier dans le contexte algérien.</w:t>
      </w:r>
    </w:p>
    <w:p w14:paraId="5CF35E58" w14:textId="77777777" w:rsidR="00407D8B" w:rsidRPr="000C1114" w:rsidRDefault="00407D8B" w:rsidP="000C1114">
      <w:pPr>
        <w:pStyle w:val="NormalWeb"/>
        <w:numPr>
          <w:ilvl w:val="0"/>
          <w:numId w:val="9"/>
        </w:numPr>
        <w:spacing w:line="360" w:lineRule="auto"/>
        <w:jc w:val="both"/>
        <w:rPr>
          <w:rFonts w:asciiTheme="majorBidi" w:hAnsiTheme="majorBidi" w:cstheme="majorBidi"/>
        </w:rPr>
      </w:pPr>
      <w:r w:rsidRPr="000C1114">
        <w:rPr>
          <w:rFonts w:asciiTheme="majorBidi" w:hAnsiTheme="majorBidi" w:cstheme="majorBidi"/>
        </w:rPr>
        <w:t xml:space="preserve"> </w:t>
      </w:r>
      <w:r w:rsidRPr="000C1114">
        <w:rPr>
          <w:rStyle w:val="lev"/>
          <w:rFonts w:asciiTheme="majorBidi" w:hAnsiTheme="majorBidi" w:cstheme="majorBidi"/>
          <w:sz w:val="24"/>
        </w:rPr>
        <w:t>La difficulté d’accès aux informations techniques</w:t>
      </w:r>
      <w:r w:rsidRPr="000C1114">
        <w:rPr>
          <w:rFonts w:asciiTheme="majorBidi" w:hAnsiTheme="majorBidi" w:cstheme="majorBidi"/>
        </w:rPr>
        <w:t xml:space="preserve"> concernant les logiciels de gestion hospitalière réellement utilisés dans les établissements publics.</w:t>
      </w:r>
    </w:p>
    <w:p w14:paraId="7F77411D" w14:textId="77777777" w:rsidR="00407D8B" w:rsidRPr="000C1114" w:rsidRDefault="00407D8B" w:rsidP="000C1114">
      <w:pPr>
        <w:pStyle w:val="NormalWeb"/>
        <w:numPr>
          <w:ilvl w:val="0"/>
          <w:numId w:val="9"/>
        </w:numPr>
        <w:spacing w:line="360" w:lineRule="auto"/>
        <w:jc w:val="both"/>
        <w:rPr>
          <w:rFonts w:asciiTheme="majorBidi" w:hAnsiTheme="majorBidi" w:cstheme="majorBidi"/>
        </w:rPr>
      </w:pPr>
      <w:r w:rsidRPr="000C1114">
        <w:rPr>
          <w:rFonts w:asciiTheme="majorBidi" w:hAnsiTheme="majorBidi" w:cstheme="majorBidi"/>
        </w:rPr>
        <w:t xml:space="preserve"> </w:t>
      </w:r>
      <w:r w:rsidRPr="000C1114">
        <w:rPr>
          <w:rStyle w:val="lev"/>
          <w:rFonts w:asciiTheme="majorBidi" w:hAnsiTheme="majorBidi" w:cstheme="majorBidi"/>
          <w:sz w:val="24"/>
        </w:rPr>
        <w:t>Le manque de familiarité avec les notions de système d'information et de performance financière</w:t>
      </w:r>
      <w:r w:rsidRPr="000C1114">
        <w:rPr>
          <w:rFonts w:asciiTheme="majorBidi" w:hAnsiTheme="majorBidi" w:cstheme="majorBidi"/>
        </w:rPr>
        <w:t xml:space="preserve"> chez certains répondants, notamment dans les hôpitaux publics.</w:t>
      </w:r>
    </w:p>
    <w:p w14:paraId="1D09EC00" w14:textId="77777777" w:rsidR="00407D8B" w:rsidRPr="000C1114" w:rsidRDefault="00407D8B" w:rsidP="000C1114">
      <w:pPr>
        <w:pStyle w:val="NormalWeb"/>
        <w:numPr>
          <w:ilvl w:val="0"/>
          <w:numId w:val="9"/>
        </w:numPr>
        <w:spacing w:line="360" w:lineRule="auto"/>
        <w:jc w:val="both"/>
        <w:rPr>
          <w:rFonts w:asciiTheme="majorBidi" w:hAnsiTheme="majorBidi" w:cstheme="majorBidi"/>
        </w:rPr>
      </w:pPr>
      <w:r w:rsidRPr="000C1114">
        <w:rPr>
          <w:rFonts w:asciiTheme="majorBidi" w:hAnsiTheme="majorBidi" w:cstheme="majorBidi"/>
        </w:rPr>
        <w:t xml:space="preserve"> </w:t>
      </w:r>
      <w:r w:rsidRPr="000C1114">
        <w:rPr>
          <w:rStyle w:val="lev"/>
          <w:rFonts w:asciiTheme="majorBidi" w:hAnsiTheme="majorBidi" w:cstheme="majorBidi"/>
          <w:sz w:val="24"/>
        </w:rPr>
        <w:t>L’absence ou l’indisponibilité de certains responsables</w:t>
      </w:r>
      <w:r w:rsidRPr="000C1114">
        <w:rPr>
          <w:rFonts w:asciiTheme="majorBidi" w:hAnsiTheme="majorBidi" w:cstheme="majorBidi"/>
        </w:rPr>
        <w:t xml:space="preserve"> au moment de la distribution des questionnaires, ce qui a réduit le taux de réponse escompté.</w:t>
      </w:r>
    </w:p>
    <w:p w14:paraId="0657215B" w14:textId="0219F3BB" w:rsidR="00F915BC" w:rsidRPr="00CD160A" w:rsidRDefault="00407D8B" w:rsidP="00CD160A">
      <w:pPr>
        <w:pStyle w:val="NormalWeb"/>
        <w:numPr>
          <w:ilvl w:val="0"/>
          <w:numId w:val="9"/>
        </w:numPr>
        <w:spacing w:line="360" w:lineRule="auto"/>
        <w:jc w:val="both"/>
        <w:rPr>
          <w:rFonts w:asciiTheme="majorBidi" w:hAnsiTheme="majorBidi" w:cstheme="majorBidi"/>
        </w:rPr>
      </w:pPr>
      <w:r w:rsidRPr="000C1114">
        <w:rPr>
          <w:rStyle w:val="lev"/>
          <w:rFonts w:asciiTheme="majorBidi" w:hAnsiTheme="majorBidi" w:cstheme="majorBidi"/>
          <w:sz w:val="24"/>
        </w:rPr>
        <w:t>Le temps limité pour mener l’enquête de terrain</w:t>
      </w:r>
      <w:r w:rsidRPr="000C1114">
        <w:rPr>
          <w:rFonts w:asciiTheme="majorBidi" w:hAnsiTheme="majorBidi" w:cstheme="majorBidi"/>
        </w:rPr>
        <w:t>, en lien avec les contraintes administratives internes aux structures observées.</w:t>
      </w:r>
    </w:p>
    <w:p w14:paraId="57A75FD2" w14:textId="77777777" w:rsidR="00F915BC" w:rsidRPr="000C1114" w:rsidRDefault="00F915BC" w:rsidP="000C1114">
      <w:pPr>
        <w:jc w:val="both"/>
        <w:rPr>
          <w:rFonts w:asciiTheme="majorBidi" w:hAnsiTheme="majorBidi" w:cstheme="majorBidi"/>
          <w:b/>
          <w:bCs/>
          <w:szCs w:val="24"/>
        </w:rPr>
      </w:pPr>
      <w:r w:rsidRPr="000C1114">
        <w:rPr>
          <w:rFonts w:asciiTheme="majorBidi" w:hAnsiTheme="majorBidi" w:cstheme="majorBidi"/>
          <w:b/>
          <w:bCs/>
          <w:szCs w:val="24"/>
        </w:rPr>
        <w:t>Études Antérieur</w:t>
      </w:r>
      <w:r w:rsidR="00CC042F" w:rsidRPr="000C1114">
        <w:rPr>
          <w:rFonts w:asciiTheme="majorBidi" w:hAnsiTheme="majorBidi" w:cstheme="majorBidi"/>
          <w:b/>
          <w:bCs/>
          <w:szCs w:val="24"/>
        </w:rPr>
        <w:t> :</w:t>
      </w:r>
    </w:p>
    <w:p w14:paraId="4B13EB3B" w14:textId="77777777" w:rsidR="00972B9A" w:rsidRPr="000C1114" w:rsidRDefault="00972B9A" w:rsidP="000C1114">
      <w:pPr>
        <w:jc w:val="both"/>
        <w:rPr>
          <w:rFonts w:asciiTheme="majorBidi" w:hAnsiTheme="majorBidi" w:cstheme="majorBidi"/>
          <w:szCs w:val="24"/>
        </w:rPr>
      </w:pPr>
      <w:r w:rsidRPr="000C1114">
        <w:rPr>
          <w:rFonts w:asciiTheme="majorBidi" w:hAnsiTheme="majorBidi" w:cstheme="majorBidi"/>
          <w:szCs w:val="24"/>
        </w:rPr>
        <w:lastRenderedPageBreak/>
        <w:t xml:space="preserve">Afin d’enrichir le cadre théorique de cette recherche, nous avons consulté plusieurs études antérieures, tant dans le champ des </w:t>
      </w:r>
      <w:r w:rsidRPr="000C1114">
        <w:rPr>
          <w:rFonts w:asciiTheme="majorBidi" w:hAnsiTheme="majorBidi" w:cstheme="majorBidi"/>
          <w:b/>
          <w:bCs/>
          <w:szCs w:val="24"/>
        </w:rPr>
        <w:t>systèmes d'information en santé</w:t>
      </w:r>
      <w:r w:rsidRPr="000C1114">
        <w:rPr>
          <w:rFonts w:asciiTheme="majorBidi" w:hAnsiTheme="majorBidi" w:cstheme="majorBidi"/>
          <w:szCs w:val="24"/>
        </w:rPr>
        <w:t xml:space="preserve"> que dans celui du </w:t>
      </w:r>
      <w:r w:rsidRPr="000C1114">
        <w:rPr>
          <w:rFonts w:asciiTheme="majorBidi" w:hAnsiTheme="majorBidi" w:cstheme="majorBidi"/>
          <w:b/>
          <w:bCs/>
          <w:szCs w:val="24"/>
        </w:rPr>
        <w:t>financement hospitalier</w:t>
      </w:r>
      <w:r w:rsidRPr="000C1114">
        <w:rPr>
          <w:rFonts w:asciiTheme="majorBidi" w:hAnsiTheme="majorBidi" w:cstheme="majorBidi"/>
          <w:szCs w:val="24"/>
        </w:rPr>
        <w:t>. Ces travaux ont permis de mieux cerner les fondements, les pratiques internationales et les tendances en matière de modernisa</w:t>
      </w:r>
      <w:r w:rsidR="00F915BC" w:rsidRPr="000C1114">
        <w:rPr>
          <w:rFonts w:asciiTheme="majorBidi" w:hAnsiTheme="majorBidi" w:cstheme="majorBidi"/>
          <w:szCs w:val="24"/>
        </w:rPr>
        <w:t>tion des systèmes hospitaliers.</w:t>
      </w:r>
    </w:p>
    <w:p w14:paraId="7740AE01" w14:textId="4B069D5B" w:rsidR="00375A26" w:rsidRPr="00375A26" w:rsidRDefault="00375A26" w:rsidP="00375A26">
      <w:pPr>
        <w:spacing w:before="100" w:beforeAutospacing="1" w:after="100" w:afterAutospacing="1" w:line="240" w:lineRule="auto"/>
        <w:rPr>
          <w:rFonts w:eastAsia="Times New Roman" w:cs="Times New Roman"/>
          <w:szCs w:val="24"/>
          <w:lang w:eastAsia="fr-FR"/>
        </w:rPr>
      </w:pPr>
      <w:r w:rsidRPr="00375A26">
        <w:rPr>
          <w:rFonts w:eastAsia="Times New Roman" w:cs="Times New Roman"/>
          <w:b/>
          <w:bCs/>
          <w:szCs w:val="24"/>
          <w:lang w:eastAsia="fr-FR"/>
        </w:rPr>
        <w:t xml:space="preserve">1. </w:t>
      </w:r>
      <w:proofErr w:type="spellStart"/>
      <w:r w:rsidRPr="00375A26">
        <w:rPr>
          <w:rFonts w:eastAsia="Times New Roman" w:cs="Times New Roman"/>
          <w:b/>
          <w:bCs/>
          <w:szCs w:val="24"/>
          <w:lang w:eastAsia="fr-FR"/>
        </w:rPr>
        <w:t>Aïssaoui</w:t>
      </w:r>
      <w:proofErr w:type="spellEnd"/>
      <w:r w:rsidRPr="00375A26">
        <w:rPr>
          <w:rFonts w:eastAsia="Times New Roman" w:cs="Times New Roman"/>
          <w:b/>
          <w:bCs/>
          <w:szCs w:val="24"/>
          <w:lang w:eastAsia="fr-FR"/>
        </w:rPr>
        <w:t xml:space="preserve"> N. (2017)</w:t>
      </w:r>
      <w:r w:rsidRPr="00375A26">
        <w:rPr>
          <w:rFonts w:eastAsia="Times New Roman" w:cs="Times New Roman"/>
          <w:szCs w:val="24"/>
          <w:lang w:eastAsia="fr-FR"/>
        </w:rPr>
        <w:br/>
      </w:r>
      <w:r w:rsidRPr="00375A26">
        <w:rPr>
          <w:rFonts w:eastAsia="Times New Roman" w:cs="Times New Roman"/>
          <w:b/>
          <w:bCs/>
          <w:szCs w:val="24"/>
          <w:lang w:eastAsia="fr-FR"/>
        </w:rPr>
        <w:t>Titre</w:t>
      </w:r>
      <w:r w:rsidRPr="00375A26">
        <w:rPr>
          <w:rFonts w:eastAsia="Times New Roman" w:cs="Times New Roman"/>
          <w:szCs w:val="24"/>
          <w:lang w:eastAsia="fr-FR"/>
        </w:rPr>
        <w:t xml:space="preserve"> : </w:t>
      </w:r>
      <w:r w:rsidRPr="00375A26">
        <w:rPr>
          <w:rFonts w:eastAsia="Times New Roman" w:cs="Times New Roman"/>
          <w:i/>
          <w:iCs/>
          <w:szCs w:val="24"/>
          <w:lang w:eastAsia="fr-FR"/>
        </w:rPr>
        <w:t xml:space="preserve">L’implantation et le management d’un nouveau système d’information hospitalier : Réalité et défis du système 3COH à l’hôpital Ibn </w:t>
      </w:r>
      <w:proofErr w:type="spellStart"/>
      <w:r w:rsidRPr="00375A26">
        <w:rPr>
          <w:rFonts w:eastAsia="Times New Roman" w:cs="Times New Roman"/>
          <w:i/>
          <w:iCs/>
          <w:szCs w:val="24"/>
          <w:lang w:eastAsia="fr-FR"/>
        </w:rPr>
        <w:t>Sina</w:t>
      </w:r>
      <w:proofErr w:type="spellEnd"/>
      <w:r w:rsidRPr="00375A26">
        <w:rPr>
          <w:rFonts w:eastAsia="Times New Roman" w:cs="Times New Roman"/>
          <w:i/>
          <w:iCs/>
          <w:szCs w:val="24"/>
          <w:lang w:eastAsia="fr-FR"/>
        </w:rPr>
        <w:t xml:space="preserve"> (OEB), Algérie</w:t>
      </w:r>
      <w:r w:rsidRPr="00375A26">
        <w:rPr>
          <w:rFonts w:eastAsia="Times New Roman" w:cs="Times New Roman"/>
          <w:szCs w:val="24"/>
          <w:lang w:eastAsia="fr-FR"/>
        </w:rPr>
        <w:br/>
      </w:r>
      <w:r w:rsidRPr="00375A26">
        <w:rPr>
          <w:rFonts w:eastAsia="Times New Roman" w:cs="Times New Roman"/>
          <w:b/>
          <w:bCs/>
          <w:szCs w:val="24"/>
          <w:lang w:eastAsia="fr-FR"/>
        </w:rPr>
        <w:t>Résultats</w:t>
      </w:r>
      <w:r w:rsidRPr="00375A26">
        <w:rPr>
          <w:rFonts w:eastAsia="Times New Roman" w:cs="Times New Roman"/>
          <w:szCs w:val="24"/>
          <w:lang w:eastAsia="fr-FR"/>
        </w:rPr>
        <w:t xml:space="preserve"> : L’étude met en évidence les freins à l’implantation du système 3COH, notamment le manque de coordination entre les services et l’absence de communication verticale. Elle insiste sur la nécessité d’une gouvernance interne forte pour réussir l’intégration d’un SIH.</w:t>
      </w:r>
      <w:bookmarkStart w:id="26" w:name="_GoBack"/>
      <w:bookmarkEnd w:id="26"/>
    </w:p>
    <w:p w14:paraId="14D20F30" w14:textId="49890D5D" w:rsidR="00375A26" w:rsidRPr="00375A26" w:rsidRDefault="00375A26" w:rsidP="00375A26">
      <w:pPr>
        <w:spacing w:before="100" w:beforeAutospacing="1" w:after="100" w:afterAutospacing="1" w:line="240" w:lineRule="auto"/>
        <w:rPr>
          <w:rFonts w:eastAsia="Times New Roman" w:cs="Times New Roman"/>
          <w:szCs w:val="24"/>
          <w:lang w:eastAsia="fr-FR"/>
        </w:rPr>
      </w:pPr>
      <w:r w:rsidRPr="00375A26">
        <w:rPr>
          <w:rFonts w:eastAsia="Times New Roman" w:cs="Times New Roman"/>
          <w:b/>
          <w:bCs/>
          <w:szCs w:val="24"/>
          <w:lang w:eastAsia="fr-FR"/>
        </w:rPr>
        <w:t xml:space="preserve">2. Kara </w:t>
      </w:r>
      <w:proofErr w:type="spellStart"/>
      <w:r w:rsidRPr="00375A26">
        <w:rPr>
          <w:rFonts w:eastAsia="Times New Roman" w:cs="Times New Roman"/>
          <w:b/>
          <w:bCs/>
          <w:szCs w:val="24"/>
          <w:lang w:eastAsia="fr-FR"/>
        </w:rPr>
        <w:t>Terki</w:t>
      </w:r>
      <w:proofErr w:type="spellEnd"/>
      <w:r w:rsidRPr="00375A26">
        <w:rPr>
          <w:rFonts w:eastAsia="Times New Roman" w:cs="Times New Roman"/>
          <w:b/>
          <w:bCs/>
          <w:szCs w:val="24"/>
          <w:lang w:eastAsia="fr-FR"/>
        </w:rPr>
        <w:t xml:space="preserve"> A., </w:t>
      </w:r>
      <w:proofErr w:type="spellStart"/>
      <w:r w:rsidRPr="00375A26">
        <w:rPr>
          <w:rFonts w:eastAsia="Times New Roman" w:cs="Times New Roman"/>
          <w:b/>
          <w:bCs/>
          <w:szCs w:val="24"/>
          <w:lang w:eastAsia="fr-FR"/>
        </w:rPr>
        <w:t>Terki</w:t>
      </w:r>
      <w:proofErr w:type="spellEnd"/>
      <w:r w:rsidRPr="00375A26">
        <w:rPr>
          <w:rFonts w:eastAsia="Times New Roman" w:cs="Times New Roman"/>
          <w:b/>
          <w:bCs/>
          <w:szCs w:val="24"/>
          <w:lang w:eastAsia="fr-FR"/>
        </w:rPr>
        <w:t xml:space="preserve"> I., </w:t>
      </w:r>
      <w:proofErr w:type="spellStart"/>
      <w:r w:rsidRPr="00375A26">
        <w:rPr>
          <w:rFonts w:eastAsia="Times New Roman" w:cs="Times New Roman"/>
          <w:b/>
          <w:bCs/>
          <w:szCs w:val="24"/>
          <w:lang w:eastAsia="fr-FR"/>
        </w:rPr>
        <w:t>Hammoum</w:t>
      </w:r>
      <w:proofErr w:type="spellEnd"/>
      <w:r w:rsidRPr="00375A26">
        <w:rPr>
          <w:rFonts w:eastAsia="Times New Roman" w:cs="Times New Roman"/>
          <w:b/>
          <w:bCs/>
          <w:szCs w:val="24"/>
          <w:lang w:eastAsia="fr-FR"/>
        </w:rPr>
        <w:t xml:space="preserve"> S. (2022)</w:t>
      </w:r>
      <w:r w:rsidRPr="00375A26">
        <w:rPr>
          <w:rFonts w:eastAsia="Times New Roman" w:cs="Times New Roman"/>
          <w:szCs w:val="24"/>
          <w:lang w:eastAsia="fr-FR"/>
        </w:rPr>
        <w:br/>
      </w:r>
      <w:r w:rsidRPr="00375A26">
        <w:rPr>
          <w:rFonts w:eastAsia="Times New Roman" w:cs="Times New Roman"/>
          <w:b/>
          <w:bCs/>
          <w:szCs w:val="24"/>
          <w:lang w:eastAsia="fr-FR"/>
        </w:rPr>
        <w:t>Titre</w:t>
      </w:r>
      <w:r w:rsidRPr="00375A26">
        <w:rPr>
          <w:rFonts w:eastAsia="Times New Roman" w:cs="Times New Roman"/>
          <w:szCs w:val="24"/>
          <w:lang w:eastAsia="fr-FR"/>
        </w:rPr>
        <w:t xml:space="preserve"> : </w:t>
      </w:r>
      <w:proofErr w:type="spellStart"/>
      <w:r w:rsidRPr="00375A26">
        <w:rPr>
          <w:rFonts w:eastAsia="Times New Roman" w:cs="Times New Roman"/>
          <w:i/>
          <w:iCs/>
          <w:szCs w:val="24"/>
          <w:lang w:eastAsia="fr-FR"/>
        </w:rPr>
        <w:t>Hospital</w:t>
      </w:r>
      <w:proofErr w:type="spellEnd"/>
      <w:r w:rsidRPr="00375A26">
        <w:rPr>
          <w:rFonts w:eastAsia="Times New Roman" w:cs="Times New Roman"/>
          <w:i/>
          <w:iCs/>
          <w:szCs w:val="24"/>
          <w:lang w:eastAsia="fr-FR"/>
        </w:rPr>
        <w:t xml:space="preserve"> Information System and Control of Health </w:t>
      </w:r>
      <w:proofErr w:type="spellStart"/>
      <w:r w:rsidRPr="00375A26">
        <w:rPr>
          <w:rFonts w:eastAsia="Times New Roman" w:cs="Times New Roman"/>
          <w:i/>
          <w:iCs/>
          <w:szCs w:val="24"/>
          <w:lang w:eastAsia="fr-FR"/>
        </w:rPr>
        <w:t>Costs</w:t>
      </w:r>
      <w:proofErr w:type="spellEnd"/>
      <w:r w:rsidRPr="00375A26">
        <w:rPr>
          <w:rFonts w:eastAsia="Times New Roman" w:cs="Times New Roman"/>
          <w:szCs w:val="24"/>
          <w:lang w:eastAsia="fr-FR"/>
        </w:rPr>
        <w:br/>
      </w:r>
      <w:r w:rsidRPr="00375A26">
        <w:rPr>
          <w:rFonts w:eastAsia="Times New Roman" w:cs="Times New Roman"/>
          <w:b/>
          <w:bCs/>
          <w:szCs w:val="24"/>
          <w:lang w:eastAsia="fr-FR"/>
        </w:rPr>
        <w:t>Résultats</w:t>
      </w:r>
      <w:r w:rsidRPr="00375A26">
        <w:rPr>
          <w:rFonts w:eastAsia="Times New Roman" w:cs="Times New Roman"/>
          <w:szCs w:val="24"/>
          <w:lang w:eastAsia="fr-FR"/>
        </w:rPr>
        <w:t xml:space="preserve"> : L’étude confirme que les systèmes d’information hospitaliers permettent une meilleure maîtrise des coûts de santé. Ils facilitent la gestion budgétaire et la planification stratégique des hôpitaux, notamment dans la wilaya de Tlemcen.</w:t>
      </w:r>
    </w:p>
    <w:p w14:paraId="04B298A4" w14:textId="18E0F316" w:rsidR="00375A26" w:rsidRPr="00375A26" w:rsidRDefault="00375A26" w:rsidP="00375A26">
      <w:pPr>
        <w:spacing w:before="100" w:beforeAutospacing="1" w:after="100" w:afterAutospacing="1" w:line="240" w:lineRule="auto"/>
        <w:rPr>
          <w:rFonts w:eastAsia="Times New Roman" w:cs="Times New Roman"/>
          <w:szCs w:val="24"/>
          <w:lang w:eastAsia="fr-FR"/>
        </w:rPr>
      </w:pPr>
      <w:r w:rsidRPr="00375A26">
        <w:rPr>
          <w:rFonts w:eastAsia="Times New Roman" w:cs="Times New Roman"/>
          <w:b/>
          <w:bCs/>
          <w:szCs w:val="24"/>
          <w:lang w:eastAsia="fr-FR"/>
        </w:rPr>
        <w:t xml:space="preserve">3. </w:t>
      </w:r>
      <w:proofErr w:type="spellStart"/>
      <w:r w:rsidRPr="00375A26">
        <w:rPr>
          <w:rFonts w:eastAsia="Times New Roman" w:cs="Times New Roman"/>
          <w:b/>
          <w:bCs/>
          <w:szCs w:val="24"/>
          <w:lang w:eastAsia="fr-FR"/>
        </w:rPr>
        <w:t>Bourahla</w:t>
      </w:r>
      <w:proofErr w:type="spellEnd"/>
      <w:r w:rsidRPr="00375A26">
        <w:rPr>
          <w:rFonts w:eastAsia="Times New Roman" w:cs="Times New Roman"/>
          <w:b/>
          <w:bCs/>
          <w:szCs w:val="24"/>
          <w:lang w:eastAsia="fr-FR"/>
        </w:rPr>
        <w:t xml:space="preserve"> &amp; </w:t>
      </w:r>
      <w:proofErr w:type="spellStart"/>
      <w:r w:rsidRPr="00375A26">
        <w:rPr>
          <w:rFonts w:eastAsia="Times New Roman" w:cs="Times New Roman"/>
          <w:b/>
          <w:bCs/>
          <w:szCs w:val="24"/>
          <w:lang w:eastAsia="fr-FR"/>
        </w:rPr>
        <w:t>Mederbel</w:t>
      </w:r>
      <w:proofErr w:type="spellEnd"/>
      <w:r w:rsidRPr="00375A26">
        <w:rPr>
          <w:rFonts w:eastAsia="Times New Roman" w:cs="Times New Roman"/>
          <w:b/>
          <w:bCs/>
          <w:szCs w:val="24"/>
          <w:lang w:eastAsia="fr-FR"/>
        </w:rPr>
        <w:t xml:space="preserve"> (2018)</w:t>
      </w:r>
      <w:r w:rsidRPr="00375A26">
        <w:rPr>
          <w:rFonts w:eastAsia="Times New Roman" w:cs="Times New Roman"/>
          <w:szCs w:val="24"/>
          <w:lang w:eastAsia="fr-FR"/>
        </w:rPr>
        <w:br/>
      </w:r>
      <w:r w:rsidRPr="00375A26">
        <w:rPr>
          <w:rFonts w:eastAsia="Times New Roman" w:cs="Times New Roman"/>
          <w:b/>
          <w:bCs/>
          <w:szCs w:val="24"/>
          <w:lang w:eastAsia="fr-FR"/>
        </w:rPr>
        <w:t>Titre</w:t>
      </w:r>
      <w:r w:rsidRPr="00375A26">
        <w:rPr>
          <w:rFonts w:eastAsia="Times New Roman" w:cs="Times New Roman"/>
          <w:szCs w:val="24"/>
          <w:lang w:eastAsia="fr-FR"/>
        </w:rPr>
        <w:t xml:space="preserve"> : </w:t>
      </w:r>
      <w:r w:rsidRPr="00375A26">
        <w:rPr>
          <w:rFonts w:eastAsia="Times New Roman" w:cs="Times New Roman"/>
          <w:i/>
          <w:iCs/>
          <w:szCs w:val="24"/>
          <w:lang w:eastAsia="fr-FR"/>
        </w:rPr>
        <w:t>Le financement du système de santé en Algérie : les forfaits hôpitaux. Cas du CHU de Tizi-Ouzou</w:t>
      </w:r>
      <w:r w:rsidRPr="00375A26">
        <w:rPr>
          <w:rFonts w:eastAsia="Times New Roman" w:cs="Times New Roman"/>
          <w:szCs w:val="24"/>
          <w:lang w:eastAsia="fr-FR"/>
        </w:rPr>
        <w:br/>
      </w:r>
      <w:r w:rsidRPr="00375A26">
        <w:rPr>
          <w:rFonts w:eastAsia="Times New Roman" w:cs="Times New Roman"/>
          <w:b/>
          <w:bCs/>
          <w:szCs w:val="24"/>
          <w:lang w:eastAsia="fr-FR"/>
        </w:rPr>
        <w:t>Résultats</w:t>
      </w:r>
      <w:r w:rsidRPr="00375A26">
        <w:rPr>
          <w:rFonts w:eastAsia="Times New Roman" w:cs="Times New Roman"/>
          <w:szCs w:val="24"/>
          <w:lang w:eastAsia="fr-FR"/>
        </w:rPr>
        <w:t xml:space="preserve"> : Cette étude universitaire explique que le financement hospitalier en Algérie repose sur des dotations budgétaires de l’État, complétées par les caisses de sécurité sociale et les contributions directes des ménages. Elle critique l’absence d’incitation à la performance dans le modèle actuel.</w:t>
      </w:r>
    </w:p>
    <w:p w14:paraId="716CFB13" w14:textId="1007AA7E" w:rsidR="00375A26" w:rsidRPr="00375A26" w:rsidRDefault="00375A26" w:rsidP="00375A26">
      <w:pPr>
        <w:spacing w:before="100" w:beforeAutospacing="1" w:after="100" w:afterAutospacing="1" w:line="240" w:lineRule="auto"/>
        <w:rPr>
          <w:rFonts w:eastAsia="Times New Roman" w:cs="Times New Roman"/>
          <w:szCs w:val="24"/>
          <w:lang w:eastAsia="fr-FR"/>
        </w:rPr>
      </w:pPr>
      <w:r w:rsidRPr="00375A26">
        <w:rPr>
          <w:rFonts w:eastAsia="Times New Roman" w:cs="Times New Roman"/>
          <w:b/>
          <w:bCs/>
          <w:szCs w:val="24"/>
          <w:lang w:eastAsia="fr-FR"/>
        </w:rPr>
        <w:t>4. ATIH / Sénat (2005)</w:t>
      </w:r>
      <w:r w:rsidRPr="00375A26">
        <w:rPr>
          <w:rFonts w:eastAsia="Times New Roman" w:cs="Times New Roman"/>
          <w:szCs w:val="24"/>
          <w:lang w:eastAsia="fr-FR"/>
        </w:rPr>
        <w:br/>
      </w:r>
      <w:r w:rsidRPr="00375A26">
        <w:rPr>
          <w:rFonts w:eastAsia="Times New Roman" w:cs="Times New Roman"/>
          <w:b/>
          <w:bCs/>
          <w:szCs w:val="24"/>
          <w:lang w:eastAsia="fr-FR"/>
        </w:rPr>
        <w:t>Titre</w:t>
      </w:r>
      <w:r w:rsidRPr="00375A26">
        <w:rPr>
          <w:rFonts w:eastAsia="Times New Roman" w:cs="Times New Roman"/>
          <w:szCs w:val="24"/>
          <w:lang w:eastAsia="fr-FR"/>
        </w:rPr>
        <w:t xml:space="preserve"> : </w:t>
      </w:r>
      <w:r w:rsidRPr="00375A26">
        <w:rPr>
          <w:rFonts w:eastAsia="Times New Roman" w:cs="Times New Roman"/>
          <w:i/>
          <w:iCs/>
          <w:szCs w:val="24"/>
          <w:lang w:eastAsia="fr-FR"/>
        </w:rPr>
        <w:t>La mise en œuvre de la T2A : budget global vs PMSI &amp; GHS</w:t>
      </w:r>
      <w:r w:rsidRPr="00375A26">
        <w:rPr>
          <w:rFonts w:eastAsia="Times New Roman" w:cs="Times New Roman"/>
          <w:szCs w:val="24"/>
          <w:lang w:eastAsia="fr-FR"/>
        </w:rPr>
        <w:br/>
      </w:r>
      <w:r w:rsidRPr="00375A26">
        <w:rPr>
          <w:rFonts w:eastAsia="Times New Roman" w:cs="Times New Roman"/>
          <w:b/>
          <w:bCs/>
          <w:szCs w:val="24"/>
          <w:lang w:eastAsia="fr-FR"/>
        </w:rPr>
        <w:t>Résultats</w:t>
      </w:r>
      <w:r w:rsidRPr="00375A26">
        <w:rPr>
          <w:rFonts w:eastAsia="Times New Roman" w:cs="Times New Roman"/>
          <w:szCs w:val="24"/>
          <w:lang w:eastAsia="fr-FR"/>
        </w:rPr>
        <w:t xml:space="preserve"> : Le rapport analyse la réforme de la tarification à l’activité (T2A) en France. Il souligne le passage du budget global aux Groupes Homogènes de Séjours (GHS) via le PMSI, en insistant sur l’objectif d’équité et de transparence du financement hospitalier.</w:t>
      </w:r>
    </w:p>
    <w:p w14:paraId="7CE90A20" w14:textId="77777777" w:rsidR="00375A26" w:rsidRPr="00375A26" w:rsidRDefault="00375A26" w:rsidP="00375A26">
      <w:pPr>
        <w:spacing w:before="100" w:beforeAutospacing="1" w:after="100" w:afterAutospacing="1" w:line="240" w:lineRule="auto"/>
        <w:rPr>
          <w:rFonts w:eastAsia="Times New Roman" w:cs="Times New Roman"/>
          <w:szCs w:val="24"/>
          <w:lang w:eastAsia="fr-FR"/>
        </w:rPr>
      </w:pPr>
      <w:r w:rsidRPr="00375A26">
        <w:rPr>
          <w:rFonts w:eastAsia="Times New Roman" w:cs="Times New Roman"/>
          <w:b/>
          <w:bCs/>
          <w:szCs w:val="24"/>
          <w:lang w:eastAsia="fr-FR"/>
        </w:rPr>
        <w:t xml:space="preserve">5. </w:t>
      </w:r>
      <w:proofErr w:type="spellStart"/>
      <w:r w:rsidRPr="00375A26">
        <w:rPr>
          <w:rFonts w:eastAsia="Times New Roman" w:cs="Times New Roman"/>
          <w:b/>
          <w:bCs/>
          <w:szCs w:val="24"/>
          <w:lang w:eastAsia="fr-FR"/>
        </w:rPr>
        <w:t>Juven</w:t>
      </w:r>
      <w:proofErr w:type="spellEnd"/>
      <w:r w:rsidRPr="00375A26">
        <w:rPr>
          <w:rFonts w:eastAsia="Times New Roman" w:cs="Times New Roman"/>
          <w:b/>
          <w:bCs/>
          <w:szCs w:val="24"/>
          <w:lang w:eastAsia="fr-FR"/>
        </w:rPr>
        <w:t>, P.-A. (2004–2005)</w:t>
      </w:r>
      <w:r w:rsidRPr="00375A26">
        <w:rPr>
          <w:rFonts w:eastAsia="Times New Roman" w:cs="Times New Roman"/>
          <w:szCs w:val="24"/>
          <w:lang w:eastAsia="fr-FR"/>
        </w:rPr>
        <w:br/>
      </w:r>
      <w:r w:rsidRPr="00375A26">
        <w:rPr>
          <w:rFonts w:eastAsia="Times New Roman" w:cs="Times New Roman"/>
          <w:b/>
          <w:bCs/>
          <w:szCs w:val="24"/>
          <w:lang w:eastAsia="fr-FR"/>
        </w:rPr>
        <w:t>Titre</w:t>
      </w:r>
      <w:r w:rsidRPr="00375A26">
        <w:rPr>
          <w:rFonts w:eastAsia="Times New Roman" w:cs="Times New Roman"/>
          <w:szCs w:val="24"/>
          <w:lang w:eastAsia="fr-FR"/>
        </w:rPr>
        <w:t xml:space="preserve"> : </w:t>
      </w:r>
      <w:r w:rsidRPr="00375A26">
        <w:rPr>
          <w:rFonts w:eastAsia="Times New Roman" w:cs="Times New Roman"/>
          <w:i/>
          <w:iCs/>
          <w:szCs w:val="24"/>
          <w:lang w:eastAsia="fr-FR"/>
        </w:rPr>
        <w:t>Comment la T2A transforme le codage hospitalier en France</w:t>
      </w:r>
      <w:r w:rsidRPr="00375A26">
        <w:rPr>
          <w:rFonts w:eastAsia="Times New Roman" w:cs="Times New Roman"/>
          <w:szCs w:val="24"/>
          <w:lang w:eastAsia="fr-FR"/>
        </w:rPr>
        <w:br/>
      </w:r>
      <w:r w:rsidRPr="00375A26">
        <w:rPr>
          <w:rFonts w:eastAsia="Times New Roman" w:cs="Times New Roman"/>
          <w:b/>
          <w:bCs/>
          <w:szCs w:val="24"/>
          <w:lang w:eastAsia="fr-FR"/>
        </w:rPr>
        <w:t>Résultats</w:t>
      </w:r>
      <w:r w:rsidRPr="00375A26">
        <w:rPr>
          <w:rFonts w:eastAsia="Times New Roman" w:cs="Times New Roman"/>
          <w:szCs w:val="24"/>
          <w:lang w:eastAsia="fr-FR"/>
        </w:rPr>
        <w:t xml:space="preserve"> : L’étude ethnographique décrit les effets de la T2A sur les pratiques de codage médical dans les hôpitaux français. Elle montre comment le PMSI est devenu un outil stratégique, et aborde la problématique du surcodage induit par les incitations financières.</w:t>
      </w:r>
    </w:p>
    <w:p w14:paraId="3F6A816C" w14:textId="77777777" w:rsidR="00B3430E" w:rsidRDefault="00B3430E" w:rsidP="00232E3E">
      <w:pPr>
        <w:jc w:val="both"/>
        <w:rPr>
          <w:b/>
          <w:bCs/>
        </w:rPr>
        <w:sectPr w:rsidR="00B3430E" w:rsidSect="005B376A">
          <w:headerReference w:type="default" r:id="rId10"/>
          <w:footerReference w:type="default" r:id="rId11"/>
          <w:pgSz w:w="11906" w:h="16838"/>
          <w:pgMar w:top="1417" w:right="1417" w:bottom="1417" w:left="1417" w:header="708" w:footer="708" w:gutter="0"/>
          <w:pgNumType w:fmt="lowerLetter" w:start="1"/>
          <w:cols w:space="708"/>
          <w:titlePg/>
          <w:docGrid w:linePitch="360"/>
        </w:sectPr>
      </w:pPr>
    </w:p>
    <w:p w14:paraId="168D1F2F" w14:textId="1A25EA19" w:rsidR="005C2AFA" w:rsidRDefault="005C2AFA" w:rsidP="00232E3E">
      <w:pPr>
        <w:jc w:val="both"/>
        <w:rPr>
          <w:b/>
          <w:bCs/>
        </w:rPr>
      </w:pPr>
      <w:r>
        <w:rPr>
          <w:b/>
          <w:bCs/>
          <w:noProof/>
          <w:sz w:val="48"/>
          <w:szCs w:val="48"/>
          <w:u w:val="single"/>
          <w:lang w:eastAsia="fr-FR"/>
        </w:rPr>
        <w:lastRenderedPageBreak/>
        <mc:AlternateContent>
          <mc:Choice Requires="wps">
            <w:drawing>
              <wp:anchor distT="0" distB="0" distL="114300" distR="114300" simplePos="0" relativeHeight="251770880" behindDoc="1" locked="0" layoutInCell="1" allowOverlap="1" wp14:anchorId="1DC750BE" wp14:editId="14479A3F">
                <wp:simplePos x="0" y="0"/>
                <wp:positionH relativeFrom="margin">
                  <wp:align>left</wp:align>
                </wp:positionH>
                <wp:positionV relativeFrom="margin">
                  <wp:align>center</wp:align>
                </wp:positionV>
                <wp:extent cx="5600700" cy="3743325"/>
                <wp:effectExtent l="0" t="0" r="19050" b="28575"/>
                <wp:wrapTight wrapText="bothSides">
                  <wp:wrapPolygon edited="0">
                    <wp:start x="20278" y="0"/>
                    <wp:lineTo x="19910" y="440"/>
                    <wp:lineTo x="19616" y="1099"/>
                    <wp:lineTo x="19616" y="1759"/>
                    <wp:lineTo x="3233" y="2418"/>
                    <wp:lineTo x="0" y="2638"/>
                    <wp:lineTo x="0" y="21215"/>
                    <wp:lineTo x="367" y="21655"/>
                    <wp:lineTo x="441" y="21655"/>
                    <wp:lineTo x="1396" y="21655"/>
                    <wp:lineTo x="1469" y="21655"/>
                    <wp:lineTo x="1837" y="21105"/>
                    <wp:lineTo x="1984" y="19347"/>
                    <wp:lineTo x="21600" y="19127"/>
                    <wp:lineTo x="21600" y="660"/>
                    <wp:lineTo x="21159" y="0"/>
                    <wp:lineTo x="20278" y="0"/>
                  </wp:wrapPolygon>
                </wp:wrapTight>
                <wp:docPr id="7" name="Parchemin horizontal 7"/>
                <wp:cNvGraphicFramePr/>
                <a:graphic xmlns:a="http://schemas.openxmlformats.org/drawingml/2006/main">
                  <a:graphicData uri="http://schemas.microsoft.com/office/word/2010/wordprocessingShape">
                    <wps:wsp>
                      <wps:cNvSpPr/>
                      <wps:spPr>
                        <a:xfrm>
                          <a:off x="0" y="0"/>
                          <a:ext cx="5600700" cy="374332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0B6883A1" w14:textId="77777777" w:rsidR="0095621A" w:rsidRPr="000C1114" w:rsidRDefault="0095621A" w:rsidP="00CD160A">
                            <w:pPr>
                              <w:pStyle w:val="Titre"/>
                            </w:pPr>
                            <w:r w:rsidRPr="000C1114">
                              <w:t xml:space="preserve">Chapitre 1 : </w:t>
                            </w:r>
                          </w:p>
                          <w:p w14:paraId="438E6CFD" w14:textId="77777777" w:rsidR="0095621A" w:rsidRPr="000C1114" w:rsidRDefault="0095621A" w:rsidP="00CD160A">
                            <w:pPr>
                              <w:pStyle w:val="Titre"/>
                            </w:pPr>
                            <w:r w:rsidRPr="000C1114">
                              <w:t>Les Systèmes d'Information en Santé et leur Rôle dans le Financement des Établissements de Santé</w:t>
                            </w:r>
                          </w:p>
                          <w:p w14:paraId="49F7F3E9"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DC750BE" id="Parchemin horizontal 7" o:spid="_x0000_s1034" type="#_x0000_t98" style="position:absolute;left:0;text-align:left;margin-left:0;margin-top:0;width:441pt;height:294.75pt;z-index:-251545600;visibility:visible;mso-wrap-style:square;mso-wrap-distance-left:9pt;mso-wrap-distance-top:0;mso-wrap-distance-right:9pt;mso-wrap-distance-bottom:0;mso-position-horizontal:left;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" fillcolor="#c3c3c3 [2166]" strokecolor="#a5a5a5 [3206]" strokeweight=".5pt">
                <v:fill color2="#b6b6b6 [2614]" rotate="t" colors="0 #d2d2d2;.5 #c8c8c8;1 silver" focus="100%" type="gradient">
                  <o:fill v:ext="view" type="gradientUnscaled"/>
                </v:fill>
                <v:stroke joinstyle="miter"/>
                <v:textbox>
                  <w:txbxContent>
                    <w:p w14:paraId="0B6883A1" w14:textId="77777777" w:rsidR="0095621A" w:rsidRPr="000C1114" w:rsidRDefault="0095621A" w:rsidP="00CD160A">
                      <w:pPr>
                        <w:pStyle w:val="Titre"/>
                      </w:pPr>
                      <w:r w:rsidRPr="000C1114">
                        <w:t xml:space="preserve">Chapitre 1 : </w:t>
                      </w:r>
                    </w:p>
                    <w:p w14:paraId="438E6CFD" w14:textId="77777777" w:rsidR="0095621A" w:rsidRPr="000C1114" w:rsidRDefault="0095621A" w:rsidP="00CD160A">
                      <w:pPr>
                        <w:pStyle w:val="Titre"/>
                      </w:pPr>
                      <w:r w:rsidRPr="000C1114">
                        <w:t>Les Systèmes d'Information en Santé et leur Rôle dans le Financement des Établissements de Santé</w:t>
                      </w:r>
                    </w:p>
                    <w:p w14:paraId="49F7F3E9" w14:textId="77777777" w:rsidR="0095621A" w:rsidRDefault="0095621A" w:rsidP="00B7491C">
                      <w:pPr>
                        <w:jc w:val="center"/>
                      </w:pPr>
                    </w:p>
                  </w:txbxContent>
                </v:textbox>
                <w10:wrap type="tight" anchorx="margin" anchory="margin"/>
              </v:shape>
            </w:pict>
          </mc:Fallback>
        </mc:AlternateContent>
      </w:r>
      <w:r>
        <w:rPr>
          <w:b/>
          <w:bCs/>
        </w:rPr>
        <w:br w:type="page"/>
      </w:r>
    </w:p>
    <w:p w14:paraId="34F4C964" w14:textId="5A3AA307" w:rsidR="002210A7" w:rsidRPr="00CD160A" w:rsidRDefault="002210A7" w:rsidP="00CD160A">
      <w:pPr>
        <w:pStyle w:val="Titre1"/>
        <w:jc w:val="both"/>
        <w:rPr>
          <w:rFonts w:asciiTheme="majorBidi" w:hAnsiTheme="majorBidi"/>
          <w:sz w:val="24"/>
          <w:szCs w:val="24"/>
        </w:rPr>
      </w:pPr>
      <w:bookmarkStart w:id="27" w:name="_Toc199958800"/>
      <w:r w:rsidRPr="00CD160A">
        <w:rPr>
          <w:rFonts w:asciiTheme="majorBidi" w:hAnsiTheme="majorBidi"/>
          <w:sz w:val="24"/>
          <w:szCs w:val="24"/>
        </w:rPr>
        <w:lastRenderedPageBreak/>
        <w:t>Introduction</w:t>
      </w:r>
      <w:bookmarkEnd w:id="27"/>
    </w:p>
    <w:p w14:paraId="2DDEDAF2" w14:textId="77777777" w:rsidR="0055650D"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Les systèmes d'information occupent aujourd'hui une place stratégique dans la transformation des établissements de santé. En tant qu’outils de collecte, de traitement et d’analyse des données, ils permettent non seulement une meilleure organisation des soins, mais influencent également la planification, la gestion administrative et surtout les modes de financement. Dans un contexte marqué par la pression budgétaire, la quête de transparence, et la nécessité d’améliorer la qualité des soins, la digitalisation des services de santé s’impose comme un levier de modernisation incontournable.</w:t>
      </w:r>
    </w:p>
    <w:p w14:paraId="598232AE" w14:textId="77777777" w:rsidR="0055650D"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Ce chapitre s’articule autour de cinq sections complémentaires.</w:t>
      </w:r>
    </w:p>
    <w:p w14:paraId="72DF22F6" w14:textId="77777777" w:rsidR="0055650D"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La première revient sur les fondements généraux des systèmes d'information, à travers leurs définitions, composantes, principales fonctions ainsi que les objectifs spécifiques des Systèmes d’Information en Santé (SIS).</w:t>
      </w:r>
    </w:p>
    <w:p w14:paraId="754D2AD4" w14:textId="77777777" w:rsidR="0055650D"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 xml:space="preserve">La deuxième section est dédiée au Système d’Information Hospitalier (SIH), en retraçant son historique, ses objectifs, ses composantes (administrative, logistique, </w:t>
      </w:r>
      <w:proofErr w:type="spellStart"/>
      <w:r w:rsidRPr="00CD160A">
        <w:rPr>
          <w:rFonts w:asciiTheme="majorBidi" w:hAnsiTheme="majorBidi" w:cstheme="majorBidi"/>
          <w:szCs w:val="24"/>
        </w:rPr>
        <w:t>médico-technique</w:t>
      </w:r>
      <w:proofErr w:type="spellEnd"/>
      <w:r w:rsidRPr="00CD160A">
        <w:rPr>
          <w:rFonts w:asciiTheme="majorBidi" w:hAnsiTheme="majorBidi" w:cstheme="majorBidi"/>
          <w:szCs w:val="24"/>
        </w:rPr>
        <w:t>) et ses fonctionnalités clés telles que la gestion des dossiers patients, des ressources hospitalières et le support à la décision clinique. Elle intègre également les facteurs favorisant l’implantation de ces systèmes.</w:t>
      </w:r>
    </w:p>
    <w:p w14:paraId="2C7103C6" w14:textId="77777777" w:rsidR="0055650D"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La troisième section porte sur le Programme de Médicalisation des Systèmes d’Information (PMSI), en détaillant ses objectifs économiques et médicaux, ses enjeux en lien avec la T2A, et son fonctionnement à travers la classification des GHM.</w:t>
      </w:r>
    </w:p>
    <w:p w14:paraId="06AA870B" w14:textId="77777777" w:rsidR="0055650D"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La quatrième section propose un regard comparatif international, à travers l’étude des systèmes DRG (États-Unis) et NHS Digital (Royaume-Uni), un tableau comparatif des différents systèmes internationaux, ainsi qu’une analyse des paramètres applicables en Algérie, notamment le SNIS, les infrastructures, les logiciels hospitaliers, les défis et perspectives.</w:t>
      </w:r>
    </w:p>
    <w:p w14:paraId="570B68BE" w14:textId="77777777" w:rsidR="00802695" w:rsidRPr="00CD160A" w:rsidRDefault="0055650D" w:rsidP="00CD160A">
      <w:pPr>
        <w:jc w:val="both"/>
        <w:rPr>
          <w:rFonts w:asciiTheme="majorBidi" w:hAnsiTheme="majorBidi" w:cstheme="majorBidi"/>
          <w:szCs w:val="24"/>
        </w:rPr>
      </w:pPr>
      <w:r w:rsidRPr="00CD160A">
        <w:rPr>
          <w:rFonts w:asciiTheme="majorBidi" w:hAnsiTheme="majorBidi" w:cstheme="majorBidi"/>
          <w:szCs w:val="24"/>
        </w:rPr>
        <w:t>Enfin, la cinquième section met en lumière le rôle stratégique des systèmes d’information dans la mise en place des modes de financement hospitaliers, en expliquant comment ces outils permettent une meilleure allocation des ressources, une optimisation des coûts, et la mise en œuvre d’un financement plus équitable et performant.</w:t>
      </w:r>
    </w:p>
    <w:p w14:paraId="6BBE2041" w14:textId="77777777" w:rsidR="0055650D" w:rsidRPr="00CD160A" w:rsidRDefault="0055650D" w:rsidP="00CD160A">
      <w:pPr>
        <w:jc w:val="both"/>
        <w:rPr>
          <w:rFonts w:asciiTheme="majorBidi" w:hAnsiTheme="majorBidi" w:cstheme="majorBidi"/>
          <w:szCs w:val="24"/>
        </w:rPr>
      </w:pPr>
    </w:p>
    <w:p w14:paraId="77E858A4" w14:textId="77777777" w:rsidR="002210A7" w:rsidRPr="00CD160A" w:rsidRDefault="002210A7" w:rsidP="00CD160A">
      <w:pPr>
        <w:pStyle w:val="Titre1"/>
        <w:jc w:val="both"/>
        <w:rPr>
          <w:rFonts w:asciiTheme="majorBidi" w:hAnsiTheme="majorBidi"/>
          <w:sz w:val="24"/>
          <w:szCs w:val="24"/>
        </w:rPr>
      </w:pPr>
      <w:bookmarkStart w:id="28" w:name="_Toc199958801"/>
      <w:r w:rsidRPr="00CD160A">
        <w:rPr>
          <w:rFonts w:asciiTheme="majorBidi" w:hAnsiTheme="majorBidi"/>
          <w:sz w:val="24"/>
          <w:szCs w:val="24"/>
        </w:rPr>
        <w:lastRenderedPageBreak/>
        <w:t>Section1 : Notions fondamentales et théoriques sur les Systèmes d’Information (SI)</w:t>
      </w:r>
      <w:bookmarkEnd w:id="28"/>
    </w:p>
    <w:p w14:paraId="279D95AC"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Dans un contexte marqué par la complexité croissante des systèmes de soins et la montée en puissance des technologies numériques, les systèmes d'information occupent une place centrale dans l'organisation et la gestion des établissements de santé. Ils permettent de collecter, traiter, stocker et diffuser des informations essentielles à la prise de décision médicale, administrative et stratégique. Avant d’aborder plus en détail les spécificités des systèmes d'information en santé, il convient d’en comprendre les fondements généraux : leur définition, leurs composantes, ainsi que les principales activités qu’ils soutiennent.</w:t>
      </w:r>
    </w:p>
    <w:p w14:paraId="6383B855" w14:textId="120277F5" w:rsidR="002210A7" w:rsidRPr="00CD160A" w:rsidRDefault="002210A7" w:rsidP="00CD160A">
      <w:pPr>
        <w:pStyle w:val="Titre2"/>
        <w:rPr>
          <w:rFonts w:asciiTheme="majorBidi" w:hAnsiTheme="majorBidi"/>
          <w:szCs w:val="24"/>
        </w:rPr>
      </w:pPr>
      <w:bookmarkStart w:id="29" w:name="_Toc199958802"/>
      <w:r w:rsidRPr="00CD160A">
        <w:rPr>
          <w:rFonts w:asciiTheme="majorBidi" w:hAnsiTheme="majorBidi"/>
          <w:szCs w:val="24"/>
        </w:rPr>
        <w:t>Introduction aux</w:t>
      </w:r>
      <w:r w:rsidR="00FE0238" w:rsidRPr="00CD160A">
        <w:rPr>
          <w:rFonts w:asciiTheme="majorBidi" w:hAnsiTheme="majorBidi"/>
          <w:szCs w:val="24"/>
        </w:rPr>
        <w:t xml:space="preserve"> Systèmes </w:t>
      </w:r>
      <w:r w:rsidR="00952D06" w:rsidRPr="00CD160A">
        <w:rPr>
          <w:rFonts w:asciiTheme="majorBidi" w:hAnsiTheme="majorBidi"/>
          <w:szCs w:val="24"/>
        </w:rPr>
        <w:t>d’Information :</w:t>
      </w:r>
      <w:bookmarkEnd w:id="29"/>
    </w:p>
    <w:p w14:paraId="4F436E58" w14:textId="4B2EFC63"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30" w:name="_Toc199958803"/>
      <w:r w:rsidRPr="00CD160A">
        <w:rPr>
          <w:rFonts w:asciiTheme="majorBidi" w:hAnsiTheme="majorBidi" w:cstheme="majorBidi"/>
          <w:szCs w:val="24"/>
        </w:rPr>
        <w:t>Définition des Systèmes d'Information (SI) :</w:t>
      </w:r>
      <w:bookmarkEnd w:id="30"/>
    </w:p>
    <w:p w14:paraId="68ECFB29" w14:textId="77777777" w:rsidR="002210A7" w:rsidRPr="00CD160A" w:rsidRDefault="005D1876" w:rsidP="00CD160A">
      <w:pPr>
        <w:pStyle w:val="Paragraphedeliste"/>
        <w:numPr>
          <w:ilvl w:val="0"/>
          <w:numId w:val="30"/>
        </w:numPr>
        <w:spacing w:after="160" w:line="360" w:lineRule="auto"/>
        <w:jc w:val="both"/>
        <w:rPr>
          <w:rFonts w:asciiTheme="majorBidi" w:hAnsiTheme="majorBidi" w:cstheme="majorBidi"/>
          <w:szCs w:val="24"/>
        </w:rPr>
      </w:pPr>
      <w:r w:rsidRPr="00CD160A">
        <w:rPr>
          <w:rFonts w:asciiTheme="majorBidi" w:hAnsiTheme="majorBidi" w:cstheme="majorBidi"/>
          <w:szCs w:val="24"/>
        </w:rPr>
        <w:t>On définit les systèmes d'information comme une combinaison d'éléments humains et techniques employés pour collecter et analyser des données, dans le but de les transformer en informations qui facilitent la prise de décisions. Les systèmes d'information traitent des données non traitées (brutes), qu'ils transforment en informations (output) exploitables pour l'organisation. Ces résultats sont utilisés non seulement pour la prise de décisions, mais également pour l'organisation et le contrôle des processus au sein de l'organisation</w:t>
      </w:r>
      <w:r w:rsidR="002210A7" w:rsidRPr="00CD160A">
        <w:rPr>
          <w:rFonts w:asciiTheme="majorBidi" w:hAnsiTheme="majorBidi" w:cstheme="majorBidi"/>
          <w:szCs w:val="24"/>
        </w:rPr>
        <w:t>.</w:t>
      </w:r>
      <w:r w:rsidR="002210A7" w:rsidRPr="00CD160A">
        <w:rPr>
          <w:rStyle w:val="Appelnotedebasdep"/>
          <w:rFonts w:asciiTheme="majorBidi" w:hAnsiTheme="majorBidi" w:cstheme="majorBidi"/>
          <w:szCs w:val="24"/>
        </w:rPr>
        <w:footnoteReference w:id="1"/>
      </w:r>
    </w:p>
    <w:p w14:paraId="49C98612" w14:textId="77777777" w:rsidR="002210A7" w:rsidRPr="00CD160A" w:rsidRDefault="002210A7" w:rsidP="00CD160A">
      <w:pPr>
        <w:pStyle w:val="Paragraphedeliste"/>
        <w:numPr>
          <w:ilvl w:val="0"/>
          <w:numId w:val="30"/>
        </w:numPr>
        <w:spacing w:after="160" w:line="360" w:lineRule="auto"/>
        <w:jc w:val="both"/>
        <w:rPr>
          <w:rFonts w:asciiTheme="majorBidi" w:hAnsiTheme="majorBidi" w:cstheme="majorBidi"/>
          <w:szCs w:val="24"/>
        </w:rPr>
      </w:pPr>
      <w:r w:rsidRPr="00CD160A">
        <w:rPr>
          <w:rFonts w:asciiTheme="majorBidi" w:hAnsiTheme="majorBidi" w:cstheme="majorBidi"/>
          <w:szCs w:val="24"/>
        </w:rPr>
        <w:t xml:space="preserve">Il est défini comme « le processus de collecte de données provenant de différentes sources qui deviennent des données d’entrée, traitées, analysées, enregistrées et stockées, puis génèrent des informations appropriées sous la forme de résultats pertinents pour répondre aux besoins de la prise de décision de </w:t>
      </w:r>
      <w:r w:rsidR="005D1876" w:rsidRPr="00CD160A">
        <w:rPr>
          <w:rFonts w:asciiTheme="majorBidi" w:hAnsiTheme="majorBidi" w:cstheme="majorBidi"/>
          <w:szCs w:val="24"/>
        </w:rPr>
        <w:t>managériale</w:t>
      </w:r>
      <w:r w:rsidRPr="00CD160A">
        <w:rPr>
          <w:rFonts w:asciiTheme="majorBidi" w:hAnsiTheme="majorBidi" w:cstheme="majorBidi"/>
          <w:szCs w:val="24"/>
        </w:rPr>
        <w:t>.</w:t>
      </w:r>
      <w:r w:rsidRPr="00CD160A">
        <w:rPr>
          <w:rStyle w:val="Appelnotedebasdep"/>
          <w:rFonts w:asciiTheme="majorBidi" w:hAnsiTheme="majorBidi" w:cstheme="majorBidi"/>
          <w:szCs w:val="24"/>
        </w:rPr>
        <w:footnoteReference w:id="2"/>
      </w:r>
    </w:p>
    <w:p w14:paraId="718E9770" w14:textId="77777777" w:rsidR="002210A7" w:rsidRPr="00CD160A" w:rsidRDefault="002210A7" w:rsidP="00CD160A">
      <w:pPr>
        <w:pStyle w:val="Paragraphedeliste"/>
        <w:numPr>
          <w:ilvl w:val="0"/>
          <w:numId w:val="30"/>
        </w:numPr>
        <w:spacing w:after="160" w:line="360" w:lineRule="auto"/>
        <w:jc w:val="both"/>
        <w:rPr>
          <w:rFonts w:asciiTheme="majorBidi" w:hAnsiTheme="majorBidi" w:cstheme="majorBidi"/>
          <w:szCs w:val="24"/>
        </w:rPr>
      </w:pPr>
      <w:r w:rsidRPr="00CD160A">
        <w:rPr>
          <w:rFonts w:asciiTheme="majorBidi" w:hAnsiTheme="majorBidi" w:cstheme="majorBidi"/>
          <w:szCs w:val="24"/>
        </w:rPr>
        <w:t>Il peut être défini comme « un ensemble organisé de personnes, d’appareils, de logiciels, de réseaux de communication et de ressources de données utilisés pour collecter, traiter et distribuer des informations afin de soutenir la prise de décision, la coordination et le contrôle au sein d’une organisation »</w:t>
      </w:r>
      <w:r w:rsidRPr="00CD160A">
        <w:rPr>
          <w:rStyle w:val="Appelnotedebasdep"/>
          <w:rFonts w:asciiTheme="majorBidi" w:hAnsiTheme="majorBidi" w:cstheme="majorBidi"/>
          <w:szCs w:val="24"/>
        </w:rPr>
        <w:footnoteReference w:id="3"/>
      </w:r>
    </w:p>
    <w:p w14:paraId="7906293A" w14:textId="77777777" w:rsidR="002210A7" w:rsidRPr="00CD160A" w:rsidRDefault="002210A7" w:rsidP="00CD160A">
      <w:pPr>
        <w:pStyle w:val="Paragraphedeliste"/>
        <w:numPr>
          <w:ilvl w:val="0"/>
          <w:numId w:val="30"/>
        </w:numPr>
        <w:spacing w:after="160" w:line="360" w:lineRule="auto"/>
        <w:jc w:val="both"/>
        <w:rPr>
          <w:rFonts w:asciiTheme="majorBidi" w:hAnsiTheme="majorBidi" w:cstheme="majorBidi"/>
          <w:szCs w:val="24"/>
        </w:rPr>
      </w:pPr>
      <w:r w:rsidRPr="00CD160A">
        <w:rPr>
          <w:rFonts w:asciiTheme="majorBidi" w:hAnsiTheme="majorBidi" w:cstheme="majorBidi"/>
          <w:szCs w:val="24"/>
        </w:rPr>
        <w:lastRenderedPageBreak/>
        <w:t>L’Organisation mondiale de la santé (OMS) le définit comme « un ensemble organisé de matériel, de logiciels, de personnes, de données et de procédures permettant de collecter, de classer, de traiter et de diffuser des informations sur un phénomène spécifique ».</w:t>
      </w:r>
      <w:r w:rsidRPr="00CD160A">
        <w:rPr>
          <w:rStyle w:val="Appelnotedebasdep"/>
          <w:rFonts w:asciiTheme="majorBidi" w:hAnsiTheme="majorBidi" w:cstheme="majorBidi"/>
          <w:szCs w:val="24"/>
        </w:rPr>
        <w:footnoteReference w:id="4"/>
      </w:r>
    </w:p>
    <w:p w14:paraId="50EA0950" w14:textId="77777777" w:rsidR="002210A7" w:rsidRPr="00CD160A" w:rsidRDefault="002210A7" w:rsidP="00CD160A">
      <w:pPr>
        <w:pStyle w:val="Paragraphedeliste"/>
        <w:numPr>
          <w:ilvl w:val="0"/>
          <w:numId w:val="30"/>
        </w:numPr>
        <w:spacing w:after="160" w:line="360" w:lineRule="auto"/>
        <w:jc w:val="both"/>
        <w:rPr>
          <w:rFonts w:asciiTheme="majorBidi" w:hAnsiTheme="majorBidi" w:cstheme="majorBidi"/>
          <w:szCs w:val="24"/>
        </w:rPr>
      </w:pPr>
      <w:r w:rsidRPr="00CD160A">
        <w:rPr>
          <w:rFonts w:asciiTheme="majorBidi" w:hAnsiTheme="majorBidi" w:cstheme="majorBidi"/>
          <w:szCs w:val="24"/>
        </w:rPr>
        <w:t>Lucas le définit comme « un ensemble organisé de procédures permettant de fournir des informations utilisées pour soutenir les processus de prise de décision et de contrôle au sein d’une organisation ».</w:t>
      </w:r>
    </w:p>
    <w:p w14:paraId="1DD0171A" w14:textId="0070CD19" w:rsidR="001C5CE4"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Lucas a exprimé le concept des systèmes d'information à travers le schéma suivant :</w:t>
      </w:r>
    </w:p>
    <w:p w14:paraId="08EB6E68" w14:textId="00145039" w:rsidR="00242051" w:rsidRPr="00CD160A" w:rsidRDefault="00CD160A" w:rsidP="00CD160A">
      <w:pPr>
        <w:pStyle w:val="Lgende"/>
        <w:spacing w:line="360" w:lineRule="auto"/>
        <w:jc w:val="both"/>
        <w:rPr>
          <w:rFonts w:asciiTheme="majorBidi" w:hAnsiTheme="majorBidi" w:cstheme="majorBidi"/>
          <w:color w:val="auto"/>
          <w:sz w:val="24"/>
          <w:szCs w:val="24"/>
        </w:rPr>
      </w:pPr>
      <w:bookmarkStart w:id="31" w:name="_Toc200210068"/>
      <w:r w:rsidRPr="00CD160A">
        <w:rPr>
          <w:rFonts w:asciiTheme="majorBidi" w:hAnsiTheme="majorBidi" w:cstheme="majorBidi"/>
          <w:noProof/>
          <w:sz w:val="24"/>
          <w:szCs w:val="24"/>
          <w:lang w:eastAsia="fr-FR"/>
        </w:rPr>
        <mc:AlternateContent>
          <mc:Choice Requires="wps">
            <w:drawing>
              <wp:anchor distT="0" distB="0" distL="114300" distR="114300" simplePos="0" relativeHeight="251677696" behindDoc="0" locked="0" layoutInCell="1" allowOverlap="1" wp14:anchorId="184E4ADD" wp14:editId="5D81FDCB">
                <wp:simplePos x="0" y="0"/>
                <wp:positionH relativeFrom="column">
                  <wp:posOffset>3742055</wp:posOffset>
                </wp:positionH>
                <wp:positionV relativeFrom="paragraph">
                  <wp:posOffset>238125</wp:posOffset>
                </wp:positionV>
                <wp:extent cx="800100" cy="266700"/>
                <wp:effectExtent l="0" t="0" r="19050" b="19050"/>
                <wp:wrapNone/>
                <wp:docPr id="11" name="Rectangle 11"/>
                <wp:cNvGraphicFramePr/>
                <a:graphic xmlns:a="http://schemas.openxmlformats.org/drawingml/2006/main">
                  <a:graphicData uri="http://schemas.microsoft.com/office/word/2010/wordprocessingShape">
                    <wps:wsp>
                      <wps:cNvSpPr/>
                      <wps:spPr>
                        <a:xfrm>
                          <a:off x="0" y="0"/>
                          <a:ext cx="800100" cy="266700"/>
                        </a:xfrm>
                        <a:prstGeom prst="rect">
                          <a:avLst/>
                        </a:prstGeom>
                      </wps:spPr>
                      <wps:style>
                        <a:lnRef idx="2">
                          <a:schemeClr val="dk1"/>
                        </a:lnRef>
                        <a:fillRef idx="1">
                          <a:schemeClr val="lt1"/>
                        </a:fillRef>
                        <a:effectRef idx="0">
                          <a:schemeClr val="dk1"/>
                        </a:effectRef>
                        <a:fontRef idx="minor">
                          <a:schemeClr val="dk1"/>
                        </a:fontRef>
                      </wps:style>
                      <wps:txbx>
                        <w:txbxContent>
                          <w:p w14:paraId="695710BE"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Décisions</w:t>
                            </w:r>
                          </w:p>
                          <w:p w14:paraId="4C2A4A20"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4E4ADD" id="Rectangle 11" o:spid="_x0000_s1035" style="position:absolute;left:0;text-align:left;margin-left:294.65pt;margin-top:18.75pt;width:63pt;height:2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" fillcolor="white [3201]" strokecolor="black [3200]" strokeweight="1pt">
                <v:textbox>
                  <w:txbxContent>
                    <w:p w14:paraId="695710BE"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Décisions</w:t>
                      </w:r>
                    </w:p>
                    <w:p w14:paraId="4C2A4A20" w14:textId="77777777" w:rsidR="0095621A" w:rsidRDefault="0095621A" w:rsidP="00B7491C">
                      <w:pPr>
                        <w:jc w:val="center"/>
                      </w:pPr>
                    </w:p>
                  </w:txbxContent>
                </v:textbox>
              </v:rect>
            </w:pict>
          </mc:Fallback>
        </mc:AlternateContent>
      </w:r>
      <w:r w:rsidRPr="00CD160A">
        <w:rPr>
          <w:rFonts w:asciiTheme="majorBidi" w:hAnsiTheme="majorBidi" w:cstheme="majorBidi"/>
          <w:noProof/>
          <w:sz w:val="24"/>
          <w:szCs w:val="24"/>
          <w:lang w:eastAsia="fr-FR"/>
        </w:rPr>
        <mc:AlternateContent>
          <mc:Choice Requires="wps">
            <w:drawing>
              <wp:anchor distT="0" distB="0" distL="114300" distR="114300" simplePos="0" relativeHeight="251769856" behindDoc="0" locked="0" layoutInCell="1" allowOverlap="1" wp14:anchorId="5A52766B" wp14:editId="1D282B0F">
                <wp:simplePos x="0" y="0"/>
                <wp:positionH relativeFrom="column">
                  <wp:posOffset>2257425</wp:posOffset>
                </wp:positionH>
                <wp:positionV relativeFrom="paragraph">
                  <wp:posOffset>333375</wp:posOffset>
                </wp:positionV>
                <wp:extent cx="1355090" cy="45719"/>
                <wp:effectExtent l="0" t="19050" r="35560" b="31115"/>
                <wp:wrapNone/>
                <wp:docPr id="130" name="Flèche droite 130"/>
                <wp:cNvGraphicFramePr/>
                <a:graphic xmlns:a="http://schemas.openxmlformats.org/drawingml/2006/main">
                  <a:graphicData uri="http://schemas.microsoft.com/office/word/2010/wordprocessingShape">
                    <wps:wsp>
                      <wps:cNvSpPr/>
                      <wps:spPr>
                        <a:xfrm>
                          <a:off x="0" y="0"/>
                          <a:ext cx="1355090" cy="45719"/>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55F1B5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130" o:spid="_x0000_s1026" type="#_x0000_t13" style="position:absolute;margin-left:177.75pt;margin-top:26.25pt;width:106.7pt;height:3.6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" adj="21236" fillcolor="black [3213]" strokecolor="black [3213]" strokeweight="1pt"/>
            </w:pict>
          </mc:Fallback>
        </mc:AlternateContent>
      </w:r>
      <w:r w:rsidR="002957A0" w:rsidRPr="00CD160A">
        <w:rPr>
          <w:rFonts w:asciiTheme="majorBidi" w:hAnsiTheme="majorBidi" w:cstheme="majorBidi"/>
          <w:noProof/>
          <w:color w:val="auto"/>
          <w:sz w:val="24"/>
          <w:szCs w:val="24"/>
          <w:lang w:eastAsia="fr-FR"/>
        </w:rPr>
        <mc:AlternateContent>
          <mc:Choice Requires="wps">
            <w:drawing>
              <wp:anchor distT="0" distB="0" distL="114300" distR="114300" simplePos="0" relativeHeight="251671552" behindDoc="0" locked="0" layoutInCell="1" allowOverlap="1" wp14:anchorId="64449F97" wp14:editId="14E0556D">
                <wp:simplePos x="0" y="0"/>
                <wp:positionH relativeFrom="column">
                  <wp:posOffset>1344930</wp:posOffset>
                </wp:positionH>
                <wp:positionV relativeFrom="paragraph">
                  <wp:posOffset>224155</wp:posOffset>
                </wp:positionV>
                <wp:extent cx="838835" cy="295275"/>
                <wp:effectExtent l="0" t="0" r="18415" b="28575"/>
                <wp:wrapNone/>
                <wp:docPr id="12" name="Rectangle 12"/>
                <wp:cNvGraphicFramePr/>
                <a:graphic xmlns:a="http://schemas.openxmlformats.org/drawingml/2006/main">
                  <a:graphicData uri="http://schemas.microsoft.com/office/word/2010/wordprocessingShape">
                    <wps:wsp>
                      <wps:cNvSpPr/>
                      <wps:spPr>
                        <a:xfrm>
                          <a:off x="0" y="0"/>
                          <a:ext cx="838835" cy="295275"/>
                        </a:xfrm>
                        <a:prstGeom prst="rect">
                          <a:avLst/>
                        </a:prstGeom>
                      </wps:spPr>
                      <wps:style>
                        <a:lnRef idx="2">
                          <a:schemeClr val="dk1"/>
                        </a:lnRef>
                        <a:fillRef idx="1">
                          <a:schemeClr val="lt1"/>
                        </a:fillRef>
                        <a:effectRef idx="0">
                          <a:schemeClr val="dk1"/>
                        </a:effectRef>
                        <a:fontRef idx="minor">
                          <a:schemeClr val="dk1"/>
                        </a:fontRef>
                      </wps:style>
                      <wps:txbx>
                        <w:txbxContent>
                          <w:p w14:paraId="1697BC2B"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Utilisateur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449F97" id="Rectangle 12" o:spid="_x0000_s1036" style="position:absolute;left:0;text-align:left;margin-left:105.9pt;margin-top:17.65pt;width:66.05pt;height:2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" fillcolor="white [3201]" strokecolor="black [3200]" strokeweight="1pt">
                <v:textbox>
                  <w:txbxContent>
                    <w:p w14:paraId="1697BC2B"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Utilisateur</w:t>
                      </w:r>
                    </w:p>
                  </w:txbxContent>
                </v:textbox>
              </v:rect>
            </w:pict>
          </mc:Fallback>
        </mc:AlternateContent>
      </w:r>
      <w:r w:rsidR="002957A0" w:rsidRPr="00CD160A">
        <w:rPr>
          <w:rFonts w:asciiTheme="majorBidi" w:hAnsiTheme="majorBidi" w:cstheme="majorBidi"/>
          <w:color w:val="auto"/>
          <w:sz w:val="24"/>
          <w:szCs w:val="24"/>
        </w:rPr>
        <w:t>Figure</w:t>
      </w:r>
      <w:r w:rsidR="002957A0" w:rsidRPr="00CD160A">
        <w:rPr>
          <w:rFonts w:asciiTheme="majorBidi" w:hAnsiTheme="majorBidi" w:cstheme="majorBidi"/>
          <w:sz w:val="24"/>
          <w:szCs w:val="24"/>
        </w:rPr>
        <w:t xml:space="preserve"> </w:t>
      </w:r>
      <w:r w:rsidR="00B02170" w:rsidRPr="00CD160A">
        <w:rPr>
          <w:rFonts w:asciiTheme="majorBidi" w:hAnsiTheme="majorBidi" w:cstheme="majorBidi"/>
          <w:color w:val="auto"/>
          <w:sz w:val="24"/>
          <w:szCs w:val="24"/>
        </w:rPr>
        <w:fldChar w:fldCharType="begin"/>
      </w:r>
      <w:r w:rsidR="00B02170" w:rsidRPr="00CD160A">
        <w:rPr>
          <w:rFonts w:asciiTheme="majorBidi" w:hAnsiTheme="majorBidi" w:cstheme="majorBidi"/>
          <w:color w:val="auto"/>
          <w:sz w:val="24"/>
          <w:szCs w:val="24"/>
        </w:rPr>
        <w:instrText xml:space="preserve"> SEQ Figure \* ARABIC </w:instrText>
      </w:r>
      <w:r w:rsidR="00B02170" w:rsidRPr="00CD160A">
        <w:rPr>
          <w:rFonts w:asciiTheme="majorBidi" w:hAnsiTheme="majorBidi" w:cstheme="majorBidi"/>
          <w:color w:val="auto"/>
          <w:sz w:val="24"/>
          <w:szCs w:val="24"/>
        </w:rPr>
        <w:fldChar w:fldCharType="separate"/>
      </w:r>
      <w:r w:rsidR="001679A8" w:rsidRPr="00CD160A">
        <w:rPr>
          <w:rFonts w:asciiTheme="majorBidi" w:hAnsiTheme="majorBidi" w:cstheme="majorBidi"/>
          <w:noProof/>
          <w:color w:val="auto"/>
          <w:sz w:val="24"/>
          <w:szCs w:val="24"/>
        </w:rPr>
        <w:t>1</w:t>
      </w:r>
      <w:r w:rsidR="00B02170" w:rsidRPr="00CD160A">
        <w:rPr>
          <w:rFonts w:asciiTheme="majorBidi" w:hAnsiTheme="majorBidi" w:cstheme="majorBidi"/>
          <w:color w:val="auto"/>
          <w:sz w:val="24"/>
          <w:szCs w:val="24"/>
        </w:rPr>
        <w:fldChar w:fldCharType="end"/>
      </w:r>
      <w:r w:rsidR="002957A0" w:rsidRPr="00CD160A">
        <w:rPr>
          <w:rFonts w:asciiTheme="majorBidi" w:hAnsiTheme="majorBidi" w:cstheme="majorBidi"/>
          <w:color w:val="auto"/>
          <w:sz w:val="24"/>
          <w:szCs w:val="24"/>
        </w:rPr>
        <w:t xml:space="preserve"> : Le système d’information selon la vision de Lucas</w:t>
      </w:r>
      <w:bookmarkEnd w:id="31"/>
    </w:p>
    <w:p w14:paraId="561A857A" w14:textId="336335D1" w:rsidR="002210A7" w:rsidRPr="00CD160A" w:rsidRDefault="002210A7" w:rsidP="00CD160A">
      <w:pPr>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764736" behindDoc="0" locked="0" layoutInCell="1" allowOverlap="1" wp14:anchorId="426D04AD" wp14:editId="5C952F70">
                <wp:simplePos x="0" y="0"/>
                <wp:positionH relativeFrom="column">
                  <wp:posOffset>1748155</wp:posOffset>
                </wp:positionH>
                <wp:positionV relativeFrom="paragraph">
                  <wp:posOffset>265430</wp:posOffset>
                </wp:positionV>
                <wp:extent cx="45719" cy="190500"/>
                <wp:effectExtent l="19050" t="19050" r="31115" b="19050"/>
                <wp:wrapNone/>
                <wp:docPr id="60" name="Flèche vers le haut 60"/>
                <wp:cNvGraphicFramePr/>
                <a:graphic xmlns:a="http://schemas.openxmlformats.org/drawingml/2006/main">
                  <a:graphicData uri="http://schemas.microsoft.com/office/word/2010/wordprocessingShape">
                    <wps:wsp>
                      <wps:cNvSpPr/>
                      <wps:spPr>
                        <a:xfrm>
                          <a:off x="0" y="0"/>
                          <a:ext cx="45719" cy="19050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64DBEE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èche vers le haut 60" o:spid="_x0000_s1026" type="#_x0000_t68" style="position:absolute;margin-left:137.65pt;margin-top:20.9pt;width:3.6pt;height:15pt;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" adj="2592" fillcolor="black [3213]" strokecolor="black [3213]" strokeweight="1pt"/>
            </w:pict>
          </mc:Fallback>
        </mc:AlternateContent>
      </w:r>
    </w:p>
    <w:p w14:paraId="527F7A94" w14:textId="6B488A24" w:rsidR="002210A7" w:rsidRPr="00CD160A" w:rsidRDefault="002210A7" w:rsidP="00CD160A">
      <w:pPr>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672576" behindDoc="0" locked="0" layoutInCell="1" allowOverlap="1" wp14:anchorId="143CD5B9" wp14:editId="6AFF6DE2">
                <wp:simplePos x="0" y="0"/>
                <wp:positionH relativeFrom="margin">
                  <wp:posOffset>1386205</wp:posOffset>
                </wp:positionH>
                <wp:positionV relativeFrom="paragraph">
                  <wp:posOffset>110490</wp:posOffset>
                </wp:positionV>
                <wp:extent cx="875665" cy="257175"/>
                <wp:effectExtent l="0" t="0" r="19685" b="28575"/>
                <wp:wrapNone/>
                <wp:docPr id="13" name="Rectangle 13"/>
                <wp:cNvGraphicFramePr/>
                <a:graphic xmlns:a="http://schemas.openxmlformats.org/drawingml/2006/main">
                  <a:graphicData uri="http://schemas.microsoft.com/office/word/2010/wordprocessingShape">
                    <wps:wsp>
                      <wps:cNvSpPr/>
                      <wps:spPr>
                        <a:xfrm>
                          <a:off x="0" y="0"/>
                          <a:ext cx="875665" cy="257175"/>
                        </a:xfrm>
                        <a:prstGeom prst="rect">
                          <a:avLst/>
                        </a:prstGeom>
                      </wps:spPr>
                      <wps:style>
                        <a:lnRef idx="2">
                          <a:schemeClr val="dk1"/>
                        </a:lnRef>
                        <a:fillRef idx="1">
                          <a:schemeClr val="lt1"/>
                        </a:fillRef>
                        <a:effectRef idx="0">
                          <a:schemeClr val="dk1"/>
                        </a:effectRef>
                        <a:fontRef idx="minor">
                          <a:schemeClr val="dk1"/>
                        </a:fontRef>
                      </wps:style>
                      <wps:txbx>
                        <w:txbxContent>
                          <w:p w14:paraId="21F0877A"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Informations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3CD5B9" id="Rectangle 13" o:spid="_x0000_s1037" style="position:absolute;left:0;text-align:left;margin-left:109.15pt;margin-top:8.7pt;width:68.95pt;height:20.2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" fillcolor="white [3201]" strokecolor="black [3200]" strokeweight="1pt">
                <v:textbox>
                  <w:txbxContent>
                    <w:p w14:paraId="21F0877A"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Informations</w:t>
                      </w:r>
                    </w:p>
                  </w:txbxContent>
                </v:textbox>
                <w10:wrap anchorx="margin"/>
              </v:rect>
            </w:pict>
          </mc:Fallback>
        </mc:AlternateContent>
      </w:r>
    </w:p>
    <w:p w14:paraId="238A1BB4"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765760" behindDoc="0" locked="0" layoutInCell="1" allowOverlap="1" wp14:anchorId="326F3266" wp14:editId="6EED532F">
                <wp:simplePos x="0" y="0"/>
                <wp:positionH relativeFrom="column">
                  <wp:posOffset>1755140</wp:posOffset>
                </wp:positionH>
                <wp:positionV relativeFrom="paragraph">
                  <wp:posOffset>12700</wp:posOffset>
                </wp:positionV>
                <wp:extent cx="45719" cy="190500"/>
                <wp:effectExtent l="19050" t="19050" r="31115" b="19050"/>
                <wp:wrapNone/>
                <wp:docPr id="61" name="Flèche vers le haut 61"/>
                <wp:cNvGraphicFramePr/>
                <a:graphic xmlns:a="http://schemas.openxmlformats.org/drawingml/2006/main">
                  <a:graphicData uri="http://schemas.microsoft.com/office/word/2010/wordprocessingShape">
                    <wps:wsp>
                      <wps:cNvSpPr/>
                      <wps:spPr>
                        <a:xfrm>
                          <a:off x="0" y="0"/>
                          <a:ext cx="45719" cy="19050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EE10E0" id="Flèche vers le haut 61" o:spid="_x0000_s1026" type="#_x0000_t68" style="position:absolute;margin-left:138.2pt;margin-top:1pt;width:3.6pt;height:15pt;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" adj="2592" fillcolor="black [3213]" strokecolor="black [3213]" strokeweight="1pt"/>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673600" behindDoc="0" locked="0" layoutInCell="1" allowOverlap="1" wp14:anchorId="219D3401" wp14:editId="26E0BCA4">
                <wp:simplePos x="0" y="0"/>
                <wp:positionH relativeFrom="margin">
                  <wp:posOffset>1367155</wp:posOffset>
                </wp:positionH>
                <wp:positionV relativeFrom="paragraph">
                  <wp:posOffset>222250</wp:posOffset>
                </wp:positionV>
                <wp:extent cx="892810" cy="257175"/>
                <wp:effectExtent l="0" t="0" r="21590" b="28575"/>
                <wp:wrapNone/>
                <wp:docPr id="14" name="Rectangle 14"/>
                <wp:cNvGraphicFramePr/>
                <a:graphic xmlns:a="http://schemas.openxmlformats.org/drawingml/2006/main">
                  <a:graphicData uri="http://schemas.microsoft.com/office/word/2010/wordprocessingShape">
                    <wps:wsp>
                      <wps:cNvSpPr/>
                      <wps:spPr>
                        <a:xfrm>
                          <a:off x="0" y="0"/>
                          <a:ext cx="892810" cy="257175"/>
                        </a:xfrm>
                        <a:prstGeom prst="rect">
                          <a:avLst/>
                        </a:prstGeom>
                      </wps:spPr>
                      <wps:style>
                        <a:lnRef idx="2">
                          <a:schemeClr val="dk1"/>
                        </a:lnRef>
                        <a:fillRef idx="1">
                          <a:schemeClr val="lt1"/>
                        </a:fillRef>
                        <a:effectRef idx="0">
                          <a:schemeClr val="dk1"/>
                        </a:effectRef>
                        <a:fontRef idx="minor">
                          <a:schemeClr val="dk1"/>
                        </a:fontRef>
                      </wps:style>
                      <wps:txbx>
                        <w:txbxContent>
                          <w:p w14:paraId="1F7E2629"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Sorties</w:t>
                            </w:r>
                          </w:p>
                          <w:p w14:paraId="458AA732"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9D3401" id="Rectangle 14" o:spid="_x0000_s1038" style="position:absolute;left:0;text-align:left;margin-left:107.65pt;margin-top:17.5pt;width:70.3pt;height:20.2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" fillcolor="white [3201]" strokecolor="black [3200]" strokeweight="1pt">
                <v:textbox>
                  <w:txbxContent>
                    <w:p w14:paraId="1F7E2629"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Sorties</w:t>
                      </w:r>
                    </w:p>
                    <w:p w14:paraId="458AA732" w14:textId="77777777" w:rsidR="0095621A" w:rsidRDefault="0095621A" w:rsidP="00B7491C">
                      <w:pPr>
                        <w:jc w:val="center"/>
                      </w:pPr>
                    </w:p>
                  </w:txbxContent>
                </v:textbox>
                <w10:wrap anchorx="margin"/>
              </v:rect>
            </w:pict>
          </mc:Fallback>
        </mc:AlternateContent>
      </w:r>
    </w:p>
    <w:p w14:paraId="733CFAC2" w14:textId="36332596" w:rsidR="002210A7" w:rsidRPr="00CD160A" w:rsidRDefault="002210A7" w:rsidP="00CD160A">
      <w:pPr>
        <w:ind w:left="360"/>
        <w:jc w:val="both"/>
        <w:rPr>
          <w:rFonts w:asciiTheme="majorBidi" w:hAnsiTheme="majorBidi" w:cstheme="majorBidi"/>
          <w:b/>
          <w:bCs/>
          <w:szCs w:val="24"/>
          <w:u w:val="single"/>
        </w:rPr>
      </w:pPr>
      <w:r w:rsidRPr="00CD160A">
        <w:rPr>
          <w:rFonts w:asciiTheme="majorBidi" w:hAnsiTheme="majorBidi" w:cstheme="majorBidi"/>
          <w:noProof/>
          <w:szCs w:val="24"/>
          <w:lang w:eastAsia="fr-FR"/>
        </w:rPr>
        <mc:AlternateContent>
          <mc:Choice Requires="wps">
            <w:drawing>
              <wp:anchor distT="0" distB="0" distL="114300" distR="114300" simplePos="0" relativeHeight="251766784" behindDoc="0" locked="0" layoutInCell="1" allowOverlap="1" wp14:anchorId="16B1B4D9" wp14:editId="3A73B76F">
                <wp:simplePos x="0" y="0"/>
                <wp:positionH relativeFrom="column">
                  <wp:posOffset>1757680</wp:posOffset>
                </wp:positionH>
                <wp:positionV relativeFrom="paragraph">
                  <wp:posOffset>114935</wp:posOffset>
                </wp:positionV>
                <wp:extent cx="45719" cy="190500"/>
                <wp:effectExtent l="19050" t="19050" r="31115" b="19050"/>
                <wp:wrapNone/>
                <wp:docPr id="62" name="Flèche vers le haut 62"/>
                <wp:cNvGraphicFramePr/>
                <a:graphic xmlns:a="http://schemas.openxmlformats.org/drawingml/2006/main">
                  <a:graphicData uri="http://schemas.microsoft.com/office/word/2010/wordprocessingShape">
                    <wps:wsp>
                      <wps:cNvSpPr/>
                      <wps:spPr>
                        <a:xfrm>
                          <a:off x="0" y="0"/>
                          <a:ext cx="45719" cy="19050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D25D060" id="Flèche vers le haut 62" o:spid="_x0000_s1026" type="#_x0000_t68" style="position:absolute;margin-left:138.4pt;margin-top:9.05pt;width:3.6pt;height:15pt;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" adj="2592" fillcolor="black [3213]" strokecolor="black [3213]" strokeweight="1pt"/>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674624" behindDoc="0" locked="0" layoutInCell="1" allowOverlap="1" wp14:anchorId="0450E58F" wp14:editId="2E835653">
                <wp:simplePos x="0" y="0"/>
                <wp:positionH relativeFrom="margin">
                  <wp:posOffset>1348105</wp:posOffset>
                </wp:positionH>
                <wp:positionV relativeFrom="paragraph">
                  <wp:posOffset>334009</wp:posOffset>
                </wp:positionV>
                <wp:extent cx="911860" cy="447675"/>
                <wp:effectExtent l="0" t="0" r="21590" b="28575"/>
                <wp:wrapNone/>
                <wp:docPr id="15" name="Rectangle 15"/>
                <wp:cNvGraphicFramePr/>
                <a:graphic xmlns:a="http://schemas.openxmlformats.org/drawingml/2006/main">
                  <a:graphicData uri="http://schemas.microsoft.com/office/word/2010/wordprocessingShape">
                    <wps:wsp>
                      <wps:cNvSpPr/>
                      <wps:spPr>
                        <a:xfrm>
                          <a:off x="0" y="0"/>
                          <a:ext cx="911860" cy="447675"/>
                        </a:xfrm>
                        <a:prstGeom prst="rect">
                          <a:avLst/>
                        </a:prstGeom>
                      </wps:spPr>
                      <wps:style>
                        <a:lnRef idx="2">
                          <a:schemeClr val="dk1"/>
                        </a:lnRef>
                        <a:fillRef idx="1">
                          <a:schemeClr val="lt1"/>
                        </a:fillRef>
                        <a:effectRef idx="0">
                          <a:schemeClr val="dk1"/>
                        </a:effectRef>
                        <a:fontRef idx="minor">
                          <a:schemeClr val="dk1"/>
                        </a:fontRef>
                      </wps:style>
                      <wps:txbx>
                        <w:txbxContent>
                          <w:p w14:paraId="5BBF9C50"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Traitement des données</w:t>
                            </w:r>
                          </w:p>
                          <w:p w14:paraId="60DC9EEC"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50E58F" id="Rectangle 15" o:spid="_x0000_s1039" style="position:absolute;left:0;text-align:left;margin-left:106.15pt;margin-top:26.3pt;width:71.8pt;height:35.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" fillcolor="white [3201]" strokecolor="black [3200]" strokeweight="1pt">
                <v:textbox>
                  <w:txbxContent>
                    <w:p w14:paraId="5BBF9C50"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Traitement des données</w:t>
                      </w:r>
                    </w:p>
                    <w:p w14:paraId="60DC9EEC" w14:textId="77777777" w:rsidR="0095621A" w:rsidRDefault="0095621A" w:rsidP="00B7491C">
                      <w:pPr>
                        <w:jc w:val="center"/>
                      </w:pPr>
                    </w:p>
                  </w:txbxContent>
                </v:textbox>
                <w10:wrap anchorx="margin"/>
              </v:rect>
            </w:pict>
          </mc:Fallback>
        </mc:AlternateContent>
      </w:r>
    </w:p>
    <w:p w14:paraId="0AC9B93A" w14:textId="77777777" w:rsidR="002210A7" w:rsidRPr="00CD160A" w:rsidRDefault="002210A7" w:rsidP="00CD160A">
      <w:pPr>
        <w:tabs>
          <w:tab w:val="left" w:pos="1427"/>
        </w:tabs>
        <w:jc w:val="both"/>
        <w:rPr>
          <w:rFonts w:asciiTheme="majorBidi" w:hAnsiTheme="majorBidi" w:cstheme="majorBidi"/>
          <w:szCs w:val="24"/>
        </w:rPr>
      </w:pPr>
    </w:p>
    <w:p w14:paraId="77D3925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675648" behindDoc="0" locked="0" layoutInCell="1" allowOverlap="1" wp14:anchorId="7F936A8A" wp14:editId="556B3FC5">
                <wp:simplePos x="0" y="0"/>
                <wp:positionH relativeFrom="margin">
                  <wp:posOffset>1395730</wp:posOffset>
                </wp:positionH>
                <wp:positionV relativeFrom="paragraph">
                  <wp:posOffset>290830</wp:posOffset>
                </wp:positionV>
                <wp:extent cx="809625" cy="285750"/>
                <wp:effectExtent l="0" t="0" r="28575" b="19050"/>
                <wp:wrapNone/>
                <wp:docPr id="16" name="Rectangle 16"/>
                <wp:cNvGraphicFramePr/>
                <a:graphic xmlns:a="http://schemas.openxmlformats.org/drawingml/2006/main">
                  <a:graphicData uri="http://schemas.microsoft.com/office/word/2010/wordprocessingShape">
                    <wps:wsp>
                      <wps:cNvSpPr/>
                      <wps:spPr>
                        <a:xfrm>
                          <a:off x="0" y="0"/>
                          <a:ext cx="809625" cy="285750"/>
                        </a:xfrm>
                        <a:prstGeom prst="rect">
                          <a:avLst/>
                        </a:prstGeom>
                      </wps:spPr>
                      <wps:style>
                        <a:lnRef idx="2">
                          <a:schemeClr val="dk1"/>
                        </a:lnRef>
                        <a:fillRef idx="1">
                          <a:schemeClr val="lt1"/>
                        </a:fillRef>
                        <a:effectRef idx="0">
                          <a:schemeClr val="dk1"/>
                        </a:effectRef>
                        <a:fontRef idx="minor">
                          <a:schemeClr val="dk1"/>
                        </a:fontRef>
                      </wps:style>
                      <wps:txbx>
                        <w:txbxContent>
                          <w:p w14:paraId="5F10479C"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Données</w:t>
                            </w:r>
                          </w:p>
                          <w:p w14:paraId="0E980E5B"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36A8A" id="Rectangle 16" o:spid="_x0000_s1040" style="position:absolute;left:0;text-align:left;margin-left:109.9pt;margin-top:22.9pt;width:63.75pt;height:22.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" fillcolor="white [3201]" strokecolor="black [3200]" strokeweight="1pt">
                <v:textbox>
                  <w:txbxContent>
                    <w:p w14:paraId="5F10479C"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Données</w:t>
                      </w:r>
                    </w:p>
                    <w:p w14:paraId="0E980E5B" w14:textId="77777777" w:rsidR="0095621A" w:rsidRDefault="0095621A" w:rsidP="00B7491C">
                      <w:pPr>
                        <w:jc w:val="center"/>
                      </w:pPr>
                    </w:p>
                  </w:txbxContent>
                </v:textbox>
                <w10:wrap anchorx="margin"/>
              </v:rect>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767808" behindDoc="0" locked="0" layoutInCell="1" allowOverlap="1" wp14:anchorId="0E7A4A5A" wp14:editId="048313C0">
                <wp:simplePos x="0" y="0"/>
                <wp:positionH relativeFrom="column">
                  <wp:posOffset>1767205</wp:posOffset>
                </wp:positionH>
                <wp:positionV relativeFrom="paragraph">
                  <wp:posOffset>81280</wp:posOffset>
                </wp:positionV>
                <wp:extent cx="45719" cy="190500"/>
                <wp:effectExtent l="19050" t="19050" r="31115" b="19050"/>
                <wp:wrapNone/>
                <wp:docPr id="63" name="Flèche vers le haut 63"/>
                <wp:cNvGraphicFramePr/>
                <a:graphic xmlns:a="http://schemas.openxmlformats.org/drawingml/2006/main">
                  <a:graphicData uri="http://schemas.microsoft.com/office/word/2010/wordprocessingShape">
                    <wps:wsp>
                      <wps:cNvSpPr/>
                      <wps:spPr>
                        <a:xfrm>
                          <a:off x="0" y="0"/>
                          <a:ext cx="45719" cy="19050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107D1E" id="Flèche vers le haut 63" o:spid="_x0000_s1026" type="#_x0000_t68" style="position:absolute;margin-left:139.15pt;margin-top:6.4pt;width:3.6pt;height:15pt;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" adj="2592" fillcolor="black [3213]" strokecolor="black [3213]" strokeweight="1pt"/>
            </w:pict>
          </mc:Fallback>
        </mc:AlternateContent>
      </w:r>
    </w:p>
    <w:p w14:paraId="7A6B74FF"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768832" behindDoc="0" locked="0" layoutInCell="1" allowOverlap="1" wp14:anchorId="339950F1" wp14:editId="1BC2FD21">
                <wp:simplePos x="0" y="0"/>
                <wp:positionH relativeFrom="column">
                  <wp:posOffset>1790700</wp:posOffset>
                </wp:positionH>
                <wp:positionV relativeFrom="paragraph">
                  <wp:posOffset>221615</wp:posOffset>
                </wp:positionV>
                <wp:extent cx="45719" cy="247650"/>
                <wp:effectExtent l="19050" t="19050" r="31115" b="19050"/>
                <wp:wrapNone/>
                <wp:docPr id="128" name="Flèche vers le haut 128"/>
                <wp:cNvGraphicFramePr/>
                <a:graphic xmlns:a="http://schemas.openxmlformats.org/drawingml/2006/main">
                  <a:graphicData uri="http://schemas.microsoft.com/office/word/2010/wordprocessingShape">
                    <wps:wsp>
                      <wps:cNvSpPr/>
                      <wps:spPr>
                        <a:xfrm>
                          <a:off x="0" y="0"/>
                          <a:ext cx="45719" cy="24765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9600CE" id="Flèche vers le haut 128" o:spid="_x0000_s1026" type="#_x0000_t68" style="position:absolute;margin-left:141pt;margin-top:17.45pt;width:3.6pt;height:19.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" adj="1994" fillcolor="black [3213]" strokecolor="black [3213]" strokeweight="1pt"/>
            </w:pict>
          </mc:Fallback>
        </mc:AlternateContent>
      </w:r>
      <w:r w:rsidRPr="00CD160A">
        <w:rPr>
          <w:rFonts w:asciiTheme="majorBidi" w:hAnsiTheme="majorBidi" w:cstheme="majorBidi"/>
          <w:szCs w:val="24"/>
        </w:rPr>
        <w:tab/>
      </w:r>
    </w:p>
    <w:p w14:paraId="077466D5"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676672" behindDoc="0" locked="0" layoutInCell="1" allowOverlap="1" wp14:anchorId="22758AB8" wp14:editId="1257835F">
                <wp:simplePos x="0" y="0"/>
                <wp:positionH relativeFrom="margin">
                  <wp:posOffset>1395730</wp:posOffset>
                </wp:positionH>
                <wp:positionV relativeFrom="paragraph">
                  <wp:posOffset>117475</wp:posOffset>
                </wp:positionV>
                <wp:extent cx="805815" cy="466725"/>
                <wp:effectExtent l="0" t="0" r="13335" b="28575"/>
                <wp:wrapNone/>
                <wp:docPr id="17" name="Rectangle 17"/>
                <wp:cNvGraphicFramePr/>
                <a:graphic xmlns:a="http://schemas.openxmlformats.org/drawingml/2006/main">
                  <a:graphicData uri="http://schemas.microsoft.com/office/word/2010/wordprocessingShape">
                    <wps:wsp>
                      <wps:cNvSpPr/>
                      <wps:spPr>
                        <a:xfrm>
                          <a:off x="0" y="0"/>
                          <a:ext cx="805815" cy="466725"/>
                        </a:xfrm>
                        <a:prstGeom prst="rect">
                          <a:avLst/>
                        </a:prstGeom>
                      </wps:spPr>
                      <wps:style>
                        <a:lnRef idx="2">
                          <a:schemeClr val="dk1"/>
                        </a:lnRef>
                        <a:fillRef idx="1">
                          <a:schemeClr val="lt1"/>
                        </a:fillRef>
                        <a:effectRef idx="0">
                          <a:schemeClr val="dk1"/>
                        </a:effectRef>
                        <a:fontRef idx="minor">
                          <a:schemeClr val="dk1"/>
                        </a:fontRef>
                      </wps:style>
                      <wps:txbx>
                        <w:txbxContent>
                          <w:p w14:paraId="53988422"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Collecte de données</w:t>
                            </w:r>
                          </w:p>
                          <w:p w14:paraId="1D11E48B"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758AB8" id="Rectangle 17" o:spid="_x0000_s1041" style="position:absolute;left:0;text-align:left;margin-left:109.9pt;margin-top:9.25pt;width:63.45pt;height:36.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" fillcolor="white [3201]" strokecolor="black [3200]" strokeweight="1pt">
                <v:textbox>
                  <w:txbxContent>
                    <w:p w14:paraId="53988422" w14:textId="77777777" w:rsidR="0095621A" w:rsidRPr="00432428" w:rsidRDefault="0095621A" w:rsidP="00B7491C">
                      <w:pPr>
                        <w:jc w:val="center"/>
                        <w:rPr>
                          <w:rFonts w:asciiTheme="majorBidi" w:hAnsiTheme="majorBidi" w:cstheme="majorBidi"/>
                          <w:sz w:val="20"/>
                          <w:szCs w:val="20"/>
                        </w:rPr>
                      </w:pPr>
                      <w:r w:rsidRPr="00432428">
                        <w:rPr>
                          <w:rFonts w:asciiTheme="majorBidi" w:hAnsiTheme="majorBidi" w:cstheme="majorBidi"/>
                          <w:sz w:val="20"/>
                          <w:szCs w:val="20"/>
                        </w:rPr>
                        <w:t>Collecte de données</w:t>
                      </w:r>
                    </w:p>
                    <w:p w14:paraId="1D11E48B" w14:textId="77777777" w:rsidR="0095621A" w:rsidRDefault="0095621A" w:rsidP="00B7491C">
                      <w:pPr>
                        <w:jc w:val="center"/>
                      </w:pPr>
                    </w:p>
                  </w:txbxContent>
                </v:textbox>
                <w10:wrap anchorx="margin"/>
              </v:rect>
            </w:pict>
          </mc:Fallback>
        </mc:AlternateContent>
      </w:r>
    </w:p>
    <w:p w14:paraId="19565CC1" w14:textId="05F8A082" w:rsidR="00232E3E" w:rsidRPr="00CD160A" w:rsidRDefault="00232E3E" w:rsidP="00CD160A">
      <w:pPr>
        <w:tabs>
          <w:tab w:val="left" w:pos="1302"/>
        </w:tabs>
        <w:jc w:val="both"/>
        <w:rPr>
          <w:rFonts w:asciiTheme="majorBidi" w:hAnsiTheme="majorBidi" w:cstheme="majorBidi"/>
          <w:szCs w:val="24"/>
        </w:rPr>
      </w:pPr>
    </w:p>
    <w:p w14:paraId="21311E19"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Source : </w:t>
      </w:r>
      <w:r w:rsidRPr="00CD160A">
        <w:rPr>
          <w:rFonts w:asciiTheme="majorBidi" w:hAnsiTheme="majorBidi" w:cstheme="majorBidi"/>
          <w:b/>
          <w:bCs/>
          <w:szCs w:val="24"/>
        </w:rPr>
        <w:t>DHIB HUSSEIN</w:t>
      </w:r>
      <w:r w:rsidRPr="00CD160A">
        <w:rPr>
          <w:rFonts w:asciiTheme="majorBidi" w:hAnsiTheme="majorBidi" w:cstheme="majorBidi"/>
          <w:szCs w:val="24"/>
        </w:rPr>
        <w:t xml:space="preserve">, </w:t>
      </w:r>
      <w:r w:rsidRPr="00CD160A">
        <w:rPr>
          <w:rFonts w:asciiTheme="majorBidi" w:hAnsiTheme="majorBidi" w:cstheme="majorBidi"/>
          <w:i/>
          <w:iCs/>
          <w:szCs w:val="24"/>
        </w:rPr>
        <w:t>L'efficacité des systèmes d'information bancaires dans la gestion des cas de défaillance de crédit</w:t>
      </w:r>
      <w:r w:rsidRPr="00CD160A">
        <w:rPr>
          <w:rFonts w:asciiTheme="majorBidi" w:hAnsiTheme="majorBidi" w:cstheme="majorBidi"/>
          <w:szCs w:val="24"/>
        </w:rPr>
        <w:t>, Mémoire de master, Faculté des sciences économiques, commerciales et de gestion, Université de Ouargla, 2012, p. 35.</w:t>
      </w:r>
    </w:p>
    <w:p w14:paraId="745C7195"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Pour conclure, on pourrait affirmer qu'un système d'information doit être performant et avoir les attributs suivants</w:t>
      </w:r>
      <w:r w:rsidRPr="00CD160A">
        <w:rPr>
          <w:rFonts w:asciiTheme="majorBidi" w:hAnsiTheme="majorBidi" w:cstheme="majorBidi"/>
          <w:szCs w:val="24"/>
          <w:vertAlign w:val="superscript"/>
        </w:rPr>
        <w:footnoteReference w:id="5"/>
      </w:r>
      <w:r w:rsidRPr="00CD160A">
        <w:rPr>
          <w:rFonts w:asciiTheme="majorBidi" w:hAnsiTheme="majorBidi" w:cstheme="majorBidi"/>
          <w:szCs w:val="24"/>
        </w:rPr>
        <w:t> :</w:t>
      </w:r>
    </w:p>
    <w:p w14:paraId="1D46CFA3" w14:textId="77777777" w:rsidR="002210A7" w:rsidRPr="00CD160A" w:rsidRDefault="002210A7"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lastRenderedPageBreak/>
        <w:t>L'interconnexion des différents éléments et composants du système.</w:t>
      </w:r>
    </w:p>
    <w:p w14:paraId="4098521E" w14:textId="77777777" w:rsidR="002210A7" w:rsidRPr="00CD160A" w:rsidRDefault="002210A7"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L'équilibre entre les différents objectifs à réaliser.</w:t>
      </w:r>
    </w:p>
    <w:p w14:paraId="2E9321B1" w14:textId="77777777" w:rsidR="002210A7" w:rsidRPr="00CD160A" w:rsidRDefault="002210A7"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 xml:space="preserve">La </w:t>
      </w:r>
      <w:r w:rsidR="005D1876" w:rsidRPr="00CD160A">
        <w:rPr>
          <w:rFonts w:asciiTheme="majorBidi" w:hAnsiTheme="majorBidi" w:cstheme="majorBidi"/>
          <w:szCs w:val="24"/>
        </w:rPr>
        <w:t>capacité </w:t>
      </w:r>
      <w:r w:rsidRPr="00CD160A">
        <w:rPr>
          <w:rFonts w:asciiTheme="majorBidi" w:hAnsiTheme="majorBidi" w:cstheme="majorBidi"/>
          <w:szCs w:val="24"/>
        </w:rPr>
        <w:t>d'apporter les ajustements nécessaires au système pour répondre aux nouveaux besoins du processus de prise de décision.</w:t>
      </w:r>
    </w:p>
    <w:p w14:paraId="5D804024" w14:textId="77777777" w:rsidR="002210A7" w:rsidRPr="00CD160A" w:rsidRDefault="002210A7"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Une réponse rapide pour l'acquisition et la diffusion des informations.</w:t>
      </w:r>
    </w:p>
    <w:p w14:paraId="1C2991CD" w14:textId="77777777" w:rsidR="002210A7" w:rsidRPr="00CD160A" w:rsidRDefault="002210A7"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Le système doit être rentable, c'est_a_dire que les actions et leurs avantages doivent être en adéquation avec les dépenses.</w:t>
      </w:r>
    </w:p>
    <w:p w14:paraId="01CB2E75" w14:textId="77777777" w:rsidR="002210A7" w:rsidRPr="00CD160A" w:rsidRDefault="002210A7"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Il est </w:t>
      </w:r>
      <w:r w:rsidR="005D1876" w:rsidRPr="00CD160A">
        <w:rPr>
          <w:rFonts w:asciiTheme="majorBidi" w:hAnsiTheme="majorBidi" w:cstheme="majorBidi"/>
          <w:szCs w:val="24"/>
        </w:rPr>
        <w:t xml:space="preserve">indispensable </w:t>
      </w:r>
      <w:r w:rsidRPr="00CD160A">
        <w:rPr>
          <w:rFonts w:asciiTheme="majorBidi" w:hAnsiTheme="majorBidi" w:cstheme="majorBidi"/>
          <w:szCs w:val="24"/>
        </w:rPr>
        <w:t>qu'il emploie des technologies de pointe dans le domaine de l'information.</w:t>
      </w:r>
    </w:p>
    <w:p w14:paraId="6AC1EED5" w14:textId="77777777" w:rsidR="005D1876" w:rsidRPr="00CD160A" w:rsidRDefault="005D1876" w:rsidP="00CD160A">
      <w:pPr>
        <w:pStyle w:val="Paragraphedeliste"/>
        <w:numPr>
          <w:ilvl w:val="0"/>
          <w:numId w:val="31"/>
        </w:numPr>
        <w:tabs>
          <w:tab w:val="left" w:pos="1302"/>
        </w:tabs>
        <w:spacing w:after="160" w:line="360" w:lineRule="auto"/>
        <w:jc w:val="both"/>
        <w:rPr>
          <w:rFonts w:asciiTheme="majorBidi" w:hAnsiTheme="majorBidi" w:cstheme="majorBidi"/>
          <w:szCs w:val="24"/>
        </w:rPr>
      </w:pPr>
      <w:r w:rsidRPr="00CD160A">
        <w:rPr>
          <w:rFonts w:asciiTheme="majorBidi" w:eastAsia="Times New Roman" w:hAnsiTheme="majorBidi" w:cstheme="majorBidi"/>
          <w:szCs w:val="24"/>
        </w:rPr>
        <w:t>Le système doit être protégé de manière à ce qu'il soit difficile d'accomplir toute tentative d'intrusion ou d'enregistrement non autorisé.</w:t>
      </w:r>
    </w:p>
    <w:p w14:paraId="2CF4414A" w14:textId="06FDF11C"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32" w:name="_Toc199958804"/>
      <w:r w:rsidRPr="00CD160A">
        <w:rPr>
          <w:rFonts w:asciiTheme="majorBidi" w:hAnsiTheme="majorBidi" w:cstheme="majorBidi"/>
          <w:szCs w:val="24"/>
        </w:rPr>
        <w:t>Composantes d'un Système d'Information :</w:t>
      </w:r>
      <w:bookmarkEnd w:id="32"/>
    </w:p>
    <w:p w14:paraId="3179918B" w14:textId="77777777" w:rsidR="002210A7" w:rsidRPr="00CD160A" w:rsidRDefault="0016493D"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Les composantes essentielles des systèmes d'information comprennent le matériel informatique (HARDWARE), les logiciels (SOFTWARE), les télécommunications, les bases de données (DATABASE), ainsi que les entrepôts de données (DATA WAREHOUSE), sans oublier le capital humain et les processus opérationnels. D'après les propos de Robert REIX, Bernard, </w:t>
      </w:r>
      <w:proofErr w:type="spellStart"/>
      <w:r w:rsidRPr="00CD160A">
        <w:rPr>
          <w:rFonts w:asciiTheme="majorBidi" w:hAnsiTheme="majorBidi" w:cstheme="majorBidi"/>
          <w:szCs w:val="24"/>
        </w:rPr>
        <w:t>Fallery</w:t>
      </w:r>
      <w:proofErr w:type="spellEnd"/>
      <w:r w:rsidRPr="00CD160A">
        <w:rPr>
          <w:rFonts w:asciiTheme="majorBidi" w:hAnsiTheme="majorBidi" w:cstheme="majorBidi"/>
          <w:szCs w:val="24"/>
        </w:rPr>
        <w:t xml:space="preserve">, </w:t>
      </w:r>
      <w:proofErr w:type="spellStart"/>
      <w:r w:rsidRPr="00CD160A">
        <w:rPr>
          <w:rFonts w:asciiTheme="majorBidi" w:hAnsiTheme="majorBidi" w:cstheme="majorBidi"/>
          <w:szCs w:val="24"/>
        </w:rPr>
        <w:t>Kalika</w:t>
      </w:r>
      <w:proofErr w:type="spellEnd"/>
      <w:r w:rsidRPr="00CD160A">
        <w:rPr>
          <w:rFonts w:asciiTheme="majorBidi" w:hAnsiTheme="majorBidi" w:cstheme="majorBidi"/>
          <w:szCs w:val="24"/>
        </w:rPr>
        <w:t xml:space="preserve"> et al., voici les éléments constitutifs du système d'information.</w:t>
      </w:r>
      <w:r w:rsidR="002210A7" w:rsidRPr="00CD160A">
        <w:rPr>
          <w:rFonts w:asciiTheme="majorBidi" w:hAnsiTheme="majorBidi" w:cstheme="majorBidi"/>
          <w:szCs w:val="24"/>
          <w:vertAlign w:val="superscript"/>
        </w:rPr>
        <w:footnoteReference w:id="6"/>
      </w:r>
      <w:r w:rsidR="002210A7" w:rsidRPr="00CD160A">
        <w:rPr>
          <w:rFonts w:asciiTheme="majorBidi" w:hAnsiTheme="majorBidi" w:cstheme="majorBidi"/>
          <w:szCs w:val="24"/>
        </w:rPr>
        <w:t xml:space="preserve"> :</w:t>
      </w:r>
    </w:p>
    <w:p w14:paraId="3DF4808D" w14:textId="77777777" w:rsidR="002210A7" w:rsidRPr="00CD160A" w:rsidRDefault="002210A7" w:rsidP="00CD160A">
      <w:pPr>
        <w:numPr>
          <w:ilvl w:val="0"/>
          <w:numId w:val="33"/>
        </w:numPr>
        <w:tabs>
          <w:tab w:val="left" w:pos="1302"/>
        </w:tabs>
        <w:jc w:val="both"/>
        <w:rPr>
          <w:rFonts w:asciiTheme="majorBidi" w:hAnsiTheme="majorBidi" w:cstheme="majorBidi"/>
          <w:b/>
          <w:bCs/>
          <w:szCs w:val="24"/>
        </w:rPr>
      </w:pPr>
      <w:r w:rsidRPr="00CD160A">
        <w:rPr>
          <w:rFonts w:asciiTheme="majorBidi" w:hAnsiTheme="majorBidi" w:cstheme="majorBidi"/>
          <w:b/>
          <w:bCs/>
          <w:szCs w:val="24"/>
        </w:rPr>
        <w:t xml:space="preserve">Matériel informatique : </w:t>
      </w:r>
    </w:p>
    <w:p w14:paraId="67F4828D" w14:textId="3839A579"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Matériel physique employé pour l’entrée, la sortie et le traitement</w:t>
      </w:r>
      <w:r w:rsidRPr="00CD160A">
        <w:rPr>
          <w:rFonts w:asciiTheme="majorBidi" w:hAnsiTheme="majorBidi" w:cstheme="majorBidi"/>
          <w:color w:val="E34935"/>
          <w:szCs w:val="24"/>
          <w:shd w:val="clear" w:color="auto" w:fill="FFFFFF"/>
        </w:rPr>
        <w:t xml:space="preserve"> </w:t>
      </w:r>
      <w:r w:rsidRPr="00CD160A">
        <w:rPr>
          <w:rFonts w:asciiTheme="majorBidi" w:hAnsiTheme="majorBidi" w:cstheme="majorBidi"/>
          <w:szCs w:val="24"/>
        </w:rPr>
        <w:t xml:space="preserve">des données. La composition matérielle dépend du type et de la taille de l’organisation.  Il comprend un périphérique d'entrée et un périphérique de sortie, un système d'exploitation, un processeur ainsi que des périphériques multimédias. </w:t>
      </w:r>
      <w:r w:rsidR="0016493D" w:rsidRPr="00CD160A">
        <w:rPr>
          <w:rFonts w:asciiTheme="majorBidi" w:hAnsiTheme="majorBidi" w:cstheme="majorBidi"/>
          <w:szCs w:val="24"/>
        </w:rPr>
        <w:t xml:space="preserve">Cela englobe aussi les équipements </w:t>
      </w:r>
      <w:r w:rsidR="00AD4F68" w:rsidRPr="00CD160A">
        <w:rPr>
          <w:rFonts w:asciiTheme="majorBidi" w:hAnsiTheme="majorBidi" w:cstheme="majorBidi"/>
          <w:szCs w:val="24"/>
        </w:rPr>
        <w:t>informatiques.</w:t>
      </w:r>
    </w:p>
    <w:p w14:paraId="2A41598E" w14:textId="77777777" w:rsidR="002210A7" w:rsidRPr="00CD160A" w:rsidRDefault="002210A7" w:rsidP="00CD160A">
      <w:pPr>
        <w:tabs>
          <w:tab w:val="left" w:pos="1302"/>
        </w:tabs>
        <w:jc w:val="both"/>
        <w:rPr>
          <w:rFonts w:asciiTheme="majorBidi" w:hAnsiTheme="majorBidi" w:cstheme="majorBidi"/>
          <w:b/>
          <w:bCs/>
          <w:szCs w:val="24"/>
        </w:rPr>
      </w:pPr>
      <w:r w:rsidRPr="00CD160A">
        <w:rPr>
          <w:rFonts w:asciiTheme="majorBidi" w:hAnsiTheme="majorBidi" w:cstheme="majorBidi"/>
          <w:b/>
          <w:bCs/>
          <w:szCs w:val="24"/>
        </w:rPr>
        <w:t xml:space="preserve">• Logiciel informatique : </w:t>
      </w:r>
    </w:p>
    <w:p w14:paraId="28155981"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Les applications / logiciels utilisés pour gérer et synchroniser les éléments matériels. Il est employé pour l'analyse et le traitement des données. Ces programmes comprennent un ensemble de directives destinées au traitement des informations. </w:t>
      </w:r>
      <w:r w:rsidR="0016493D" w:rsidRPr="00CD160A">
        <w:rPr>
          <w:rFonts w:asciiTheme="majorBidi" w:hAnsiTheme="majorBidi" w:cstheme="majorBidi"/>
          <w:szCs w:val="24"/>
        </w:rPr>
        <w:t>De plus, les logiciels se classifient en trois types : les logiciels systèmes, les logiciels d'application et les procédures.</w:t>
      </w:r>
    </w:p>
    <w:p w14:paraId="56177730" w14:textId="77777777" w:rsidR="002210A7" w:rsidRPr="00CD160A" w:rsidRDefault="002210A7" w:rsidP="00CD160A">
      <w:pPr>
        <w:tabs>
          <w:tab w:val="left" w:pos="1302"/>
        </w:tabs>
        <w:jc w:val="both"/>
        <w:rPr>
          <w:rFonts w:asciiTheme="majorBidi" w:hAnsiTheme="majorBidi" w:cstheme="majorBidi"/>
          <w:b/>
          <w:bCs/>
          <w:szCs w:val="24"/>
        </w:rPr>
      </w:pPr>
      <w:r w:rsidRPr="00CD160A">
        <w:rPr>
          <w:rFonts w:asciiTheme="majorBidi" w:hAnsiTheme="majorBidi" w:cstheme="majorBidi"/>
          <w:b/>
          <w:bCs/>
          <w:szCs w:val="24"/>
        </w:rPr>
        <w:lastRenderedPageBreak/>
        <w:t xml:space="preserve">• Bases de données : </w:t>
      </w:r>
    </w:p>
    <w:p w14:paraId="5D4457A9" w14:textId="77777777" w:rsidR="00F80092"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Les informations sont le résultat du traitement de faits et chiffres bruts non structurés, qui sont ensuite organisés pour produire des renseignements. Les programmes informatiques sont employés pour structurer et délivrer des informations à l'utilisateur, ainsi que pour gérer la conservation physique des ressources virtuelles et médias. </w:t>
      </w:r>
      <w:r w:rsidR="0016493D" w:rsidRPr="00CD160A">
        <w:rPr>
          <w:rFonts w:asciiTheme="majorBidi" w:hAnsiTheme="majorBidi" w:cstheme="majorBidi"/>
          <w:szCs w:val="24"/>
        </w:rPr>
        <w:t>Puisque le logiciel ne peut être utilisé sans les données, ces dernières sont indispensables au fonctionnement du premier</w:t>
      </w:r>
      <w:r w:rsidRPr="00CD160A">
        <w:rPr>
          <w:rFonts w:asciiTheme="majorBidi" w:hAnsiTheme="majorBidi" w:cstheme="majorBidi"/>
          <w:szCs w:val="24"/>
        </w:rPr>
        <w:t xml:space="preserve">. On utilise un système de gestion de base de données pour gérer les informations. </w:t>
      </w:r>
      <w:r w:rsidR="00F80092" w:rsidRPr="00CD160A">
        <w:rPr>
          <w:rFonts w:asciiTheme="majorBidi" w:hAnsiTheme="majorBidi" w:cstheme="majorBidi"/>
          <w:szCs w:val="24"/>
        </w:rPr>
        <w:t>L'application de gestion de base de données est utilisée pour un accès optimal aux informations requises et pour la gestion des banques de connaissances.</w:t>
      </w:r>
    </w:p>
    <w:p w14:paraId="21E3C577" w14:textId="77777777" w:rsidR="002210A7" w:rsidRPr="00CD160A" w:rsidRDefault="002210A7" w:rsidP="00CD160A">
      <w:pPr>
        <w:tabs>
          <w:tab w:val="left" w:pos="1302"/>
        </w:tabs>
        <w:jc w:val="both"/>
        <w:rPr>
          <w:rFonts w:asciiTheme="majorBidi" w:hAnsiTheme="majorBidi" w:cstheme="majorBidi"/>
          <w:b/>
          <w:bCs/>
          <w:szCs w:val="24"/>
        </w:rPr>
      </w:pPr>
      <w:r w:rsidRPr="00CD160A">
        <w:rPr>
          <w:rFonts w:asciiTheme="majorBidi" w:hAnsiTheme="majorBidi" w:cstheme="majorBidi"/>
          <w:b/>
          <w:bCs/>
          <w:szCs w:val="24"/>
        </w:rPr>
        <w:t xml:space="preserve">• Réseau : </w:t>
      </w:r>
    </w:p>
    <w:p w14:paraId="3A1B1C41" w14:textId="77777777" w:rsidR="00F80092" w:rsidRPr="00CD160A" w:rsidRDefault="00F80092"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t>Les ressources de réseau comprennent des réseaux de télécommunication tels que l'intranet, l'extranet et l'internet.</w:t>
      </w:r>
    </w:p>
    <w:p w14:paraId="3D17C207" w14:textId="77777777" w:rsidR="002210A7" w:rsidRPr="00CD160A" w:rsidRDefault="00F80092" w:rsidP="00CD160A">
      <w:pPr>
        <w:numPr>
          <w:ilvl w:val="0"/>
          <w:numId w:val="32"/>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Ces instruments facilitent la diffusion d'informations au sein de l'entreprise</w:t>
      </w:r>
      <w:r w:rsidR="002210A7" w:rsidRPr="00CD160A">
        <w:rPr>
          <w:rFonts w:asciiTheme="majorBidi" w:hAnsiTheme="majorBidi" w:cstheme="majorBidi"/>
          <w:szCs w:val="24"/>
        </w:rPr>
        <w:t>.</w:t>
      </w:r>
    </w:p>
    <w:p w14:paraId="537B6D45" w14:textId="77777777" w:rsidR="002210A7" w:rsidRPr="00CD160A" w:rsidRDefault="00F80092" w:rsidP="00CD160A">
      <w:pPr>
        <w:numPr>
          <w:ilvl w:val="0"/>
          <w:numId w:val="32"/>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Les réseaux comprennent aussi bien des éléments matériels tels que les cartes réseau, routeurs, hubs et câbles que des composants logiciels comme les systèmes d'exploitation, les serveurs web, les serveurs de données et les serveurs d'applications</w:t>
      </w:r>
      <w:r w:rsidR="002210A7" w:rsidRPr="00CD160A">
        <w:rPr>
          <w:rFonts w:asciiTheme="majorBidi" w:hAnsiTheme="majorBidi" w:cstheme="majorBidi"/>
          <w:szCs w:val="24"/>
        </w:rPr>
        <w:t>.</w:t>
      </w:r>
    </w:p>
    <w:p w14:paraId="411BCB08" w14:textId="77777777" w:rsidR="002210A7" w:rsidRPr="00CD160A" w:rsidRDefault="002210A7" w:rsidP="00CD160A">
      <w:pPr>
        <w:numPr>
          <w:ilvl w:val="0"/>
          <w:numId w:val="32"/>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Les systèmes de télécommunication sont composés d'ordinateurs, de procédures de communication et d'autres équipements reliés entre eux par des moyens de transmission, le tout étant géré par un logiciel.</w:t>
      </w:r>
    </w:p>
    <w:p w14:paraId="6248B903" w14:textId="77777777" w:rsidR="002210A7" w:rsidRPr="00CD160A" w:rsidRDefault="00F80092" w:rsidP="00CD160A">
      <w:pPr>
        <w:numPr>
          <w:ilvl w:val="0"/>
          <w:numId w:val="32"/>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Les réseaux comprennent les moyens de communication et le support réseau</w:t>
      </w:r>
      <w:r w:rsidR="002210A7" w:rsidRPr="00CD160A">
        <w:rPr>
          <w:rFonts w:asciiTheme="majorBidi" w:hAnsiTheme="majorBidi" w:cstheme="majorBidi"/>
          <w:szCs w:val="24"/>
        </w:rPr>
        <w:t>.</w:t>
      </w:r>
    </w:p>
    <w:p w14:paraId="1AEE9065" w14:textId="77777777" w:rsidR="002210A7" w:rsidRPr="00CD160A" w:rsidRDefault="002210A7" w:rsidP="00CD160A">
      <w:pPr>
        <w:tabs>
          <w:tab w:val="left" w:pos="1302"/>
        </w:tabs>
        <w:jc w:val="both"/>
        <w:rPr>
          <w:rFonts w:asciiTheme="majorBidi" w:hAnsiTheme="majorBidi" w:cstheme="majorBidi"/>
          <w:b/>
          <w:bCs/>
          <w:szCs w:val="24"/>
        </w:rPr>
      </w:pPr>
      <w:r w:rsidRPr="00CD160A">
        <w:rPr>
          <w:rFonts w:asciiTheme="majorBidi" w:hAnsiTheme="majorBidi" w:cstheme="majorBidi"/>
          <w:b/>
          <w:bCs/>
          <w:szCs w:val="24"/>
        </w:rPr>
        <w:t xml:space="preserve">• Ressources humaines : </w:t>
      </w:r>
    </w:p>
    <w:p w14:paraId="7F25AD83" w14:textId="77777777" w:rsidR="00CD160A" w:rsidRDefault="005E33A6" w:rsidP="00CD160A">
      <w:pPr>
        <w:tabs>
          <w:tab w:val="left" w:pos="1302"/>
        </w:tabs>
        <w:jc w:val="both"/>
        <w:rPr>
          <w:rFonts w:asciiTheme="majorBidi" w:hAnsiTheme="majorBidi" w:cstheme="majorBidi"/>
          <w:szCs w:val="24"/>
        </w:rPr>
      </w:pPr>
      <w:r w:rsidRPr="00CD160A">
        <w:rPr>
          <w:rFonts w:asciiTheme="majorBidi" w:hAnsiTheme="majorBidi" w:cstheme="majorBidi"/>
          <w:szCs w:val="24"/>
        </w:rPr>
        <w:t>Elles désignent la main-d'œuvre requise pour assurer l'opération et la gestion du système. Les individus sont le destinataire final du système d'information, exploitant les données produites pour des objectifs personnels. L'objectif principale de ce système est de fournir et d'apporter un avantage à l'utilisateur final.</w:t>
      </w:r>
      <w:bookmarkStart w:id="33" w:name="_Toc200210069"/>
    </w:p>
    <w:p w14:paraId="63AF56F0" w14:textId="77777777" w:rsidR="00CD160A" w:rsidRDefault="00CD160A" w:rsidP="00CD160A">
      <w:pPr>
        <w:tabs>
          <w:tab w:val="left" w:pos="1302"/>
        </w:tabs>
        <w:jc w:val="both"/>
        <w:rPr>
          <w:rFonts w:asciiTheme="majorBidi" w:hAnsiTheme="majorBidi" w:cstheme="majorBidi"/>
          <w:szCs w:val="24"/>
        </w:rPr>
      </w:pPr>
    </w:p>
    <w:p w14:paraId="3E7CC509" w14:textId="77777777" w:rsidR="00CD160A" w:rsidRDefault="00CD160A" w:rsidP="00CD160A">
      <w:pPr>
        <w:tabs>
          <w:tab w:val="left" w:pos="1302"/>
        </w:tabs>
        <w:jc w:val="both"/>
        <w:rPr>
          <w:rFonts w:asciiTheme="majorBidi" w:hAnsiTheme="majorBidi" w:cstheme="majorBidi"/>
          <w:szCs w:val="24"/>
        </w:rPr>
      </w:pPr>
    </w:p>
    <w:p w14:paraId="23B70C91" w14:textId="77777777" w:rsidR="00CD160A" w:rsidRDefault="00CD160A" w:rsidP="00CD160A">
      <w:pPr>
        <w:tabs>
          <w:tab w:val="left" w:pos="1302"/>
        </w:tabs>
        <w:jc w:val="both"/>
        <w:rPr>
          <w:rFonts w:asciiTheme="majorBidi" w:hAnsiTheme="majorBidi" w:cstheme="majorBidi"/>
          <w:szCs w:val="24"/>
        </w:rPr>
      </w:pPr>
    </w:p>
    <w:p w14:paraId="4871ED83" w14:textId="77777777" w:rsidR="00CD160A" w:rsidRDefault="00CD160A" w:rsidP="00CD160A">
      <w:pPr>
        <w:tabs>
          <w:tab w:val="left" w:pos="1302"/>
        </w:tabs>
        <w:jc w:val="both"/>
        <w:rPr>
          <w:rFonts w:asciiTheme="majorBidi" w:hAnsiTheme="majorBidi" w:cstheme="majorBidi"/>
          <w:szCs w:val="24"/>
        </w:rPr>
      </w:pPr>
    </w:p>
    <w:p w14:paraId="09F9F64D" w14:textId="29A8B69A" w:rsidR="002210A7" w:rsidRPr="00CD160A" w:rsidRDefault="00B02170" w:rsidP="00CD160A">
      <w:pPr>
        <w:tabs>
          <w:tab w:val="left" w:pos="1302"/>
        </w:tabs>
        <w:jc w:val="both"/>
        <w:rPr>
          <w:rFonts w:asciiTheme="majorBidi" w:hAnsiTheme="majorBidi" w:cstheme="majorBidi"/>
          <w:szCs w:val="24"/>
        </w:rPr>
      </w:pPr>
      <w:r w:rsidRPr="00CD160A">
        <w:rPr>
          <w:rFonts w:asciiTheme="majorBidi" w:hAnsiTheme="majorBidi" w:cstheme="majorBidi"/>
          <w:szCs w:val="24"/>
        </w:rPr>
        <w:lastRenderedPageBreak/>
        <w:t xml:space="preserve">Figure </w:t>
      </w:r>
      <w:r w:rsidRPr="00CD160A">
        <w:rPr>
          <w:rFonts w:asciiTheme="majorBidi" w:hAnsiTheme="majorBidi" w:cstheme="majorBidi"/>
          <w:szCs w:val="24"/>
        </w:rPr>
        <w:fldChar w:fldCharType="begin"/>
      </w:r>
      <w:r w:rsidRPr="00CD160A">
        <w:rPr>
          <w:rFonts w:asciiTheme="majorBidi" w:hAnsiTheme="majorBidi" w:cstheme="majorBidi"/>
          <w:szCs w:val="24"/>
        </w:rPr>
        <w:instrText xml:space="preserve"> SEQ Figure \* ARABIC </w:instrText>
      </w:r>
      <w:r w:rsidRPr="00CD160A">
        <w:rPr>
          <w:rFonts w:asciiTheme="majorBidi" w:hAnsiTheme="majorBidi" w:cstheme="majorBidi"/>
          <w:szCs w:val="24"/>
        </w:rPr>
        <w:fldChar w:fldCharType="separate"/>
      </w:r>
      <w:r w:rsidR="001679A8" w:rsidRPr="00CD160A">
        <w:rPr>
          <w:rFonts w:asciiTheme="majorBidi" w:hAnsiTheme="majorBidi" w:cstheme="majorBidi"/>
          <w:noProof/>
          <w:szCs w:val="24"/>
        </w:rPr>
        <w:t>2</w:t>
      </w:r>
      <w:r w:rsidRPr="00CD160A">
        <w:rPr>
          <w:rFonts w:asciiTheme="majorBidi" w:hAnsiTheme="majorBidi" w:cstheme="majorBidi"/>
          <w:szCs w:val="24"/>
        </w:rPr>
        <w:fldChar w:fldCharType="end"/>
      </w:r>
      <w:r w:rsidRPr="00CD160A">
        <w:rPr>
          <w:rFonts w:asciiTheme="majorBidi" w:hAnsiTheme="majorBidi" w:cstheme="majorBidi"/>
          <w:szCs w:val="24"/>
        </w:rPr>
        <w:t>: Les composantes d’un système d’information</w:t>
      </w:r>
      <w:bookmarkEnd w:id="33"/>
      <w:r w:rsidR="004C19B1" w:rsidRPr="00CD160A">
        <w:rPr>
          <w:rFonts w:asciiTheme="majorBidi" w:hAnsiTheme="majorBidi" w:cstheme="majorBidi"/>
          <w:noProof/>
          <w:szCs w:val="24"/>
          <w:lang w:eastAsia="fr-FR"/>
        </w:rPr>
        <mc:AlternateContent>
          <mc:Choice Requires="wps">
            <w:drawing>
              <wp:anchor distT="0" distB="0" distL="114300" distR="114300" simplePos="0" relativeHeight="251697152" behindDoc="0" locked="0" layoutInCell="1" allowOverlap="1" wp14:anchorId="3BAEBBF8" wp14:editId="396DE73F">
                <wp:simplePos x="0" y="0"/>
                <wp:positionH relativeFrom="column">
                  <wp:posOffset>2243455</wp:posOffset>
                </wp:positionH>
                <wp:positionV relativeFrom="paragraph">
                  <wp:posOffset>227330</wp:posOffset>
                </wp:positionV>
                <wp:extent cx="1228725" cy="609600"/>
                <wp:effectExtent l="0" t="0" r="28575" b="19050"/>
                <wp:wrapNone/>
                <wp:docPr id="34" name="Ellipse 34"/>
                <wp:cNvGraphicFramePr/>
                <a:graphic xmlns:a="http://schemas.openxmlformats.org/drawingml/2006/main">
                  <a:graphicData uri="http://schemas.microsoft.com/office/word/2010/wordprocessingShape">
                    <wps:wsp>
                      <wps:cNvSpPr/>
                      <wps:spPr>
                        <a:xfrm>
                          <a:off x="0" y="0"/>
                          <a:ext cx="1228725" cy="6096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717749"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Matériel informatique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AEBBF8" id="Ellipse 34" o:spid="_x0000_s1042" style="position:absolute;left:0;text-align:left;margin-left:176.65pt;margin-top:17.9pt;width:96.75pt;height:4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" filled="f" strokecolor="black [3213]" strokeweight="1pt">
                <v:stroke joinstyle="miter"/>
                <v:textbox>
                  <w:txbxContent>
                    <w:p w14:paraId="46717749"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Matériel informatique</w:t>
                      </w:r>
                    </w:p>
                  </w:txbxContent>
                </v:textbox>
              </v:oval>
            </w:pict>
          </mc:Fallback>
        </mc:AlternateContent>
      </w:r>
    </w:p>
    <w:p w14:paraId="74963356" w14:textId="77777777" w:rsidR="00664440" w:rsidRPr="00CD160A" w:rsidRDefault="00664440" w:rsidP="00CD160A">
      <w:pPr>
        <w:tabs>
          <w:tab w:val="left" w:pos="1302"/>
        </w:tabs>
        <w:jc w:val="both"/>
        <w:rPr>
          <w:rFonts w:asciiTheme="majorBidi" w:hAnsiTheme="majorBidi" w:cstheme="majorBidi"/>
          <w:noProof/>
          <w:szCs w:val="24"/>
          <w:lang w:eastAsia="fr-FR"/>
        </w:rPr>
      </w:pPr>
    </w:p>
    <w:p w14:paraId="556AA616" w14:textId="4ED5A134" w:rsidR="002210A7" w:rsidRPr="00CD160A" w:rsidRDefault="004C19B1" w:rsidP="00CD160A">
      <w:pPr>
        <w:tabs>
          <w:tab w:val="left" w:pos="1302"/>
        </w:tabs>
        <w:jc w:val="both"/>
        <w:rPr>
          <w:rFonts w:asciiTheme="majorBidi" w:hAnsiTheme="majorBidi" w:cstheme="majorBidi"/>
          <w:noProof/>
          <w:szCs w:val="24"/>
          <w:lang w:eastAsia="fr-FR"/>
        </w:rPr>
      </w:pPr>
      <w:r w:rsidRPr="00CD160A">
        <w:rPr>
          <w:rFonts w:asciiTheme="majorBidi" w:hAnsiTheme="majorBidi" w:cstheme="majorBidi"/>
          <w:noProof/>
          <w:szCs w:val="24"/>
          <w:lang w:eastAsia="fr-FR"/>
        </w:rPr>
        <mc:AlternateContent>
          <mc:Choice Requires="wps">
            <w:drawing>
              <wp:anchor distT="0" distB="0" distL="114300" distR="114300" simplePos="0" relativeHeight="251693056" behindDoc="0" locked="0" layoutInCell="1" allowOverlap="1" wp14:anchorId="76D8826A" wp14:editId="6B101883">
                <wp:simplePos x="0" y="0"/>
                <wp:positionH relativeFrom="column">
                  <wp:posOffset>528955</wp:posOffset>
                </wp:positionH>
                <wp:positionV relativeFrom="paragraph">
                  <wp:posOffset>136525</wp:posOffset>
                </wp:positionV>
                <wp:extent cx="1146929" cy="647700"/>
                <wp:effectExtent l="0" t="0" r="15240" b="19050"/>
                <wp:wrapNone/>
                <wp:docPr id="30" name="Ellipse 30"/>
                <wp:cNvGraphicFramePr/>
                <a:graphic xmlns:a="http://schemas.openxmlformats.org/drawingml/2006/main">
                  <a:graphicData uri="http://schemas.microsoft.com/office/word/2010/wordprocessingShape">
                    <wps:wsp>
                      <wps:cNvSpPr/>
                      <wps:spPr>
                        <a:xfrm>
                          <a:off x="0" y="0"/>
                          <a:ext cx="1146929" cy="6477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D199B7"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Logiciel informatique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D8826A" id="Ellipse 30" o:spid="_x0000_s1043" style="position:absolute;left:0;text-align:left;margin-left:41.65pt;margin-top:10.75pt;width:90.3pt;height:5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" filled="f" strokecolor="black [3213]" strokeweight="1pt">
                <v:stroke joinstyle="miter"/>
                <v:textbox>
                  <w:txbxContent>
                    <w:p w14:paraId="22D199B7"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Logiciel informatique</w:t>
                      </w:r>
                    </w:p>
                  </w:txbxContent>
                </v:textbox>
              </v:oval>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696128" behindDoc="0" locked="0" layoutInCell="1" allowOverlap="1" wp14:anchorId="63894B1B" wp14:editId="2E881122">
                <wp:simplePos x="0" y="0"/>
                <wp:positionH relativeFrom="column">
                  <wp:posOffset>4082415</wp:posOffset>
                </wp:positionH>
                <wp:positionV relativeFrom="paragraph">
                  <wp:posOffset>130175</wp:posOffset>
                </wp:positionV>
                <wp:extent cx="1026543" cy="448574"/>
                <wp:effectExtent l="0" t="0" r="21590" b="27940"/>
                <wp:wrapNone/>
                <wp:docPr id="33" name="Ellipse 33"/>
                <wp:cNvGraphicFramePr/>
                <a:graphic xmlns:a="http://schemas.openxmlformats.org/drawingml/2006/main">
                  <a:graphicData uri="http://schemas.microsoft.com/office/word/2010/wordprocessingShape">
                    <wps:wsp>
                      <wps:cNvSpPr/>
                      <wps:spPr>
                        <a:xfrm>
                          <a:off x="0" y="0"/>
                          <a:ext cx="1026543" cy="448574"/>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3F73C8"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 xml:space="preserve">Réseau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3894B1B" id="Ellipse 33" o:spid="_x0000_s1044" style="position:absolute;left:0;text-align:left;margin-left:321.45pt;margin-top:10.25pt;width:80.85pt;height:35.3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" filled="f" strokecolor="black [3213]" strokeweight="1pt">
                <v:stroke joinstyle="miter"/>
                <v:textbox>
                  <w:txbxContent>
                    <w:p w14:paraId="533F73C8"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 xml:space="preserve">Réseau </w:t>
                      </w:r>
                    </w:p>
                  </w:txbxContent>
                </v:textbox>
              </v:oval>
            </w:pict>
          </mc:Fallback>
        </mc:AlternateContent>
      </w:r>
      <w:r w:rsidR="002210A7" w:rsidRPr="00CD160A">
        <w:rPr>
          <w:rFonts w:asciiTheme="majorBidi" w:hAnsiTheme="majorBidi" w:cstheme="majorBidi"/>
          <w:noProof/>
          <w:szCs w:val="24"/>
          <w:lang w:eastAsia="fr-FR"/>
        </w:rPr>
        <mc:AlternateContent>
          <mc:Choice Requires="wps">
            <w:drawing>
              <wp:anchor distT="0" distB="0" distL="114300" distR="114300" simplePos="0" relativeHeight="251698176" behindDoc="0" locked="0" layoutInCell="1" allowOverlap="1" wp14:anchorId="6B85B98F" wp14:editId="2EDF725E">
                <wp:simplePos x="0" y="0"/>
                <wp:positionH relativeFrom="column">
                  <wp:posOffset>2795905</wp:posOffset>
                </wp:positionH>
                <wp:positionV relativeFrom="paragraph">
                  <wp:posOffset>155576</wp:posOffset>
                </wp:positionV>
                <wp:extent cx="45719" cy="285750"/>
                <wp:effectExtent l="38100" t="0" r="69215" b="57150"/>
                <wp:wrapNone/>
                <wp:docPr id="35" name="Connecteur droit avec flèche 35"/>
                <wp:cNvGraphicFramePr/>
                <a:graphic xmlns:a="http://schemas.openxmlformats.org/drawingml/2006/main">
                  <a:graphicData uri="http://schemas.microsoft.com/office/word/2010/wordprocessingShape">
                    <wps:wsp>
                      <wps:cNvCnPr/>
                      <wps:spPr>
                        <a:xfrm>
                          <a:off x="0" y="0"/>
                          <a:ext cx="45719"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3C60212" id="_x0000_t32" coordsize="21600,21600" o:spt="32" o:oned="t" path="m,l21600,21600e" filled="f">
                <v:path arrowok="t" fillok="f" o:connecttype="none"/>
                <o:lock v:ext="edit" shapetype="t"/>
              </v:shapetype>
              <v:shape id="Connecteur droit avec flèche 35" o:spid="_x0000_s1026" type="#_x0000_t32" style="position:absolute;margin-left:220.15pt;margin-top:12.25pt;width:3.6pt;height:2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" strokecolor="black [3200]" strokeweight=".5pt">
                <v:stroke endarrow="block" joinstyle="miter"/>
              </v:shape>
            </w:pict>
          </mc:Fallback>
        </mc:AlternateContent>
      </w:r>
    </w:p>
    <w:p w14:paraId="4449984C" w14:textId="77777777" w:rsidR="002210A7" w:rsidRPr="00CD160A" w:rsidRDefault="004C19B1" w:rsidP="00CD160A">
      <w:pPr>
        <w:tabs>
          <w:tab w:val="left" w:pos="1302"/>
        </w:tabs>
        <w:jc w:val="both"/>
        <w:rPr>
          <w:rFonts w:asciiTheme="majorBidi" w:hAnsiTheme="majorBidi" w:cstheme="majorBidi"/>
          <w:noProof/>
          <w:szCs w:val="24"/>
          <w:lang w:eastAsia="fr-FR"/>
        </w:rPr>
      </w:pPr>
      <w:r w:rsidRPr="00CD160A">
        <w:rPr>
          <w:rFonts w:asciiTheme="majorBidi" w:hAnsiTheme="majorBidi" w:cstheme="majorBidi"/>
          <w:noProof/>
          <w:szCs w:val="24"/>
          <w:lang w:eastAsia="fr-FR"/>
        </w:rPr>
        <mc:AlternateContent>
          <mc:Choice Requires="wps">
            <w:drawing>
              <wp:anchor distT="0" distB="0" distL="114300" distR="114300" simplePos="0" relativeHeight="251702272" behindDoc="0" locked="0" layoutInCell="1" allowOverlap="1" wp14:anchorId="3D9EB662" wp14:editId="0CC7A785">
                <wp:simplePos x="0" y="0"/>
                <wp:positionH relativeFrom="column">
                  <wp:posOffset>1676400</wp:posOffset>
                </wp:positionH>
                <wp:positionV relativeFrom="paragraph">
                  <wp:posOffset>135255</wp:posOffset>
                </wp:positionV>
                <wp:extent cx="671527" cy="171588"/>
                <wp:effectExtent l="0" t="0" r="71755" b="76200"/>
                <wp:wrapNone/>
                <wp:docPr id="39" name="Connecteur droit avec flèche 39"/>
                <wp:cNvGraphicFramePr/>
                <a:graphic xmlns:a="http://schemas.openxmlformats.org/drawingml/2006/main">
                  <a:graphicData uri="http://schemas.microsoft.com/office/word/2010/wordprocessingShape">
                    <wps:wsp>
                      <wps:cNvCnPr/>
                      <wps:spPr>
                        <a:xfrm>
                          <a:off x="0" y="0"/>
                          <a:ext cx="671527" cy="1715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5D57634" id="Connecteur droit avec flèche 39" o:spid="_x0000_s1026" type="#_x0000_t32" style="position:absolute;margin-left:132pt;margin-top:10.65pt;width:52.9pt;height:1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" strokecolor="black [3200]" strokeweight=".5pt">
                <v:stroke endarrow="block" joinstyle="miter"/>
              </v:shape>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699200" behindDoc="0" locked="0" layoutInCell="1" allowOverlap="1" wp14:anchorId="62724B97" wp14:editId="55CADB7C">
                <wp:simplePos x="0" y="0"/>
                <wp:positionH relativeFrom="column">
                  <wp:posOffset>3482340</wp:posOffset>
                </wp:positionH>
                <wp:positionV relativeFrom="paragraph">
                  <wp:posOffset>97155</wp:posOffset>
                </wp:positionV>
                <wp:extent cx="619898" cy="135172"/>
                <wp:effectExtent l="38100" t="0" r="27940" b="74930"/>
                <wp:wrapNone/>
                <wp:docPr id="36" name="Connecteur droit avec flèche 36"/>
                <wp:cNvGraphicFramePr/>
                <a:graphic xmlns:a="http://schemas.openxmlformats.org/drawingml/2006/main">
                  <a:graphicData uri="http://schemas.microsoft.com/office/word/2010/wordprocessingShape">
                    <wps:wsp>
                      <wps:cNvCnPr/>
                      <wps:spPr>
                        <a:xfrm flipH="1">
                          <a:off x="0" y="0"/>
                          <a:ext cx="619898" cy="1351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6812B2" id="Connecteur droit avec flèche 36" o:spid="_x0000_s1026" type="#_x0000_t32" style="position:absolute;margin-left:274.2pt;margin-top:7.65pt;width:48.8pt;height:10.65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" strokecolor="black [3200]" strokeweight=".5pt">
                <v:stroke endarrow="block" joinstyle="miter"/>
              </v:shape>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692032" behindDoc="0" locked="0" layoutInCell="1" allowOverlap="1" wp14:anchorId="62531902" wp14:editId="28F35053">
                <wp:simplePos x="0" y="0"/>
                <wp:positionH relativeFrom="margin">
                  <wp:posOffset>2346960</wp:posOffset>
                </wp:positionH>
                <wp:positionV relativeFrom="paragraph">
                  <wp:posOffset>50800</wp:posOffset>
                </wp:positionV>
                <wp:extent cx="1219200" cy="749935"/>
                <wp:effectExtent l="0" t="0" r="19050" b="12065"/>
                <wp:wrapNone/>
                <wp:docPr id="29" name="Ellipse 29"/>
                <wp:cNvGraphicFramePr/>
                <a:graphic xmlns:a="http://schemas.openxmlformats.org/drawingml/2006/main">
                  <a:graphicData uri="http://schemas.microsoft.com/office/word/2010/wordprocessingShape">
                    <wps:wsp>
                      <wps:cNvSpPr/>
                      <wps:spPr>
                        <a:xfrm>
                          <a:off x="0" y="0"/>
                          <a:ext cx="1219200" cy="74993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706FD5"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Système d’information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531902" id="Ellipse 29" o:spid="_x0000_s1045" style="position:absolute;left:0;text-align:left;margin-left:184.8pt;margin-top:4pt;width:96pt;height:59.0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" filled="f" strokecolor="black [3213]" strokeweight="1pt">
                <v:stroke joinstyle="miter"/>
                <v:textbox>
                  <w:txbxContent>
                    <w:p w14:paraId="6E706FD5"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Système d’information</w:t>
                      </w:r>
                    </w:p>
                  </w:txbxContent>
                </v:textbox>
                <w10:wrap anchorx="margin"/>
              </v:oval>
            </w:pict>
          </mc:Fallback>
        </mc:AlternateContent>
      </w:r>
    </w:p>
    <w:p w14:paraId="6A7F427A" w14:textId="42E7211C" w:rsidR="002210A7" w:rsidRPr="00CD160A" w:rsidRDefault="004C19B1" w:rsidP="00CD160A">
      <w:pPr>
        <w:tabs>
          <w:tab w:val="left" w:pos="1302"/>
        </w:tabs>
        <w:jc w:val="both"/>
        <w:rPr>
          <w:rFonts w:asciiTheme="majorBidi" w:hAnsiTheme="majorBidi" w:cstheme="majorBidi"/>
          <w:noProof/>
          <w:szCs w:val="24"/>
          <w:lang w:eastAsia="fr-FR"/>
        </w:rPr>
      </w:pPr>
      <w:r w:rsidRPr="00CD160A">
        <w:rPr>
          <w:rFonts w:asciiTheme="majorBidi" w:hAnsiTheme="majorBidi" w:cstheme="majorBidi"/>
          <w:noProof/>
          <w:szCs w:val="24"/>
          <w:lang w:eastAsia="fr-FR"/>
        </w:rPr>
        <mc:AlternateContent>
          <mc:Choice Requires="wps">
            <w:drawing>
              <wp:anchor distT="0" distB="0" distL="114300" distR="114300" simplePos="0" relativeHeight="251701248" behindDoc="0" locked="0" layoutInCell="1" allowOverlap="1" wp14:anchorId="195D3787" wp14:editId="2827F270">
                <wp:simplePos x="0" y="0"/>
                <wp:positionH relativeFrom="column">
                  <wp:posOffset>2200910</wp:posOffset>
                </wp:positionH>
                <wp:positionV relativeFrom="paragraph">
                  <wp:posOffset>302895</wp:posOffset>
                </wp:positionV>
                <wp:extent cx="310101" cy="365649"/>
                <wp:effectExtent l="0" t="38100" r="52070" b="15875"/>
                <wp:wrapNone/>
                <wp:docPr id="38" name="Connecteur droit avec flèche 38"/>
                <wp:cNvGraphicFramePr/>
                <a:graphic xmlns:a="http://schemas.openxmlformats.org/drawingml/2006/main">
                  <a:graphicData uri="http://schemas.microsoft.com/office/word/2010/wordprocessingShape">
                    <wps:wsp>
                      <wps:cNvCnPr/>
                      <wps:spPr>
                        <a:xfrm flipV="1">
                          <a:off x="0" y="0"/>
                          <a:ext cx="310101" cy="36564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701620" id="Connecteur droit avec flèche 38" o:spid="_x0000_s1026" type="#_x0000_t32" style="position:absolute;margin-left:173.3pt;margin-top:23.85pt;width:24.4pt;height:28.8p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" strokecolor="black [3200]" strokeweight=".5pt">
                <v:stroke endarrow="block" joinstyle="miter"/>
              </v:shape>
            </w:pict>
          </mc:Fallback>
        </mc:AlternateContent>
      </w:r>
    </w:p>
    <w:p w14:paraId="2F262527" w14:textId="77777777" w:rsidR="004C19B1" w:rsidRPr="00CD160A" w:rsidRDefault="004C19B1" w:rsidP="00CD160A">
      <w:pPr>
        <w:tabs>
          <w:tab w:val="left" w:pos="1302"/>
        </w:tabs>
        <w:jc w:val="both"/>
        <w:rPr>
          <w:rFonts w:asciiTheme="majorBidi" w:hAnsiTheme="majorBidi" w:cstheme="majorBidi"/>
          <w:szCs w:val="24"/>
        </w:rPr>
      </w:pPr>
      <w:r w:rsidRPr="00CD160A">
        <w:rPr>
          <w:rFonts w:asciiTheme="majorBidi" w:hAnsiTheme="majorBidi" w:cstheme="majorBidi"/>
          <w:noProof/>
          <w:szCs w:val="24"/>
          <w:lang w:eastAsia="fr-FR"/>
        </w:rPr>
        <mc:AlternateContent>
          <mc:Choice Requires="wps">
            <w:drawing>
              <wp:anchor distT="0" distB="0" distL="114300" distR="114300" simplePos="0" relativeHeight="251695104" behindDoc="0" locked="0" layoutInCell="1" allowOverlap="1" wp14:anchorId="7EBBEAFF" wp14:editId="0A3338B1">
                <wp:simplePos x="0" y="0"/>
                <wp:positionH relativeFrom="column">
                  <wp:posOffset>3738880</wp:posOffset>
                </wp:positionH>
                <wp:positionV relativeFrom="paragraph">
                  <wp:posOffset>128904</wp:posOffset>
                </wp:positionV>
                <wp:extent cx="1026160" cy="657225"/>
                <wp:effectExtent l="0" t="0" r="21590" b="28575"/>
                <wp:wrapNone/>
                <wp:docPr id="32" name="Ellipse 32"/>
                <wp:cNvGraphicFramePr/>
                <a:graphic xmlns:a="http://schemas.openxmlformats.org/drawingml/2006/main">
                  <a:graphicData uri="http://schemas.microsoft.com/office/word/2010/wordprocessingShape">
                    <wps:wsp>
                      <wps:cNvSpPr/>
                      <wps:spPr>
                        <a:xfrm>
                          <a:off x="0" y="0"/>
                          <a:ext cx="1026160" cy="65722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7C68BC"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Base de données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EBBEAFF" id="Ellipse 32" o:spid="_x0000_s1046" style="position:absolute;left:0;text-align:left;margin-left:294.4pt;margin-top:10.15pt;width:80.8pt;height:51.7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" filled="f" strokecolor="black [3213]" strokeweight="1pt">
                <v:stroke joinstyle="miter"/>
                <v:textbox>
                  <w:txbxContent>
                    <w:p w14:paraId="357C68BC"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Base de données</w:t>
                      </w:r>
                    </w:p>
                  </w:txbxContent>
                </v:textbox>
              </v:oval>
            </w:pict>
          </mc:Fallback>
        </mc:AlternateContent>
      </w:r>
      <w:r w:rsidRPr="00CD160A">
        <w:rPr>
          <w:rFonts w:asciiTheme="majorBidi" w:hAnsiTheme="majorBidi" w:cstheme="majorBidi"/>
          <w:noProof/>
          <w:szCs w:val="24"/>
          <w:lang w:eastAsia="fr-FR"/>
        </w:rPr>
        <mc:AlternateContent>
          <mc:Choice Requires="wps">
            <w:drawing>
              <wp:anchor distT="0" distB="0" distL="114300" distR="114300" simplePos="0" relativeHeight="251694080" behindDoc="0" locked="0" layoutInCell="1" allowOverlap="1" wp14:anchorId="2821E63D" wp14:editId="378A6BC8">
                <wp:simplePos x="0" y="0"/>
                <wp:positionH relativeFrom="column">
                  <wp:posOffset>1233805</wp:posOffset>
                </wp:positionH>
                <wp:positionV relativeFrom="paragraph">
                  <wp:posOffset>243204</wp:posOffset>
                </wp:positionV>
                <wp:extent cx="1026160" cy="619125"/>
                <wp:effectExtent l="0" t="0" r="21590" b="28575"/>
                <wp:wrapNone/>
                <wp:docPr id="31" name="Ellipse 31"/>
                <wp:cNvGraphicFramePr/>
                <a:graphic xmlns:a="http://schemas.openxmlformats.org/drawingml/2006/main">
                  <a:graphicData uri="http://schemas.microsoft.com/office/word/2010/wordprocessingShape">
                    <wps:wsp>
                      <wps:cNvSpPr/>
                      <wps:spPr>
                        <a:xfrm>
                          <a:off x="0" y="0"/>
                          <a:ext cx="1026160" cy="61912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742AC9"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Ressources humaines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821E63D" id="Ellipse 31" o:spid="_x0000_s1047" style="position:absolute;left:0;text-align:left;margin-left:97.15pt;margin-top:19.15pt;width:80.8pt;height:48.7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" filled="f" strokecolor="black [3213]" strokeweight="1pt">
                <v:stroke joinstyle="miter"/>
                <v:textbox>
                  <w:txbxContent>
                    <w:p w14:paraId="3C742AC9" w14:textId="77777777" w:rsidR="0095621A" w:rsidRPr="009E59E3" w:rsidRDefault="0095621A" w:rsidP="00B7491C">
                      <w:pPr>
                        <w:jc w:val="center"/>
                        <w:rPr>
                          <w:rFonts w:asciiTheme="majorBidi" w:hAnsiTheme="majorBidi" w:cstheme="majorBidi"/>
                          <w:color w:val="000000" w:themeColor="text1"/>
                          <w:sz w:val="18"/>
                          <w:szCs w:val="18"/>
                        </w:rPr>
                      </w:pPr>
                      <w:r w:rsidRPr="009E59E3">
                        <w:rPr>
                          <w:rFonts w:asciiTheme="majorBidi" w:hAnsiTheme="majorBidi" w:cstheme="majorBidi"/>
                          <w:color w:val="000000" w:themeColor="text1"/>
                          <w:sz w:val="18"/>
                          <w:szCs w:val="18"/>
                        </w:rPr>
                        <w:t>Ressources humaines</w:t>
                      </w:r>
                    </w:p>
                  </w:txbxContent>
                </v:textbox>
              </v:oval>
            </w:pict>
          </mc:Fallback>
        </mc:AlternateContent>
      </w:r>
      <w:r w:rsidR="002210A7" w:rsidRPr="00CD160A">
        <w:rPr>
          <w:rFonts w:asciiTheme="majorBidi" w:hAnsiTheme="majorBidi" w:cstheme="majorBidi"/>
          <w:noProof/>
          <w:szCs w:val="24"/>
          <w:lang w:eastAsia="fr-FR"/>
        </w:rPr>
        <mc:AlternateContent>
          <mc:Choice Requires="wps">
            <w:drawing>
              <wp:anchor distT="0" distB="0" distL="114300" distR="114300" simplePos="0" relativeHeight="251700224" behindDoc="0" locked="0" layoutInCell="1" allowOverlap="1" wp14:anchorId="09E49C9D" wp14:editId="2258F7F9">
                <wp:simplePos x="0" y="0"/>
                <wp:positionH relativeFrom="column">
                  <wp:posOffset>3328670</wp:posOffset>
                </wp:positionH>
                <wp:positionV relativeFrom="paragraph">
                  <wp:posOffset>39370</wp:posOffset>
                </wp:positionV>
                <wp:extent cx="389614" cy="326003"/>
                <wp:effectExtent l="38100" t="38100" r="29845" b="17145"/>
                <wp:wrapNone/>
                <wp:docPr id="37" name="Connecteur droit avec flèche 37"/>
                <wp:cNvGraphicFramePr/>
                <a:graphic xmlns:a="http://schemas.openxmlformats.org/drawingml/2006/main">
                  <a:graphicData uri="http://schemas.microsoft.com/office/word/2010/wordprocessingShape">
                    <wps:wsp>
                      <wps:cNvCnPr/>
                      <wps:spPr>
                        <a:xfrm flipH="1" flipV="1">
                          <a:off x="0" y="0"/>
                          <a:ext cx="389614" cy="3260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79A57DE" id="Connecteur droit avec flèche 37" o:spid="_x0000_s1026" type="#_x0000_t32" style="position:absolute;margin-left:262.1pt;margin-top:3.1pt;width:30.7pt;height:25.65pt;flip:x 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" strokecolor="black [3200]" strokeweight=".5pt">
                <v:stroke endarrow="block" joinstyle="miter"/>
              </v:shape>
            </w:pict>
          </mc:Fallback>
        </mc:AlternateContent>
      </w:r>
    </w:p>
    <w:p w14:paraId="4F9A3E28" w14:textId="77777777" w:rsidR="00232E3E" w:rsidRPr="00CD160A" w:rsidRDefault="00232E3E" w:rsidP="00CD160A">
      <w:pPr>
        <w:tabs>
          <w:tab w:val="left" w:pos="1302"/>
        </w:tabs>
        <w:jc w:val="both"/>
        <w:rPr>
          <w:rFonts w:asciiTheme="majorBidi" w:hAnsiTheme="majorBidi" w:cstheme="majorBidi"/>
          <w:szCs w:val="24"/>
        </w:rPr>
      </w:pPr>
    </w:p>
    <w:p w14:paraId="33B85D7C" w14:textId="77777777" w:rsidR="00664440" w:rsidRPr="00CD160A" w:rsidRDefault="00664440" w:rsidP="00CD160A">
      <w:pPr>
        <w:tabs>
          <w:tab w:val="left" w:pos="1302"/>
        </w:tabs>
        <w:jc w:val="both"/>
        <w:rPr>
          <w:rFonts w:asciiTheme="majorBidi" w:hAnsiTheme="majorBidi" w:cstheme="majorBidi"/>
          <w:szCs w:val="24"/>
        </w:rPr>
      </w:pPr>
    </w:p>
    <w:p w14:paraId="6B4F55E7" w14:textId="66B26254"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Source : </w:t>
      </w:r>
      <w:r w:rsidRPr="00CD160A">
        <w:rPr>
          <w:rFonts w:asciiTheme="majorBidi" w:hAnsiTheme="majorBidi" w:cstheme="majorBidi"/>
          <w:b/>
          <w:bCs/>
          <w:szCs w:val="24"/>
        </w:rPr>
        <w:t>REIX R., FALLERY B. &amp; KALIKA M.</w:t>
      </w:r>
      <w:r w:rsidRPr="00CD160A">
        <w:rPr>
          <w:rFonts w:asciiTheme="majorBidi" w:hAnsiTheme="majorBidi" w:cstheme="majorBidi"/>
          <w:szCs w:val="24"/>
        </w:rPr>
        <w:t xml:space="preserve">, </w:t>
      </w:r>
      <w:r w:rsidRPr="00CD160A">
        <w:rPr>
          <w:rFonts w:asciiTheme="majorBidi" w:hAnsiTheme="majorBidi" w:cstheme="majorBidi"/>
          <w:i/>
          <w:iCs/>
          <w:szCs w:val="24"/>
        </w:rPr>
        <w:t>Systèmes d'information et management</w:t>
      </w:r>
      <w:r w:rsidRPr="00CD160A">
        <w:rPr>
          <w:rFonts w:asciiTheme="majorBidi" w:hAnsiTheme="majorBidi" w:cstheme="majorBidi"/>
          <w:szCs w:val="24"/>
        </w:rPr>
        <w:t>, 7ᵉ éd., Paris, Vuibert, 2011.</w:t>
      </w:r>
    </w:p>
    <w:p w14:paraId="5D9F62CC" w14:textId="202FE9E9" w:rsidR="002210A7" w:rsidRPr="00CD160A" w:rsidRDefault="002A190B" w:rsidP="00CD160A">
      <w:pPr>
        <w:pStyle w:val="Titre3"/>
        <w:numPr>
          <w:ilvl w:val="1"/>
          <w:numId w:val="53"/>
        </w:numPr>
        <w:spacing w:line="360" w:lineRule="auto"/>
        <w:rPr>
          <w:rFonts w:asciiTheme="majorBidi" w:hAnsiTheme="majorBidi" w:cstheme="majorBidi"/>
          <w:szCs w:val="24"/>
        </w:rPr>
      </w:pPr>
      <w:r w:rsidRPr="00CD160A">
        <w:rPr>
          <w:rFonts w:asciiTheme="majorBidi" w:hAnsiTheme="majorBidi" w:cstheme="majorBidi"/>
          <w:szCs w:val="24"/>
        </w:rPr>
        <w:t xml:space="preserve"> </w:t>
      </w:r>
      <w:bookmarkStart w:id="34" w:name="_Toc199958805"/>
      <w:r w:rsidR="002210A7" w:rsidRPr="00CD160A">
        <w:rPr>
          <w:rFonts w:asciiTheme="majorBidi" w:hAnsiTheme="majorBidi" w:cstheme="majorBidi"/>
          <w:szCs w:val="24"/>
        </w:rPr>
        <w:t>Les activités principales du système d'information :</w:t>
      </w:r>
      <w:bookmarkEnd w:id="34"/>
      <w:r w:rsidR="002210A7" w:rsidRPr="00CD160A">
        <w:rPr>
          <w:rFonts w:asciiTheme="majorBidi" w:hAnsiTheme="majorBidi" w:cstheme="majorBidi"/>
          <w:szCs w:val="24"/>
        </w:rPr>
        <w:t xml:space="preserve"> </w:t>
      </w:r>
    </w:p>
    <w:p w14:paraId="469E0AE5"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Le système d'information est chargé d'exécuter des tâches essentielles pour atteindre les objectifs escomptés, qui se présentent comme suit</w:t>
      </w:r>
      <w:r w:rsidRPr="00CD160A">
        <w:rPr>
          <w:rStyle w:val="Appelnotedebasdep"/>
          <w:rFonts w:asciiTheme="majorBidi" w:hAnsiTheme="majorBidi" w:cstheme="majorBidi"/>
          <w:szCs w:val="24"/>
        </w:rPr>
        <w:footnoteReference w:id="7"/>
      </w:r>
      <w:r w:rsidRPr="00CD160A">
        <w:rPr>
          <w:rFonts w:asciiTheme="majorBidi" w:hAnsiTheme="majorBidi" w:cstheme="majorBidi"/>
          <w:szCs w:val="24"/>
        </w:rPr>
        <w:t xml:space="preserve"> :</w:t>
      </w:r>
    </w:p>
    <w:p w14:paraId="0FBFEC74" w14:textId="77777777" w:rsidR="002210A7" w:rsidRPr="00CD160A" w:rsidRDefault="002210A7" w:rsidP="00CD160A">
      <w:pPr>
        <w:tabs>
          <w:tab w:val="left" w:pos="1302"/>
        </w:tabs>
        <w:jc w:val="both"/>
        <w:rPr>
          <w:rFonts w:asciiTheme="majorBidi" w:hAnsiTheme="majorBidi" w:cstheme="majorBidi"/>
          <w:b/>
          <w:bCs/>
          <w:szCs w:val="24"/>
        </w:rPr>
      </w:pPr>
      <w:r w:rsidRPr="00CD160A">
        <w:rPr>
          <w:rFonts w:asciiTheme="majorBidi" w:hAnsiTheme="majorBidi" w:cstheme="majorBidi"/>
          <w:b/>
          <w:bCs/>
          <w:szCs w:val="24"/>
        </w:rPr>
        <w:t>• saisie des données :</w:t>
      </w:r>
    </w:p>
    <w:p w14:paraId="50DEDEBA" w14:textId="0B37EE1F"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 Le processus de collecte d'informations dans les systèmes d'information commence par l'identification des données essentielles pour le système, suivie de leur rassemblement à partir de diverses sources et enfin, leur intégration dans le système. Il est nécessaire de coder ces données </w:t>
      </w:r>
      <w:r w:rsidR="00C17170" w:rsidRPr="00CD160A">
        <w:rPr>
          <w:rFonts w:asciiTheme="majorBidi" w:hAnsiTheme="majorBidi" w:cstheme="majorBidi"/>
          <w:szCs w:val="24"/>
        </w:rPr>
        <w:t>de manière</w:t>
      </w:r>
      <w:r w:rsidR="005E33A6" w:rsidRPr="00CD160A">
        <w:rPr>
          <w:rFonts w:asciiTheme="majorBidi" w:hAnsiTheme="majorBidi" w:cstheme="majorBidi"/>
          <w:szCs w:val="24"/>
        </w:rPr>
        <w:t xml:space="preserve"> qu'elles soient accessibles à tous les utilisateurs, tout en garantissant leur précision et fiabilité.</w:t>
      </w:r>
    </w:p>
    <w:p w14:paraId="11137571"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 </w:t>
      </w:r>
      <w:r w:rsidRPr="00CD160A">
        <w:rPr>
          <w:rFonts w:asciiTheme="majorBidi" w:hAnsiTheme="majorBidi" w:cstheme="majorBidi"/>
          <w:b/>
          <w:bCs/>
          <w:szCs w:val="24"/>
        </w:rPr>
        <w:t>Sauvegarde</w:t>
      </w:r>
      <w:r w:rsidRPr="00CD160A">
        <w:rPr>
          <w:rFonts w:asciiTheme="majorBidi" w:hAnsiTheme="majorBidi" w:cstheme="majorBidi"/>
          <w:szCs w:val="24"/>
        </w:rPr>
        <w:t xml:space="preserve"> : </w:t>
      </w:r>
    </w:p>
    <w:p w14:paraId="328D2ACC" w14:textId="3261D516" w:rsidR="001F1C5D"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Les données ne sont stockées dans le système d'information que si elles sont préservées, pour être accessibles lorsqu'elles s'avèrent indispensables. </w:t>
      </w:r>
      <w:r w:rsidR="001F1C5D" w:rsidRPr="00CD160A">
        <w:rPr>
          <w:rFonts w:asciiTheme="majorBidi" w:hAnsiTheme="majorBidi" w:cstheme="majorBidi"/>
          <w:szCs w:val="24"/>
        </w:rPr>
        <w:t xml:space="preserve">Il est néanmoins crucial d'organiser les informations </w:t>
      </w:r>
      <w:r w:rsidR="00C17170" w:rsidRPr="00CD160A">
        <w:rPr>
          <w:rFonts w:asciiTheme="majorBidi" w:hAnsiTheme="majorBidi" w:cstheme="majorBidi"/>
          <w:szCs w:val="24"/>
        </w:rPr>
        <w:t>de manière</w:t>
      </w:r>
      <w:r w:rsidR="001F1C5D" w:rsidRPr="00CD160A">
        <w:rPr>
          <w:rFonts w:asciiTheme="majorBidi" w:hAnsiTheme="majorBidi" w:cstheme="majorBidi"/>
          <w:szCs w:val="24"/>
        </w:rPr>
        <w:t xml:space="preserve"> qu'elles soient à la fois accessibles et compréhensibles pour tous.</w:t>
      </w:r>
    </w:p>
    <w:p w14:paraId="6CAF972B"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b/>
          <w:bCs/>
          <w:szCs w:val="24"/>
        </w:rPr>
        <w:lastRenderedPageBreak/>
        <w:t>Traitement</w:t>
      </w:r>
      <w:r w:rsidRPr="00CD160A">
        <w:rPr>
          <w:rFonts w:asciiTheme="majorBidi" w:hAnsiTheme="majorBidi" w:cstheme="majorBidi"/>
          <w:szCs w:val="24"/>
        </w:rPr>
        <w:t xml:space="preserve"> : </w:t>
      </w:r>
    </w:p>
    <w:p w14:paraId="27473C44" w14:textId="77777777" w:rsidR="001F1C5D"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Les données sont traitées à travers un ensemble d'opérations afin de les convertir en informations pertinentes pour la prise de décisions. </w:t>
      </w:r>
      <w:r w:rsidR="001F1C5D" w:rsidRPr="00CD160A">
        <w:rPr>
          <w:rFonts w:asciiTheme="majorBidi" w:hAnsiTheme="majorBidi" w:cstheme="majorBidi"/>
          <w:szCs w:val="24"/>
        </w:rPr>
        <w:t>Trois éléments essentiels sont nécessaires pour ce processus :</w:t>
      </w:r>
    </w:p>
    <w:p w14:paraId="72DFC90D" w14:textId="77777777" w:rsidR="002210A7" w:rsidRPr="00CD160A" w:rsidRDefault="002210A7" w:rsidP="00CD160A">
      <w:pPr>
        <w:pStyle w:val="Paragraphedeliste"/>
        <w:numPr>
          <w:ilvl w:val="0"/>
          <w:numId w:val="116"/>
        </w:numPr>
        <w:tabs>
          <w:tab w:val="left" w:pos="1302"/>
        </w:tabs>
        <w:spacing w:line="360" w:lineRule="auto"/>
        <w:jc w:val="both"/>
        <w:rPr>
          <w:rFonts w:asciiTheme="majorBidi" w:hAnsiTheme="majorBidi" w:cstheme="majorBidi"/>
          <w:szCs w:val="24"/>
        </w:rPr>
      </w:pPr>
      <w:r w:rsidRPr="00CD160A">
        <w:rPr>
          <w:rFonts w:asciiTheme="majorBidi" w:hAnsiTheme="majorBidi" w:cstheme="majorBidi"/>
          <w:b/>
          <w:bCs/>
          <w:szCs w:val="24"/>
        </w:rPr>
        <w:t>Accessibilité des données</w:t>
      </w:r>
      <w:r w:rsidRPr="00CD160A">
        <w:rPr>
          <w:rFonts w:asciiTheme="majorBidi" w:hAnsiTheme="majorBidi" w:cstheme="majorBidi"/>
          <w:szCs w:val="24"/>
        </w:rPr>
        <w:t xml:space="preserve"> : cette procédure donne au gestionnaire la possibilité </w:t>
      </w:r>
      <w:r w:rsidR="0072662A" w:rsidRPr="00CD160A">
        <w:rPr>
          <w:rFonts w:asciiTheme="majorBidi" w:hAnsiTheme="majorBidi" w:cstheme="majorBidi"/>
          <w:szCs w:val="24"/>
        </w:rPr>
        <w:t>d'accéder de manière sélective aux données.</w:t>
      </w:r>
    </w:p>
    <w:p w14:paraId="0E30FB73" w14:textId="77777777" w:rsidR="002210A7" w:rsidRPr="00CD160A" w:rsidRDefault="002210A7" w:rsidP="00CD160A">
      <w:pPr>
        <w:numPr>
          <w:ilvl w:val="1"/>
          <w:numId w:val="34"/>
        </w:numPr>
        <w:tabs>
          <w:tab w:val="left" w:pos="1302"/>
        </w:tabs>
        <w:jc w:val="both"/>
        <w:rPr>
          <w:rFonts w:asciiTheme="majorBidi" w:hAnsiTheme="majorBidi" w:cstheme="majorBidi"/>
          <w:szCs w:val="24"/>
        </w:rPr>
      </w:pPr>
      <w:r w:rsidRPr="00CD160A">
        <w:rPr>
          <w:rFonts w:asciiTheme="majorBidi" w:hAnsiTheme="majorBidi" w:cstheme="majorBidi"/>
          <w:b/>
          <w:bCs/>
          <w:szCs w:val="24"/>
        </w:rPr>
        <w:t>Capacité à les formater sous différentes formes</w:t>
      </w:r>
      <w:r w:rsidRPr="00CD160A">
        <w:rPr>
          <w:rFonts w:asciiTheme="majorBidi" w:hAnsiTheme="majorBidi" w:cstheme="majorBidi"/>
          <w:szCs w:val="24"/>
        </w:rPr>
        <w:t xml:space="preserve"> : tels que des tableaux, des graphiques ou des textes.</w:t>
      </w:r>
    </w:p>
    <w:p w14:paraId="082B2AD8" w14:textId="77777777" w:rsidR="002210A7" w:rsidRPr="00CD160A" w:rsidRDefault="002210A7" w:rsidP="00CD160A">
      <w:pPr>
        <w:numPr>
          <w:ilvl w:val="1"/>
          <w:numId w:val="34"/>
        </w:numPr>
        <w:tabs>
          <w:tab w:val="left" w:pos="1302"/>
        </w:tabs>
        <w:jc w:val="both"/>
        <w:rPr>
          <w:rFonts w:asciiTheme="majorBidi" w:hAnsiTheme="majorBidi" w:cstheme="majorBidi"/>
          <w:szCs w:val="24"/>
        </w:rPr>
      </w:pPr>
      <w:r w:rsidRPr="00CD160A">
        <w:rPr>
          <w:rFonts w:asciiTheme="majorBidi" w:hAnsiTheme="majorBidi" w:cstheme="majorBidi"/>
          <w:b/>
          <w:bCs/>
          <w:szCs w:val="24"/>
        </w:rPr>
        <w:t>Utilisation</w:t>
      </w:r>
      <w:r w:rsidRPr="00CD160A">
        <w:rPr>
          <w:rFonts w:asciiTheme="majorBidi" w:hAnsiTheme="majorBidi" w:cstheme="majorBidi"/>
          <w:szCs w:val="24"/>
        </w:rPr>
        <w:t xml:space="preserve"> : Utiliser les informations de manière à ce qu'elles aient une valeur ajoutée pour le gestionnaire, en particulier pour la prise de décision, la planification, le contrôle, et la communication.</w:t>
      </w:r>
    </w:p>
    <w:p w14:paraId="7B175F8E" w14:textId="77777777" w:rsidR="002210A7" w:rsidRPr="00CD160A" w:rsidRDefault="002210A7" w:rsidP="00CD160A">
      <w:pPr>
        <w:pStyle w:val="Paragraphedeliste"/>
        <w:numPr>
          <w:ilvl w:val="0"/>
          <w:numId w:val="34"/>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b/>
          <w:bCs/>
          <w:szCs w:val="24"/>
        </w:rPr>
        <w:t>Communication</w:t>
      </w:r>
      <w:r w:rsidRPr="00CD160A">
        <w:rPr>
          <w:rFonts w:asciiTheme="majorBidi" w:hAnsiTheme="majorBidi" w:cstheme="majorBidi"/>
          <w:szCs w:val="24"/>
        </w:rPr>
        <w:t xml:space="preserve"> : </w:t>
      </w:r>
      <w:r w:rsidR="00B900FC" w:rsidRPr="00CD160A">
        <w:rPr>
          <w:rFonts w:asciiTheme="majorBidi" w:hAnsiTheme="majorBidi" w:cstheme="majorBidi"/>
          <w:szCs w:val="24"/>
        </w:rPr>
        <w:t>Il s'agit de la quatrième fonction d'un système d'information, destinée à garantir le flux d'informations entre les diverses sections de l'organisation.</w:t>
      </w:r>
    </w:p>
    <w:p w14:paraId="4AB9C88A" w14:textId="23209A22" w:rsidR="002210A7" w:rsidRPr="00CD160A" w:rsidRDefault="002210A7" w:rsidP="00CD160A">
      <w:pPr>
        <w:pStyle w:val="Titre2"/>
        <w:rPr>
          <w:rFonts w:asciiTheme="majorBidi" w:hAnsiTheme="majorBidi"/>
          <w:szCs w:val="24"/>
        </w:rPr>
      </w:pPr>
      <w:bookmarkStart w:id="35" w:name="_Toc199958806"/>
      <w:r w:rsidRPr="00CD160A">
        <w:rPr>
          <w:rFonts w:asciiTheme="majorBidi" w:hAnsiTheme="majorBidi"/>
          <w:szCs w:val="24"/>
        </w:rPr>
        <w:t>Définitions de systèmes d'information santé SIS :</w:t>
      </w:r>
      <w:bookmarkEnd w:id="35"/>
    </w:p>
    <w:p w14:paraId="544F3D02"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Il existe diverses definitions du système d'information santé, parmi lesquelles :</w:t>
      </w:r>
    </w:p>
    <w:p w14:paraId="7EE45E9F" w14:textId="77777777" w:rsidR="002210A7" w:rsidRPr="00CD160A" w:rsidRDefault="002210A7" w:rsidP="00CD160A">
      <w:pPr>
        <w:pStyle w:val="Paragraphedeliste"/>
        <w:numPr>
          <w:ilvl w:val="0"/>
          <w:numId w:val="33"/>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Un système d'information sanitaire est un mécanisme structuré pour la collecte, le stockage, l'analyse, la diffusion et l'exploitation des données sanitaires afin de soutenir la prise de décision à tous les niveaux du système de santé. Il est essentiel pour le suivi et l'évaluation des progrès dans le secteur de la santé, tout en allouant efficacement les ressources</w:t>
      </w:r>
      <w:r w:rsidRPr="00CD160A">
        <w:rPr>
          <w:rStyle w:val="Appelnotedebasdep"/>
          <w:rFonts w:asciiTheme="majorBidi" w:hAnsiTheme="majorBidi" w:cstheme="majorBidi"/>
          <w:szCs w:val="24"/>
        </w:rPr>
        <w:footnoteReference w:id="8"/>
      </w:r>
    </w:p>
    <w:p w14:paraId="4D4D36D2" w14:textId="77777777" w:rsidR="006A1A8D" w:rsidRPr="00CD160A" w:rsidRDefault="006A1A8D" w:rsidP="00CD160A">
      <w:pPr>
        <w:pStyle w:val="Paragraphedeliste"/>
        <w:numPr>
          <w:ilvl w:val="0"/>
          <w:numId w:val="33"/>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 La définition de l'Organisation mondiale de la santé (OMS) décrit cela comme la science qui acquiert, préserve, récupère et met en œuvre les connaissances et informations biomédicales pour améliorer les soins aux patients, l'éducation, la recherche et la gestion.</w:t>
      </w:r>
    </w:p>
    <w:p w14:paraId="263CEA10" w14:textId="77777777" w:rsidR="002210A7" w:rsidRPr="00CD160A" w:rsidRDefault="002210A7" w:rsidP="00CD160A">
      <w:pPr>
        <w:pStyle w:val="Paragraphedeliste"/>
        <w:numPr>
          <w:ilvl w:val="0"/>
          <w:numId w:val="33"/>
        </w:numPr>
        <w:tabs>
          <w:tab w:val="left" w:pos="1302"/>
        </w:tabs>
        <w:spacing w:after="160" w:line="360" w:lineRule="auto"/>
        <w:jc w:val="both"/>
        <w:rPr>
          <w:rFonts w:asciiTheme="majorBidi" w:hAnsiTheme="majorBidi" w:cstheme="majorBidi"/>
          <w:szCs w:val="24"/>
        </w:rPr>
      </w:pPr>
      <w:r w:rsidRPr="00CD160A">
        <w:rPr>
          <w:rFonts w:asciiTheme="majorBidi" w:hAnsiTheme="majorBidi" w:cstheme="majorBidi"/>
          <w:szCs w:val="24"/>
        </w:rPr>
        <w:t xml:space="preserve">Il a été défini comme des systèmes d'information constitués d'appareils, d'ordinateurs, de logiciels, de procédures et d'opérations conçus spécifiquement pour collecter, traiter, </w:t>
      </w:r>
      <w:r w:rsidRPr="00CD160A">
        <w:rPr>
          <w:rFonts w:asciiTheme="majorBidi" w:hAnsiTheme="majorBidi" w:cstheme="majorBidi"/>
          <w:szCs w:val="24"/>
        </w:rPr>
        <w:lastRenderedPageBreak/>
        <w:t>stocker et gérer des informations liées au domaine de la prestation de soins de santé afin de soutenir les décisions médicales administratives</w:t>
      </w:r>
      <w:r w:rsidRPr="00CD160A">
        <w:rPr>
          <w:rStyle w:val="Appelnotedebasdep"/>
          <w:rFonts w:asciiTheme="majorBidi" w:hAnsiTheme="majorBidi" w:cstheme="majorBidi"/>
          <w:szCs w:val="24"/>
        </w:rPr>
        <w:footnoteReference w:id="9"/>
      </w:r>
    </w:p>
    <w:p w14:paraId="424CF2A4" w14:textId="667120CD" w:rsidR="002210A7" w:rsidRPr="00CD160A" w:rsidRDefault="002210A7" w:rsidP="00CD160A">
      <w:pPr>
        <w:pStyle w:val="Titre2"/>
        <w:rPr>
          <w:rFonts w:asciiTheme="majorBidi" w:hAnsiTheme="majorBidi"/>
          <w:szCs w:val="24"/>
        </w:rPr>
      </w:pPr>
      <w:bookmarkStart w:id="36" w:name="_Toc199958807"/>
      <w:r w:rsidRPr="00CD160A">
        <w:rPr>
          <w:rFonts w:asciiTheme="majorBidi" w:hAnsiTheme="majorBidi"/>
          <w:szCs w:val="24"/>
        </w:rPr>
        <w:t>Objectifs du SIS :</w:t>
      </w:r>
      <w:bookmarkEnd w:id="36"/>
    </w:p>
    <w:p w14:paraId="1D0553D3" w14:textId="77777777" w:rsidR="002210A7" w:rsidRPr="00CD160A" w:rsidRDefault="002210A7" w:rsidP="00CD160A">
      <w:p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Les systèmes d'information en santé (SIS) ont pour mission de soutenir la performance des établissements de santé en assurant une gestion rigoureuse, intégrée et sécurisée des données médicales, administratives et financières. Ils représentent un outil stratégique pour répondre aux exigences croissantes en matière de qualité des soins, de maîtrise des coûts et de gouvernance hospitalière.</w:t>
      </w:r>
    </w:p>
    <w:p w14:paraId="706D7BBF" w14:textId="77777777" w:rsidR="002210A7" w:rsidRPr="00CD160A" w:rsidRDefault="002210A7" w:rsidP="00CD160A">
      <w:p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 xml:space="preserve">Les principaux objectifs des SIS sont les suivants </w:t>
      </w:r>
      <w:r w:rsidRPr="00CD160A">
        <w:rPr>
          <w:rStyle w:val="Appelnotedebasdep"/>
          <w:rFonts w:asciiTheme="majorBidi" w:eastAsia="Times New Roman" w:hAnsiTheme="majorBidi" w:cstheme="majorBidi"/>
          <w:szCs w:val="24"/>
          <w:lang w:eastAsia="fr-FR"/>
        </w:rPr>
        <w:footnoteReference w:id="10"/>
      </w:r>
      <w:r w:rsidRPr="00CD160A">
        <w:rPr>
          <w:rFonts w:asciiTheme="majorBidi" w:eastAsia="Times New Roman" w:hAnsiTheme="majorBidi" w:cstheme="majorBidi"/>
          <w:szCs w:val="24"/>
          <w:lang w:eastAsia="fr-FR"/>
        </w:rPr>
        <w:t>:</w:t>
      </w:r>
    </w:p>
    <w:p w14:paraId="06757F09" w14:textId="77777777" w:rsidR="002210A7" w:rsidRPr="00CD160A" w:rsidRDefault="002210A7" w:rsidP="00CD160A">
      <w:pPr>
        <w:numPr>
          <w:ilvl w:val="0"/>
          <w:numId w:val="95"/>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Améliorer la qualité et la continuité des soins, grâce à la centralisation et au partage d’informations fiables entre professionnels de santé ;</w:t>
      </w:r>
    </w:p>
    <w:p w14:paraId="64973836" w14:textId="77777777" w:rsidR="002210A7" w:rsidRPr="00CD160A" w:rsidRDefault="002210A7" w:rsidP="00CD160A">
      <w:pPr>
        <w:numPr>
          <w:ilvl w:val="0"/>
          <w:numId w:val="95"/>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Assurer la traçabilité des actes médicaux et la sécurisation des données sensibles du patient ;</w:t>
      </w:r>
    </w:p>
    <w:p w14:paraId="18545573" w14:textId="77777777" w:rsidR="002210A7" w:rsidRPr="00CD160A" w:rsidRDefault="002210A7" w:rsidP="00CD160A">
      <w:pPr>
        <w:numPr>
          <w:ilvl w:val="0"/>
          <w:numId w:val="95"/>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Soutenir la prise de décision médicale et managériale, via des indicateurs d’activité et des tableaux de bord en temps réel ;</w:t>
      </w:r>
    </w:p>
    <w:p w14:paraId="765ECA7B" w14:textId="77777777" w:rsidR="002210A7" w:rsidRPr="00CD160A" w:rsidRDefault="002210A7" w:rsidP="00CD160A">
      <w:pPr>
        <w:numPr>
          <w:ilvl w:val="0"/>
          <w:numId w:val="95"/>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Optimiser l’utilisation des ressources, qu’elles soient humaines, matérielles ou financières ;</w:t>
      </w:r>
    </w:p>
    <w:p w14:paraId="2D8AC93F" w14:textId="77777777" w:rsidR="002210A7" w:rsidRPr="00CD160A" w:rsidRDefault="002210A7" w:rsidP="00CD160A">
      <w:pPr>
        <w:numPr>
          <w:ilvl w:val="0"/>
          <w:numId w:val="95"/>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Renforcer la transparence, la responsabilité et la conformité réglementaire, notamment en lien avec le financement des établissements.</w:t>
      </w:r>
    </w:p>
    <w:p w14:paraId="40573367" w14:textId="77777777" w:rsidR="002210A7" w:rsidRPr="00CD160A" w:rsidRDefault="002210A7" w:rsidP="00CD160A">
      <w:p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Ces objectifs font des SIS un levier essentiel dans les politiques de modernisation hospitalière, en lien direct avec la performance, l’équité et l’efficience du système de santé.</w:t>
      </w:r>
    </w:p>
    <w:p w14:paraId="6C5BD520" w14:textId="77777777" w:rsidR="002210A7" w:rsidRPr="00CD160A" w:rsidRDefault="002210A7" w:rsidP="00CD160A">
      <w:pPr>
        <w:pStyle w:val="Titre1"/>
        <w:jc w:val="both"/>
        <w:rPr>
          <w:rFonts w:asciiTheme="majorBidi" w:hAnsiTheme="majorBidi"/>
          <w:sz w:val="24"/>
          <w:szCs w:val="24"/>
        </w:rPr>
      </w:pPr>
      <w:bookmarkStart w:id="37" w:name="_Toc199958808"/>
      <w:r w:rsidRPr="00CD160A">
        <w:rPr>
          <w:rFonts w:asciiTheme="majorBidi" w:hAnsiTheme="majorBidi"/>
          <w:sz w:val="24"/>
          <w:szCs w:val="24"/>
        </w:rPr>
        <w:t>Section2 : Le Système d’Information Hospitalier (SIH)</w:t>
      </w:r>
      <w:bookmarkEnd w:id="37"/>
      <w:r w:rsidRPr="00CD160A">
        <w:rPr>
          <w:rFonts w:asciiTheme="majorBidi" w:hAnsiTheme="majorBidi"/>
          <w:sz w:val="24"/>
          <w:szCs w:val="24"/>
        </w:rPr>
        <w:t> </w:t>
      </w:r>
    </w:p>
    <w:p w14:paraId="1A0C1D3F" w14:textId="77777777" w:rsidR="002210A7" w:rsidRPr="00CD160A" w:rsidRDefault="002210A7"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t>Après avoir posé les bases générales des systèmes d'information et de leur rôle dans le secteur de la santé</w:t>
      </w:r>
      <w:r w:rsidR="00BC0AF2" w:rsidRPr="00CD160A">
        <w:rPr>
          <w:rFonts w:asciiTheme="majorBidi" w:hAnsiTheme="majorBidi" w:cstheme="majorBidi"/>
          <w:szCs w:val="24"/>
        </w:rPr>
        <w:t xml:space="preserve"> il est primordial de se concentrer sur le Système d’Information Hospitalier. Ce dernier représente l'un des éléments organisationnels cruciaux des établissements de soins.</w:t>
      </w:r>
    </w:p>
    <w:p w14:paraId="5DCAADA9" w14:textId="77777777" w:rsidR="002210A7" w:rsidRPr="00CD160A" w:rsidRDefault="002210A7"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lastRenderedPageBreak/>
        <w:t>Le SIH regroupe l’ensemble des moyens techniques, humains et organisationnels permettant de gérer efficacement les informations médicales, administratives et logistiques au sein d’un hôpital.</w:t>
      </w:r>
    </w:p>
    <w:p w14:paraId="437519F1" w14:textId="77777777" w:rsidR="002210A7" w:rsidRPr="00CD160A" w:rsidRDefault="002210A7"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t>Dans cette section, nous reviendrons tout d’abord sur l’historique et les définitions du SIH, avant d’en présenter les objectifs, les principales composantes et ses fonctionnalités clés, telles que la gestion des dossiers patients, des ressources hospitalières, ainsi que l’aide à la décision clinique. Enfin, nous aborderons les facteurs qui facilitent l’implantation réussie de ce type de système dans les établissements de santé.</w:t>
      </w:r>
    </w:p>
    <w:p w14:paraId="7E70FB74" w14:textId="77777777" w:rsidR="002210A7" w:rsidRPr="00CD160A" w:rsidRDefault="002210A7" w:rsidP="00CD160A">
      <w:pPr>
        <w:tabs>
          <w:tab w:val="left" w:pos="1302"/>
        </w:tabs>
        <w:spacing w:after="0"/>
        <w:jc w:val="both"/>
        <w:rPr>
          <w:rFonts w:asciiTheme="majorBidi" w:hAnsiTheme="majorBidi" w:cstheme="majorBidi"/>
          <w:szCs w:val="24"/>
        </w:rPr>
      </w:pPr>
    </w:p>
    <w:p w14:paraId="4F6B873A" w14:textId="573E4DD9" w:rsidR="002210A7" w:rsidRPr="00CD160A" w:rsidRDefault="002210A7" w:rsidP="00CD160A">
      <w:pPr>
        <w:pStyle w:val="Titre2"/>
        <w:numPr>
          <w:ilvl w:val="1"/>
          <w:numId w:val="4"/>
        </w:numPr>
        <w:rPr>
          <w:rFonts w:asciiTheme="majorBidi" w:hAnsiTheme="majorBidi"/>
          <w:szCs w:val="24"/>
        </w:rPr>
      </w:pPr>
      <w:bookmarkStart w:id="38" w:name="_Toc199958809"/>
      <w:r w:rsidRPr="00CD160A">
        <w:rPr>
          <w:rFonts w:asciiTheme="majorBidi" w:hAnsiTheme="majorBidi"/>
          <w:szCs w:val="24"/>
        </w:rPr>
        <w:t>Historique du Système d’Information Hospitalier (SIH</w:t>
      </w:r>
      <w:r w:rsidR="00FF2506" w:rsidRPr="00CD160A">
        <w:rPr>
          <w:rFonts w:asciiTheme="majorBidi" w:hAnsiTheme="majorBidi"/>
          <w:szCs w:val="24"/>
        </w:rPr>
        <w:t>) :</w:t>
      </w:r>
      <w:bookmarkEnd w:id="38"/>
    </w:p>
    <w:p w14:paraId="6B2FA019" w14:textId="77777777" w:rsidR="002210A7" w:rsidRPr="00CD160A" w:rsidRDefault="002210A7"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t>L’évolution des systèmes d'information hospitaliers (SIH) est constamment ajustée en fonction des progrès technologiques et aux exigences de gestion des établissements de santé. Depuis les années 1960, diverses circulaires, plans ministériels et rapports institutionnels, notamment en France, ont joué un rôle déterminant dans la structuration et l'orientation de l'informatisation du secteur hospitalier.</w:t>
      </w:r>
    </w:p>
    <w:p w14:paraId="1D1DCBBB" w14:textId="77777777" w:rsidR="002210A7" w:rsidRPr="00CD160A" w:rsidRDefault="00F83B0E"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t xml:space="preserve">Les approches ont progressivement évolué, passant d'une structure verticale à une démarche horizontale, puis vers l'intégration des processus via des systèmes de plus en plus interconnectés et intelligents. </w:t>
      </w:r>
      <w:r w:rsidR="002210A7" w:rsidRPr="00CD160A">
        <w:rPr>
          <w:rFonts w:asciiTheme="majorBidi" w:hAnsiTheme="majorBidi" w:cstheme="majorBidi"/>
          <w:szCs w:val="24"/>
        </w:rPr>
        <w:t>Ces étapes ont constitué des jalons majeurs dans la conception actuelle des SIH, mettant en évidence l’importance de la coordination, de l’interopérabilité et de l’aide à la décision.</w:t>
      </w:r>
    </w:p>
    <w:p w14:paraId="1B1D8719" w14:textId="77777777" w:rsidR="002210A7" w:rsidRPr="00CD160A" w:rsidRDefault="002210A7" w:rsidP="00CD160A">
      <w:pPr>
        <w:tabs>
          <w:tab w:val="left" w:pos="1302"/>
        </w:tabs>
        <w:spacing w:after="0"/>
        <w:jc w:val="both"/>
        <w:rPr>
          <w:rFonts w:asciiTheme="majorBidi" w:hAnsiTheme="majorBidi" w:cstheme="majorBidi"/>
          <w:szCs w:val="24"/>
        </w:rPr>
      </w:pPr>
      <w:r w:rsidRPr="00CD160A">
        <w:rPr>
          <w:rFonts w:asciiTheme="majorBidi" w:hAnsiTheme="majorBidi" w:cstheme="majorBidi"/>
          <w:szCs w:val="24"/>
        </w:rPr>
        <w:t>Les principales circulaires qui ont façonné l'informatique hospitalière sont les suivantes</w:t>
      </w:r>
      <w:r w:rsidRPr="00CD160A">
        <w:rPr>
          <w:rStyle w:val="Appelnotedebasdep"/>
          <w:rFonts w:asciiTheme="majorBidi" w:hAnsiTheme="majorBidi" w:cstheme="majorBidi"/>
          <w:szCs w:val="24"/>
        </w:rPr>
        <w:footnoteReference w:id="11"/>
      </w:r>
      <w:r w:rsidRPr="00CD160A">
        <w:rPr>
          <w:rFonts w:asciiTheme="majorBidi" w:hAnsiTheme="majorBidi" w:cstheme="majorBidi"/>
          <w:szCs w:val="24"/>
        </w:rPr>
        <w:t xml:space="preserve"> :</w:t>
      </w:r>
    </w:p>
    <w:p w14:paraId="331DAEE3" w14:textId="77777777" w:rsidR="002210A7" w:rsidRPr="00CD160A" w:rsidRDefault="002210A7" w:rsidP="00CD160A">
      <w:pPr>
        <w:tabs>
          <w:tab w:val="left" w:pos="1302"/>
        </w:tabs>
        <w:spacing w:after="0"/>
        <w:jc w:val="both"/>
        <w:rPr>
          <w:rFonts w:asciiTheme="majorBidi" w:hAnsiTheme="majorBidi" w:cstheme="majorBidi"/>
          <w:szCs w:val="24"/>
        </w:rPr>
      </w:pPr>
    </w:p>
    <w:p w14:paraId="14CB0565" w14:textId="70C8C508" w:rsidR="002210A7" w:rsidRPr="00CD160A" w:rsidRDefault="00FF2506" w:rsidP="00CD160A">
      <w:pPr>
        <w:numPr>
          <w:ilvl w:val="0"/>
          <w:numId w:val="35"/>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 xml:space="preserve">Depuis les directives de 1950, le secteur de l'informatique a connu d'importantes transformations. Il y a une avancée notable dans les équipements informatiques en termes de vitesse, puissance, fiabilité et compacité. De nos jours, l'informatique est </w:t>
      </w:r>
      <w:proofErr w:type="gramStart"/>
      <w:r w:rsidR="00764884" w:rsidRPr="00CD160A">
        <w:rPr>
          <w:rFonts w:asciiTheme="majorBidi" w:hAnsiTheme="majorBidi" w:cstheme="majorBidi"/>
          <w:szCs w:val="24"/>
        </w:rPr>
        <w:t>employée</w:t>
      </w:r>
      <w:proofErr w:type="gramEnd"/>
      <w:r w:rsidRPr="00CD160A">
        <w:rPr>
          <w:rFonts w:asciiTheme="majorBidi" w:hAnsiTheme="majorBidi" w:cstheme="majorBidi"/>
          <w:szCs w:val="24"/>
        </w:rPr>
        <w:t xml:space="preserve"> dans tous les domaines professionnels ainsi que dans diverses applications personnelles. Les premiers systèmes d'information hospitaliers ont été mis en place principalement aux États-Unis et dans certains pays européens comme les Pays-Bas, la Suède ou la Suisse, au milieu des années 1960. Ce développement s'aligne sur la progression générale des technologies de l'information</w:t>
      </w:r>
      <w:r w:rsidR="002210A7" w:rsidRPr="00CD160A">
        <w:rPr>
          <w:rFonts w:asciiTheme="majorBidi" w:hAnsiTheme="majorBidi" w:cstheme="majorBidi"/>
          <w:szCs w:val="24"/>
        </w:rPr>
        <w:t>.</w:t>
      </w:r>
    </w:p>
    <w:p w14:paraId="4B9ABFBE" w14:textId="77777777" w:rsidR="002210A7" w:rsidRPr="00CD160A" w:rsidRDefault="002210A7" w:rsidP="00CD160A">
      <w:pPr>
        <w:numPr>
          <w:ilvl w:val="0"/>
          <w:numId w:val="35"/>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lastRenderedPageBreak/>
        <w:t>Circulaires du 1970, Selon l'approche verticale du SIH exposée dans les circulaires de 1970, qui a été adoptée en France, l'objectif est d'ajuster les applications aux structures de l'hôpital. Dans les années 80, le SIH selon une approche horizontale et par processus, l’approche horizontale consiste à individualiser les processus devant faire l’objet d’une informatisation. Si le nombre de processus à informatiser reste faible, le nombre d’interfaces à réaliser est maîtrisé.</w:t>
      </w:r>
    </w:p>
    <w:p w14:paraId="0ABAC3E1" w14:textId="77777777" w:rsidR="002210A7" w:rsidRPr="00CD160A" w:rsidRDefault="002210A7" w:rsidP="00CD160A">
      <w:pPr>
        <w:numPr>
          <w:ilvl w:val="0"/>
          <w:numId w:val="35"/>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 xml:space="preserve">Circulaires du 1990, </w:t>
      </w:r>
      <w:r w:rsidR="00FF2506" w:rsidRPr="00CD160A">
        <w:rPr>
          <w:rFonts w:asciiTheme="majorBidi" w:hAnsiTheme="majorBidi" w:cstheme="majorBidi"/>
          <w:szCs w:val="24"/>
        </w:rPr>
        <w:t>Selon une approche mixte définie, le SIH consiste de manière simplifiée</w:t>
      </w:r>
      <w:r w:rsidRPr="00CD160A">
        <w:rPr>
          <w:rFonts w:asciiTheme="majorBidi" w:hAnsiTheme="majorBidi" w:cstheme="majorBidi"/>
          <w:szCs w:val="24"/>
        </w:rPr>
        <w:t>, à suivre une approche horizontale pour les unités de soins et verticale pour les plateaux techniques. Cette approche a souvent été utilisée dans les années 90, afin de pouvoir informatiser les plateaux de radiologie en premier dans les hôpitaux.</w:t>
      </w:r>
    </w:p>
    <w:p w14:paraId="39F938C6" w14:textId="77777777" w:rsidR="002210A7" w:rsidRPr="00CD160A" w:rsidRDefault="002210A7" w:rsidP="00CD160A">
      <w:pPr>
        <w:numPr>
          <w:ilvl w:val="0"/>
          <w:numId w:val="35"/>
        </w:numPr>
        <w:tabs>
          <w:tab w:val="left" w:pos="1302"/>
        </w:tabs>
        <w:spacing w:after="0"/>
        <w:jc w:val="both"/>
        <w:rPr>
          <w:rFonts w:asciiTheme="majorBidi" w:hAnsiTheme="majorBidi" w:cstheme="majorBidi"/>
          <w:szCs w:val="24"/>
        </w:rPr>
      </w:pPr>
      <w:r w:rsidRPr="00CD160A">
        <w:rPr>
          <w:rFonts w:asciiTheme="majorBidi" w:hAnsiTheme="majorBidi" w:cstheme="majorBidi"/>
          <w:szCs w:val="24"/>
        </w:rPr>
        <w:t xml:space="preserve">Selon les circulaires du 2000, le Système d'Information Hospitalier (SIH) évolue vers une approche intégrée, devenant ainsi plus efficace et surtout plus collaboratif. On parle d'approche intégrée parce que les modules interagissent entre eux et sont unifiés en un seul système. Les interfaces sont diminuées puisque les SIH sont, dans la mesure du possible, intégrés à un seul et même système. </w:t>
      </w:r>
      <w:r w:rsidR="00FF2506" w:rsidRPr="00CD160A">
        <w:rPr>
          <w:rFonts w:asciiTheme="majorBidi" w:hAnsiTheme="majorBidi" w:cstheme="majorBidi"/>
          <w:szCs w:val="24"/>
        </w:rPr>
        <w:t>L'idée de fournir un appui pour la prise de décision commence à faire surface vers le milieu des années 2000.</w:t>
      </w:r>
    </w:p>
    <w:p w14:paraId="2903D9F3" w14:textId="77777777" w:rsidR="002210A7" w:rsidRPr="00CD160A" w:rsidRDefault="002210A7" w:rsidP="00CD160A">
      <w:pPr>
        <w:numPr>
          <w:ilvl w:val="0"/>
          <w:numId w:val="35"/>
        </w:numPr>
        <w:tabs>
          <w:tab w:val="left" w:pos="1302"/>
        </w:tabs>
        <w:spacing w:after="0"/>
        <w:jc w:val="both"/>
        <w:rPr>
          <w:rFonts w:asciiTheme="majorBidi" w:hAnsiTheme="majorBidi" w:cstheme="majorBidi"/>
          <w:b/>
          <w:bCs/>
          <w:szCs w:val="24"/>
          <w:u w:val="single"/>
        </w:rPr>
      </w:pPr>
      <w:r w:rsidRPr="00CD160A">
        <w:rPr>
          <w:rFonts w:asciiTheme="majorBidi" w:hAnsiTheme="majorBidi" w:cstheme="majorBidi"/>
          <w:szCs w:val="24"/>
        </w:rPr>
        <w:t>Circulaires d’après les années 2000, les systèmes d'aide à la décision ont été intégrés aux systèmes d'information, en conformité avec la mise en application des circulaires post-2000.</w:t>
      </w:r>
    </w:p>
    <w:p w14:paraId="13CD06D6" w14:textId="77777777" w:rsidR="002210A7" w:rsidRPr="00CD160A" w:rsidRDefault="002210A7" w:rsidP="00CD160A">
      <w:pPr>
        <w:tabs>
          <w:tab w:val="left" w:pos="1302"/>
        </w:tabs>
        <w:spacing w:after="0"/>
        <w:jc w:val="both"/>
        <w:rPr>
          <w:rFonts w:asciiTheme="majorBidi" w:hAnsiTheme="majorBidi" w:cstheme="majorBidi"/>
          <w:b/>
          <w:bCs/>
          <w:szCs w:val="24"/>
          <w:u w:val="single"/>
        </w:rPr>
      </w:pPr>
    </w:p>
    <w:p w14:paraId="3B8C0520" w14:textId="15301605" w:rsidR="002210A7" w:rsidRPr="00CD160A" w:rsidRDefault="002210A7" w:rsidP="00CD160A">
      <w:pPr>
        <w:pStyle w:val="Titre2"/>
        <w:numPr>
          <w:ilvl w:val="1"/>
          <w:numId w:val="4"/>
        </w:numPr>
        <w:rPr>
          <w:rFonts w:asciiTheme="majorBidi" w:hAnsiTheme="majorBidi"/>
          <w:szCs w:val="24"/>
        </w:rPr>
      </w:pPr>
      <w:bookmarkStart w:id="39" w:name="_Toc199958810"/>
      <w:r w:rsidRPr="00CD160A">
        <w:rPr>
          <w:rFonts w:asciiTheme="majorBidi" w:hAnsiTheme="majorBidi"/>
          <w:szCs w:val="24"/>
        </w:rPr>
        <w:t>Définitions du Système d’Information Hospitalier (SIH) :</w:t>
      </w:r>
      <w:bookmarkEnd w:id="39"/>
    </w:p>
    <w:p w14:paraId="05AD7E1C"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Différents auteurs et institutions ont proposé diverses définitions du système d'information hospitalier (SIH), chacun mettant en avant des aspects spécifiques de son importance et de ses attributions au sein des établissements hospitaliers :</w:t>
      </w:r>
    </w:p>
    <w:p w14:paraId="6BCBB7B5" w14:textId="49390206" w:rsidR="002210A7" w:rsidRPr="00CD160A" w:rsidRDefault="002210A7" w:rsidP="00CD160A">
      <w:pPr>
        <w:numPr>
          <w:ilvl w:val="0"/>
          <w:numId w:val="33"/>
        </w:numPr>
        <w:spacing w:after="0"/>
        <w:contextualSpacing/>
        <w:jc w:val="both"/>
        <w:rPr>
          <w:rFonts w:asciiTheme="majorBidi" w:hAnsiTheme="majorBidi" w:cstheme="majorBidi"/>
          <w:szCs w:val="24"/>
        </w:rPr>
      </w:pPr>
      <w:r w:rsidRPr="00CD160A">
        <w:rPr>
          <w:rFonts w:asciiTheme="majorBidi" w:hAnsiTheme="majorBidi" w:cstheme="majorBidi"/>
          <w:szCs w:val="24"/>
        </w:rPr>
        <w:t xml:space="preserve">D'après le </w:t>
      </w:r>
      <w:r w:rsidR="00764884" w:rsidRPr="00CD160A">
        <w:rPr>
          <w:rFonts w:asciiTheme="majorBidi" w:hAnsiTheme="majorBidi" w:cstheme="majorBidi"/>
          <w:szCs w:val="24"/>
        </w:rPr>
        <w:t>ministère</w:t>
      </w:r>
      <w:r w:rsidRPr="00CD160A">
        <w:rPr>
          <w:rFonts w:asciiTheme="majorBidi" w:hAnsiTheme="majorBidi" w:cstheme="majorBidi"/>
          <w:szCs w:val="24"/>
        </w:rPr>
        <w:t xml:space="preserve"> de la Santé en France </w:t>
      </w:r>
      <w:r w:rsidRPr="00CD160A">
        <w:rPr>
          <w:rFonts w:asciiTheme="majorBidi" w:eastAsia="Times New Roman" w:hAnsiTheme="majorBidi" w:cstheme="majorBidi"/>
          <w:szCs w:val="24"/>
          <w:lang w:eastAsia="fr-FR"/>
        </w:rPr>
        <w:t xml:space="preserve">Le système d'information hospitalier se définit comme la totalité des informations, de leurs règles de circulation et de traitement nécessaires à son fonctionnement quotidien, à ses modes de gestion et d'évaluation ainsi qu'à son processus de décision stratégique. </w:t>
      </w:r>
      <w:r w:rsidRPr="00CD160A">
        <w:rPr>
          <w:rFonts w:asciiTheme="majorBidi" w:hAnsiTheme="majorBidi" w:cstheme="majorBidi"/>
          <w:szCs w:val="24"/>
        </w:rPr>
        <w:t>Le SIH fait partie intégrante du Système d'Information de santé.</w:t>
      </w:r>
      <w:r w:rsidRPr="00CD160A">
        <w:rPr>
          <w:rStyle w:val="Appelnotedebasdep"/>
          <w:rFonts w:asciiTheme="majorBidi" w:hAnsiTheme="majorBidi" w:cstheme="majorBidi"/>
          <w:szCs w:val="24"/>
        </w:rPr>
        <w:footnoteReference w:id="12"/>
      </w:r>
    </w:p>
    <w:p w14:paraId="7F9A78AE" w14:textId="77777777" w:rsidR="002210A7" w:rsidRPr="00CD160A" w:rsidRDefault="002210A7" w:rsidP="00CD160A">
      <w:pPr>
        <w:spacing w:after="0"/>
        <w:contextualSpacing/>
        <w:jc w:val="both"/>
        <w:rPr>
          <w:rFonts w:asciiTheme="majorBidi" w:hAnsiTheme="majorBidi" w:cstheme="majorBidi"/>
          <w:szCs w:val="24"/>
        </w:rPr>
      </w:pPr>
    </w:p>
    <w:p w14:paraId="6414965C" w14:textId="77777777" w:rsidR="002210A7" w:rsidRPr="00CD160A" w:rsidRDefault="002210A7" w:rsidP="00CD160A">
      <w:pPr>
        <w:numPr>
          <w:ilvl w:val="0"/>
          <w:numId w:val="33"/>
        </w:numPr>
        <w:jc w:val="both"/>
        <w:rPr>
          <w:rFonts w:asciiTheme="majorBidi" w:hAnsiTheme="majorBidi" w:cstheme="majorBidi"/>
          <w:szCs w:val="24"/>
        </w:rPr>
      </w:pPr>
      <w:r w:rsidRPr="00CD160A">
        <w:rPr>
          <w:rFonts w:asciiTheme="majorBidi" w:hAnsiTheme="majorBidi" w:cstheme="majorBidi"/>
          <w:szCs w:val="24"/>
        </w:rPr>
        <w:lastRenderedPageBreak/>
        <w:t xml:space="preserve">Gérard </w:t>
      </w:r>
      <w:proofErr w:type="spellStart"/>
      <w:r w:rsidRPr="00CD160A">
        <w:rPr>
          <w:rFonts w:asciiTheme="majorBidi" w:hAnsiTheme="majorBidi" w:cstheme="majorBidi"/>
          <w:szCs w:val="24"/>
        </w:rPr>
        <w:t>Ponçon</w:t>
      </w:r>
      <w:proofErr w:type="spellEnd"/>
      <w:r w:rsidRPr="00CD160A">
        <w:rPr>
          <w:rFonts w:asciiTheme="majorBidi" w:hAnsiTheme="majorBidi" w:cstheme="majorBidi"/>
          <w:szCs w:val="24"/>
        </w:rPr>
        <w:t>, donne la définition suivante : « Le système d'information hospitalier est inséré dans l'organisation "hôpital" en perpétuelle évolution; il est capable, selon des règles et modes opératoires prédéfinis, d'acquérir des données, de les évaluer, de les traiter par des outils informatiques ou organisationnels, de distribuer des informations contenant une forte valeur ajoutée à tous les partenaires internes ou externes de l'établissement, collaborant à une œuvre commune orientée vers un but spécifique, à savoir la prise en charge d'un patient et le rétablissement de celui-ci »</w:t>
      </w:r>
      <w:r w:rsidRPr="00CD160A">
        <w:rPr>
          <w:rStyle w:val="Appelnotedebasdep"/>
          <w:rFonts w:asciiTheme="majorBidi" w:hAnsiTheme="majorBidi" w:cstheme="majorBidi"/>
          <w:szCs w:val="24"/>
        </w:rPr>
        <w:footnoteReference w:id="13"/>
      </w:r>
    </w:p>
    <w:p w14:paraId="1922D5E9" w14:textId="77777777" w:rsidR="002210A7" w:rsidRPr="00CD160A" w:rsidRDefault="002210A7" w:rsidP="00CD160A">
      <w:pPr>
        <w:numPr>
          <w:ilvl w:val="0"/>
          <w:numId w:val="33"/>
        </w:numPr>
        <w:spacing w:after="0"/>
        <w:contextualSpacing/>
        <w:jc w:val="both"/>
        <w:rPr>
          <w:rFonts w:asciiTheme="majorBidi" w:hAnsiTheme="majorBidi" w:cstheme="majorBidi"/>
          <w:szCs w:val="24"/>
        </w:rPr>
      </w:pPr>
      <w:r w:rsidRPr="00CD160A">
        <w:rPr>
          <w:rFonts w:asciiTheme="majorBidi" w:hAnsiTheme="majorBidi" w:cstheme="majorBidi"/>
          <w:szCs w:val="24"/>
        </w:rPr>
        <w:t xml:space="preserve">Et pour </w:t>
      </w:r>
      <w:proofErr w:type="spellStart"/>
      <w:r w:rsidRPr="00CD160A">
        <w:rPr>
          <w:rFonts w:asciiTheme="majorBidi" w:hAnsiTheme="majorBidi" w:cstheme="majorBidi"/>
          <w:szCs w:val="24"/>
        </w:rPr>
        <w:t>Degoulet</w:t>
      </w:r>
      <w:proofErr w:type="spellEnd"/>
      <w:r w:rsidRPr="00CD160A">
        <w:rPr>
          <w:rFonts w:asciiTheme="majorBidi" w:hAnsiTheme="majorBidi" w:cstheme="majorBidi"/>
          <w:szCs w:val="24"/>
        </w:rPr>
        <w:t>, « le Système d’Information Hospitalier (SIH) peut être défini : « Comme un système informatique destiné à faciliter la gestion de l’ensemble des informations médicales et administratives d’un hôpital »</w:t>
      </w:r>
      <w:r w:rsidRPr="00CD160A">
        <w:rPr>
          <w:rStyle w:val="Appelnotedebasdep"/>
          <w:rFonts w:asciiTheme="majorBidi" w:hAnsiTheme="majorBidi" w:cstheme="majorBidi"/>
          <w:szCs w:val="24"/>
        </w:rPr>
        <w:footnoteReference w:id="14"/>
      </w:r>
    </w:p>
    <w:p w14:paraId="6DC7BEC6" w14:textId="77777777" w:rsidR="002210A7" w:rsidRPr="00CD160A" w:rsidRDefault="002210A7" w:rsidP="00CD160A">
      <w:pPr>
        <w:spacing w:after="0"/>
        <w:ind w:left="360"/>
        <w:contextualSpacing/>
        <w:jc w:val="both"/>
        <w:rPr>
          <w:rFonts w:asciiTheme="majorBidi" w:hAnsiTheme="majorBidi" w:cstheme="majorBidi"/>
          <w:b/>
          <w:bCs/>
          <w:szCs w:val="24"/>
          <w:u w:val="single"/>
        </w:rPr>
      </w:pPr>
    </w:p>
    <w:p w14:paraId="22EE9C41" w14:textId="34AA26E7" w:rsidR="002210A7" w:rsidRPr="00CD160A" w:rsidRDefault="002210A7" w:rsidP="00CD160A">
      <w:pPr>
        <w:pStyle w:val="Titre2"/>
        <w:numPr>
          <w:ilvl w:val="1"/>
          <w:numId w:val="4"/>
        </w:numPr>
        <w:rPr>
          <w:rFonts w:asciiTheme="majorBidi" w:hAnsiTheme="majorBidi"/>
          <w:szCs w:val="24"/>
        </w:rPr>
      </w:pPr>
      <w:bookmarkStart w:id="40" w:name="_Toc199958811"/>
      <w:r w:rsidRPr="00CD160A">
        <w:rPr>
          <w:rFonts w:asciiTheme="majorBidi" w:hAnsiTheme="majorBidi"/>
          <w:szCs w:val="24"/>
        </w:rPr>
        <w:t>Objectif du Système d’Information Hospitalier (SIH)</w:t>
      </w:r>
      <w:bookmarkEnd w:id="40"/>
    </w:p>
    <w:p w14:paraId="36ED39DD"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L'importance du système d'information à l'hôpital, se manifeste comme suit</w:t>
      </w:r>
      <w:r w:rsidRPr="00CD160A">
        <w:rPr>
          <w:rStyle w:val="Appelnotedebasdep"/>
          <w:rFonts w:asciiTheme="majorBidi" w:hAnsiTheme="majorBidi" w:cstheme="majorBidi"/>
          <w:szCs w:val="24"/>
        </w:rPr>
        <w:footnoteReference w:id="15"/>
      </w:r>
      <w:r w:rsidRPr="00CD160A">
        <w:rPr>
          <w:rFonts w:asciiTheme="majorBidi" w:hAnsiTheme="majorBidi" w:cstheme="majorBidi"/>
          <w:szCs w:val="24"/>
        </w:rPr>
        <w:t xml:space="preserve"> :</w:t>
      </w:r>
    </w:p>
    <w:p w14:paraId="154234F3" w14:textId="77777777" w:rsidR="00B65858" w:rsidRPr="00CD160A" w:rsidRDefault="00B65858" w:rsidP="00CD160A">
      <w:pPr>
        <w:pStyle w:val="Paragraphedeliste"/>
        <w:numPr>
          <w:ilvl w:val="0"/>
          <w:numId w:val="48"/>
        </w:numPr>
        <w:spacing w:after="160" w:line="360" w:lineRule="auto"/>
        <w:jc w:val="both"/>
        <w:rPr>
          <w:rFonts w:asciiTheme="majorBidi" w:hAnsiTheme="majorBidi" w:cstheme="majorBidi"/>
          <w:szCs w:val="24"/>
        </w:rPr>
      </w:pPr>
      <w:r w:rsidRPr="00CD160A">
        <w:rPr>
          <w:rFonts w:asciiTheme="majorBidi" w:hAnsiTheme="majorBidi" w:cstheme="majorBidi"/>
          <w:szCs w:val="24"/>
        </w:rPr>
        <w:t>Amélioration de la qualité des soins médicaux fournis aux patients, diminution des erreurs médicales, et assurance du respect des protocoles, procédures et interventions médicales pour chaque patient.</w:t>
      </w:r>
    </w:p>
    <w:p w14:paraId="27F612EA" w14:textId="77777777" w:rsidR="00B65858" w:rsidRPr="00CD160A" w:rsidRDefault="00B65858" w:rsidP="00CD160A">
      <w:pPr>
        <w:pStyle w:val="Paragraphedeliste"/>
        <w:numPr>
          <w:ilvl w:val="0"/>
          <w:numId w:val="48"/>
        </w:numPr>
        <w:spacing w:after="160" w:line="360" w:lineRule="auto"/>
        <w:jc w:val="both"/>
        <w:rPr>
          <w:rFonts w:asciiTheme="majorBidi" w:hAnsiTheme="majorBidi" w:cstheme="majorBidi"/>
          <w:szCs w:val="24"/>
        </w:rPr>
      </w:pPr>
      <w:r w:rsidRPr="00CD160A">
        <w:rPr>
          <w:rFonts w:asciiTheme="majorBidi" w:hAnsiTheme="majorBidi" w:cstheme="majorBidi"/>
          <w:szCs w:val="24"/>
        </w:rPr>
        <w:t>Diminution de la charge de travail pour les utilisateurs tout en boostant leur productivité.</w:t>
      </w:r>
    </w:p>
    <w:p w14:paraId="26405D2C" w14:textId="77777777" w:rsidR="002210A7" w:rsidRPr="00CD160A" w:rsidRDefault="002210A7" w:rsidP="00CD160A">
      <w:pPr>
        <w:pStyle w:val="Paragraphedeliste"/>
        <w:numPr>
          <w:ilvl w:val="0"/>
          <w:numId w:val="48"/>
        </w:numPr>
        <w:spacing w:after="160" w:line="360" w:lineRule="auto"/>
        <w:jc w:val="both"/>
        <w:rPr>
          <w:rFonts w:asciiTheme="majorBidi" w:hAnsiTheme="majorBidi" w:cstheme="majorBidi"/>
          <w:szCs w:val="24"/>
        </w:rPr>
      </w:pPr>
      <w:r w:rsidRPr="00CD160A">
        <w:rPr>
          <w:rFonts w:asciiTheme="majorBidi" w:hAnsiTheme="majorBidi" w:cstheme="majorBidi"/>
          <w:szCs w:val="24"/>
        </w:rPr>
        <w:t>Suivi des indicateurs de santé prédéfinis, utilisation des rapports périodiques pour la prise de décision par la direction de l’hôpital et la direction générale, et élaboration des politiques de gestion, techniques et de développement de l’établissement médical.</w:t>
      </w:r>
    </w:p>
    <w:p w14:paraId="0E432360" w14:textId="77777777" w:rsidR="002210A7" w:rsidRPr="00CD160A" w:rsidRDefault="002210A7" w:rsidP="00CD160A">
      <w:pPr>
        <w:pStyle w:val="Paragraphedeliste"/>
        <w:numPr>
          <w:ilvl w:val="0"/>
          <w:numId w:val="48"/>
        </w:numPr>
        <w:spacing w:after="160" w:line="360" w:lineRule="auto"/>
        <w:jc w:val="both"/>
        <w:rPr>
          <w:rFonts w:asciiTheme="majorBidi" w:hAnsiTheme="majorBidi" w:cstheme="majorBidi"/>
          <w:szCs w:val="24"/>
        </w:rPr>
      </w:pPr>
      <w:r w:rsidRPr="00CD160A">
        <w:rPr>
          <w:rFonts w:asciiTheme="majorBidi" w:hAnsiTheme="majorBidi" w:cstheme="majorBidi"/>
          <w:szCs w:val="24"/>
        </w:rPr>
        <w:t>Réduction du temps consacré aux tâches manuelles ou papier, permettant ainsi aux prestataires de soins de se concentrer sur la qualité et la rapidité des services fournis.</w:t>
      </w:r>
    </w:p>
    <w:p w14:paraId="40B0CACE" w14:textId="77777777" w:rsidR="002210A7" w:rsidRPr="00CD160A" w:rsidRDefault="002210A7" w:rsidP="00CD160A">
      <w:pPr>
        <w:pStyle w:val="Paragraphedeliste"/>
        <w:numPr>
          <w:ilvl w:val="0"/>
          <w:numId w:val="48"/>
        </w:numPr>
        <w:spacing w:after="160" w:line="360" w:lineRule="auto"/>
        <w:jc w:val="both"/>
        <w:rPr>
          <w:rFonts w:asciiTheme="majorBidi" w:hAnsiTheme="majorBidi" w:cstheme="majorBidi"/>
          <w:szCs w:val="24"/>
        </w:rPr>
      </w:pPr>
      <w:r w:rsidRPr="00CD160A">
        <w:rPr>
          <w:rFonts w:asciiTheme="majorBidi" w:hAnsiTheme="majorBidi" w:cstheme="majorBidi"/>
          <w:szCs w:val="24"/>
        </w:rPr>
        <w:t xml:space="preserve">Maîtrise des dépenses grâce à la surveillance de toutes les procédures à l’hôpital : avec un système d’information administratif solide, il n’y a pas de place pour l’improvisation, car toutes les opérations sont rigoureusement documentées, suivies et enregistrées, depuis </w:t>
      </w:r>
      <w:r w:rsidRPr="00CD160A">
        <w:rPr>
          <w:rFonts w:asciiTheme="majorBidi" w:hAnsiTheme="majorBidi" w:cstheme="majorBidi"/>
          <w:szCs w:val="24"/>
        </w:rPr>
        <w:lastRenderedPageBreak/>
        <w:t>l’examen clinique initial jusqu’à l’utilisation des installations et équipements, en passant par la délivrance des médicaments et la sortie de l’hôpital.</w:t>
      </w:r>
    </w:p>
    <w:p w14:paraId="59610BC3" w14:textId="77777777" w:rsidR="002210A7" w:rsidRPr="00CD160A" w:rsidRDefault="00B65858" w:rsidP="00CD160A">
      <w:pPr>
        <w:pStyle w:val="Paragraphedeliste"/>
        <w:numPr>
          <w:ilvl w:val="0"/>
          <w:numId w:val="48"/>
        </w:numPr>
        <w:spacing w:after="160" w:line="360" w:lineRule="auto"/>
        <w:jc w:val="both"/>
        <w:rPr>
          <w:rFonts w:asciiTheme="majorBidi" w:hAnsiTheme="majorBidi" w:cstheme="majorBidi"/>
          <w:szCs w:val="24"/>
        </w:rPr>
      </w:pPr>
      <w:r w:rsidRPr="00CD160A">
        <w:rPr>
          <w:rFonts w:asciiTheme="majorBidi" w:hAnsiTheme="majorBidi" w:cstheme="majorBidi"/>
          <w:szCs w:val="24"/>
        </w:rPr>
        <w:t>Contribution à la fourniture de soins précis au patient, grâce à un accès constant aux dossiers médicaux électroniques qui sont fréquemment actualisés.</w:t>
      </w:r>
    </w:p>
    <w:p w14:paraId="7B0D2A41"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Selon </w:t>
      </w:r>
      <w:proofErr w:type="spellStart"/>
      <w:r w:rsidRPr="00CD160A">
        <w:rPr>
          <w:rFonts w:asciiTheme="majorBidi" w:hAnsiTheme="majorBidi" w:cstheme="majorBidi"/>
          <w:szCs w:val="24"/>
        </w:rPr>
        <w:t>Kohler</w:t>
      </w:r>
      <w:proofErr w:type="spellEnd"/>
      <w:r w:rsidRPr="00CD160A">
        <w:rPr>
          <w:rFonts w:asciiTheme="majorBidi" w:hAnsiTheme="majorBidi" w:cstheme="majorBidi"/>
          <w:szCs w:val="24"/>
        </w:rPr>
        <w:t>, le Système d'Information Hospitalier vise principalement deux objectifs : l'amélioration de la qualité des soins et la maitrise des coûts.</w:t>
      </w:r>
      <w:r w:rsidRPr="00CD160A">
        <w:rPr>
          <w:rStyle w:val="Appelnotedebasdep"/>
          <w:rFonts w:asciiTheme="majorBidi" w:hAnsiTheme="majorBidi" w:cstheme="majorBidi"/>
          <w:szCs w:val="24"/>
        </w:rPr>
        <w:footnoteReference w:id="16"/>
      </w:r>
    </w:p>
    <w:p w14:paraId="7A2E90C6"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Pour mieux comprendre les objectifs de ce dernier, on présente le tableau suivant : </w:t>
      </w:r>
    </w:p>
    <w:p w14:paraId="6775063F" w14:textId="052AC0B1" w:rsidR="00F432AA" w:rsidRPr="00CD160A" w:rsidRDefault="00B35DE7" w:rsidP="00CD160A">
      <w:pPr>
        <w:pStyle w:val="Lgende"/>
        <w:keepNext/>
        <w:spacing w:line="360" w:lineRule="auto"/>
        <w:jc w:val="both"/>
        <w:rPr>
          <w:rFonts w:asciiTheme="majorBidi" w:hAnsiTheme="majorBidi" w:cstheme="majorBidi"/>
          <w:color w:val="auto"/>
          <w:sz w:val="24"/>
          <w:szCs w:val="24"/>
        </w:rPr>
      </w:pPr>
      <w:bookmarkStart w:id="41" w:name="_Toc200210109"/>
      <w:r w:rsidRPr="00CD160A">
        <w:rPr>
          <w:rFonts w:asciiTheme="majorBidi" w:hAnsiTheme="majorBidi" w:cstheme="majorBidi"/>
          <w:color w:val="auto"/>
          <w:sz w:val="24"/>
          <w:szCs w:val="24"/>
        </w:rPr>
        <w:t xml:space="preserve">Tableau </w:t>
      </w:r>
      <w:r w:rsidRPr="00CD160A">
        <w:rPr>
          <w:rFonts w:asciiTheme="majorBidi" w:hAnsiTheme="majorBidi" w:cstheme="majorBidi"/>
          <w:color w:val="auto"/>
          <w:sz w:val="24"/>
          <w:szCs w:val="24"/>
        </w:rPr>
        <w:fldChar w:fldCharType="begin"/>
      </w:r>
      <w:r w:rsidRPr="00CD160A">
        <w:rPr>
          <w:rFonts w:asciiTheme="majorBidi" w:hAnsiTheme="majorBidi" w:cstheme="majorBidi"/>
          <w:color w:val="auto"/>
          <w:sz w:val="24"/>
          <w:szCs w:val="24"/>
        </w:rPr>
        <w:instrText xml:space="preserve"> SEQ Tableau \* ARABIC </w:instrText>
      </w:r>
      <w:r w:rsidRPr="00CD160A">
        <w:rPr>
          <w:rFonts w:asciiTheme="majorBidi" w:hAnsiTheme="majorBidi" w:cstheme="majorBidi"/>
          <w:color w:val="auto"/>
          <w:sz w:val="24"/>
          <w:szCs w:val="24"/>
        </w:rPr>
        <w:fldChar w:fldCharType="separate"/>
      </w:r>
      <w:r w:rsidR="008A7BDF" w:rsidRPr="00CD160A">
        <w:rPr>
          <w:rFonts w:asciiTheme="majorBidi" w:hAnsiTheme="majorBidi" w:cstheme="majorBidi"/>
          <w:noProof/>
          <w:color w:val="auto"/>
          <w:sz w:val="24"/>
          <w:szCs w:val="24"/>
        </w:rPr>
        <w:t>1</w:t>
      </w:r>
      <w:r w:rsidRPr="00CD160A">
        <w:rPr>
          <w:rFonts w:asciiTheme="majorBidi" w:hAnsiTheme="majorBidi" w:cstheme="majorBidi"/>
          <w:color w:val="auto"/>
          <w:sz w:val="24"/>
          <w:szCs w:val="24"/>
        </w:rPr>
        <w:fldChar w:fldCharType="end"/>
      </w:r>
      <w:r w:rsidRPr="00CD160A">
        <w:rPr>
          <w:rFonts w:asciiTheme="majorBidi" w:hAnsiTheme="majorBidi" w:cstheme="majorBidi"/>
          <w:color w:val="auto"/>
          <w:sz w:val="24"/>
          <w:szCs w:val="24"/>
        </w:rPr>
        <w:t>: Objectifs d’un système d’information hospitalier</w:t>
      </w:r>
      <w:bookmarkEnd w:id="41"/>
    </w:p>
    <w:tbl>
      <w:tblPr>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969"/>
        <w:gridCol w:w="4521"/>
      </w:tblGrid>
      <w:tr w:rsidR="002210A7" w:rsidRPr="00CD160A" w14:paraId="4241D76B" w14:textId="77777777" w:rsidTr="00B7491C">
        <w:trPr>
          <w:trHeight w:val="538"/>
        </w:trPr>
        <w:tc>
          <w:tcPr>
            <w:tcW w:w="3969" w:type="dxa"/>
          </w:tcPr>
          <w:p w14:paraId="0F7D84B8"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Objectifs principaux</w:t>
            </w:r>
          </w:p>
        </w:tc>
        <w:tc>
          <w:tcPr>
            <w:tcW w:w="4521" w:type="dxa"/>
          </w:tcPr>
          <w:p w14:paraId="5D59348C"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Objectifs contributifs</w:t>
            </w:r>
          </w:p>
        </w:tc>
      </w:tr>
      <w:tr w:rsidR="002210A7" w:rsidRPr="00CD160A" w14:paraId="6183224E" w14:textId="77777777" w:rsidTr="00B7491C">
        <w:trPr>
          <w:trHeight w:val="400"/>
        </w:trPr>
        <w:tc>
          <w:tcPr>
            <w:tcW w:w="3969" w:type="dxa"/>
            <w:vMerge w:val="restart"/>
          </w:tcPr>
          <w:p w14:paraId="72F207AC"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Amélioration de la qualité des soins </w:t>
            </w:r>
          </w:p>
        </w:tc>
        <w:tc>
          <w:tcPr>
            <w:tcW w:w="4521" w:type="dxa"/>
          </w:tcPr>
          <w:p w14:paraId="4A1D4F97"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Amélioration des communications </w:t>
            </w:r>
          </w:p>
        </w:tc>
      </w:tr>
      <w:tr w:rsidR="002210A7" w:rsidRPr="00CD160A" w14:paraId="45D69155" w14:textId="77777777" w:rsidTr="00B7491C">
        <w:trPr>
          <w:trHeight w:val="350"/>
        </w:trPr>
        <w:tc>
          <w:tcPr>
            <w:tcW w:w="3969" w:type="dxa"/>
            <w:vMerge/>
          </w:tcPr>
          <w:p w14:paraId="7EC7EAFD"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p>
        </w:tc>
        <w:tc>
          <w:tcPr>
            <w:tcW w:w="4521" w:type="dxa"/>
          </w:tcPr>
          <w:p w14:paraId="568EF840"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Réduction des délais d’attentes </w:t>
            </w:r>
          </w:p>
        </w:tc>
      </w:tr>
      <w:tr w:rsidR="002210A7" w:rsidRPr="00CD160A" w14:paraId="4B37575A" w14:textId="77777777" w:rsidTr="00B7491C">
        <w:trPr>
          <w:trHeight w:val="413"/>
        </w:trPr>
        <w:tc>
          <w:tcPr>
            <w:tcW w:w="3969" w:type="dxa"/>
            <w:vMerge/>
          </w:tcPr>
          <w:p w14:paraId="53923ACD"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p>
        </w:tc>
        <w:tc>
          <w:tcPr>
            <w:tcW w:w="4521" w:type="dxa"/>
          </w:tcPr>
          <w:p w14:paraId="2BE6AAE8"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Aide à la prise de décision </w:t>
            </w:r>
          </w:p>
        </w:tc>
      </w:tr>
      <w:tr w:rsidR="002210A7" w:rsidRPr="00CD160A" w14:paraId="3D06AC7C" w14:textId="77777777" w:rsidTr="00B7491C">
        <w:trPr>
          <w:trHeight w:val="387"/>
        </w:trPr>
        <w:tc>
          <w:tcPr>
            <w:tcW w:w="3969" w:type="dxa"/>
            <w:vMerge w:val="restart"/>
          </w:tcPr>
          <w:p w14:paraId="251F0611"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Maitrise des couts </w:t>
            </w:r>
          </w:p>
        </w:tc>
        <w:tc>
          <w:tcPr>
            <w:tcW w:w="4521" w:type="dxa"/>
          </w:tcPr>
          <w:p w14:paraId="32388302"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Réduction de la durée e séjour </w:t>
            </w:r>
          </w:p>
        </w:tc>
      </w:tr>
      <w:tr w:rsidR="002210A7" w:rsidRPr="00CD160A" w14:paraId="65F3C933" w14:textId="77777777" w:rsidTr="00B7491C">
        <w:trPr>
          <w:trHeight w:val="350"/>
        </w:trPr>
        <w:tc>
          <w:tcPr>
            <w:tcW w:w="3969" w:type="dxa"/>
            <w:vMerge/>
          </w:tcPr>
          <w:p w14:paraId="4413D2D6"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p>
        </w:tc>
        <w:tc>
          <w:tcPr>
            <w:tcW w:w="4521" w:type="dxa"/>
          </w:tcPr>
          <w:p w14:paraId="478C21A6"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Réduction des taches administrative </w:t>
            </w:r>
          </w:p>
        </w:tc>
      </w:tr>
      <w:tr w:rsidR="002210A7" w:rsidRPr="00CD160A" w14:paraId="055B3832" w14:textId="77777777" w:rsidTr="00B7491C">
        <w:trPr>
          <w:trHeight w:val="326"/>
        </w:trPr>
        <w:tc>
          <w:tcPr>
            <w:tcW w:w="3969" w:type="dxa"/>
            <w:vMerge/>
          </w:tcPr>
          <w:p w14:paraId="547A98F2"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p>
        </w:tc>
        <w:tc>
          <w:tcPr>
            <w:tcW w:w="4521" w:type="dxa"/>
          </w:tcPr>
          <w:p w14:paraId="7E4A5992" w14:textId="77777777" w:rsidR="002210A7" w:rsidRPr="00CD160A" w:rsidRDefault="002210A7" w:rsidP="00CD160A">
            <w:pPr>
              <w:pStyle w:val="Paragraphedeliste"/>
              <w:tabs>
                <w:tab w:val="left" w:pos="1302"/>
              </w:tabs>
              <w:spacing w:line="360" w:lineRule="auto"/>
              <w:ind w:left="659"/>
              <w:jc w:val="both"/>
              <w:rPr>
                <w:rFonts w:asciiTheme="majorBidi" w:hAnsiTheme="majorBidi" w:cstheme="majorBidi"/>
                <w:szCs w:val="24"/>
              </w:rPr>
            </w:pPr>
            <w:r w:rsidRPr="00CD160A">
              <w:rPr>
                <w:rFonts w:asciiTheme="majorBidi" w:hAnsiTheme="majorBidi" w:cstheme="majorBidi"/>
                <w:szCs w:val="24"/>
              </w:rPr>
              <w:t xml:space="preserve">Diminution des frais de personnel </w:t>
            </w:r>
          </w:p>
        </w:tc>
      </w:tr>
    </w:tbl>
    <w:p w14:paraId="178776E9"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Source : </w:t>
      </w:r>
      <w:proofErr w:type="spellStart"/>
      <w:r w:rsidRPr="00CD160A">
        <w:rPr>
          <w:rFonts w:asciiTheme="majorBidi" w:hAnsiTheme="majorBidi" w:cstheme="majorBidi"/>
          <w:b/>
          <w:bCs/>
          <w:szCs w:val="24"/>
        </w:rPr>
        <w:t>Degoulet</w:t>
      </w:r>
      <w:proofErr w:type="spellEnd"/>
      <w:r w:rsidRPr="00CD160A">
        <w:rPr>
          <w:rFonts w:asciiTheme="majorBidi" w:hAnsiTheme="majorBidi" w:cstheme="majorBidi"/>
          <w:b/>
          <w:bCs/>
          <w:szCs w:val="24"/>
        </w:rPr>
        <w:t xml:space="preserve">, P., &amp; </w:t>
      </w:r>
      <w:proofErr w:type="spellStart"/>
      <w:r w:rsidRPr="00CD160A">
        <w:rPr>
          <w:rFonts w:asciiTheme="majorBidi" w:hAnsiTheme="majorBidi" w:cstheme="majorBidi"/>
          <w:b/>
          <w:bCs/>
          <w:szCs w:val="24"/>
        </w:rPr>
        <w:t>Fischi</w:t>
      </w:r>
      <w:proofErr w:type="spellEnd"/>
      <w:r w:rsidRPr="00CD160A">
        <w:rPr>
          <w:rFonts w:asciiTheme="majorBidi" w:hAnsiTheme="majorBidi" w:cstheme="majorBidi"/>
          <w:b/>
          <w:bCs/>
          <w:szCs w:val="24"/>
        </w:rPr>
        <w:t>, M.</w:t>
      </w:r>
      <w:r w:rsidRPr="00CD160A">
        <w:rPr>
          <w:rFonts w:asciiTheme="majorBidi" w:hAnsiTheme="majorBidi" w:cstheme="majorBidi"/>
          <w:szCs w:val="24"/>
        </w:rPr>
        <w:t xml:space="preserve"> (1991). </w:t>
      </w:r>
      <w:r w:rsidRPr="00CD160A">
        <w:rPr>
          <w:rFonts w:asciiTheme="majorBidi" w:hAnsiTheme="majorBidi" w:cstheme="majorBidi"/>
          <w:i/>
          <w:iCs/>
          <w:szCs w:val="24"/>
        </w:rPr>
        <w:t>Traitement de l’information médicale : Méthodes et applications hospitalières</w:t>
      </w:r>
      <w:r w:rsidRPr="00CD160A">
        <w:rPr>
          <w:rFonts w:asciiTheme="majorBidi" w:hAnsiTheme="majorBidi" w:cstheme="majorBidi"/>
          <w:szCs w:val="24"/>
        </w:rPr>
        <w:t>. Paris : Éditions Masson, p. 148.</w:t>
      </w:r>
    </w:p>
    <w:p w14:paraId="42E98A95" w14:textId="6AB1FB7F" w:rsidR="002210A7" w:rsidRPr="00CD160A" w:rsidRDefault="002210A7" w:rsidP="00CD160A">
      <w:pPr>
        <w:pStyle w:val="Titre2"/>
        <w:numPr>
          <w:ilvl w:val="1"/>
          <w:numId w:val="4"/>
        </w:numPr>
        <w:rPr>
          <w:rFonts w:asciiTheme="majorBidi" w:hAnsiTheme="majorBidi"/>
          <w:szCs w:val="24"/>
        </w:rPr>
      </w:pPr>
      <w:bookmarkStart w:id="42" w:name="_Toc199958812"/>
      <w:r w:rsidRPr="00CD160A">
        <w:rPr>
          <w:rFonts w:asciiTheme="majorBidi" w:hAnsiTheme="majorBidi"/>
          <w:szCs w:val="24"/>
        </w:rPr>
        <w:t>Les composantes d’un Système d’Information Hospitalier (SIH)</w:t>
      </w:r>
      <w:bookmarkEnd w:id="42"/>
    </w:p>
    <w:p w14:paraId="147649FA" w14:textId="093A8C9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Le système d'information hospitalier se compose principalement de trois sous-systèmes : le système administratif, le système logistique et le système </w:t>
      </w:r>
      <w:proofErr w:type="spellStart"/>
      <w:r w:rsidRPr="00CD160A">
        <w:rPr>
          <w:rFonts w:asciiTheme="majorBidi" w:hAnsiTheme="majorBidi" w:cstheme="majorBidi"/>
          <w:szCs w:val="24"/>
        </w:rPr>
        <w:t>médico-technique</w:t>
      </w:r>
      <w:proofErr w:type="spellEnd"/>
      <w:r w:rsidRPr="00CD160A">
        <w:rPr>
          <w:rFonts w:asciiTheme="majorBidi" w:hAnsiTheme="majorBidi" w:cstheme="majorBidi"/>
          <w:szCs w:val="24"/>
        </w:rPr>
        <w:t>.</w:t>
      </w:r>
    </w:p>
    <w:p w14:paraId="2630379A" w14:textId="77777777" w:rsidR="00242051" w:rsidRDefault="00242051" w:rsidP="00CD160A">
      <w:pPr>
        <w:tabs>
          <w:tab w:val="left" w:pos="1302"/>
        </w:tabs>
        <w:jc w:val="both"/>
        <w:rPr>
          <w:rFonts w:asciiTheme="majorBidi" w:hAnsiTheme="majorBidi" w:cstheme="majorBidi"/>
          <w:szCs w:val="24"/>
        </w:rPr>
      </w:pPr>
    </w:p>
    <w:p w14:paraId="56F6A1EC" w14:textId="77777777" w:rsidR="00411412" w:rsidRPr="00CD160A" w:rsidRDefault="00411412" w:rsidP="00CD160A">
      <w:pPr>
        <w:tabs>
          <w:tab w:val="left" w:pos="1302"/>
        </w:tabs>
        <w:jc w:val="both"/>
        <w:rPr>
          <w:rFonts w:asciiTheme="majorBidi" w:hAnsiTheme="majorBidi" w:cstheme="majorBidi"/>
          <w:szCs w:val="24"/>
        </w:rPr>
      </w:pPr>
    </w:p>
    <w:p w14:paraId="1900B91D" w14:textId="44CC7C38" w:rsidR="002210A7" w:rsidRPr="00CD160A" w:rsidRDefault="0082188D" w:rsidP="00CD160A">
      <w:pPr>
        <w:pStyle w:val="Lgende"/>
        <w:keepNext/>
        <w:spacing w:line="360" w:lineRule="auto"/>
        <w:jc w:val="both"/>
        <w:rPr>
          <w:rFonts w:asciiTheme="majorBidi" w:hAnsiTheme="majorBidi" w:cstheme="majorBidi"/>
          <w:color w:val="auto"/>
          <w:sz w:val="24"/>
          <w:szCs w:val="24"/>
        </w:rPr>
      </w:pPr>
      <w:bookmarkStart w:id="43" w:name="_Toc200210070"/>
      <w:r w:rsidRPr="00CD160A">
        <w:rPr>
          <w:rFonts w:asciiTheme="majorBidi" w:hAnsiTheme="majorBidi" w:cstheme="majorBidi"/>
          <w:color w:val="auto"/>
          <w:sz w:val="24"/>
          <w:szCs w:val="24"/>
        </w:rPr>
        <w:lastRenderedPageBreak/>
        <w:t xml:space="preserve">Figure </w:t>
      </w:r>
      <w:r w:rsidRPr="00CD160A">
        <w:rPr>
          <w:rFonts w:asciiTheme="majorBidi" w:hAnsiTheme="majorBidi" w:cstheme="majorBidi"/>
          <w:color w:val="auto"/>
          <w:sz w:val="24"/>
          <w:szCs w:val="24"/>
        </w:rPr>
        <w:fldChar w:fldCharType="begin"/>
      </w:r>
      <w:r w:rsidRPr="00CD160A">
        <w:rPr>
          <w:rFonts w:asciiTheme="majorBidi" w:hAnsiTheme="majorBidi" w:cstheme="majorBidi"/>
          <w:color w:val="auto"/>
          <w:sz w:val="24"/>
          <w:szCs w:val="24"/>
        </w:rPr>
        <w:instrText xml:space="preserve"> SEQ Figure \* ARABIC </w:instrText>
      </w:r>
      <w:r w:rsidRPr="00CD160A">
        <w:rPr>
          <w:rFonts w:asciiTheme="majorBidi" w:hAnsiTheme="majorBidi" w:cstheme="majorBidi"/>
          <w:color w:val="auto"/>
          <w:sz w:val="24"/>
          <w:szCs w:val="24"/>
        </w:rPr>
        <w:fldChar w:fldCharType="separate"/>
      </w:r>
      <w:r w:rsidR="001679A8" w:rsidRPr="00CD160A">
        <w:rPr>
          <w:rFonts w:asciiTheme="majorBidi" w:hAnsiTheme="majorBidi" w:cstheme="majorBidi"/>
          <w:noProof/>
          <w:color w:val="auto"/>
          <w:sz w:val="24"/>
          <w:szCs w:val="24"/>
        </w:rPr>
        <w:t>3</w:t>
      </w:r>
      <w:r w:rsidRPr="00CD160A">
        <w:rPr>
          <w:rFonts w:asciiTheme="majorBidi" w:hAnsiTheme="majorBidi" w:cstheme="majorBidi"/>
          <w:color w:val="auto"/>
          <w:sz w:val="24"/>
          <w:szCs w:val="24"/>
        </w:rPr>
        <w:fldChar w:fldCharType="end"/>
      </w:r>
      <w:r w:rsidRPr="00CD160A">
        <w:rPr>
          <w:rFonts w:asciiTheme="majorBidi" w:hAnsiTheme="majorBidi" w:cstheme="majorBidi"/>
          <w:color w:val="auto"/>
          <w:sz w:val="24"/>
          <w:szCs w:val="24"/>
        </w:rPr>
        <w:t xml:space="preserve"> : Les composantes d’un système d’information hospitalier (SIH)</w:t>
      </w:r>
      <w:r w:rsidR="002210A7" w:rsidRPr="00CD160A">
        <w:rPr>
          <w:rFonts w:asciiTheme="majorBidi" w:hAnsiTheme="majorBidi" w:cstheme="majorBidi"/>
          <w:noProof/>
          <w:sz w:val="24"/>
          <w:szCs w:val="24"/>
          <w:lang w:eastAsia="fr-FR"/>
        </w:rPr>
        <mc:AlternateContent>
          <mc:Choice Requires="wps">
            <w:drawing>
              <wp:anchor distT="0" distB="0" distL="114300" distR="114300" simplePos="0" relativeHeight="251707392" behindDoc="0" locked="0" layoutInCell="1" allowOverlap="1" wp14:anchorId="668A9E10" wp14:editId="6EDEB276">
                <wp:simplePos x="0" y="0"/>
                <wp:positionH relativeFrom="column">
                  <wp:posOffset>2986664</wp:posOffset>
                </wp:positionH>
                <wp:positionV relativeFrom="paragraph">
                  <wp:posOffset>952554</wp:posOffset>
                </wp:positionV>
                <wp:extent cx="646981" cy="293298"/>
                <wp:effectExtent l="100647" t="0" r="101918" b="0"/>
                <wp:wrapNone/>
                <wp:docPr id="44" name="Double flèche horizontale 44"/>
                <wp:cNvGraphicFramePr/>
                <a:graphic xmlns:a="http://schemas.openxmlformats.org/drawingml/2006/main">
                  <a:graphicData uri="http://schemas.microsoft.com/office/word/2010/wordprocessingShape">
                    <wps:wsp>
                      <wps:cNvSpPr/>
                      <wps:spPr>
                        <a:xfrm rot="3194315">
                          <a:off x="0" y="0"/>
                          <a:ext cx="646981" cy="293298"/>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5BD38B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Double flèche horizontale 44" o:spid="_x0000_s1026" type="#_x0000_t69" style="position:absolute;margin-left:235.15pt;margin-top:75pt;width:50.95pt;height:23.1pt;rotation:3489044fd;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" adj="4896" fillcolor="white [3201]" strokecolor="black [3200]" strokeweight="1pt"/>
            </w:pict>
          </mc:Fallback>
        </mc:AlternateContent>
      </w:r>
      <w:r w:rsidR="002210A7" w:rsidRPr="00CD160A">
        <w:rPr>
          <w:rFonts w:asciiTheme="majorBidi" w:hAnsiTheme="majorBidi" w:cstheme="majorBidi"/>
          <w:noProof/>
          <w:sz w:val="24"/>
          <w:szCs w:val="24"/>
          <w:lang w:eastAsia="fr-FR"/>
        </w:rPr>
        <mc:AlternateContent>
          <mc:Choice Requires="wps">
            <w:drawing>
              <wp:anchor distT="0" distB="0" distL="114300" distR="114300" simplePos="0" relativeHeight="251703296" behindDoc="0" locked="0" layoutInCell="1" allowOverlap="1" wp14:anchorId="70715339" wp14:editId="4692A360">
                <wp:simplePos x="0" y="0"/>
                <wp:positionH relativeFrom="column">
                  <wp:posOffset>1799746</wp:posOffset>
                </wp:positionH>
                <wp:positionV relativeFrom="paragraph">
                  <wp:posOffset>410534</wp:posOffset>
                </wp:positionV>
                <wp:extent cx="1155940" cy="534838"/>
                <wp:effectExtent l="0" t="0" r="25400" b="17780"/>
                <wp:wrapNone/>
                <wp:docPr id="40" name="Rectangle à coins arrondis 40"/>
                <wp:cNvGraphicFramePr/>
                <a:graphic xmlns:a="http://schemas.openxmlformats.org/drawingml/2006/main">
                  <a:graphicData uri="http://schemas.microsoft.com/office/word/2010/wordprocessingShape">
                    <wps:wsp>
                      <wps:cNvSpPr/>
                      <wps:spPr>
                        <a:xfrm>
                          <a:off x="0" y="0"/>
                          <a:ext cx="1155940" cy="534838"/>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D512A6" w14:textId="77777777" w:rsidR="0095621A" w:rsidRPr="00D45D87" w:rsidRDefault="0095621A" w:rsidP="00B7491C">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Système administratif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0715339" id="Rectangle à coins arrondis 40" o:spid="_x0000_s1048" style="position:absolute;left:0;text-align:left;margin-left:141.7pt;margin-top:32.35pt;width:91pt;height:42.1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" filled="f" strokecolor="black [3213]" strokeweight="1pt">
                <v:stroke joinstyle="miter"/>
                <v:textbox>
                  <w:txbxContent>
                    <w:p w14:paraId="17D512A6" w14:textId="77777777" w:rsidR="0095621A" w:rsidRPr="00D45D87" w:rsidRDefault="0095621A" w:rsidP="00B7491C">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Système administratif</w:t>
                      </w:r>
                    </w:p>
                  </w:txbxContent>
                </v:textbox>
              </v:roundrect>
            </w:pict>
          </mc:Fallback>
        </mc:AlternateContent>
      </w:r>
      <w:r w:rsidR="002210A7" w:rsidRPr="00CD160A">
        <w:rPr>
          <w:rFonts w:asciiTheme="majorBidi" w:hAnsiTheme="majorBidi" w:cstheme="majorBidi"/>
          <w:noProof/>
          <w:sz w:val="24"/>
          <w:szCs w:val="24"/>
          <w:lang w:eastAsia="fr-FR"/>
        </w:rPr>
        <mc:AlternateContent>
          <mc:Choice Requires="wps">
            <w:drawing>
              <wp:anchor distT="0" distB="0" distL="114300" distR="114300" simplePos="0" relativeHeight="251706368" behindDoc="0" locked="0" layoutInCell="1" allowOverlap="1" wp14:anchorId="0292627C" wp14:editId="44D8E2E6">
                <wp:simplePos x="0" y="0"/>
                <wp:positionH relativeFrom="column">
                  <wp:posOffset>1057701</wp:posOffset>
                </wp:positionH>
                <wp:positionV relativeFrom="paragraph">
                  <wp:posOffset>927585</wp:posOffset>
                </wp:positionV>
                <wp:extent cx="646981" cy="293298"/>
                <wp:effectExtent l="100647" t="0" r="101918" b="0"/>
                <wp:wrapNone/>
                <wp:docPr id="43" name="Double flèche horizontale 43"/>
                <wp:cNvGraphicFramePr/>
                <a:graphic xmlns:a="http://schemas.openxmlformats.org/drawingml/2006/main">
                  <a:graphicData uri="http://schemas.microsoft.com/office/word/2010/wordprocessingShape">
                    <wps:wsp>
                      <wps:cNvSpPr/>
                      <wps:spPr>
                        <a:xfrm rot="18502074">
                          <a:off x="0" y="0"/>
                          <a:ext cx="646981" cy="293298"/>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93A21DC" id="Double flèche horizontale 43" o:spid="_x0000_s1026" type="#_x0000_t69" style="position:absolute;margin-left:83.3pt;margin-top:73.05pt;width:50.95pt;height:23.1pt;rotation:-3383761fd;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" adj="4896" fillcolor="white [3201]" strokecolor="black [3200]" strokeweight="1pt"/>
            </w:pict>
          </mc:Fallback>
        </mc:AlternateContent>
      </w:r>
      <w:r w:rsidR="002210A7" w:rsidRPr="00CD160A">
        <w:rPr>
          <w:rFonts w:asciiTheme="majorBidi" w:hAnsiTheme="majorBidi" w:cstheme="majorBidi"/>
          <w:noProof/>
          <w:sz w:val="24"/>
          <w:szCs w:val="24"/>
          <w:lang w:eastAsia="fr-FR"/>
        </w:rPr>
        <mc:AlternateContent>
          <mc:Choice Requires="wps">
            <w:drawing>
              <wp:anchor distT="0" distB="0" distL="114300" distR="114300" simplePos="0" relativeHeight="251708416" behindDoc="0" locked="0" layoutInCell="1" allowOverlap="1" wp14:anchorId="4F855FB5" wp14:editId="4AB57E8A">
                <wp:simplePos x="0" y="0"/>
                <wp:positionH relativeFrom="column">
                  <wp:posOffset>1968668</wp:posOffset>
                </wp:positionH>
                <wp:positionV relativeFrom="paragraph">
                  <wp:posOffset>1658368</wp:posOffset>
                </wp:positionV>
                <wp:extent cx="646981" cy="293298"/>
                <wp:effectExtent l="19050" t="19050" r="20320" b="31115"/>
                <wp:wrapNone/>
                <wp:docPr id="45" name="Double flèche horizontale 45"/>
                <wp:cNvGraphicFramePr/>
                <a:graphic xmlns:a="http://schemas.openxmlformats.org/drawingml/2006/main">
                  <a:graphicData uri="http://schemas.microsoft.com/office/word/2010/wordprocessingShape">
                    <wps:wsp>
                      <wps:cNvSpPr/>
                      <wps:spPr>
                        <a:xfrm>
                          <a:off x="0" y="0"/>
                          <a:ext cx="646981" cy="293298"/>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4A2B75" id="Double flèche horizontale 45" o:spid="_x0000_s1026" type="#_x0000_t69" style="position:absolute;margin-left:155pt;margin-top:130.6pt;width:50.95pt;height:23.1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" adj="4896" fillcolor="white [3201]" strokecolor="black [3200]" strokeweight="1pt"/>
            </w:pict>
          </mc:Fallback>
        </mc:AlternateContent>
      </w:r>
      <w:r w:rsidR="002210A7" w:rsidRPr="00CD160A">
        <w:rPr>
          <w:rFonts w:asciiTheme="majorBidi" w:hAnsiTheme="majorBidi" w:cstheme="majorBidi"/>
          <w:noProof/>
          <w:sz w:val="24"/>
          <w:szCs w:val="24"/>
          <w:lang w:eastAsia="fr-FR"/>
        </w:rPr>
        <mc:AlternateContent>
          <mc:Choice Requires="wps">
            <w:drawing>
              <wp:anchor distT="0" distB="0" distL="114300" distR="114300" simplePos="0" relativeHeight="251704320" behindDoc="0" locked="0" layoutInCell="1" allowOverlap="1" wp14:anchorId="2FC46188" wp14:editId="1BDE5961">
                <wp:simplePos x="0" y="0"/>
                <wp:positionH relativeFrom="column">
                  <wp:posOffset>2866486</wp:posOffset>
                </wp:positionH>
                <wp:positionV relativeFrom="paragraph">
                  <wp:posOffset>1528660</wp:posOffset>
                </wp:positionV>
                <wp:extent cx="1155940" cy="534838"/>
                <wp:effectExtent l="0" t="0" r="25400" b="17780"/>
                <wp:wrapNone/>
                <wp:docPr id="41" name="Rectangle à coins arrondis 41"/>
                <wp:cNvGraphicFramePr/>
                <a:graphic xmlns:a="http://schemas.openxmlformats.org/drawingml/2006/main">
                  <a:graphicData uri="http://schemas.microsoft.com/office/word/2010/wordprocessingShape">
                    <wps:wsp>
                      <wps:cNvSpPr/>
                      <wps:spPr>
                        <a:xfrm>
                          <a:off x="0" y="0"/>
                          <a:ext cx="1155940" cy="534838"/>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6C3AE7" w14:textId="77777777" w:rsidR="0095621A" w:rsidRPr="00D45D87" w:rsidRDefault="0095621A" w:rsidP="00B7491C">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Système </w:t>
                            </w:r>
                            <w:proofErr w:type="spellStart"/>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médico-technique</w:t>
                            </w:r>
                            <w:proofErr w:type="spellEnd"/>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581C7F91" w14:textId="77777777" w:rsidR="0095621A" w:rsidRPr="002D4EE3" w:rsidRDefault="0095621A" w:rsidP="00B7491C">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C46188" id="Rectangle à coins arrondis 41" o:spid="_x0000_s1049" style="position:absolute;left:0;text-align:left;margin-left:225.7pt;margin-top:120.35pt;width:91pt;height:42.1pt;z-index:251704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" filled="f" strokecolor="black [3213]" strokeweight="1pt">
                <v:stroke joinstyle="miter"/>
                <v:textbox>
                  <w:txbxContent>
                    <w:p w14:paraId="496C3AE7" w14:textId="77777777" w:rsidR="0095621A" w:rsidRPr="00D45D87" w:rsidRDefault="0095621A" w:rsidP="00B7491C">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Système </w:t>
                      </w:r>
                      <w:proofErr w:type="spellStart"/>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médico-technique</w:t>
                      </w:r>
                      <w:proofErr w:type="spellEnd"/>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581C7F91" w14:textId="77777777" w:rsidR="0095621A" w:rsidRPr="002D4EE3" w:rsidRDefault="0095621A" w:rsidP="00B7491C">
                      <w:pPr>
                        <w:jc w:val="center"/>
                        <w:rPr>
                          <w:sz w:val="16"/>
                          <w:szCs w:val="16"/>
                        </w:rPr>
                      </w:pPr>
                    </w:p>
                  </w:txbxContent>
                </v:textbox>
              </v:roundrect>
            </w:pict>
          </mc:Fallback>
        </mc:AlternateContent>
      </w:r>
      <w:r w:rsidR="002210A7" w:rsidRPr="00CD160A">
        <w:rPr>
          <w:rFonts w:asciiTheme="majorBidi" w:hAnsiTheme="majorBidi" w:cstheme="majorBidi"/>
          <w:noProof/>
          <w:sz w:val="24"/>
          <w:szCs w:val="24"/>
          <w:lang w:eastAsia="fr-FR"/>
        </w:rPr>
        <mc:AlternateContent>
          <mc:Choice Requires="wps">
            <w:drawing>
              <wp:anchor distT="0" distB="0" distL="114300" distR="114300" simplePos="0" relativeHeight="251705344" behindDoc="0" locked="0" layoutInCell="1" allowOverlap="1" wp14:anchorId="3C178FD7" wp14:editId="6EF60E62">
                <wp:simplePos x="0" y="0"/>
                <wp:positionH relativeFrom="column">
                  <wp:posOffset>623750</wp:posOffset>
                </wp:positionH>
                <wp:positionV relativeFrom="paragraph">
                  <wp:posOffset>1477573</wp:posOffset>
                </wp:positionV>
                <wp:extent cx="1155940" cy="534838"/>
                <wp:effectExtent l="0" t="0" r="25400" b="17780"/>
                <wp:wrapNone/>
                <wp:docPr id="42" name="Rectangle à coins arrondis 42"/>
                <wp:cNvGraphicFramePr/>
                <a:graphic xmlns:a="http://schemas.openxmlformats.org/drawingml/2006/main">
                  <a:graphicData uri="http://schemas.microsoft.com/office/word/2010/wordprocessingShape">
                    <wps:wsp>
                      <wps:cNvSpPr/>
                      <wps:spPr>
                        <a:xfrm>
                          <a:off x="0" y="0"/>
                          <a:ext cx="1155940" cy="534838"/>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27DD3E" w14:textId="77777777" w:rsidR="0095621A" w:rsidRPr="00D45D87" w:rsidRDefault="0095621A" w:rsidP="00B7491C">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Système logistique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C178FD7" id="Rectangle à coins arrondis 42" o:spid="_x0000_s1050" style="position:absolute;left:0;text-align:left;margin-left:49.1pt;margin-top:116.35pt;width:91pt;height:42.1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" filled="f" strokecolor="black [3213]" strokeweight="1pt">
                <v:stroke joinstyle="miter"/>
                <v:textbox>
                  <w:txbxContent>
                    <w:p w14:paraId="7B27DD3E" w14:textId="77777777" w:rsidR="0095621A" w:rsidRPr="00D45D87" w:rsidRDefault="0095621A" w:rsidP="00B7491C">
                      <w:pPr>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45D87">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Système logistique</w:t>
                      </w:r>
                    </w:p>
                  </w:txbxContent>
                </v:textbox>
              </v:roundrect>
            </w:pict>
          </mc:Fallback>
        </mc:AlternateContent>
      </w:r>
      <w:bookmarkEnd w:id="43"/>
    </w:p>
    <w:p w14:paraId="435F9826" w14:textId="77777777" w:rsidR="002210A7" w:rsidRPr="00CD160A" w:rsidRDefault="002210A7" w:rsidP="00CD160A">
      <w:pPr>
        <w:tabs>
          <w:tab w:val="left" w:pos="1302"/>
        </w:tabs>
        <w:jc w:val="both"/>
        <w:rPr>
          <w:rFonts w:asciiTheme="majorBidi" w:hAnsiTheme="majorBidi" w:cstheme="majorBidi"/>
          <w:szCs w:val="24"/>
        </w:rPr>
      </w:pPr>
    </w:p>
    <w:p w14:paraId="455CB0C3" w14:textId="77777777" w:rsidR="002210A7" w:rsidRPr="00CD160A" w:rsidRDefault="002210A7" w:rsidP="00CD160A">
      <w:pPr>
        <w:tabs>
          <w:tab w:val="left" w:pos="1302"/>
        </w:tabs>
        <w:jc w:val="both"/>
        <w:rPr>
          <w:rFonts w:asciiTheme="majorBidi" w:hAnsiTheme="majorBidi" w:cstheme="majorBidi"/>
          <w:szCs w:val="24"/>
        </w:rPr>
      </w:pPr>
    </w:p>
    <w:p w14:paraId="0FF60335" w14:textId="77777777" w:rsidR="002210A7" w:rsidRPr="00CD160A" w:rsidRDefault="002210A7" w:rsidP="00CD160A">
      <w:pPr>
        <w:tabs>
          <w:tab w:val="left" w:pos="1302"/>
        </w:tabs>
        <w:jc w:val="both"/>
        <w:rPr>
          <w:rFonts w:asciiTheme="majorBidi" w:hAnsiTheme="majorBidi" w:cstheme="majorBidi"/>
          <w:szCs w:val="24"/>
        </w:rPr>
      </w:pPr>
    </w:p>
    <w:p w14:paraId="6BE5BDFA" w14:textId="77777777" w:rsidR="002210A7" w:rsidRPr="00CD160A" w:rsidRDefault="002210A7" w:rsidP="00CD160A">
      <w:pPr>
        <w:tabs>
          <w:tab w:val="left" w:pos="1302"/>
        </w:tabs>
        <w:jc w:val="both"/>
        <w:rPr>
          <w:rFonts w:asciiTheme="majorBidi" w:hAnsiTheme="majorBidi" w:cstheme="majorBidi"/>
          <w:noProof/>
          <w:szCs w:val="24"/>
          <w:lang w:eastAsia="fr-FR"/>
        </w:rPr>
      </w:pPr>
    </w:p>
    <w:p w14:paraId="34E88301" w14:textId="2FB703AA" w:rsidR="00242051" w:rsidRPr="00CD160A" w:rsidRDefault="00242051" w:rsidP="00CD160A">
      <w:pPr>
        <w:tabs>
          <w:tab w:val="left" w:pos="1302"/>
        </w:tabs>
        <w:jc w:val="both"/>
        <w:rPr>
          <w:rFonts w:asciiTheme="majorBidi" w:hAnsiTheme="majorBidi" w:cstheme="majorBidi"/>
          <w:noProof/>
          <w:szCs w:val="24"/>
          <w:lang w:eastAsia="fr-FR"/>
        </w:rPr>
      </w:pPr>
    </w:p>
    <w:p w14:paraId="1222A251" w14:textId="09023644" w:rsidR="00085D2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noProof/>
          <w:szCs w:val="24"/>
          <w:lang w:eastAsia="fr-FR"/>
        </w:rPr>
        <w:t xml:space="preserve">Source : </w:t>
      </w:r>
      <w:r w:rsidRPr="00CD160A">
        <w:rPr>
          <w:rFonts w:asciiTheme="majorBidi" w:hAnsiTheme="majorBidi" w:cstheme="majorBidi"/>
          <w:b/>
          <w:bCs/>
          <w:noProof/>
          <w:szCs w:val="24"/>
          <w:lang w:eastAsia="fr-FR"/>
        </w:rPr>
        <w:t>Bouamrane, S. F.-Z.</w:t>
      </w:r>
      <w:r w:rsidRPr="00CD160A">
        <w:rPr>
          <w:rFonts w:asciiTheme="majorBidi" w:hAnsiTheme="majorBidi" w:cstheme="majorBidi"/>
          <w:noProof/>
          <w:szCs w:val="24"/>
          <w:lang w:eastAsia="fr-FR"/>
        </w:rPr>
        <w:t xml:space="preserve"> (2010). </w:t>
      </w:r>
      <w:r w:rsidRPr="00CD160A">
        <w:rPr>
          <w:rFonts w:asciiTheme="majorBidi" w:hAnsiTheme="majorBidi" w:cstheme="majorBidi"/>
          <w:i/>
          <w:iCs/>
          <w:noProof/>
          <w:szCs w:val="24"/>
          <w:lang w:eastAsia="fr-FR"/>
        </w:rPr>
        <w:t>Système d'information hospitalier : Admission et planification des blocs opératoires</w:t>
      </w:r>
      <w:r w:rsidRPr="00CD160A">
        <w:rPr>
          <w:rFonts w:asciiTheme="majorBidi" w:hAnsiTheme="majorBidi" w:cstheme="majorBidi"/>
          <w:noProof/>
          <w:szCs w:val="24"/>
          <w:lang w:eastAsia="fr-FR"/>
        </w:rPr>
        <w:t xml:space="preserve"> (Mémoire de magister, Université d'Oran 1, Faculté des sciences). p. 16. Disponible sur : </w:t>
      </w:r>
      <w:hyperlink r:id="rId12" w:tgtFrame="_new" w:history="1">
        <w:r w:rsidRPr="00CD160A">
          <w:rPr>
            <w:rStyle w:val="Lienhypertexte"/>
            <w:rFonts w:asciiTheme="majorBidi" w:hAnsiTheme="majorBidi" w:cstheme="majorBidi"/>
            <w:noProof/>
            <w:szCs w:val="24"/>
          </w:rPr>
          <w:t>https://theses.univ-oran1.dz/document/TH3172.pdf</w:t>
        </w:r>
      </w:hyperlink>
    </w:p>
    <w:p w14:paraId="67099211" w14:textId="77777777" w:rsidR="003D235D" w:rsidRPr="003D235D" w:rsidRDefault="003D235D" w:rsidP="003D235D">
      <w:pPr>
        <w:pStyle w:val="Paragraphedeliste"/>
        <w:keepNext/>
        <w:keepLines/>
        <w:numPr>
          <w:ilvl w:val="0"/>
          <w:numId w:val="166"/>
        </w:numPr>
        <w:spacing w:before="40" w:after="0" w:line="360" w:lineRule="auto"/>
        <w:contextualSpacing w:val="0"/>
        <w:jc w:val="both"/>
        <w:outlineLvl w:val="1"/>
        <w:rPr>
          <w:rFonts w:asciiTheme="majorBidi" w:eastAsiaTheme="majorEastAsia" w:hAnsiTheme="majorBidi" w:cstheme="majorBidi"/>
          <w:b/>
          <w:vanish/>
          <w:color w:val="000000" w:themeColor="text1"/>
          <w:szCs w:val="24"/>
          <w:lang w:eastAsia="en-US"/>
        </w:rPr>
      </w:pPr>
      <w:bookmarkStart w:id="44" w:name="_Toc199958813"/>
    </w:p>
    <w:p w14:paraId="4E666456" w14:textId="7AE2BA14" w:rsidR="002210A7" w:rsidRPr="003D235D" w:rsidRDefault="002210A7" w:rsidP="003D235D">
      <w:pPr>
        <w:pStyle w:val="Titre3"/>
        <w:numPr>
          <w:ilvl w:val="1"/>
          <w:numId w:val="166"/>
        </w:numPr>
      </w:pPr>
      <w:r w:rsidRPr="003D235D">
        <w:t>Le système administratif :</w:t>
      </w:r>
      <w:bookmarkEnd w:id="44"/>
    </w:p>
    <w:p w14:paraId="49240C6F" w14:textId="0D4CF208" w:rsidR="00B65858"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 </w:t>
      </w:r>
      <w:r w:rsidR="00764884" w:rsidRPr="00CD160A">
        <w:rPr>
          <w:rFonts w:asciiTheme="majorBidi" w:hAnsiTheme="majorBidi" w:cstheme="majorBidi"/>
          <w:szCs w:val="24"/>
        </w:rPr>
        <w:t>S’occupe</w:t>
      </w:r>
      <w:r w:rsidR="00B65858" w:rsidRPr="00CD160A">
        <w:rPr>
          <w:rFonts w:asciiTheme="majorBidi" w:hAnsiTheme="majorBidi" w:cstheme="majorBidi"/>
          <w:szCs w:val="24"/>
        </w:rPr>
        <w:t xml:space="preserve"> de l'admission des patients, de la coordination de leurs déplacements à travers l'hôpital (attribution des lits, mutations entre les services), communément appelée « gestion opérationnelle », de la sortie administrative des patients, de la facturation (frais de séjour), et ainsi de suite. Ce système intègre divers sous-ensembles, parmi lesquels :</w:t>
      </w:r>
    </w:p>
    <w:p w14:paraId="06FDEC53"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Le système comptable : il comprend divers sous-systèmes tels que la comptabilité des fournisseurs, la comptabilité des clients (pour l'hôpital, cela concerne la gestion des frais d'hébergement), la gestion des immobilisations, entre autres.</w:t>
      </w:r>
    </w:p>
    <w:p w14:paraId="565FD224"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 Le sous-système de l’administration quotidienne de l’hôpital : englobe la facturation, la gestion du personnel, la gestion des inventaires et, plus largement, la comptabilité. </w:t>
      </w:r>
      <w:r w:rsidRPr="00CD160A">
        <w:rPr>
          <w:rFonts w:asciiTheme="majorBidi" w:hAnsiTheme="majorBidi" w:cstheme="majorBidi"/>
          <w:szCs w:val="24"/>
          <w:vertAlign w:val="superscript"/>
        </w:rPr>
        <w:footnoteReference w:id="17"/>
      </w:r>
    </w:p>
    <w:p w14:paraId="63D18AF6" w14:textId="62E9B04A" w:rsidR="002210A7" w:rsidRPr="00CD160A" w:rsidRDefault="002210A7" w:rsidP="00CD160A">
      <w:pPr>
        <w:pStyle w:val="Titre3"/>
        <w:numPr>
          <w:ilvl w:val="1"/>
          <w:numId w:val="53"/>
        </w:numPr>
        <w:spacing w:line="360" w:lineRule="auto"/>
        <w:rPr>
          <w:rFonts w:asciiTheme="majorBidi" w:hAnsiTheme="majorBidi" w:cstheme="majorBidi"/>
          <w:szCs w:val="24"/>
        </w:rPr>
      </w:pPr>
      <w:r w:rsidRPr="00CD160A">
        <w:rPr>
          <w:rFonts w:asciiTheme="majorBidi" w:hAnsiTheme="majorBidi" w:cstheme="majorBidi"/>
          <w:szCs w:val="24"/>
        </w:rPr>
        <w:t xml:space="preserve"> </w:t>
      </w:r>
      <w:bookmarkStart w:id="45" w:name="_Toc199958814"/>
      <w:r w:rsidRPr="00CD160A">
        <w:rPr>
          <w:rFonts w:asciiTheme="majorBidi" w:hAnsiTheme="majorBidi" w:cstheme="majorBidi"/>
          <w:szCs w:val="24"/>
        </w:rPr>
        <w:t>Le système logistique :</w:t>
      </w:r>
      <w:bookmarkEnd w:id="45"/>
    </w:p>
    <w:p w14:paraId="78CCFD3E" w14:textId="77777777" w:rsidR="002210A7" w:rsidRPr="00CD160A" w:rsidRDefault="00B65858"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Inclut tous les flux </w:t>
      </w:r>
      <w:r w:rsidR="002210A7" w:rsidRPr="00CD160A">
        <w:rPr>
          <w:rFonts w:asciiTheme="majorBidi" w:hAnsiTheme="majorBidi" w:cstheme="majorBidi"/>
          <w:szCs w:val="24"/>
        </w:rPr>
        <w:t xml:space="preserve">résultant des actions médicales (prescriptions, résultats, transferts, archivages). Il met en jeu les divers services cliniques et plateaux techniques de l’établissement pour appuyer l’activité de l’équipe soignante. </w:t>
      </w:r>
    </w:p>
    <w:p w14:paraId="6B1C39B8" w14:textId="49FA8D72" w:rsidR="002210A7" w:rsidRPr="00CD160A" w:rsidRDefault="00764884" w:rsidP="00CD160A">
      <w:pPr>
        <w:pStyle w:val="Titre3"/>
        <w:numPr>
          <w:ilvl w:val="1"/>
          <w:numId w:val="53"/>
        </w:numPr>
        <w:spacing w:line="360" w:lineRule="auto"/>
        <w:rPr>
          <w:rFonts w:asciiTheme="majorBidi" w:hAnsiTheme="majorBidi" w:cstheme="majorBidi"/>
          <w:szCs w:val="24"/>
        </w:rPr>
      </w:pPr>
      <w:bookmarkStart w:id="46" w:name="_Toc199958815"/>
      <w:r w:rsidRPr="00CD160A">
        <w:rPr>
          <w:rFonts w:asciiTheme="majorBidi" w:hAnsiTheme="majorBidi" w:cstheme="majorBidi"/>
          <w:szCs w:val="24"/>
        </w:rPr>
        <w:t>Le système</w:t>
      </w:r>
      <w:r w:rsidR="002210A7" w:rsidRPr="00CD160A">
        <w:rPr>
          <w:rFonts w:asciiTheme="majorBidi" w:hAnsiTheme="majorBidi" w:cstheme="majorBidi"/>
          <w:szCs w:val="24"/>
        </w:rPr>
        <w:t xml:space="preserve"> d’information </w:t>
      </w:r>
      <w:proofErr w:type="spellStart"/>
      <w:r w:rsidR="002210A7" w:rsidRPr="00CD160A">
        <w:rPr>
          <w:rFonts w:asciiTheme="majorBidi" w:hAnsiTheme="majorBidi" w:cstheme="majorBidi"/>
          <w:szCs w:val="24"/>
        </w:rPr>
        <w:t>médico-techniques</w:t>
      </w:r>
      <w:proofErr w:type="spellEnd"/>
      <w:r w:rsidR="002210A7" w:rsidRPr="00CD160A">
        <w:rPr>
          <w:rFonts w:asciiTheme="majorBidi" w:hAnsiTheme="majorBidi" w:cstheme="majorBidi"/>
          <w:szCs w:val="24"/>
        </w:rPr>
        <w:t> :</w:t>
      </w:r>
      <w:bookmarkEnd w:id="46"/>
    </w:p>
    <w:p w14:paraId="34DF2DF9"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lastRenderedPageBreak/>
        <w:t xml:space="preserve">L'ensemble des plateaux techniques englobe tous les types de plateaux d'examens (laboratoires, imagerie médicale, explorations fonctionnelles, etc.), ainsi que la pharmacie centrale, et dans une certaine mesure, les services de réanimation et les unités de soins intensifs... etc. </w:t>
      </w:r>
      <w:r w:rsidR="00B65858" w:rsidRPr="00CD160A">
        <w:rPr>
          <w:rFonts w:asciiTheme="majorBidi" w:hAnsiTheme="majorBidi" w:cstheme="majorBidi"/>
          <w:szCs w:val="24"/>
        </w:rPr>
        <w:t xml:space="preserve">On retrouve plusieurs sous-systèmes, comme par </w:t>
      </w:r>
      <w:r w:rsidR="00A10AAB" w:rsidRPr="00CD160A">
        <w:rPr>
          <w:rFonts w:asciiTheme="majorBidi" w:hAnsiTheme="majorBidi" w:cstheme="majorBidi"/>
          <w:szCs w:val="24"/>
        </w:rPr>
        <w:t>exemple</w:t>
      </w:r>
      <w:r w:rsidR="00A10AAB" w:rsidRPr="00CD160A">
        <w:rPr>
          <w:rFonts w:asciiTheme="majorBidi" w:hAnsiTheme="majorBidi" w:cstheme="majorBidi"/>
          <w:szCs w:val="24"/>
          <w:vertAlign w:val="superscript"/>
        </w:rPr>
        <w:footnoteReference w:id="18"/>
      </w:r>
      <w:r w:rsidR="00A10AAB" w:rsidRPr="00CD160A">
        <w:rPr>
          <w:rFonts w:asciiTheme="majorBidi" w:hAnsiTheme="majorBidi" w:cstheme="majorBidi"/>
          <w:szCs w:val="24"/>
        </w:rPr>
        <w:t xml:space="preserve"> :</w:t>
      </w:r>
    </w:p>
    <w:p w14:paraId="4693E837"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 Le sous-système d’action médicale : Il fait référence à l'activité réalisée par l'équipe soignante pour traiter la problématique du patient : l’information recueillie sur le patient, la constitution et la consultation du dossier du malade, les connaissances médicales, les processus de décision, …etc. </w:t>
      </w:r>
    </w:p>
    <w:p w14:paraId="33406750"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 Le sous-système de recherche et d’étude : S'occupe de l'assemblage de dossiers, sous réserve qu'ils aient été correctement constitués, à des fins épidémiologiques ou d’évaluation de la qualité des soins, alimentant en retour la connaissance médicale ou les sous-systèmes d’administration et de planification. </w:t>
      </w:r>
    </w:p>
    <w:p w14:paraId="48C84007"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Le sous-système de planification hospitalière : Dans une perspective stratégique, il se base sur l'analyse d'activité ou les études de morbidité hospitalière afin de prendre des décisions concernant les investissements en infrastructure, en matériel et en personnel. Il est lié à des entités externes (autorités de surveillance, services de santé environnants, condition sanitaire de la population servie, etc.).</w:t>
      </w:r>
    </w:p>
    <w:p w14:paraId="454D2FD3" w14:textId="4A22B398" w:rsidR="002210A7" w:rsidRPr="00CD160A" w:rsidRDefault="002210A7" w:rsidP="00037B40">
      <w:pPr>
        <w:pStyle w:val="Titre2"/>
      </w:pPr>
      <w:bookmarkStart w:id="47" w:name="_Toc199958816"/>
      <w:r w:rsidRPr="00CD160A">
        <w:t>Fonctionnalités Clés d’un Système d’Information Hospitalier (SIH) :</w:t>
      </w:r>
      <w:bookmarkEnd w:id="47"/>
    </w:p>
    <w:p w14:paraId="3D307EFB" w14:textId="77777777" w:rsidR="002210A7" w:rsidRPr="00CD160A" w:rsidRDefault="002210A7" w:rsidP="00CD160A">
      <w:pPr>
        <w:tabs>
          <w:tab w:val="left" w:pos="1302"/>
        </w:tabs>
        <w:jc w:val="both"/>
        <w:rPr>
          <w:rFonts w:asciiTheme="majorBidi" w:hAnsiTheme="majorBidi" w:cstheme="majorBidi"/>
          <w:b/>
          <w:bCs/>
          <w:szCs w:val="24"/>
          <w:u w:val="single"/>
        </w:rPr>
      </w:pPr>
      <w:r w:rsidRPr="00CD160A">
        <w:rPr>
          <w:rFonts w:asciiTheme="majorBidi" w:hAnsiTheme="majorBidi" w:cstheme="majorBidi"/>
          <w:szCs w:val="24"/>
        </w:rPr>
        <w:t xml:space="preserve">Le Système d'Information Hospitalier </w:t>
      </w:r>
      <w:r w:rsidR="00851C4E" w:rsidRPr="00CD160A">
        <w:rPr>
          <w:rFonts w:asciiTheme="majorBidi" w:hAnsiTheme="majorBidi" w:cstheme="majorBidi"/>
          <w:szCs w:val="24"/>
        </w:rPr>
        <w:t xml:space="preserve">englobe diverses </w:t>
      </w:r>
      <w:r w:rsidRPr="00CD160A">
        <w:rPr>
          <w:rFonts w:asciiTheme="majorBidi" w:hAnsiTheme="majorBidi" w:cstheme="majorBidi"/>
          <w:szCs w:val="24"/>
        </w:rPr>
        <w:t xml:space="preserve">fonctionnalités essentielles visant à améliorer la gestion des soins, à augmenter la qualité des prestations fournies et l'efficacité administrative des établissements de santé. </w:t>
      </w:r>
      <w:r w:rsidR="00851C4E" w:rsidRPr="00CD160A">
        <w:rPr>
          <w:rFonts w:asciiTheme="majorBidi" w:hAnsiTheme="majorBidi" w:cstheme="majorBidi"/>
          <w:szCs w:val="24"/>
        </w:rPr>
        <w:t>On peut citer, entre autres, les fonctionnalités suivantes :</w:t>
      </w:r>
    </w:p>
    <w:p w14:paraId="0884280C" w14:textId="4DB06B19" w:rsidR="002210A7" w:rsidRPr="00037B40" w:rsidRDefault="002210A7" w:rsidP="00037B40">
      <w:pPr>
        <w:pStyle w:val="Titre2"/>
        <w:numPr>
          <w:ilvl w:val="1"/>
          <w:numId w:val="150"/>
        </w:numPr>
        <w:rPr>
          <w:rFonts w:asciiTheme="majorBidi" w:hAnsiTheme="majorBidi"/>
          <w:szCs w:val="24"/>
        </w:rPr>
      </w:pPr>
      <w:bookmarkStart w:id="48" w:name="_Toc199958817"/>
      <w:bookmarkStart w:id="49" w:name="_Toc199958818"/>
      <w:bookmarkEnd w:id="48"/>
      <w:r w:rsidRPr="00037B40">
        <w:rPr>
          <w:rFonts w:asciiTheme="majorBidi" w:hAnsiTheme="majorBidi"/>
          <w:szCs w:val="24"/>
        </w:rPr>
        <w:t>Gestion des Dossiers Patients :</w:t>
      </w:r>
      <w:bookmarkEnd w:id="49"/>
    </w:p>
    <w:p w14:paraId="51010510"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La gestion des dossiers patients est une fonctionnalité essentielle des SIH. Elle offre la possibilité de centraliser, regrouper, structurer et protéger toutes les informations concernant les patients, comme les historiques médicaux, les ordonnances, les comptes rendus d'imagerie </w:t>
      </w:r>
      <w:r w:rsidRPr="00CD160A">
        <w:rPr>
          <w:rFonts w:asciiTheme="majorBidi" w:hAnsiTheme="majorBidi" w:cstheme="majorBidi"/>
          <w:szCs w:val="24"/>
        </w:rPr>
        <w:lastRenderedPageBreak/>
        <w:t>et les notes cliniques. Ces systèmes garantissent l'interopérabilité avec d'autres services comme les laboratoires et les pharmacies, facilitant ainsi l'échange fluide des données en temps réel</w:t>
      </w:r>
      <w:r w:rsidRPr="00CD160A">
        <w:rPr>
          <w:rStyle w:val="Appelnotedebasdep"/>
          <w:rFonts w:asciiTheme="majorBidi" w:hAnsiTheme="majorBidi" w:cstheme="majorBidi"/>
          <w:szCs w:val="24"/>
        </w:rPr>
        <w:footnoteReference w:id="19"/>
      </w:r>
    </w:p>
    <w:p w14:paraId="48E963F1" w14:textId="77777777" w:rsidR="002210A7" w:rsidRPr="00CD160A" w:rsidRDefault="002210A7" w:rsidP="00CD160A">
      <w:pPr>
        <w:tabs>
          <w:tab w:val="left" w:pos="1302"/>
        </w:tabs>
        <w:jc w:val="both"/>
        <w:rPr>
          <w:rFonts w:asciiTheme="majorBidi" w:hAnsiTheme="majorBidi" w:cstheme="majorBidi"/>
          <w:b/>
          <w:bCs/>
          <w:szCs w:val="24"/>
        </w:rPr>
      </w:pPr>
      <w:r w:rsidRPr="00CD160A">
        <w:rPr>
          <w:rFonts w:asciiTheme="majorBidi" w:hAnsiTheme="majorBidi" w:cstheme="majorBidi"/>
          <w:b/>
          <w:bCs/>
          <w:szCs w:val="24"/>
        </w:rPr>
        <w:t>Avantages :</w:t>
      </w:r>
    </w:p>
    <w:p w14:paraId="3CABFB47"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Voici les principaux avantages de la gestion des dossiers patients à travers un système d'information hospitalier</w:t>
      </w:r>
      <w:r w:rsidRPr="00CD160A">
        <w:rPr>
          <w:rFonts w:asciiTheme="majorBidi" w:hAnsiTheme="majorBidi" w:cstheme="majorBidi"/>
          <w:szCs w:val="24"/>
          <w:vertAlign w:val="superscript"/>
        </w:rPr>
        <w:footnoteReference w:id="20"/>
      </w:r>
      <w:r w:rsidRPr="00CD160A">
        <w:rPr>
          <w:rFonts w:asciiTheme="majorBidi" w:hAnsiTheme="majorBidi" w:cstheme="majorBidi"/>
          <w:szCs w:val="24"/>
        </w:rPr>
        <w:t xml:space="preserve"> :</w:t>
      </w:r>
    </w:p>
    <w:p w14:paraId="4FBDB295"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Accès immédiat et sûr : Les DME offrent aux professionnels de santé d'accéder rapidement aux données essentielles, facilitant ainsi la continuité des soins.</w:t>
      </w:r>
    </w:p>
    <w:p w14:paraId="3B78E66E"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Réduction des erreurs médicales : Les dossiers médicaux électroniques, en éliminant les erreurs dues à la retranscription ou à l'illisible écriture des documents papier, améliorent la protection des patients.</w:t>
      </w:r>
    </w:p>
    <w:p w14:paraId="282CDDCF"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Interopérabilité : Ces systèmes encouragent le partage de données entre divers services d'hôpital (radiologie, pharmacie, laboratoires), et même entre les différents établissements.</w:t>
      </w:r>
    </w:p>
    <w:p w14:paraId="5C460B7D" w14:textId="77777777"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50" w:name="_Toc199958819"/>
      <w:r w:rsidRPr="00CD160A">
        <w:rPr>
          <w:rFonts w:asciiTheme="majorBidi" w:hAnsiTheme="majorBidi" w:cstheme="majorBidi"/>
          <w:szCs w:val="24"/>
        </w:rPr>
        <w:t>Gestion des Ressources Hospitalières</w:t>
      </w:r>
      <w:bookmarkEnd w:id="50"/>
      <w:r w:rsidRPr="00CD160A">
        <w:rPr>
          <w:rFonts w:asciiTheme="majorBidi" w:hAnsiTheme="majorBidi" w:cstheme="majorBidi"/>
          <w:szCs w:val="24"/>
        </w:rPr>
        <w:t xml:space="preserve"> </w:t>
      </w:r>
    </w:p>
    <w:p w14:paraId="0633AA95" w14:textId="77777777" w:rsidR="002210A7" w:rsidRPr="00CD160A" w:rsidRDefault="002210A7" w:rsidP="00CD160A">
      <w:pPr>
        <w:tabs>
          <w:tab w:val="left" w:pos="1302"/>
        </w:tabs>
        <w:jc w:val="both"/>
        <w:rPr>
          <w:rFonts w:asciiTheme="majorBidi" w:hAnsiTheme="majorBidi" w:cstheme="majorBidi"/>
          <w:szCs w:val="24"/>
        </w:rPr>
      </w:pPr>
      <w:r w:rsidRPr="00CD160A">
        <w:rPr>
          <w:rFonts w:asciiTheme="majorBidi" w:hAnsiTheme="majorBidi" w:cstheme="majorBidi"/>
          <w:szCs w:val="24"/>
        </w:rPr>
        <w:t xml:space="preserve">Un autre aspect essentiel des Systèmes d'Information Hospitaliers est la gestion des ressources hospitalières. C'est un autre élément crucial des Systèmes d'Information Hospitaliers. Elle englobe l'optimisation de l'usage des lits, du personnel soignant et du matériel technique. Les SIH facilitent la gestion efficiente des emplois du temps du personnel, la gestion des approvisionnements en médicaments et en matériel médical, ainsi que l'organisation des services pour garantir une exploitation optimale des ressources disponibles. </w:t>
      </w:r>
      <w:r w:rsidRPr="00CD160A">
        <w:rPr>
          <w:rStyle w:val="Appelnotedebasdep"/>
          <w:rFonts w:asciiTheme="majorBidi" w:hAnsiTheme="majorBidi" w:cstheme="majorBidi"/>
          <w:szCs w:val="24"/>
        </w:rPr>
        <w:footnoteReference w:id="21"/>
      </w:r>
    </w:p>
    <w:p w14:paraId="027E768C" w14:textId="77777777" w:rsidR="002210A7" w:rsidRPr="00CD160A" w:rsidRDefault="002210A7" w:rsidP="00CD160A">
      <w:pPr>
        <w:jc w:val="both"/>
        <w:rPr>
          <w:rFonts w:asciiTheme="majorBidi" w:hAnsiTheme="majorBidi" w:cstheme="majorBidi"/>
          <w:b/>
          <w:bCs/>
          <w:szCs w:val="24"/>
        </w:rPr>
      </w:pPr>
      <w:r w:rsidRPr="00CD160A">
        <w:rPr>
          <w:rFonts w:asciiTheme="majorBidi" w:hAnsiTheme="majorBidi" w:cstheme="majorBidi"/>
          <w:b/>
          <w:bCs/>
          <w:szCs w:val="24"/>
        </w:rPr>
        <w:t>Avantages :</w:t>
      </w:r>
    </w:p>
    <w:p w14:paraId="48967D46"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lastRenderedPageBreak/>
        <w:t>Les principaux avantages liés à la gestion des ressources hospitalières à travers un système d'information sont les suivants</w:t>
      </w:r>
      <w:r w:rsidRPr="00CD160A">
        <w:rPr>
          <w:rFonts w:asciiTheme="majorBidi" w:hAnsiTheme="majorBidi" w:cstheme="majorBidi"/>
          <w:szCs w:val="24"/>
          <w:vertAlign w:val="superscript"/>
        </w:rPr>
        <w:footnoteReference w:id="22"/>
      </w:r>
      <w:r w:rsidRPr="00CD160A">
        <w:rPr>
          <w:rFonts w:asciiTheme="majorBidi" w:hAnsiTheme="majorBidi" w:cstheme="majorBidi"/>
          <w:szCs w:val="24"/>
        </w:rPr>
        <w:t xml:space="preserve"> :</w:t>
      </w:r>
    </w:p>
    <w:p w14:paraId="46852D60"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•Réduction du gaspillage : une planification optimale permet de réduire les pertes associées aux stocks expirés ou non utilisés.</w:t>
      </w:r>
    </w:p>
    <w:p w14:paraId="7E2AA8D1" w14:textId="22A86768"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•Amélioration de l'efficacité opérationnelle</w:t>
      </w:r>
      <w:r w:rsidR="002857CA" w:rsidRPr="00CD160A">
        <w:rPr>
          <w:rFonts w:asciiTheme="majorBidi" w:hAnsiTheme="majorBidi" w:cstheme="majorBidi"/>
          <w:szCs w:val="24"/>
        </w:rPr>
        <w:t xml:space="preserve"> : Les</w:t>
      </w:r>
      <w:r w:rsidRPr="00CD160A">
        <w:rPr>
          <w:rFonts w:asciiTheme="majorBidi" w:hAnsiTheme="majorBidi" w:cstheme="majorBidi"/>
          <w:szCs w:val="24"/>
        </w:rPr>
        <w:t xml:space="preserve"> Systèmes d'Information Hospitaliers (SIH) automatisent des opérations administratives telles que la planification et le suivi des inventaires, offrant ainsi plus de temps au personnel médical.</w:t>
      </w:r>
    </w:p>
    <w:p w14:paraId="459B5E2D"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•Optimisation financière : Une gestion performante réduit au minimum les dépenses superflues tout en assurant la disponibilité des ressources vitales.</w:t>
      </w:r>
    </w:p>
    <w:p w14:paraId="7478AEC0" w14:textId="77777777"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51" w:name="_Toc199958820"/>
      <w:r w:rsidRPr="00CD160A">
        <w:rPr>
          <w:rFonts w:asciiTheme="majorBidi" w:hAnsiTheme="majorBidi" w:cstheme="majorBidi"/>
          <w:szCs w:val="24"/>
        </w:rPr>
        <w:t>Support à la Décision Clinique</w:t>
      </w:r>
      <w:bookmarkEnd w:id="51"/>
      <w:r w:rsidRPr="00CD160A">
        <w:rPr>
          <w:rFonts w:asciiTheme="majorBidi" w:hAnsiTheme="majorBidi" w:cstheme="majorBidi"/>
          <w:szCs w:val="24"/>
        </w:rPr>
        <w:t xml:space="preserve"> </w:t>
      </w:r>
    </w:p>
    <w:p w14:paraId="54D4E3C0"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support à la décision clinique est une fonctionnalité avancée des SIH qui aide les professionnels de santé à prendre des décisions éclairées. Les systèmes d'aide à la décision clinique (SADM) utilisent des données probantes pour confirmer les diagnostics, gérer les patients, et recommander des traitements. On a associé ces systèmes à une amélioration des résultats des patients et à une réduction des coûts hospitaliers.</w:t>
      </w:r>
      <w:r w:rsidRPr="00CD160A">
        <w:rPr>
          <w:rStyle w:val="Appelnotedebasdep"/>
          <w:rFonts w:asciiTheme="majorBidi" w:hAnsiTheme="majorBidi" w:cstheme="majorBidi"/>
          <w:szCs w:val="24"/>
        </w:rPr>
        <w:footnoteReference w:id="23"/>
      </w:r>
    </w:p>
    <w:p w14:paraId="4B45E8C4" w14:textId="77777777" w:rsidR="002210A7" w:rsidRPr="00CD160A" w:rsidRDefault="002210A7" w:rsidP="00CD160A">
      <w:pPr>
        <w:jc w:val="both"/>
        <w:rPr>
          <w:rFonts w:asciiTheme="majorBidi" w:hAnsiTheme="majorBidi" w:cstheme="majorBidi"/>
          <w:b/>
          <w:bCs/>
          <w:szCs w:val="24"/>
        </w:rPr>
      </w:pPr>
      <w:r w:rsidRPr="00CD160A">
        <w:rPr>
          <w:rFonts w:asciiTheme="majorBidi" w:hAnsiTheme="majorBidi" w:cstheme="majorBidi"/>
          <w:b/>
          <w:bCs/>
          <w:szCs w:val="24"/>
        </w:rPr>
        <w:t>Avantages :</w:t>
      </w:r>
    </w:p>
    <w:p w14:paraId="53FF95DF"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Cette fonctionnalité présente plusieurs avantages significatifs pour les professionnels de santé et les établissements hospitaliers, parmi lesquels</w:t>
      </w:r>
      <w:r w:rsidRPr="00CD160A">
        <w:rPr>
          <w:rFonts w:asciiTheme="majorBidi" w:hAnsiTheme="majorBidi" w:cstheme="majorBidi"/>
          <w:szCs w:val="24"/>
          <w:vertAlign w:val="superscript"/>
        </w:rPr>
        <w:footnoteReference w:id="24"/>
      </w:r>
      <w:r w:rsidRPr="00CD160A">
        <w:rPr>
          <w:rFonts w:asciiTheme="majorBidi" w:hAnsiTheme="majorBidi" w:cstheme="majorBidi"/>
          <w:szCs w:val="24"/>
        </w:rPr>
        <w:t xml:space="preserve"> :</w:t>
      </w:r>
    </w:p>
    <w:p w14:paraId="2A61FB1E" w14:textId="77777777" w:rsidR="002210A7" w:rsidRPr="00CD160A" w:rsidRDefault="002210A7" w:rsidP="00CD160A">
      <w:pPr>
        <w:pStyle w:val="Paragraphedeliste"/>
        <w:numPr>
          <w:ilvl w:val="0"/>
          <w:numId w:val="36"/>
        </w:numPr>
        <w:spacing w:after="160" w:line="360" w:lineRule="auto"/>
        <w:jc w:val="both"/>
        <w:rPr>
          <w:rFonts w:asciiTheme="majorBidi" w:hAnsiTheme="majorBidi" w:cstheme="majorBidi"/>
          <w:szCs w:val="24"/>
        </w:rPr>
      </w:pPr>
      <w:r w:rsidRPr="00CD160A">
        <w:rPr>
          <w:rFonts w:asciiTheme="majorBidi" w:hAnsiTheme="majorBidi" w:cstheme="majorBidi"/>
          <w:szCs w:val="24"/>
        </w:rPr>
        <w:t>Amélioration de la qualité des soins : Les SDC fournissent aux médecins des renseignements fondés sur les pratiques médicales les plus performantes du moment.</w:t>
      </w:r>
    </w:p>
    <w:p w14:paraId="0BEB7130" w14:textId="77777777" w:rsidR="00532A0E" w:rsidRPr="00CD160A" w:rsidRDefault="00532A0E" w:rsidP="00CD160A">
      <w:pPr>
        <w:pStyle w:val="Paragraphedeliste"/>
        <w:numPr>
          <w:ilvl w:val="0"/>
          <w:numId w:val="36"/>
        </w:numPr>
        <w:spacing w:after="160" w:line="360" w:lineRule="auto"/>
        <w:jc w:val="both"/>
        <w:rPr>
          <w:rFonts w:asciiTheme="majorBidi" w:hAnsiTheme="majorBidi" w:cstheme="majorBidi"/>
          <w:szCs w:val="24"/>
        </w:rPr>
      </w:pPr>
    </w:p>
    <w:p w14:paraId="6261F642" w14:textId="09EB7A31" w:rsidR="002210A7" w:rsidRPr="00CD160A" w:rsidRDefault="002210A7" w:rsidP="00CD160A">
      <w:pPr>
        <w:pStyle w:val="Paragraphedeliste"/>
        <w:numPr>
          <w:ilvl w:val="0"/>
          <w:numId w:val="36"/>
        </w:numPr>
        <w:spacing w:after="160" w:line="360" w:lineRule="auto"/>
        <w:jc w:val="both"/>
        <w:rPr>
          <w:rFonts w:asciiTheme="majorBidi" w:hAnsiTheme="majorBidi" w:cstheme="majorBidi"/>
          <w:szCs w:val="24"/>
        </w:rPr>
      </w:pPr>
      <w:r w:rsidRPr="00CD160A">
        <w:rPr>
          <w:rFonts w:asciiTheme="majorBidi" w:hAnsiTheme="majorBidi" w:cstheme="majorBidi"/>
          <w:szCs w:val="24"/>
        </w:rPr>
        <w:lastRenderedPageBreak/>
        <w:t>Ré</w:t>
      </w:r>
      <w:r w:rsidR="00532A0E" w:rsidRPr="00CD160A">
        <w:rPr>
          <w:rFonts w:asciiTheme="majorBidi" w:hAnsiTheme="majorBidi" w:cstheme="majorBidi"/>
          <w:szCs w:val="24"/>
        </w:rPr>
        <w:t xml:space="preserve">duction des erreurs cliniques </w:t>
      </w:r>
      <w:r w:rsidRPr="00CD160A">
        <w:rPr>
          <w:rFonts w:asciiTheme="majorBidi" w:hAnsiTheme="majorBidi" w:cstheme="majorBidi"/>
          <w:szCs w:val="24"/>
        </w:rPr>
        <w:t>En identifiant les risques potentiels avant</w:t>
      </w:r>
      <w:r w:rsidR="00F913DF" w:rsidRPr="00CD160A">
        <w:rPr>
          <w:rFonts w:asciiTheme="majorBidi" w:hAnsiTheme="majorBidi" w:cstheme="majorBidi"/>
          <w:szCs w:val="24"/>
        </w:rPr>
        <w:t xml:space="preserve"> même</w:t>
      </w:r>
      <w:r w:rsidRPr="00CD160A">
        <w:rPr>
          <w:rFonts w:asciiTheme="majorBidi" w:hAnsiTheme="majorBidi" w:cstheme="majorBidi"/>
          <w:szCs w:val="24"/>
        </w:rPr>
        <w:t> qu'ils ne surviennent, ces dispositifs renforcent et augmentent la protection du patient.</w:t>
      </w:r>
    </w:p>
    <w:p w14:paraId="6331282D" w14:textId="77777777" w:rsidR="002210A7" w:rsidRPr="00CD160A" w:rsidRDefault="002210A7" w:rsidP="00CD160A">
      <w:pPr>
        <w:pStyle w:val="Paragraphedeliste"/>
        <w:numPr>
          <w:ilvl w:val="0"/>
          <w:numId w:val="36"/>
        </w:numPr>
        <w:spacing w:after="160" w:line="360" w:lineRule="auto"/>
        <w:jc w:val="both"/>
        <w:rPr>
          <w:rFonts w:asciiTheme="majorBidi" w:hAnsiTheme="majorBidi" w:cstheme="majorBidi"/>
          <w:szCs w:val="24"/>
        </w:rPr>
      </w:pPr>
      <w:r w:rsidRPr="00CD160A">
        <w:rPr>
          <w:rFonts w:asciiTheme="majorBidi" w:hAnsiTheme="majorBidi" w:cstheme="majorBidi"/>
          <w:szCs w:val="24"/>
        </w:rPr>
        <w:t>Gain de temps : Les recommandations automatisées permettent aux cliniciens de se concentrer sur les aspects critiques du soin plutôt que sur la recherche d'informations</w:t>
      </w:r>
    </w:p>
    <w:p w14:paraId="6FDF3D42" w14:textId="77777777" w:rsidR="002210A7" w:rsidRPr="00CD160A" w:rsidRDefault="002210A7" w:rsidP="00CD160A">
      <w:pPr>
        <w:pStyle w:val="Paragraphedeliste"/>
        <w:spacing w:after="160" w:line="360" w:lineRule="auto"/>
        <w:ind w:left="360"/>
        <w:jc w:val="both"/>
        <w:rPr>
          <w:rFonts w:asciiTheme="majorBidi" w:hAnsiTheme="majorBidi" w:cstheme="majorBidi"/>
          <w:szCs w:val="24"/>
        </w:rPr>
      </w:pPr>
    </w:p>
    <w:p w14:paraId="623DF0EE" w14:textId="1ED62FD9" w:rsidR="002210A7" w:rsidRPr="00CD160A" w:rsidRDefault="002210A7" w:rsidP="00037B40">
      <w:pPr>
        <w:pStyle w:val="Titre2"/>
        <w:rPr>
          <w:rFonts w:asciiTheme="majorBidi" w:hAnsiTheme="majorBidi"/>
          <w:szCs w:val="24"/>
        </w:rPr>
      </w:pPr>
      <w:bookmarkStart w:id="52" w:name="_Toc199958821"/>
      <w:r w:rsidRPr="00CD160A">
        <w:rPr>
          <w:rFonts w:asciiTheme="majorBidi" w:hAnsiTheme="majorBidi"/>
          <w:szCs w:val="24"/>
        </w:rPr>
        <w:t>Les facteurs favorisant l’implantation des systèmes d’information hospitaliers :</w:t>
      </w:r>
      <w:bookmarkEnd w:id="52"/>
    </w:p>
    <w:p w14:paraId="7D50C049" w14:textId="77777777" w:rsidR="002210A7" w:rsidRPr="00CD160A" w:rsidRDefault="00532A0E" w:rsidP="00CD160A">
      <w:p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D'après Al-</w:t>
      </w:r>
      <w:proofErr w:type="spellStart"/>
      <w:r w:rsidRPr="00CD160A">
        <w:rPr>
          <w:rFonts w:asciiTheme="majorBidi" w:eastAsia="Times New Roman" w:hAnsiTheme="majorBidi" w:cstheme="majorBidi"/>
          <w:szCs w:val="24"/>
          <w:lang w:eastAsia="fr-FR"/>
        </w:rPr>
        <w:t>Douik</w:t>
      </w:r>
      <w:proofErr w:type="spellEnd"/>
      <w:r w:rsidRPr="00CD160A">
        <w:rPr>
          <w:rFonts w:asciiTheme="majorBidi" w:eastAsia="Times New Roman" w:hAnsiTheme="majorBidi" w:cstheme="majorBidi"/>
          <w:szCs w:val="24"/>
          <w:lang w:eastAsia="fr-FR"/>
        </w:rPr>
        <w:t>, les facteurs clés qui ont permis l'implémentation des systèmes d'information informatisés dans les établissements hospitaliers</w:t>
      </w:r>
      <w:r w:rsidR="002210A7" w:rsidRPr="00CD160A">
        <w:rPr>
          <w:rFonts w:asciiTheme="majorBidi" w:eastAsia="Times New Roman" w:hAnsiTheme="majorBidi" w:cstheme="majorBidi"/>
          <w:szCs w:val="24"/>
          <w:lang w:eastAsia="fr-FR"/>
        </w:rPr>
        <w:t xml:space="preserve"> sont </w:t>
      </w:r>
      <w:r w:rsidR="002210A7" w:rsidRPr="00CD160A">
        <w:rPr>
          <w:rStyle w:val="Appelnotedebasdep"/>
          <w:rFonts w:asciiTheme="majorBidi" w:eastAsia="Times New Roman" w:hAnsiTheme="majorBidi" w:cstheme="majorBidi"/>
          <w:szCs w:val="24"/>
          <w:lang w:eastAsia="fr-FR"/>
        </w:rPr>
        <w:footnoteReference w:id="25"/>
      </w:r>
      <w:r w:rsidR="002210A7" w:rsidRPr="00CD160A">
        <w:rPr>
          <w:rFonts w:asciiTheme="majorBidi" w:eastAsia="Times New Roman" w:hAnsiTheme="majorBidi" w:cstheme="majorBidi"/>
          <w:szCs w:val="24"/>
          <w:lang w:eastAsia="fr-FR"/>
        </w:rPr>
        <w:t>:</w:t>
      </w:r>
    </w:p>
    <w:p w14:paraId="41C424FD" w14:textId="77777777" w:rsidR="00532A0E" w:rsidRPr="00CD160A" w:rsidRDefault="00532A0E" w:rsidP="00CD160A">
      <w:pPr>
        <w:numPr>
          <w:ilvl w:val="0"/>
          <w:numId w:val="49"/>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La diminution du coût des équipements informatiques.</w:t>
      </w:r>
    </w:p>
    <w:p w14:paraId="1CCBC94A" w14:textId="77777777" w:rsidR="00532A0E" w:rsidRPr="00CD160A" w:rsidRDefault="00532A0E" w:rsidP="00CD160A">
      <w:pPr>
        <w:numPr>
          <w:ilvl w:val="0"/>
          <w:numId w:val="49"/>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L'existence d'une main-d’œuvre qualifiée et compétente.</w:t>
      </w:r>
    </w:p>
    <w:p w14:paraId="50F5EB62" w14:textId="77777777" w:rsidR="002210A7" w:rsidRPr="00CD160A" w:rsidRDefault="002210A7" w:rsidP="00CD160A">
      <w:pPr>
        <w:numPr>
          <w:ilvl w:val="0"/>
          <w:numId w:val="49"/>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Une plus grande précision, rapidité et accessibilité de l'information.</w:t>
      </w:r>
    </w:p>
    <w:p w14:paraId="0553DDBB" w14:textId="77777777" w:rsidR="002210A7" w:rsidRPr="00CD160A" w:rsidRDefault="002210A7" w:rsidP="00CD160A">
      <w:pPr>
        <w:numPr>
          <w:ilvl w:val="0"/>
          <w:numId w:val="49"/>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La facilité de programmer des activités médicales à l’aide de l’informatique.</w:t>
      </w:r>
    </w:p>
    <w:p w14:paraId="7D6DFB36" w14:textId="77777777" w:rsidR="002210A7" w:rsidRPr="00CD160A" w:rsidRDefault="002210A7" w:rsidP="00CD160A">
      <w:pPr>
        <w:numPr>
          <w:ilvl w:val="0"/>
          <w:numId w:val="49"/>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La comparaison simplifiée des données entre plusieurs établissements.</w:t>
      </w:r>
    </w:p>
    <w:p w14:paraId="7F4B543A" w14:textId="77777777" w:rsidR="002210A7" w:rsidRPr="00CD160A" w:rsidRDefault="002210A7" w:rsidP="00CD160A">
      <w:pPr>
        <w:numPr>
          <w:ilvl w:val="0"/>
          <w:numId w:val="49"/>
        </w:numPr>
        <w:spacing w:before="100" w:beforeAutospacing="1" w:after="100" w:afterAutospacing="1"/>
        <w:jc w:val="both"/>
        <w:rPr>
          <w:rFonts w:asciiTheme="majorBidi" w:eastAsia="Times New Roman" w:hAnsiTheme="majorBidi" w:cstheme="majorBidi"/>
          <w:szCs w:val="24"/>
          <w:lang w:eastAsia="fr-FR"/>
        </w:rPr>
      </w:pPr>
      <w:r w:rsidRPr="00CD160A">
        <w:rPr>
          <w:rFonts w:asciiTheme="majorBidi" w:eastAsia="Times New Roman" w:hAnsiTheme="majorBidi" w:cstheme="majorBidi"/>
          <w:szCs w:val="24"/>
          <w:lang w:eastAsia="fr-FR"/>
        </w:rPr>
        <w:t xml:space="preserve">Le stockage facilité des informations sur des supports numériques. </w:t>
      </w:r>
    </w:p>
    <w:p w14:paraId="07EB40F7" w14:textId="77777777" w:rsidR="002210A7" w:rsidRPr="00CD160A" w:rsidRDefault="002210A7" w:rsidP="00CD160A">
      <w:pPr>
        <w:pStyle w:val="Titre1"/>
        <w:jc w:val="both"/>
        <w:rPr>
          <w:rFonts w:asciiTheme="majorBidi" w:eastAsiaTheme="minorEastAsia" w:hAnsiTheme="majorBidi"/>
          <w:sz w:val="24"/>
          <w:szCs w:val="24"/>
          <w:lang w:eastAsia="fr-FR"/>
        </w:rPr>
      </w:pPr>
      <w:bookmarkStart w:id="53" w:name="_Toc199958822"/>
      <w:r w:rsidRPr="00CD160A">
        <w:rPr>
          <w:rFonts w:asciiTheme="majorBidi" w:eastAsiaTheme="minorEastAsia" w:hAnsiTheme="majorBidi"/>
          <w:sz w:val="24"/>
          <w:szCs w:val="24"/>
          <w:lang w:eastAsia="fr-FR"/>
        </w:rPr>
        <w:t>Section3 : Le Programme de Médicalisation des Systèmes d'Information (PMSI) :</w:t>
      </w:r>
      <w:bookmarkEnd w:id="53"/>
    </w:p>
    <w:p w14:paraId="6727FC00"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Face à la nécessité d’optimiser la gestion des établissements de santé et de mieux maîtriser les dépenses hospitalières, plusieurs pays ont développé des systèmes d'information médicalisés permettant de lier activité médicale et financement. </w:t>
      </w:r>
      <w:r w:rsidR="00067096" w:rsidRPr="00CD160A">
        <w:rPr>
          <w:rFonts w:asciiTheme="majorBidi" w:hAnsiTheme="majorBidi" w:cstheme="majorBidi"/>
          <w:szCs w:val="24"/>
        </w:rPr>
        <w:t xml:space="preserve">Dans le contexte français, cette dynamique a conduit à l'instauration du Programme de Médicalisation des Systèmes d'Information (PMSI), un instrument clé dans la réforme du financement basé sur l'activité (T2A). </w:t>
      </w:r>
      <w:r w:rsidRPr="00CD160A">
        <w:rPr>
          <w:rFonts w:asciiTheme="majorBidi" w:hAnsiTheme="majorBidi" w:cstheme="majorBidi"/>
          <w:szCs w:val="24"/>
        </w:rPr>
        <w:t>Cette section présente d’abord l’historique, les objectifs et le fonctionnement du PMSI, en insistant sur le processus de codage des données médicales et la classification des Groupes Homogènes de Malades (GHM). Elle s’intéresse ensuite à d'autres systèmes internationaux, comme le DRG (</w:t>
      </w:r>
      <w:proofErr w:type="spellStart"/>
      <w:r w:rsidRPr="00CD160A">
        <w:rPr>
          <w:rFonts w:asciiTheme="majorBidi" w:hAnsiTheme="majorBidi" w:cstheme="majorBidi"/>
          <w:szCs w:val="24"/>
        </w:rPr>
        <w:t>Diagnosis</w:t>
      </w:r>
      <w:proofErr w:type="spellEnd"/>
      <w:r w:rsidRPr="00CD160A">
        <w:rPr>
          <w:rFonts w:asciiTheme="majorBidi" w:hAnsiTheme="majorBidi" w:cstheme="majorBidi"/>
          <w:szCs w:val="24"/>
        </w:rPr>
        <w:t xml:space="preserve"> </w:t>
      </w:r>
      <w:proofErr w:type="spellStart"/>
      <w:r w:rsidRPr="00CD160A">
        <w:rPr>
          <w:rFonts w:asciiTheme="majorBidi" w:hAnsiTheme="majorBidi" w:cstheme="majorBidi"/>
          <w:szCs w:val="24"/>
        </w:rPr>
        <w:t>Related</w:t>
      </w:r>
      <w:proofErr w:type="spellEnd"/>
      <w:r w:rsidRPr="00CD160A">
        <w:rPr>
          <w:rFonts w:asciiTheme="majorBidi" w:hAnsiTheme="majorBidi" w:cstheme="majorBidi"/>
          <w:szCs w:val="24"/>
        </w:rPr>
        <w:t xml:space="preserve"> Groups) aux États-Unis ou NHS Digital au Royaume-Uni, avant de proposer un tableau comparatif des différents modèles existants et d’en dégager les enseignements potentiellement transférables au contexte algérien.</w:t>
      </w:r>
    </w:p>
    <w:p w14:paraId="03FB75A7" w14:textId="77777777" w:rsidR="002210A7" w:rsidRPr="00CD160A" w:rsidRDefault="002210A7" w:rsidP="00CD160A">
      <w:pPr>
        <w:pStyle w:val="Titre2"/>
        <w:numPr>
          <w:ilvl w:val="0"/>
          <w:numId w:val="118"/>
        </w:numPr>
        <w:rPr>
          <w:rFonts w:asciiTheme="majorBidi" w:hAnsiTheme="majorBidi"/>
          <w:szCs w:val="24"/>
        </w:rPr>
      </w:pPr>
      <w:bookmarkStart w:id="54" w:name="_Toc199958823"/>
      <w:r w:rsidRPr="00CD160A">
        <w:rPr>
          <w:rFonts w:asciiTheme="majorBidi" w:hAnsiTheme="majorBidi"/>
          <w:szCs w:val="24"/>
        </w:rPr>
        <w:lastRenderedPageBreak/>
        <w:t>Historique et Contexte du PMSI en France :</w:t>
      </w:r>
      <w:bookmarkEnd w:id="54"/>
    </w:p>
    <w:p w14:paraId="60DD3F7D" w14:textId="0CC45F24" w:rsidR="009A6B1C" w:rsidRPr="00CD160A" w:rsidRDefault="00067096" w:rsidP="00CD160A">
      <w:pPr>
        <w:jc w:val="both"/>
        <w:rPr>
          <w:rFonts w:asciiTheme="majorBidi" w:hAnsiTheme="majorBidi" w:cstheme="majorBidi"/>
          <w:szCs w:val="24"/>
        </w:rPr>
      </w:pPr>
      <w:r w:rsidRPr="00CD160A">
        <w:rPr>
          <w:rFonts w:asciiTheme="majorBidi" w:hAnsiTheme="majorBidi" w:cstheme="majorBidi"/>
          <w:szCs w:val="24"/>
        </w:rPr>
        <w:t xml:space="preserve">L'origine du PMSI remonte à la fin des années 1970 aux États-Unis, plus précisément à l'Université de Yale. </w:t>
      </w:r>
      <w:r w:rsidR="002857CA" w:rsidRPr="00CD160A">
        <w:rPr>
          <w:rFonts w:asciiTheme="majorBidi" w:hAnsiTheme="majorBidi" w:cstheme="majorBidi"/>
          <w:szCs w:val="24"/>
        </w:rPr>
        <w:t>Grâce</w:t>
      </w:r>
      <w:r w:rsidR="002210A7" w:rsidRPr="00CD160A">
        <w:rPr>
          <w:rFonts w:asciiTheme="majorBidi" w:hAnsiTheme="majorBidi" w:cstheme="majorBidi"/>
          <w:szCs w:val="24"/>
        </w:rPr>
        <w:t xml:space="preserve"> au travail de l'équipe dirigée par le professeur Robert </w:t>
      </w:r>
      <w:proofErr w:type="spellStart"/>
      <w:r w:rsidR="002210A7" w:rsidRPr="00CD160A">
        <w:rPr>
          <w:rFonts w:asciiTheme="majorBidi" w:hAnsiTheme="majorBidi" w:cstheme="majorBidi"/>
          <w:szCs w:val="24"/>
        </w:rPr>
        <w:t>Fetter</w:t>
      </w:r>
      <w:proofErr w:type="spellEnd"/>
      <w:r w:rsidR="002210A7" w:rsidRPr="00CD160A">
        <w:rPr>
          <w:rFonts w:asciiTheme="majorBidi" w:hAnsiTheme="majorBidi" w:cstheme="majorBidi"/>
          <w:szCs w:val="24"/>
        </w:rPr>
        <w:t xml:space="preserve"> qui a élaboré les </w:t>
      </w:r>
      <w:proofErr w:type="spellStart"/>
      <w:r w:rsidR="002210A7" w:rsidRPr="00CD160A">
        <w:rPr>
          <w:rFonts w:asciiTheme="majorBidi" w:hAnsiTheme="majorBidi" w:cstheme="majorBidi"/>
          <w:szCs w:val="24"/>
        </w:rPr>
        <w:t>Diagnosis</w:t>
      </w:r>
      <w:proofErr w:type="spellEnd"/>
      <w:r w:rsidR="002210A7" w:rsidRPr="00CD160A">
        <w:rPr>
          <w:rFonts w:asciiTheme="majorBidi" w:hAnsiTheme="majorBidi" w:cstheme="majorBidi"/>
          <w:szCs w:val="24"/>
        </w:rPr>
        <w:t xml:space="preserve"> </w:t>
      </w:r>
      <w:proofErr w:type="spellStart"/>
      <w:r w:rsidR="002210A7" w:rsidRPr="00CD160A">
        <w:rPr>
          <w:rFonts w:asciiTheme="majorBidi" w:hAnsiTheme="majorBidi" w:cstheme="majorBidi"/>
          <w:szCs w:val="24"/>
        </w:rPr>
        <w:t>Related</w:t>
      </w:r>
      <w:proofErr w:type="spellEnd"/>
      <w:r w:rsidR="002210A7" w:rsidRPr="00CD160A">
        <w:rPr>
          <w:rFonts w:asciiTheme="majorBidi" w:hAnsiTheme="majorBidi" w:cstheme="majorBidi"/>
          <w:szCs w:val="24"/>
        </w:rPr>
        <w:t xml:space="preserve"> Groups (DRG). Ce dispositif a pour objectif de classer les hospitalisations selon des critères médicaux et financiers similaires, dans une logique de prospective </w:t>
      </w:r>
      <w:proofErr w:type="spellStart"/>
      <w:r w:rsidR="002210A7" w:rsidRPr="00CD160A">
        <w:rPr>
          <w:rFonts w:asciiTheme="majorBidi" w:hAnsiTheme="majorBidi" w:cstheme="majorBidi"/>
          <w:szCs w:val="24"/>
        </w:rPr>
        <w:t>payment</w:t>
      </w:r>
      <w:proofErr w:type="spellEnd"/>
      <w:r w:rsidR="002210A7" w:rsidRPr="00CD160A">
        <w:rPr>
          <w:rFonts w:asciiTheme="majorBidi" w:hAnsiTheme="majorBidi" w:cstheme="majorBidi"/>
          <w:szCs w:val="24"/>
        </w:rPr>
        <w:t xml:space="preserve"> system (rémunération des soins sur la base de tarifs prédéfinis). </w:t>
      </w:r>
      <w:r w:rsidR="009A6B1C" w:rsidRPr="00CD160A">
        <w:rPr>
          <w:rFonts w:asciiTheme="majorBidi" w:hAnsiTheme="majorBidi" w:cstheme="majorBidi"/>
          <w:szCs w:val="24"/>
        </w:rPr>
        <w:t xml:space="preserve">C'est en 1982 que cette méthode commence à être appliquée en France, grâce à Jean de </w:t>
      </w:r>
      <w:proofErr w:type="spellStart"/>
      <w:r w:rsidR="009A6B1C" w:rsidRPr="00CD160A">
        <w:rPr>
          <w:rFonts w:asciiTheme="majorBidi" w:hAnsiTheme="majorBidi" w:cstheme="majorBidi"/>
          <w:szCs w:val="24"/>
        </w:rPr>
        <w:t>Kervasdoué</w:t>
      </w:r>
      <w:proofErr w:type="spellEnd"/>
      <w:r w:rsidR="009A6B1C" w:rsidRPr="00CD160A">
        <w:rPr>
          <w:rFonts w:asciiTheme="majorBidi" w:hAnsiTheme="majorBidi" w:cstheme="majorBidi"/>
          <w:szCs w:val="24"/>
        </w:rPr>
        <w:t>, alors directeur des hôpitaux.</w:t>
      </w:r>
    </w:p>
    <w:p w14:paraId="22D9849D" w14:textId="77777777" w:rsidR="002210A7" w:rsidRPr="00CD160A" w:rsidRDefault="009A6B1C" w:rsidP="00CD160A">
      <w:pPr>
        <w:jc w:val="both"/>
        <w:rPr>
          <w:rFonts w:asciiTheme="majorBidi" w:hAnsiTheme="majorBidi" w:cstheme="majorBidi"/>
          <w:szCs w:val="24"/>
        </w:rPr>
      </w:pPr>
      <w:r w:rsidRPr="00CD160A">
        <w:rPr>
          <w:rFonts w:asciiTheme="majorBidi" w:hAnsiTheme="majorBidi" w:cstheme="majorBidi"/>
          <w:szCs w:val="24"/>
        </w:rPr>
        <w:t xml:space="preserve">Au départ, l'objectif de l'initiative de médicalisation des systèmes d'information en France n'était pas d'ordre financier. Il était essentiellement utilisé à des fins descriptives : suivi de l'épidémie, compréhension de l'activité hospitalière et gestion interne. Par conséquent, le PMSI a connu une période d'essai d'environ dix ans dans les secteurs public et privé pour juger de sa faisabilité en termes de tarification. </w:t>
      </w:r>
      <w:r w:rsidR="002210A7" w:rsidRPr="00CD160A">
        <w:rPr>
          <w:rFonts w:asciiTheme="majorBidi" w:hAnsiTheme="majorBidi" w:cstheme="majorBidi"/>
          <w:szCs w:val="24"/>
        </w:rPr>
        <w:t xml:space="preserve">La loi du 31 juillet 1991 instaure l'obligation d'évaluer l'activité des établissements de santé pour tous. </w:t>
      </w:r>
      <w:r w:rsidRPr="00CD160A">
        <w:rPr>
          <w:rFonts w:asciiTheme="majorBidi" w:hAnsiTheme="majorBidi" w:cstheme="majorBidi"/>
          <w:szCs w:val="24"/>
        </w:rPr>
        <w:t xml:space="preserve">L'arrêté du 20 septembre 1994 et la circulaire du 10 mai 1995, imposant aux établissements publics et privés à but non lucratif de fournir des Résumés de Sortie Anonymes (RSA) aux DRASS, renforcent cette tendance.  Cette obligation a été élargie en 1997 pour inclure les établissements de santé privés à but lucratif, avec un transfert des informations vers la </w:t>
      </w:r>
      <w:r w:rsidR="002210A7" w:rsidRPr="00CD160A">
        <w:rPr>
          <w:rFonts w:asciiTheme="majorBidi" w:hAnsiTheme="majorBidi" w:cstheme="majorBidi"/>
          <w:szCs w:val="24"/>
        </w:rPr>
        <w:t>CNAMTS.</w:t>
      </w:r>
      <w:r w:rsidR="002210A7" w:rsidRPr="00CD160A">
        <w:rPr>
          <w:rFonts w:asciiTheme="majorBidi" w:hAnsiTheme="majorBidi" w:cstheme="majorBidi"/>
          <w:szCs w:val="24"/>
          <w:vertAlign w:val="superscript"/>
        </w:rPr>
        <w:footnoteReference w:id="26"/>
      </w:r>
    </w:p>
    <w:p w14:paraId="4B7D7715"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L’année 2004 marque un tournant majeur avec l’instauration progressive de la Tarification à l’Activité (T2A), qui s’appuie sur le PMSI pour la facturation des séjours hospitaliers dans les disciplines de médecine, chirurgie et obstétrique (MCO).</w:t>
      </w:r>
    </w:p>
    <w:p w14:paraId="274E464F"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Le PMSI devient alors un outil stratégique pour le financement hospitalier. La T2A coexiste brièvement avec le système de dotation globale, avant de s’imposer définitivement en 2008.</w:t>
      </w:r>
    </w:p>
    <w:p w14:paraId="00EC0AD6"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dispositif s’est élargi à d’autres secteurs :</w:t>
      </w:r>
    </w:p>
    <w:p w14:paraId="7A6867D0" w14:textId="77777777" w:rsidR="002210A7" w:rsidRPr="00CD160A" w:rsidRDefault="002210A7" w:rsidP="00CD160A">
      <w:pPr>
        <w:numPr>
          <w:ilvl w:val="0"/>
          <w:numId w:val="37"/>
        </w:numPr>
        <w:jc w:val="both"/>
        <w:rPr>
          <w:rFonts w:asciiTheme="majorBidi" w:hAnsiTheme="majorBidi" w:cstheme="majorBidi"/>
          <w:szCs w:val="24"/>
        </w:rPr>
      </w:pPr>
      <w:r w:rsidRPr="00CD160A">
        <w:rPr>
          <w:rFonts w:asciiTheme="majorBidi" w:hAnsiTheme="majorBidi" w:cstheme="majorBidi"/>
          <w:b/>
          <w:bCs/>
          <w:szCs w:val="24"/>
        </w:rPr>
        <w:t>SSR (Soins de Suite et de Réadaptation)</w:t>
      </w:r>
      <w:r w:rsidRPr="00CD160A">
        <w:rPr>
          <w:rFonts w:asciiTheme="majorBidi" w:hAnsiTheme="majorBidi" w:cstheme="majorBidi"/>
          <w:szCs w:val="24"/>
        </w:rPr>
        <w:t xml:space="preserve"> : PMSI obligatoire depuis 2003.</w:t>
      </w:r>
    </w:p>
    <w:p w14:paraId="12639FFC" w14:textId="77777777" w:rsidR="002210A7" w:rsidRPr="00CD160A" w:rsidRDefault="002210A7" w:rsidP="00CD160A">
      <w:pPr>
        <w:numPr>
          <w:ilvl w:val="0"/>
          <w:numId w:val="37"/>
        </w:numPr>
        <w:jc w:val="both"/>
        <w:rPr>
          <w:rFonts w:asciiTheme="majorBidi" w:hAnsiTheme="majorBidi" w:cstheme="majorBidi"/>
          <w:szCs w:val="24"/>
        </w:rPr>
      </w:pPr>
      <w:r w:rsidRPr="00CD160A">
        <w:rPr>
          <w:rFonts w:asciiTheme="majorBidi" w:hAnsiTheme="majorBidi" w:cstheme="majorBidi"/>
          <w:b/>
          <w:bCs/>
          <w:szCs w:val="24"/>
        </w:rPr>
        <w:t>HAD (Hospitalisation à Domicile)</w:t>
      </w:r>
      <w:r w:rsidRPr="00CD160A">
        <w:rPr>
          <w:rFonts w:asciiTheme="majorBidi" w:hAnsiTheme="majorBidi" w:cstheme="majorBidi"/>
          <w:szCs w:val="24"/>
        </w:rPr>
        <w:t xml:space="preserve"> : intégré depuis 2005.</w:t>
      </w:r>
    </w:p>
    <w:p w14:paraId="12FD4A83" w14:textId="77777777" w:rsidR="002210A7" w:rsidRPr="00CD160A" w:rsidRDefault="002210A7" w:rsidP="00CD160A">
      <w:pPr>
        <w:numPr>
          <w:ilvl w:val="0"/>
          <w:numId w:val="37"/>
        </w:numPr>
        <w:jc w:val="both"/>
        <w:rPr>
          <w:rFonts w:asciiTheme="majorBidi" w:hAnsiTheme="majorBidi" w:cstheme="majorBidi"/>
          <w:szCs w:val="24"/>
        </w:rPr>
      </w:pPr>
      <w:r w:rsidRPr="00CD160A">
        <w:rPr>
          <w:rFonts w:asciiTheme="majorBidi" w:hAnsiTheme="majorBidi" w:cstheme="majorBidi"/>
          <w:b/>
          <w:bCs/>
          <w:szCs w:val="24"/>
        </w:rPr>
        <w:lastRenderedPageBreak/>
        <w:t>Psychiatrie</w:t>
      </w:r>
      <w:r w:rsidRPr="00CD160A">
        <w:rPr>
          <w:rFonts w:asciiTheme="majorBidi" w:hAnsiTheme="majorBidi" w:cstheme="majorBidi"/>
          <w:szCs w:val="24"/>
        </w:rPr>
        <w:t xml:space="preserve"> : à partir de 2007, le RIM-P (Recueil d’Information Médicalisée en Psychiatrie) prend le relais d’un ancien projet de PMSI-psychiatrie.</w:t>
      </w:r>
    </w:p>
    <w:p w14:paraId="1A202D67"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À ce jour, les secteurs SSR et psychiatrie ne donnent pas encore lieu à une facturation basée sur le PMSI, bien que les tentatives d’application aient été annoncées à plusieurs reprises.</w:t>
      </w:r>
    </w:p>
    <w:p w14:paraId="5F7A8987" w14:textId="77777777" w:rsidR="00444B03" w:rsidRPr="00CD160A" w:rsidRDefault="002210A7" w:rsidP="00CD160A">
      <w:pPr>
        <w:pStyle w:val="Titre2"/>
        <w:rPr>
          <w:rFonts w:asciiTheme="majorBidi" w:hAnsiTheme="majorBidi"/>
          <w:szCs w:val="24"/>
        </w:rPr>
      </w:pPr>
      <w:bookmarkStart w:id="55" w:name="_Toc199958824"/>
      <w:r w:rsidRPr="00CD160A">
        <w:rPr>
          <w:rFonts w:asciiTheme="majorBidi" w:hAnsiTheme="majorBidi"/>
          <w:szCs w:val="24"/>
        </w:rPr>
        <w:t>Objectifs et Enjeux du PMSI :</w:t>
      </w:r>
      <w:bookmarkEnd w:id="55"/>
    </w:p>
    <w:p w14:paraId="7AFAFA53" w14:textId="77777777" w:rsidR="00444B03" w:rsidRPr="00CD160A" w:rsidRDefault="00444B03" w:rsidP="00CD160A">
      <w:pPr>
        <w:pStyle w:val="Titre3"/>
        <w:numPr>
          <w:ilvl w:val="1"/>
          <w:numId w:val="53"/>
        </w:numPr>
        <w:spacing w:line="360" w:lineRule="auto"/>
        <w:rPr>
          <w:rFonts w:asciiTheme="majorBidi" w:hAnsiTheme="majorBidi" w:cstheme="majorBidi"/>
          <w:szCs w:val="24"/>
        </w:rPr>
      </w:pPr>
      <w:r w:rsidRPr="00CD160A">
        <w:rPr>
          <w:rFonts w:asciiTheme="majorBidi" w:hAnsiTheme="majorBidi" w:cstheme="majorBidi"/>
          <w:szCs w:val="24"/>
        </w:rPr>
        <w:t xml:space="preserve"> </w:t>
      </w:r>
      <w:bookmarkStart w:id="56" w:name="_Toc199958825"/>
      <w:r w:rsidRPr="00CD160A">
        <w:rPr>
          <w:rFonts w:asciiTheme="majorBidi" w:hAnsiTheme="majorBidi" w:cstheme="majorBidi"/>
          <w:szCs w:val="24"/>
        </w:rPr>
        <w:t>Objectifs du PMSI</w:t>
      </w:r>
      <w:bookmarkEnd w:id="56"/>
    </w:p>
    <w:p w14:paraId="09622CC7"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Programme de Médicalisation des Systèmes d’Information (PMSI) a été mis en place pour répondre à une double exigence : médicale et économique, dans le but d’améliorer la gestion des établissements de santé. Il vise en premier lieu à introduire une dimension médicale standardisée dans les informations relatives à l’activité hospitalière, afin de permettre une mesure précise, comparable et exploitable de cette activité. Chaque champ d’activité hospitalière doit ainsi pouvoir être mesuré selon une classification commune à tous les établissements, fondée sur des références nationales.</w:t>
      </w:r>
      <w:r w:rsidRPr="00CD160A">
        <w:rPr>
          <w:rStyle w:val="Appelnotedebasdep"/>
          <w:rFonts w:asciiTheme="majorBidi" w:hAnsiTheme="majorBidi" w:cstheme="majorBidi"/>
          <w:szCs w:val="24"/>
        </w:rPr>
        <w:footnoteReference w:id="27"/>
      </w:r>
    </w:p>
    <w:p w14:paraId="78A894AE" w14:textId="3ABF50A9" w:rsidR="002210A7" w:rsidRPr="00CD160A" w:rsidRDefault="002210A7" w:rsidP="00CD160A">
      <w:pPr>
        <w:pStyle w:val="Titre4"/>
        <w:numPr>
          <w:ilvl w:val="0"/>
          <w:numId w:val="120"/>
        </w:numPr>
        <w:rPr>
          <w:rFonts w:asciiTheme="majorBidi" w:hAnsiTheme="majorBidi" w:cstheme="majorBidi"/>
        </w:rPr>
      </w:pPr>
      <w:r w:rsidRPr="00CD160A">
        <w:rPr>
          <w:rFonts w:asciiTheme="majorBidi" w:hAnsiTheme="majorBidi" w:cstheme="majorBidi"/>
        </w:rPr>
        <w:t xml:space="preserve">Objectifs économiques : </w:t>
      </w:r>
    </w:p>
    <w:p w14:paraId="765CCEDE"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PMSI vise à atteindre plusieurs buts économiques significatifs :</w:t>
      </w:r>
    </w:p>
    <w:p w14:paraId="61791DFF" w14:textId="77777777" w:rsidR="002210A7" w:rsidRPr="00CD160A" w:rsidRDefault="002210A7" w:rsidP="00CD160A">
      <w:pPr>
        <w:pStyle w:val="Paragraphedeliste"/>
        <w:numPr>
          <w:ilvl w:val="0"/>
          <w:numId w:val="40"/>
        </w:numPr>
        <w:spacing w:after="160" w:line="360" w:lineRule="auto"/>
        <w:jc w:val="both"/>
        <w:rPr>
          <w:rFonts w:asciiTheme="majorBidi" w:hAnsiTheme="majorBidi" w:cstheme="majorBidi"/>
          <w:szCs w:val="24"/>
        </w:rPr>
      </w:pPr>
      <w:r w:rsidRPr="00CD160A">
        <w:rPr>
          <w:rFonts w:asciiTheme="majorBidi" w:hAnsiTheme="majorBidi" w:cstheme="majorBidi"/>
          <w:szCs w:val="24"/>
        </w:rPr>
        <w:t>Classer chaque patient hospitalisé en MCO (Médecin</w:t>
      </w:r>
      <w:r w:rsidR="00E124C7" w:rsidRPr="00CD160A">
        <w:rPr>
          <w:rFonts w:asciiTheme="majorBidi" w:hAnsiTheme="majorBidi" w:cstheme="majorBidi"/>
          <w:szCs w:val="24"/>
        </w:rPr>
        <w:t xml:space="preserve">e, Chirurgie, Obstétrique) dans </w:t>
      </w:r>
      <w:r w:rsidRPr="00CD160A">
        <w:rPr>
          <w:rFonts w:asciiTheme="majorBidi" w:hAnsiTheme="majorBidi" w:cstheme="majorBidi"/>
          <w:szCs w:val="24"/>
        </w:rPr>
        <w:t>un Groupement Homogène de Malades (GHM).</w:t>
      </w:r>
    </w:p>
    <w:p w14:paraId="7E80A982" w14:textId="77777777" w:rsidR="002210A7" w:rsidRPr="00CD160A" w:rsidRDefault="002210A7" w:rsidP="00CD160A">
      <w:pPr>
        <w:pStyle w:val="Paragraphedeliste"/>
        <w:numPr>
          <w:ilvl w:val="0"/>
          <w:numId w:val="40"/>
        </w:numPr>
        <w:spacing w:after="160" w:line="360" w:lineRule="auto"/>
        <w:jc w:val="both"/>
        <w:rPr>
          <w:rFonts w:asciiTheme="majorBidi" w:hAnsiTheme="majorBidi" w:cstheme="majorBidi"/>
          <w:szCs w:val="24"/>
        </w:rPr>
      </w:pPr>
      <w:r w:rsidRPr="00CD160A">
        <w:rPr>
          <w:rFonts w:asciiTheme="majorBidi" w:hAnsiTheme="majorBidi" w:cstheme="majorBidi"/>
          <w:szCs w:val="24"/>
        </w:rPr>
        <w:t>Construire un Indice Synthétique d'Activité (ISA) pour chaque établissement.</w:t>
      </w:r>
    </w:p>
    <w:p w14:paraId="28F3D351" w14:textId="77777777" w:rsidR="002210A7" w:rsidRPr="00CD160A" w:rsidRDefault="002210A7" w:rsidP="00CD160A">
      <w:pPr>
        <w:pStyle w:val="Paragraphedeliste"/>
        <w:numPr>
          <w:ilvl w:val="0"/>
          <w:numId w:val="40"/>
        </w:numPr>
        <w:spacing w:after="160" w:line="360" w:lineRule="auto"/>
        <w:jc w:val="both"/>
        <w:rPr>
          <w:rFonts w:asciiTheme="majorBidi" w:hAnsiTheme="majorBidi" w:cstheme="majorBidi"/>
          <w:szCs w:val="24"/>
        </w:rPr>
      </w:pPr>
      <w:r w:rsidRPr="00CD160A">
        <w:rPr>
          <w:rFonts w:asciiTheme="majorBidi" w:hAnsiTheme="majorBidi" w:cstheme="majorBidi"/>
          <w:szCs w:val="24"/>
        </w:rPr>
        <w:t>Proposer un critère pour évaluer le coût des soins à l'échelle nationale.</w:t>
      </w:r>
    </w:p>
    <w:p w14:paraId="2CFEA444" w14:textId="77777777" w:rsidR="002210A7" w:rsidRPr="00CD160A" w:rsidRDefault="002210A7" w:rsidP="00CD160A">
      <w:pPr>
        <w:pStyle w:val="Paragraphedeliste"/>
        <w:numPr>
          <w:ilvl w:val="0"/>
          <w:numId w:val="40"/>
        </w:numPr>
        <w:spacing w:after="160" w:line="360" w:lineRule="auto"/>
        <w:jc w:val="both"/>
        <w:rPr>
          <w:rFonts w:asciiTheme="majorBidi" w:hAnsiTheme="majorBidi" w:cstheme="majorBidi"/>
          <w:szCs w:val="24"/>
        </w:rPr>
      </w:pPr>
      <w:r w:rsidRPr="00CD160A">
        <w:rPr>
          <w:rFonts w:asciiTheme="majorBidi" w:hAnsiTheme="majorBidi" w:cstheme="majorBidi"/>
          <w:szCs w:val="24"/>
        </w:rPr>
        <w:t>Déterminer un budget théorique pour chaque hôpital à partir de données médicales, en vue de corriger progressivement le budget historique (lié au taux directeur).</w:t>
      </w:r>
    </w:p>
    <w:p w14:paraId="3FF09660" w14:textId="77777777" w:rsidR="002210A7" w:rsidRPr="00CD160A" w:rsidRDefault="002210A7" w:rsidP="00CD160A">
      <w:pPr>
        <w:pStyle w:val="Paragraphedeliste"/>
        <w:numPr>
          <w:ilvl w:val="0"/>
          <w:numId w:val="40"/>
        </w:numPr>
        <w:spacing w:after="160" w:line="360" w:lineRule="auto"/>
        <w:jc w:val="both"/>
        <w:rPr>
          <w:rFonts w:asciiTheme="majorBidi" w:hAnsiTheme="majorBidi" w:cstheme="majorBidi"/>
          <w:szCs w:val="24"/>
        </w:rPr>
      </w:pPr>
      <w:r w:rsidRPr="00CD160A">
        <w:rPr>
          <w:rFonts w:asciiTheme="majorBidi" w:hAnsiTheme="majorBidi" w:cstheme="majorBidi"/>
          <w:szCs w:val="24"/>
        </w:rPr>
        <w:t>Calculer un coût moyen par GHM, qui est la base de construction de l'Échelle Nationale de Coût (ENC).</w:t>
      </w:r>
    </w:p>
    <w:p w14:paraId="0BC5BA45" w14:textId="77777777" w:rsidR="002210A7" w:rsidRPr="00CD160A" w:rsidRDefault="002210A7" w:rsidP="00CD160A">
      <w:pPr>
        <w:pStyle w:val="Titre4"/>
        <w:numPr>
          <w:ilvl w:val="0"/>
          <w:numId w:val="121"/>
        </w:numPr>
        <w:rPr>
          <w:rFonts w:asciiTheme="majorBidi" w:hAnsiTheme="majorBidi" w:cstheme="majorBidi"/>
        </w:rPr>
      </w:pPr>
      <w:r w:rsidRPr="00CD160A">
        <w:rPr>
          <w:rFonts w:asciiTheme="majorBidi" w:hAnsiTheme="majorBidi" w:cstheme="majorBidi"/>
        </w:rPr>
        <w:t xml:space="preserve">Objectifs médicaux : </w:t>
      </w:r>
    </w:p>
    <w:p w14:paraId="3B8790EE"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lastRenderedPageBreak/>
        <w:t>En ce qui concerne le domaine médical, le PMSI participe à </w:t>
      </w:r>
      <w:r w:rsidR="009A6B1C" w:rsidRPr="00CD160A">
        <w:rPr>
          <w:rFonts w:asciiTheme="majorBidi" w:hAnsiTheme="majorBidi" w:cstheme="majorBidi"/>
          <w:szCs w:val="24"/>
          <w:vertAlign w:val="superscript"/>
        </w:rPr>
        <w:footnoteReference w:id="28"/>
      </w:r>
      <w:r w:rsidRPr="00CD160A">
        <w:rPr>
          <w:rFonts w:asciiTheme="majorBidi" w:hAnsiTheme="majorBidi" w:cstheme="majorBidi"/>
          <w:szCs w:val="24"/>
        </w:rPr>
        <w:t>:</w:t>
      </w:r>
    </w:p>
    <w:p w14:paraId="6FF3F7F5" w14:textId="77777777" w:rsidR="002210A7" w:rsidRPr="00CD160A" w:rsidRDefault="002210A7" w:rsidP="00CD160A">
      <w:pPr>
        <w:pStyle w:val="Paragraphedeliste"/>
        <w:numPr>
          <w:ilvl w:val="0"/>
          <w:numId w:val="39"/>
        </w:numPr>
        <w:spacing w:after="160" w:line="360" w:lineRule="auto"/>
        <w:jc w:val="both"/>
        <w:rPr>
          <w:rFonts w:asciiTheme="majorBidi" w:hAnsiTheme="majorBidi" w:cstheme="majorBidi"/>
          <w:szCs w:val="24"/>
        </w:rPr>
      </w:pPr>
      <w:r w:rsidRPr="00CD160A">
        <w:rPr>
          <w:rFonts w:asciiTheme="majorBidi" w:hAnsiTheme="majorBidi" w:cstheme="majorBidi"/>
          <w:szCs w:val="24"/>
        </w:rPr>
        <w:t>L’amélioration de la qualité des soins.</w:t>
      </w:r>
    </w:p>
    <w:p w14:paraId="7D7C52E2" w14:textId="77777777" w:rsidR="002210A7" w:rsidRPr="00CD160A" w:rsidRDefault="002210A7" w:rsidP="00CD160A">
      <w:pPr>
        <w:pStyle w:val="Paragraphedeliste"/>
        <w:numPr>
          <w:ilvl w:val="0"/>
          <w:numId w:val="39"/>
        </w:numPr>
        <w:spacing w:after="160" w:line="360" w:lineRule="auto"/>
        <w:jc w:val="both"/>
        <w:rPr>
          <w:rFonts w:asciiTheme="majorBidi" w:hAnsiTheme="majorBidi" w:cstheme="majorBidi"/>
          <w:szCs w:val="24"/>
        </w:rPr>
      </w:pPr>
      <w:r w:rsidRPr="00CD160A">
        <w:rPr>
          <w:rFonts w:asciiTheme="majorBidi" w:hAnsiTheme="majorBidi" w:cstheme="majorBidi"/>
          <w:szCs w:val="24"/>
        </w:rPr>
        <w:t>Une gestion optimisée des dossiers médicaux et soignants.</w:t>
      </w:r>
    </w:p>
    <w:p w14:paraId="2584A310" w14:textId="77777777" w:rsidR="002210A7" w:rsidRPr="00CD160A" w:rsidRDefault="002210A7" w:rsidP="00CD160A">
      <w:pPr>
        <w:pStyle w:val="Paragraphedeliste"/>
        <w:numPr>
          <w:ilvl w:val="0"/>
          <w:numId w:val="39"/>
        </w:numPr>
        <w:spacing w:after="160" w:line="360" w:lineRule="auto"/>
        <w:jc w:val="both"/>
        <w:rPr>
          <w:rFonts w:asciiTheme="majorBidi" w:hAnsiTheme="majorBidi" w:cstheme="majorBidi"/>
          <w:szCs w:val="24"/>
        </w:rPr>
      </w:pPr>
      <w:r w:rsidRPr="00CD160A">
        <w:rPr>
          <w:rFonts w:asciiTheme="majorBidi" w:hAnsiTheme="majorBidi" w:cstheme="majorBidi"/>
          <w:szCs w:val="24"/>
        </w:rPr>
        <w:t>L'assistance en recherche clinique.</w:t>
      </w:r>
    </w:p>
    <w:p w14:paraId="6C705322" w14:textId="77777777" w:rsidR="002210A7" w:rsidRPr="00CD160A" w:rsidRDefault="002210A7" w:rsidP="00CD160A">
      <w:pPr>
        <w:pStyle w:val="Paragraphedeliste"/>
        <w:numPr>
          <w:ilvl w:val="0"/>
          <w:numId w:val="39"/>
        </w:numPr>
        <w:spacing w:after="160" w:line="360" w:lineRule="auto"/>
        <w:jc w:val="both"/>
        <w:rPr>
          <w:rFonts w:asciiTheme="majorBidi" w:hAnsiTheme="majorBidi" w:cstheme="majorBidi"/>
          <w:szCs w:val="24"/>
        </w:rPr>
      </w:pPr>
      <w:r w:rsidRPr="00CD160A">
        <w:rPr>
          <w:rFonts w:asciiTheme="majorBidi" w:hAnsiTheme="majorBidi" w:cstheme="majorBidi"/>
          <w:szCs w:val="24"/>
        </w:rPr>
        <w:t>L’optimisation des stratégies diagnostiques et thérapeutiques.</w:t>
      </w:r>
    </w:p>
    <w:p w14:paraId="2C3233A4" w14:textId="77777777" w:rsidR="002210A7" w:rsidRPr="00CD160A" w:rsidRDefault="002210A7" w:rsidP="00CD160A">
      <w:pPr>
        <w:pStyle w:val="Paragraphedeliste"/>
        <w:numPr>
          <w:ilvl w:val="0"/>
          <w:numId w:val="39"/>
        </w:numPr>
        <w:spacing w:after="160" w:line="360" w:lineRule="auto"/>
        <w:jc w:val="both"/>
        <w:rPr>
          <w:rFonts w:asciiTheme="majorBidi" w:hAnsiTheme="majorBidi" w:cstheme="majorBidi"/>
          <w:szCs w:val="24"/>
        </w:rPr>
      </w:pPr>
      <w:r w:rsidRPr="00CD160A">
        <w:rPr>
          <w:rFonts w:asciiTheme="majorBidi" w:hAnsiTheme="majorBidi" w:cstheme="majorBidi"/>
          <w:szCs w:val="24"/>
        </w:rPr>
        <w:t>La promotion de la recherche épidémiologique.</w:t>
      </w:r>
    </w:p>
    <w:p w14:paraId="556A84C0" w14:textId="331C6DD1" w:rsidR="009A6B1C" w:rsidRPr="00CD160A" w:rsidRDefault="002210A7" w:rsidP="00CD160A">
      <w:pPr>
        <w:pStyle w:val="Paragraphedeliste"/>
        <w:numPr>
          <w:ilvl w:val="0"/>
          <w:numId w:val="39"/>
        </w:numPr>
        <w:spacing w:after="160" w:line="360" w:lineRule="auto"/>
        <w:jc w:val="both"/>
        <w:rPr>
          <w:rFonts w:asciiTheme="majorBidi" w:hAnsiTheme="majorBidi" w:cstheme="majorBidi"/>
          <w:szCs w:val="24"/>
        </w:rPr>
      </w:pPr>
      <w:r w:rsidRPr="00CD160A">
        <w:rPr>
          <w:rFonts w:asciiTheme="majorBidi" w:hAnsiTheme="majorBidi" w:cstheme="majorBidi"/>
          <w:szCs w:val="24"/>
        </w:rPr>
        <w:t>L’évaluation de la qualité de l’activité médicale dans les établissements de santé</w:t>
      </w:r>
      <w:r w:rsidR="009A6B1C" w:rsidRPr="00CD160A">
        <w:rPr>
          <w:rFonts w:asciiTheme="majorBidi" w:hAnsiTheme="majorBidi" w:cstheme="majorBidi"/>
          <w:szCs w:val="24"/>
        </w:rPr>
        <w:t xml:space="preserve"> </w:t>
      </w:r>
    </w:p>
    <w:p w14:paraId="72739922" w14:textId="77777777"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57" w:name="_Toc199958826"/>
      <w:r w:rsidRPr="00CD160A">
        <w:rPr>
          <w:rFonts w:asciiTheme="majorBidi" w:hAnsiTheme="majorBidi" w:cstheme="majorBidi"/>
          <w:szCs w:val="24"/>
        </w:rPr>
        <w:t>Enjeux du PMSI</w:t>
      </w:r>
      <w:bookmarkEnd w:id="57"/>
      <w:r w:rsidRPr="00CD160A">
        <w:rPr>
          <w:rFonts w:asciiTheme="majorBidi" w:hAnsiTheme="majorBidi" w:cstheme="majorBidi"/>
          <w:szCs w:val="24"/>
        </w:rPr>
        <w:t xml:space="preserve"> </w:t>
      </w:r>
    </w:p>
    <w:p w14:paraId="57C68FF5"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Programme de Médicalisation des Systèmes d’Information (PMSI) a été conçu pour améliorer la connaissance de l’activité hospitalière, mais son rôle a rapidement évolué vers un outil stratégique de gestion et de financement. Aujourd’hui, il représente un levier essentiel pour répondre à plusieurs enjeux majeurs du système de santé en France, notamment</w:t>
      </w:r>
      <w:r w:rsidRPr="00CD160A">
        <w:rPr>
          <w:rStyle w:val="Appelnotedebasdep"/>
          <w:rFonts w:asciiTheme="majorBidi" w:hAnsiTheme="majorBidi" w:cstheme="majorBidi"/>
          <w:szCs w:val="24"/>
        </w:rPr>
        <w:footnoteReference w:id="29"/>
      </w:r>
      <w:r w:rsidRPr="00CD160A">
        <w:rPr>
          <w:rFonts w:asciiTheme="majorBidi" w:hAnsiTheme="majorBidi" w:cstheme="majorBidi"/>
          <w:szCs w:val="24"/>
        </w:rPr>
        <w:t xml:space="preserve"> :</w:t>
      </w:r>
    </w:p>
    <w:p w14:paraId="0B41448F" w14:textId="77777777" w:rsidR="002210A7" w:rsidRPr="00CD160A" w:rsidRDefault="002210A7" w:rsidP="00CD160A">
      <w:pPr>
        <w:pStyle w:val="Paragraphedeliste"/>
        <w:numPr>
          <w:ilvl w:val="0"/>
          <w:numId w:val="38"/>
        </w:numPr>
        <w:spacing w:after="160" w:line="360" w:lineRule="auto"/>
        <w:jc w:val="both"/>
        <w:rPr>
          <w:rFonts w:asciiTheme="majorBidi" w:hAnsiTheme="majorBidi" w:cstheme="majorBidi"/>
          <w:szCs w:val="24"/>
        </w:rPr>
      </w:pPr>
      <w:r w:rsidRPr="00CD160A">
        <w:rPr>
          <w:rFonts w:asciiTheme="majorBidi" w:hAnsiTheme="majorBidi" w:cstheme="majorBidi"/>
          <w:szCs w:val="24"/>
        </w:rPr>
        <w:t>Tarification à l'Activité (T2A) : La T2A, un système de paiement basé sur les activités réelles des hôpitaux, repose sur l'utilisation du PMSI pour sa mise en œuvre. Introduit en 2004 dans le contexte du projet « Hôpital 2007 », ce dispositif est maintenant la méthode de financement prédominante pour les opérations de médecine, chirurgie, obstétrique et odontologie (MCOO) des institutions de santé publiques et privées.</w:t>
      </w:r>
    </w:p>
    <w:p w14:paraId="61EFCF6E" w14:textId="77777777" w:rsidR="002210A7" w:rsidRPr="00CD160A" w:rsidRDefault="002210A7" w:rsidP="00CD160A">
      <w:pPr>
        <w:pStyle w:val="Paragraphedeliste"/>
        <w:numPr>
          <w:ilvl w:val="0"/>
          <w:numId w:val="38"/>
        </w:numPr>
        <w:spacing w:after="160" w:line="360" w:lineRule="auto"/>
        <w:jc w:val="both"/>
        <w:rPr>
          <w:rFonts w:asciiTheme="majorBidi" w:hAnsiTheme="majorBidi" w:cstheme="majorBidi"/>
          <w:szCs w:val="24"/>
        </w:rPr>
      </w:pPr>
      <w:r w:rsidRPr="00CD160A">
        <w:rPr>
          <w:rFonts w:asciiTheme="majorBidi" w:hAnsiTheme="majorBidi" w:cstheme="majorBidi"/>
          <w:szCs w:val="24"/>
        </w:rPr>
        <w:t xml:space="preserve">Équité et Efficacité : </w:t>
      </w:r>
      <w:r w:rsidR="00F62B62" w:rsidRPr="00CD160A">
        <w:rPr>
          <w:rFonts w:asciiTheme="majorBidi" w:hAnsiTheme="majorBidi" w:cstheme="majorBidi"/>
          <w:szCs w:val="24"/>
        </w:rPr>
        <w:t>Le PMSI promeut une répartition plus juste des ressources en fonction de l'activité et des services rendus, contribuant de cette manière à l'optimisation de la performance du système sanitaire. Cela contribue à réduire les disparités entre les institutions et garantit que les ressources sont allouées là où elles sont le plus nécessaires.</w:t>
      </w:r>
    </w:p>
    <w:p w14:paraId="47F5929E" w14:textId="77777777" w:rsidR="002210A7" w:rsidRPr="00CD160A" w:rsidRDefault="002210A7" w:rsidP="00CD160A">
      <w:pPr>
        <w:pStyle w:val="Paragraphedeliste"/>
        <w:numPr>
          <w:ilvl w:val="0"/>
          <w:numId w:val="38"/>
        </w:numPr>
        <w:spacing w:after="160" w:line="360" w:lineRule="auto"/>
        <w:jc w:val="both"/>
        <w:rPr>
          <w:rFonts w:asciiTheme="majorBidi" w:hAnsiTheme="majorBidi" w:cstheme="majorBidi"/>
          <w:szCs w:val="24"/>
        </w:rPr>
      </w:pPr>
      <w:r w:rsidRPr="00CD160A">
        <w:rPr>
          <w:rFonts w:asciiTheme="majorBidi" w:hAnsiTheme="majorBidi" w:cstheme="majorBidi"/>
          <w:szCs w:val="24"/>
        </w:rPr>
        <w:t xml:space="preserve">Gestion Médico-Économique : </w:t>
      </w:r>
      <w:r w:rsidR="00F62B62" w:rsidRPr="00CD160A">
        <w:rPr>
          <w:rFonts w:asciiTheme="majorBidi" w:hAnsiTheme="majorBidi" w:cstheme="majorBidi"/>
          <w:szCs w:val="24"/>
        </w:rPr>
        <w:t xml:space="preserve">le PMSI est essentiel pour la gestion médico-économique des établissements de santé, facilitant l'analyse des pratiques et l'amélioration de l'utilisation des ressources. </w:t>
      </w:r>
      <w:r w:rsidRPr="00CD160A">
        <w:rPr>
          <w:rFonts w:asciiTheme="majorBidi" w:hAnsiTheme="majorBidi" w:cstheme="majorBidi"/>
          <w:szCs w:val="24"/>
        </w:rPr>
        <w:t xml:space="preserve">Il permet aux gestionnaires d'identifier les domaines où des améliorations sont possibles et de prendre des décisions éclairées pour optimiser la gestion des ressources </w:t>
      </w:r>
    </w:p>
    <w:p w14:paraId="33068134" w14:textId="77777777" w:rsidR="00F62B62" w:rsidRPr="00CD160A" w:rsidRDefault="002210A7" w:rsidP="00CD160A">
      <w:pPr>
        <w:pStyle w:val="Paragraphedeliste"/>
        <w:numPr>
          <w:ilvl w:val="0"/>
          <w:numId w:val="38"/>
        </w:numPr>
        <w:spacing w:after="160" w:line="360" w:lineRule="auto"/>
        <w:jc w:val="both"/>
        <w:rPr>
          <w:rFonts w:asciiTheme="majorBidi" w:hAnsiTheme="majorBidi" w:cstheme="majorBidi"/>
          <w:szCs w:val="24"/>
        </w:rPr>
      </w:pPr>
      <w:r w:rsidRPr="00CD160A">
        <w:rPr>
          <w:rFonts w:asciiTheme="majorBidi" w:hAnsiTheme="majorBidi" w:cstheme="majorBidi"/>
          <w:szCs w:val="24"/>
        </w:rPr>
        <w:lastRenderedPageBreak/>
        <w:t xml:space="preserve">Extension à d'autres Secteurs : </w:t>
      </w:r>
      <w:r w:rsidR="00F62B62" w:rsidRPr="00CD160A">
        <w:rPr>
          <w:rFonts w:asciiTheme="majorBidi" w:hAnsiTheme="majorBidi" w:cstheme="majorBidi"/>
          <w:szCs w:val="24"/>
        </w:rPr>
        <w:t>le PMSI est actuellement en phase d'expansion vers d'autres secteurs de la santé, comme les soins de réhabilitation et de suite (SSR) ainsi que la psychiatrie. Néanmoins, ces extensions se font de manière progressive et nécessitent des modifications particulières pour chaque domaine.</w:t>
      </w:r>
    </w:p>
    <w:p w14:paraId="1DDD1A2B" w14:textId="7001543E" w:rsidR="00F62B62" w:rsidRPr="00CD160A" w:rsidRDefault="002210A7" w:rsidP="00CD160A">
      <w:pPr>
        <w:pStyle w:val="Paragraphedeliste"/>
        <w:numPr>
          <w:ilvl w:val="0"/>
          <w:numId w:val="38"/>
        </w:numPr>
        <w:spacing w:after="160" w:line="360" w:lineRule="auto"/>
        <w:jc w:val="both"/>
        <w:rPr>
          <w:rFonts w:asciiTheme="majorBidi" w:hAnsiTheme="majorBidi" w:cstheme="majorBidi"/>
          <w:szCs w:val="24"/>
        </w:rPr>
      </w:pPr>
      <w:r w:rsidRPr="00CD160A">
        <w:rPr>
          <w:rFonts w:asciiTheme="majorBidi" w:hAnsiTheme="majorBidi" w:cstheme="majorBidi"/>
          <w:szCs w:val="24"/>
        </w:rPr>
        <w:t>Dépendance à la T2A : Bien que le PMSI puisse être utilisé indépendamment de la T2A pour des objectifs descriptifs, il reste étroitement associé à ce modèle de tarification. Le T2A ne pourrait opérer de manière efficace sans les informations délivrées par le PMSI.</w:t>
      </w:r>
    </w:p>
    <w:p w14:paraId="4641AE66" w14:textId="77777777" w:rsidR="002210A7" w:rsidRPr="00CD160A" w:rsidRDefault="002210A7" w:rsidP="00CD160A">
      <w:pPr>
        <w:pStyle w:val="Titre2"/>
        <w:rPr>
          <w:rFonts w:asciiTheme="majorBidi" w:hAnsiTheme="majorBidi"/>
          <w:szCs w:val="24"/>
        </w:rPr>
      </w:pPr>
      <w:bookmarkStart w:id="58" w:name="_Toc199958827"/>
      <w:r w:rsidRPr="00CD160A">
        <w:rPr>
          <w:rFonts w:asciiTheme="majorBidi" w:hAnsiTheme="majorBidi"/>
          <w:szCs w:val="24"/>
        </w:rPr>
        <w:t>Fonctionnement du PMSI</w:t>
      </w:r>
      <w:bookmarkEnd w:id="58"/>
    </w:p>
    <w:p w14:paraId="60CC6388"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Le Programme de Médicalisation des Systèmes d'Information (PMSI) représente un instrument médico-économique crucial pour la gestion des établissements de santé en France. Il a pour objectif de collecter et traiter les données relatives à l'activité hospitalière des établissements publics et privés, en tenant compte des pathologies prises en charge et des modalités de soins </w:t>
      </w:r>
      <w:r w:rsidRPr="00CD160A">
        <w:rPr>
          <w:rStyle w:val="Appelnotedebasdep"/>
          <w:rFonts w:asciiTheme="majorBidi" w:hAnsiTheme="majorBidi" w:cstheme="majorBidi"/>
          <w:szCs w:val="24"/>
        </w:rPr>
        <w:footnoteReference w:id="30"/>
      </w:r>
      <w:r w:rsidRPr="00CD160A">
        <w:rPr>
          <w:rFonts w:asciiTheme="majorBidi" w:hAnsiTheme="majorBidi" w:cstheme="majorBidi"/>
          <w:szCs w:val="24"/>
        </w:rPr>
        <w:t xml:space="preserve">. Grâce à cette structuration, le PMSI permet une mesure précise de l’activité hospitalière, notamment à travers la classification des séjours en </w:t>
      </w:r>
      <w:r w:rsidRPr="00CD160A">
        <w:rPr>
          <w:rFonts w:asciiTheme="majorBidi" w:hAnsiTheme="majorBidi" w:cstheme="majorBidi"/>
          <w:b/>
          <w:bCs/>
          <w:szCs w:val="24"/>
        </w:rPr>
        <w:t>Groupes Homogènes de Malades (GHM)</w:t>
      </w:r>
      <w:r w:rsidRPr="00CD160A">
        <w:rPr>
          <w:rFonts w:asciiTheme="majorBidi" w:hAnsiTheme="majorBidi" w:cstheme="majorBidi"/>
          <w:szCs w:val="24"/>
        </w:rPr>
        <w:t xml:space="preserve">, qui regroupent des cas cliniquement similaires du point de vue médical et économique </w:t>
      </w:r>
    </w:p>
    <w:p w14:paraId="2AD12627" w14:textId="216CF9CA"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59" w:name="_Toc199958828"/>
      <w:r w:rsidRPr="00CD160A">
        <w:rPr>
          <w:rFonts w:asciiTheme="majorBidi" w:hAnsiTheme="majorBidi" w:cstheme="majorBidi"/>
          <w:szCs w:val="24"/>
        </w:rPr>
        <w:t>Collecte et codage des données médicales :</w:t>
      </w:r>
      <w:bookmarkEnd w:id="59"/>
    </w:p>
    <w:p w14:paraId="34B15CDE" w14:textId="77777777" w:rsidR="002210A7" w:rsidRPr="00CD160A" w:rsidRDefault="00D96C4F" w:rsidP="00CD160A">
      <w:pPr>
        <w:jc w:val="both"/>
        <w:rPr>
          <w:rFonts w:asciiTheme="majorBidi" w:hAnsiTheme="majorBidi" w:cstheme="majorBidi"/>
          <w:szCs w:val="24"/>
        </w:rPr>
      </w:pPr>
      <w:r w:rsidRPr="00CD160A">
        <w:rPr>
          <w:rFonts w:asciiTheme="majorBidi" w:hAnsiTheme="majorBidi" w:cstheme="majorBidi"/>
          <w:szCs w:val="24"/>
        </w:rPr>
        <w:t xml:space="preserve">Les établissements de santé se chargent directement de la collecte des données dans le contexte du PMSI. </w:t>
      </w:r>
      <w:r w:rsidR="002210A7" w:rsidRPr="00CD160A">
        <w:rPr>
          <w:rFonts w:asciiTheme="majorBidi" w:hAnsiTheme="majorBidi" w:cstheme="majorBidi"/>
          <w:szCs w:val="24"/>
        </w:rPr>
        <w:t xml:space="preserve">Elle englobe des informations administratives et médicales concernant les séjours hospitaliers, telles que les diagnostics principaux, les actes réalisés, ainsi que les ressources mobilisées. Le codage de ces informations est réalisé à l’aide de nomenclatures standardisées, notamment la </w:t>
      </w:r>
      <w:r w:rsidR="002210A7" w:rsidRPr="00CD160A">
        <w:rPr>
          <w:rFonts w:asciiTheme="majorBidi" w:hAnsiTheme="majorBidi" w:cstheme="majorBidi"/>
          <w:b/>
          <w:bCs/>
          <w:szCs w:val="24"/>
        </w:rPr>
        <w:t>CIM-10</w:t>
      </w:r>
      <w:r w:rsidR="002210A7" w:rsidRPr="00CD160A">
        <w:rPr>
          <w:rFonts w:asciiTheme="majorBidi" w:hAnsiTheme="majorBidi" w:cstheme="majorBidi"/>
          <w:szCs w:val="24"/>
        </w:rPr>
        <w:t xml:space="preserve"> pour les diagnostics et la </w:t>
      </w:r>
      <w:r w:rsidR="002210A7" w:rsidRPr="00CD160A">
        <w:rPr>
          <w:rFonts w:asciiTheme="majorBidi" w:hAnsiTheme="majorBidi" w:cstheme="majorBidi"/>
          <w:b/>
          <w:bCs/>
          <w:szCs w:val="24"/>
        </w:rPr>
        <w:t>CCAM</w:t>
      </w:r>
      <w:r w:rsidR="002210A7" w:rsidRPr="00CD160A">
        <w:rPr>
          <w:rFonts w:asciiTheme="majorBidi" w:hAnsiTheme="majorBidi" w:cstheme="majorBidi"/>
          <w:szCs w:val="24"/>
        </w:rPr>
        <w:t xml:space="preserve"> pour les actes médicaux. Cette tâche est assurée par des professionnels qualifiés (secrétaires médicales, infirmiers) sous la supervision d’un médecin responsable de l’information médicale, désigné par le directeur de l’établissement </w:t>
      </w:r>
      <w:r w:rsidR="002210A7" w:rsidRPr="00CD160A">
        <w:rPr>
          <w:rStyle w:val="Appelnotedebasdep"/>
          <w:rFonts w:asciiTheme="majorBidi" w:hAnsiTheme="majorBidi" w:cstheme="majorBidi"/>
          <w:szCs w:val="24"/>
        </w:rPr>
        <w:footnoteReference w:id="31"/>
      </w:r>
    </w:p>
    <w:p w14:paraId="453189B9"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Une fois collectées, les données sont compilées sous forme de </w:t>
      </w:r>
      <w:r w:rsidRPr="00CD160A">
        <w:rPr>
          <w:rFonts w:asciiTheme="majorBidi" w:hAnsiTheme="majorBidi" w:cstheme="majorBidi"/>
          <w:b/>
          <w:bCs/>
          <w:szCs w:val="24"/>
        </w:rPr>
        <w:t>résumés de sortie anonymes (RSA)</w:t>
      </w:r>
      <w:r w:rsidRPr="00CD160A">
        <w:rPr>
          <w:rFonts w:asciiTheme="majorBidi" w:hAnsiTheme="majorBidi" w:cstheme="majorBidi"/>
          <w:szCs w:val="24"/>
        </w:rPr>
        <w:t xml:space="preserve"> et transmises à l’</w:t>
      </w:r>
      <w:r w:rsidRPr="00CD160A">
        <w:rPr>
          <w:rFonts w:asciiTheme="majorBidi" w:hAnsiTheme="majorBidi" w:cstheme="majorBidi"/>
          <w:b/>
          <w:bCs/>
          <w:szCs w:val="24"/>
        </w:rPr>
        <w:t>Agence Technique de l’Information sur l’Hospitalisation (ATIH)</w:t>
      </w:r>
      <w:r w:rsidRPr="00CD160A">
        <w:rPr>
          <w:rFonts w:asciiTheme="majorBidi" w:hAnsiTheme="majorBidi" w:cstheme="majorBidi"/>
          <w:szCs w:val="24"/>
        </w:rPr>
        <w:t xml:space="preserve">. Ces données alimentent des bases nationales qui sont ensuite utilisées à des fins multiples : </w:t>
      </w:r>
      <w:r w:rsidRPr="00CD160A">
        <w:rPr>
          <w:rFonts w:asciiTheme="majorBidi" w:hAnsiTheme="majorBidi" w:cstheme="majorBidi"/>
          <w:szCs w:val="24"/>
        </w:rPr>
        <w:lastRenderedPageBreak/>
        <w:t xml:space="preserve">financement des établissements via la </w:t>
      </w:r>
      <w:r w:rsidRPr="00CD160A">
        <w:rPr>
          <w:rFonts w:asciiTheme="majorBidi" w:hAnsiTheme="majorBidi" w:cstheme="majorBidi"/>
          <w:b/>
          <w:bCs/>
          <w:szCs w:val="24"/>
        </w:rPr>
        <w:t>Tarification à l’Activité (T2A)</w:t>
      </w:r>
      <w:r w:rsidRPr="00CD160A">
        <w:rPr>
          <w:rFonts w:asciiTheme="majorBidi" w:hAnsiTheme="majorBidi" w:cstheme="majorBidi"/>
          <w:szCs w:val="24"/>
        </w:rPr>
        <w:t>, pilotage de l’offre de soins, études statistiques et épidémiologiques.</w:t>
      </w:r>
    </w:p>
    <w:p w14:paraId="187D5C8B" w14:textId="77777777"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60" w:name="_Toc199958829"/>
      <w:r w:rsidRPr="00CD160A">
        <w:rPr>
          <w:rFonts w:asciiTheme="majorBidi" w:hAnsiTheme="majorBidi" w:cstheme="majorBidi"/>
          <w:szCs w:val="24"/>
        </w:rPr>
        <w:t>Classification des Groupes Homogènes de Malades (GHM)</w:t>
      </w:r>
      <w:bookmarkEnd w:id="60"/>
    </w:p>
    <w:p w14:paraId="1C540E46" w14:textId="77777777" w:rsidR="002210A7" w:rsidRPr="00CD160A" w:rsidRDefault="00D96C4F" w:rsidP="00CD160A">
      <w:pPr>
        <w:jc w:val="both"/>
        <w:rPr>
          <w:rFonts w:asciiTheme="majorBidi" w:hAnsiTheme="majorBidi" w:cstheme="majorBidi"/>
          <w:szCs w:val="24"/>
        </w:rPr>
      </w:pPr>
      <w:r w:rsidRPr="00CD160A">
        <w:rPr>
          <w:rFonts w:asciiTheme="majorBidi" w:hAnsiTheme="majorBidi" w:cstheme="majorBidi"/>
          <w:szCs w:val="24"/>
        </w:rPr>
        <w:t>Les GHM, ou Groupes Homogènes de Malades, constituent une classification médico-économique qui permet d'organiser les séjours hospitaliers en fonction de critères médicaux et économiques</w:t>
      </w:r>
      <w:r w:rsidR="002210A7" w:rsidRPr="00CD160A">
        <w:rPr>
          <w:rFonts w:asciiTheme="majorBidi" w:hAnsiTheme="majorBidi" w:cstheme="majorBidi"/>
          <w:szCs w:val="24"/>
        </w:rPr>
        <w:t xml:space="preserve"> homogènes. Inspirés des </w:t>
      </w:r>
      <w:proofErr w:type="spellStart"/>
      <w:r w:rsidR="002210A7" w:rsidRPr="00CD160A">
        <w:rPr>
          <w:rFonts w:asciiTheme="majorBidi" w:hAnsiTheme="majorBidi" w:cstheme="majorBidi"/>
          <w:b/>
          <w:bCs/>
          <w:szCs w:val="24"/>
        </w:rPr>
        <w:t>Diagnosis</w:t>
      </w:r>
      <w:proofErr w:type="spellEnd"/>
      <w:r w:rsidR="002210A7" w:rsidRPr="00CD160A">
        <w:rPr>
          <w:rFonts w:asciiTheme="majorBidi" w:hAnsiTheme="majorBidi" w:cstheme="majorBidi"/>
          <w:b/>
          <w:bCs/>
          <w:szCs w:val="24"/>
        </w:rPr>
        <w:t xml:space="preserve"> </w:t>
      </w:r>
      <w:proofErr w:type="spellStart"/>
      <w:r w:rsidR="002210A7" w:rsidRPr="00CD160A">
        <w:rPr>
          <w:rFonts w:asciiTheme="majorBidi" w:hAnsiTheme="majorBidi" w:cstheme="majorBidi"/>
          <w:b/>
          <w:bCs/>
          <w:szCs w:val="24"/>
        </w:rPr>
        <w:t>Related</w:t>
      </w:r>
      <w:proofErr w:type="spellEnd"/>
      <w:r w:rsidR="002210A7" w:rsidRPr="00CD160A">
        <w:rPr>
          <w:rFonts w:asciiTheme="majorBidi" w:hAnsiTheme="majorBidi" w:cstheme="majorBidi"/>
          <w:b/>
          <w:bCs/>
          <w:szCs w:val="24"/>
        </w:rPr>
        <w:t xml:space="preserve"> Groups (DRG)</w:t>
      </w:r>
      <w:r w:rsidR="002210A7" w:rsidRPr="00CD160A">
        <w:rPr>
          <w:rFonts w:asciiTheme="majorBidi" w:hAnsiTheme="majorBidi" w:cstheme="majorBidi"/>
          <w:szCs w:val="24"/>
        </w:rPr>
        <w:t xml:space="preserve"> américains, ils ont été adaptés au contexte français par le ministère de la Santé. Chaque GHM est défini à partir de plusieurs éléments : diagnostic principal, actes réalisés, diagnostics associés, et données administratives (âge, durée de séjour, mode de sortie, etc.).</w:t>
      </w:r>
      <w:r w:rsidR="002210A7" w:rsidRPr="00CD160A">
        <w:rPr>
          <w:rStyle w:val="Appelnotedebasdep"/>
          <w:rFonts w:asciiTheme="majorBidi" w:hAnsiTheme="majorBidi" w:cstheme="majorBidi"/>
          <w:szCs w:val="24"/>
        </w:rPr>
        <w:footnoteReference w:id="32"/>
      </w:r>
    </w:p>
    <w:p w14:paraId="25302001" w14:textId="77777777" w:rsidR="00D96C4F" w:rsidRPr="00CD160A" w:rsidRDefault="00D96C4F" w:rsidP="00CD160A">
      <w:pPr>
        <w:pStyle w:val="SectionTitle"/>
        <w:spacing w:line="360" w:lineRule="auto"/>
        <w:jc w:val="both"/>
        <w:rPr>
          <w:rFonts w:asciiTheme="majorBidi" w:hAnsiTheme="majorBidi" w:cstheme="majorBidi"/>
          <w:b w:val="0"/>
          <w:bCs/>
          <w:sz w:val="24"/>
          <w:szCs w:val="24"/>
        </w:rPr>
      </w:pPr>
      <w:r w:rsidRPr="00CD160A">
        <w:rPr>
          <w:rFonts w:asciiTheme="majorBidi" w:hAnsiTheme="majorBidi" w:cstheme="majorBidi"/>
          <w:b w:val="0"/>
          <w:bCs/>
          <w:sz w:val="24"/>
          <w:szCs w:val="24"/>
        </w:rPr>
        <w:t>À l'heure actuelle, près de 600 GHM sont exploités dans le domaine du court séjour (médecine, chirurgie, obstétrique - MCO). Chaque GHM est lié à un ou plusieurs Groupes Homogènes de Séjours (GHS), facilitant ainsi le calcul du financement alloué à chaque séjour dans le contexte de la T2A.</w:t>
      </w:r>
    </w:p>
    <w:p w14:paraId="42487EA2" w14:textId="77777777" w:rsidR="002210A7" w:rsidRPr="00CD160A" w:rsidRDefault="002210A7" w:rsidP="00CD160A">
      <w:pPr>
        <w:pStyle w:val="Titre1"/>
        <w:jc w:val="both"/>
        <w:rPr>
          <w:rFonts w:asciiTheme="majorBidi" w:hAnsiTheme="majorBidi"/>
          <w:sz w:val="24"/>
          <w:szCs w:val="24"/>
        </w:rPr>
      </w:pPr>
      <w:bookmarkStart w:id="61" w:name="_Toc199958830"/>
      <w:r w:rsidRPr="00CD160A">
        <w:rPr>
          <w:rFonts w:asciiTheme="majorBidi" w:hAnsiTheme="majorBidi"/>
          <w:sz w:val="24"/>
          <w:szCs w:val="24"/>
        </w:rPr>
        <w:t>Section4 : Les Systèmes d'Information en Santé à l'International</w:t>
      </w:r>
      <w:bookmarkEnd w:id="61"/>
    </w:p>
    <w:p w14:paraId="722EF67F"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Les systèmes d'information en santé à l'échelle mondiale sont essentiels pour optimiser les services de santé. Ces systèmes facilitent la collecte, l'analyse et l'utilisation de données en vue d'évaluer l'état de santé des populations, optimiser la gestion des ressources et soutenir les politiques de santé publique. En analysant ces systèmes, nous pouvons identifier des modèles efficaces qui pourraient être adaptés à différents contextes nationaux pour améliorer la qualité des soins et la gestion des établissements de santé.</w:t>
      </w:r>
    </w:p>
    <w:p w14:paraId="0EB36AB0" w14:textId="1A912C54" w:rsidR="002210A7" w:rsidRPr="00CD160A" w:rsidRDefault="002210A7" w:rsidP="00CD160A">
      <w:pPr>
        <w:pStyle w:val="Titre2"/>
        <w:numPr>
          <w:ilvl w:val="0"/>
          <w:numId w:val="122"/>
        </w:numPr>
        <w:rPr>
          <w:rFonts w:asciiTheme="majorBidi" w:hAnsiTheme="majorBidi"/>
          <w:szCs w:val="24"/>
        </w:rPr>
      </w:pPr>
      <w:bookmarkStart w:id="62" w:name="_Toc199958831"/>
      <w:r w:rsidRPr="00CD160A">
        <w:rPr>
          <w:rFonts w:asciiTheme="majorBidi" w:hAnsiTheme="majorBidi"/>
          <w:szCs w:val="24"/>
        </w:rPr>
        <w:t>Le Système DRG aux États-Unis</w:t>
      </w:r>
      <w:r w:rsidR="004A2614" w:rsidRPr="00CD160A">
        <w:rPr>
          <w:rFonts w:asciiTheme="majorBidi" w:hAnsiTheme="majorBidi"/>
          <w:szCs w:val="24"/>
        </w:rPr>
        <w:t> :</w:t>
      </w:r>
      <w:bookmarkEnd w:id="62"/>
    </w:p>
    <w:p w14:paraId="1410A1DB"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Le système des </w:t>
      </w:r>
      <w:proofErr w:type="spellStart"/>
      <w:r w:rsidRPr="00CD160A">
        <w:rPr>
          <w:rFonts w:asciiTheme="majorBidi" w:hAnsiTheme="majorBidi" w:cstheme="majorBidi"/>
          <w:szCs w:val="24"/>
        </w:rPr>
        <w:t>Diagnosis-Related</w:t>
      </w:r>
      <w:proofErr w:type="spellEnd"/>
      <w:r w:rsidRPr="00CD160A">
        <w:rPr>
          <w:rFonts w:asciiTheme="majorBidi" w:hAnsiTheme="majorBidi" w:cstheme="majorBidi"/>
          <w:szCs w:val="24"/>
        </w:rPr>
        <w:t xml:space="preserve"> Groups (DRG) a été introduit aux États-Unis en 1983 en tant que modèle de remboursement prospectif pour les soins hospitaliers dans le cadre du programme Medicare. </w:t>
      </w:r>
      <w:r w:rsidR="00D96C4F" w:rsidRPr="00CD160A">
        <w:rPr>
          <w:rFonts w:asciiTheme="majorBidi" w:hAnsiTheme="majorBidi" w:cstheme="majorBidi"/>
          <w:szCs w:val="24"/>
        </w:rPr>
        <w:t xml:space="preserve">Ce système classe les patients avec des diagnostics similaires en groupes homogènes, en se fondant sur des critères tels que l'âge, le sexe, la gravité de la maladie, les complications et les comorbidités. </w:t>
      </w:r>
      <w:r w:rsidRPr="00CD160A">
        <w:rPr>
          <w:rFonts w:asciiTheme="majorBidi" w:hAnsiTheme="majorBidi" w:cstheme="majorBidi"/>
          <w:szCs w:val="24"/>
        </w:rPr>
        <w:t xml:space="preserve">Cela permet de contrôler les coûts hospitaliers et de déterminer les taux de remboursement des assureurs, notamment Medicare. Chaque groupe est </w:t>
      </w:r>
      <w:r w:rsidRPr="00CD160A">
        <w:rPr>
          <w:rFonts w:asciiTheme="majorBidi" w:hAnsiTheme="majorBidi" w:cstheme="majorBidi"/>
          <w:szCs w:val="24"/>
        </w:rPr>
        <w:lastRenderedPageBreak/>
        <w:t xml:space="preserve">associé à un tarif fixe couvrant les coûts moyens liés au traitement d'un patient dans ce groupe, incluant les soins infirmiers, les examens diagnostiques et les services auxiliaires. </w:t>
      </w:r>
      <w:r w:rsidRPr="00CD160A">
        <w:rPr>
          <w:rStyle w:val="Appelnotedebasdep"/>
          <w:rFonts w:asciiTheme="majorBidi" w:hAnsiTheme="majorBidi" w:cstheme="majorBidi"/>
          <w:szCs w:val="24"/>
        </w:rPr>
        <w:footnoteReference w:id="33"/>
      </w:r>
    </w:p>
    <w:p w14:paraId="62E7C8F3" w14:textId="5C172E14"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Cette approche incite les hôpitaux à optimiser leurs coûts tout en maintenant la qualité des soins. Cependant, ce système a été critiqué pour le risque de sous</w:t>
      </w:r>
      <w:r w:rsidR="00C657C3" w:rsidRPr="00CD160A">
        <w:rPr>
          <w:rFonts w:asciiTheme="majorBidi" w:hAnsiTheme="majorBidi" w:cstheme="majorBidi"/>
          <w:szCs w:val="24"/>
        </w:rPr>
        <w:t xml:space="preserve"> </w:t>
      </w:r>
      <w:r w:rsidRPr="00CD160A">
        <w:rPr>
          <w:rFonts w:asciiTheme="majorBidi" w:hAnsiTheme="majorBidi" w:cstheme="majorBidi"/>
          <w:szCs w:val="24"/>
        </w:rPr>
        <w:t xml:space="preserve">traitement, car les hôpitaux peuvent être incités à minimiser les coûts pour maximiser leurs revenus. </w:t>
      </w:r>
    </w:p>
    <w:p w14:paraId="7114F854"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DRG vise à encourager l'efficacité et la gestion des coûts dans les hôpitaux en limitant les dépenses inutiles. Par exemple, un hôpital reçoit un paiement fixe pour chaque patient classé dans un DRG spécifique, indépendamment des coûts réels encourus. Ce modèle incite les établissements à optimiser leurs processus sans compromettre la qualité des soins. Les DRG sont également utilisés pour surveiller la qualité des soins et améliorer la gestion hospitalière grâce à une meilleure traçabilité des données et une standardisation des pratiques.</w:t>
      </w:r>
      <w:r w:rsidRPr="00CD160A">
        <w:rPr>
          <w:rStyle w:val="Appelnotedebasdep"/>
          <w:rFonts w:asciiTheme="majorBidi" w:hAnsiTheme="majorBidi" w:cstheme="majorBidi"/>
          <w:szCs w:val="24"/>
        </w:rPr>
        <w:footnoteReference w:id="34"/>
      </w:r>
    </w:p>
    <w:p w14:paraId="08CB82AF" w14:textId="77777777" w:rsidR="002210A7" w:rsidRPr="00CD160A" w:rsidRDefault="004A2614" w:rsidP="00CD160A">
      <w:pPr>
        <w:pStyle w:val="Titre3"/>
        <w:numPr>
          <w:ilvl w:val="1"/>
          <w:numId w:val="53"/>
        </w:numPr>
        <w:spacing w:line="360" w:lineRule="auto"/>
        <w:rPr>
          <w:rFonts w:asciiTheme="majorBidi" w:hAnsiTheme="majorBidi" w:cstheme="majorBidi"/>
          <w:szCs w:val="24"/>
        </w:rPr>
      </w:pPr>
      <w:r w:rsidRPr="00CD160A">
        <w:rPr>
          <w:rFonts w:asciiTheme="majorBidi" w:hAnsiTheme="majorBidi" w:cstheme="majorBidi"/>
          <w:szCs w:val="24"/>
        </w:rPr>
        <w:t xml:space="preserve"> </w:t>
      </w:r>
      <w:bookmarkStart w:id="63" w:name="_Toc199958832"/>
      <w:r w:rsidR="002210A7" w:rsidRPr="00CD160A">
        <w:rPr>
          <w:rFonts w:asciiTheme="majorBidi" w:hAnsiTheme="majorBidi" w:cstheme="majorBidi"/>
          <w:szCs w:val="24"/>
        </w:rPr>
        <w:t>Avantages :</w:t>
      </w:r>
      <w:bookmarkEnd w:id="63"/>
    </w:p>
    <w:p w14:paraId="0261391D"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Parmi les bénéfices les plus fréquemment cités du modèle DRG, on peut mentionner</w:t>
      </w:r>
      <w:r w:rsidRPr="00CD160A">
        <w:rPr>
          <w:rFonts w:asciiTheme="majorBidi" w:hAnsiTheme="majorBidi" w:cstheme="majorBidi"/>
          <w:b/>
          <w:bCs/>
          <w:szCs w:val="24"/>
          <w:vertAlign w:val="superscript"/>
        </w:rPr>
        <w:footnoteReference w:id="35"/>
      </w:r>
      <w:r w:rsidRPr="00CD160A">
        <w:rPr>
          <w:rFonts w:asciiTheme="majorBidi" w:hAnsiTheme="majorBidi" w:cstheme="majorBidi"/>
          <w:szCs w:val="24"/>
        </w:rPr>
        <w:t xml:space="preserve"> :</w:t>
      </w:r>
    </w:p>
    <w:p w14:paraId="21ED7EBC"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Efficacité économique : Le système DRG encourage les hôpitaux à optimiser leurs coûts en réduisant la durée des séjours et en améliorant la gestion des ressources. Cela a permis d'économiser des milliards de dollars dans le cadre de Medicare </w:t>
      </w:r>
    </w:p>
    <w:p w14:paraId="2F23BEB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Standardisation : Les DRG permettent une standardisation des paiements, facilitant ainsi la comparaison entre les établissements et l'évaluation de leur efficacité</w:t>
      </w:r>
    </w:p>
    <w:p w14:paraId="0958A38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Incitations pour la qualité : Bien que controversé, le DRG peut inciter les hôpitaux à améliorer la qualité des soins en réduisant les complications et les réadmissions </w:t>
      </w:r>
    </w:p>
    <w:p w14:paraId="2886A0ED" w14:textId="77777777"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64" w:name="_Toc199958833"/>
      <w:r w:rsidRPr="00CD160A">
        <w:rPr>
          <w:rFonts w:asciiTheme="majorBidi" w:hAnsiTheme="majorBidi" w:cstheme="majorBidi"/>
          <w:szCs w:val="24"/>
        </w:rPr>
        <w:t>Inconvénients :</w:t>
      </w:r>
      <w:bookmarkEnd w:id="64"/>
    </w:p>
    <w:p w14:paraId="4FD87BFD"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lastRenderedPageBreak/>
        <w:t>Malgré ses avantages, le système DRG présente aussi certaines limites</w:t>
      </w:r>
      <w:r w:rsidRPr="00CD160A">
        <w:rPr>
          <w:rFonts w:asciiTheme="majorBidi" w:hAnsiTheme="majorBidi" w:cstheme="majorBidi"/>
          <w:b/>
          <w:bCs/>
          <w:szCs w:val="24"/>
          <w:vertAlign w:val="superscript"/>
        </w:rPr>
        <w:footnoteReference w:id="36"/>
      </w:r>
      <w:r w:rsidRPr="00CD160A">
        <w:rPr>
          <w:rFonts w:asciiTheme="majorBidi" w:hAnsiTheme="majorBidi" w:cstheme="majorBidi"/>
          <w:szCs w:val="24"/>
        </w:rPr>
        <w:t xml:space="preserve">  :</w:t>
      </w:r>
    </w:p>
    <w:p w14:paraId="4EB2DD27"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Sélection des patients : Les hôpitaux peuvent être incités à éviter les patients présentant des cas complexes ou coûteux, ce qui peut limiter l'accès aux soins pour certaines populations </w:t>
      </w:r>
    </w:p>
    <w:p w14:paraId="3EDB0C04"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Risque de surcodage : Il existe un risque de majoration artificielle des diagnostics pour maximiser les revenus, ce qui peut fausser les données et augmenter les coûts </w:t>
      </w:r>
    </w:p>
    <w:p w14:paraId="7468D00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Impact sur la qualité des soins : Certains craignent que le DRG puisse conduire à une réduction de la qualité des soins en favorisant une sortie précoce des patients </w:t>
      </w:r>
    </w:p>
    <w:p w14:paraId="7402009F" w14:textId="77777777" w:rsidR="002210A7" w:rsidRPr="00CD160A" w:rsidRDefault="002210A7" w:rsidP="00CD160A">
      <w:pPr>
        <w:pStyle w:val="Titre2"/>
        <w:rPr>
          <w:rFonts w:asciiTheme="majorBidi" w:hAnsiTheme="majorBidi"/>
          <w:szCs w:val="24"/>
        </w:rPr>
      </w:pPr>
      <w:bookmarkStart w:id="65" w:name="_Toc199958834"/>
      <w:r w:rsidRPr="00CD160A">
        <w:rPr>
          <w:rFonts w:asciiTheme="majorBidi" w:hAnsiTheme="majorBidi"/>
          <w:szCs w:val="24"/>
        </w:rPr>
        <w:t>NHS Digital au Royaume-Uni</w:t>
      </w:r>
      <w:bookmarkEnd w:id="65"/>
    </w:p>
    <w:p w14:paraId="0BDED0AC" w14:textId="77777777" w:rsidR="002210A7" w:rsidRPr="00CD160A" w:rsidRDefault="00D96C4F" w:rsidP="00CD160A">
      <w:pPr>
        <w:jc w:val="both"/>
        <w:rPr>
          <w:rFonts w:asciiTheme="majorBidi" w:hAnsiTheme="majorBidi" w:cstheme="majorBidi"/>
          <w:szCs w:val="24"/>
        </w:rPr>
      </w:pPr>
      <w:r w:rsidRPr="00CD160A">
        <w:rPr>
          <w:rFonts w:asciiTheme="majorBidi" w:hAnsiTheme="majorBidi" w:cstheme="majorBidi"/>
          <w:szCs w:val="24"/>
        </w:rPr>
        <w:t xml:space="preserve">L'organisme chargé de la transformation digitale du système de santé en Angleterre est le NHS Digital. Avant de rejoindre NHS </w:t>
      </w:r>
      <w:proofErr w:type="spellStart"/>
      <w:r w:rsidRPr="00CD160A">
        <w:rPr>
          <w:rFonts w:asciiTheme="majorBidi" w:hAnsiTheme="majorBidi" w:cstheme="majorBidi"/>
          <w:szCs w:val="24"/>
        </w:rPr>
        <w:t>England</w:t>
      </w:r>
      <w:proofErr w:type="spellEnd"/>
      <w:r w:rsidRPr="00CD160A">
        <w:rPr>
          <w:rFonts w:asciiTheme="majorBidi" w:hAnsiTheme="majorBidi" w:cstheme="majorBidi"/>
          <w:szCs w:val="24"/>
        </w:rPr>
        <w:t xml:space="preserve"> en 2023, il a joué un rôle crucial dans l'intégration des dossiers médicaux numériques et la création d'outils numériques destinés à améliorer la coordination entre les différents niveaux de soins.</w:t>
      </w:r>
      <w:r w:rsidR="002210A7" w:rsidRPr="00CD160A">
        <w:rPr>
          <w:rFonts w:asciiTheme="majorBidi" w:hAnsiTheme="majorBidi" w:cstheme="majorBidi"/>
          <w:szCs w:val="24"/>
        </w:rPr>
        <w:t xml:space="preserve"> En centralisant les données sur les patients, les services de santé et les résultats des soins, il permettait aux décideurs de prendre des décisions éclairées afin d’optimiser les ressources et d’améliorer les résultats pour les patients.</w:t>
      </w:r>
    </w:p>
    <w:p w14:paraId="7DF8022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w:t>
      </w:r>
      <w:r w:rsidR="00DC5E24" w:rsidRPr="00CD160A">
        <w:rPr>
          <w:rFonts w:asciiTheme="majorBidi" w:hAnsiTheme="majorBidi" w:cstheme="majorBidi"/>
          <w:szCs w:val="24"/>
        </w:rPr>
        <w:t xml:space="preserve">Une des réalisations majeures de NHS Digital a été le </w:t>
      </w:r>
      <w:proofErr w:type="spellStart"/>
      <w:r w:rsidR="00DC5E24" w:rsidRPr="00CD160A">
        <w:rPr>
          <w:rFonts w:asciiTheme="majorBidi" w:hAnsiTheme="majorBidi" w:cstheme="majorBidi"/>
          <w:szCs w:val="24"/>
        </w:rPr>
        <w:t>Spine</w:t>
      </w:r>
      <w:proofErr w:type="spellEnd"/>
      <w:r w:rsidR="00DC5E24" w:rsidRPr="00CD160A">
        <w:rPr>
          <w:rFonts w:asciiTheme="majorBidi" w:hAnsiTheme="majorBidi" w:cstheme="majorBidi"/>
          <w:szCs w:val="24"/>
        </w:rPr>
        <w:t>, une infrastructure centrale qui facilite le partage sécurisé des données entre diverses parties du NHS, tout en préservant la confidentialité des informations patients.</w:t>
      </w:r>
      <w:r w:rsidRPr="00CD160A">
        <w:rPr>
          <w:rFonts w:asciiTheme="majorBidi" w:hAnsiTheme="majorBidi" w:cstheme="majorBidi"/>
          <w:szCs w:val="24"/>
        </w:rPr>
        <w:t xml:space="preserve"> Ce système a été complété par des services tels que l'</w:t>
      </w:r>
      <w:proofErr w:type="spellStart"/>
      <w:r w:rsidRPr="00CD160A">
        <w:rPr>
          <w:rFonts w:asciiTheme="majorBidi" w:hAnsiTheme="majorBidi" w:cstheme="majorBidi"/>
          <w:szCs w:val="24"/>
        </w:rPr>
        <w:t>Electronic</w:t>
      </w:r>
      <w:proofErr w:type="spellEnd"/>
      <w:r w:rsidRPr="00CD160A">
        <w:rPr>
          <w:rFonts w:asciiTheme="majorBidi" w:hAnsiTheme="majorBidi" w:cstheme="majorBidi"/>
          <w:szCs w:val="24"/>
        </w:rPr>
        <w:t xml:space="preserve"> Prescription Service et le </w:t>
      </w:r>
      <w:proofErr w:type="spellStart"/>
      <w:r w:rsidRPr="00CD160A">
        <w:rPr>
          <w:rFonts w:asciiTheme="majorBidi" w:hAnsiTheme="majorBidi" w:cstheme="majorBidi"/>
          <w:szCs w:val="24"/>
        </w:rPr>
        <w:t>Summary</w:t>
      </w:r>
      <w:proofErr w:type="spellEnd"/>
      <w:r w:rsidRPr="00CD160A">
        <w:rPr>
          <w:rFonts w:asciiTheme="majorBidi" w:hAnsiTheme="majorBidi" w:cstheme="majorBidi"/>
          <w:szCs w:val="24"/>
        </w:rPr>
        <w:t xml:space="preserve"> Care Record, qui permettaient un accès rapide et sécurisé aux informations médicales.</w:t>
      </w:r>
      <w:r w:rsidRPr="00CD160A">
        <w:rPr>
          <w:rStyle w:val="Appelnotedebasdep"/>
          <w:rFonts w:asciiTheme="majorBidi" w:hAnsiTheme="majorBidi" w:cstheme="majorBidi"/>
          <w:szCs w:val="24"/>
        </w:rPr>
        <w:footnoteReference w:id="37"/>
      </w:r>
    </w:p>
    <w:p w14:paraId="4CDDF88B"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NHS Digital a également lancé l'NHS App, qui offre aux patients un accès direct à leurs informations médicales et facilite la gestion de leurs rendez-vous. Ce développement s’inscrit dans une ambition plus large de connecter tous les systèmes de santé et de services sociaux d’ici 2025, avec la numérisation complète des dossiers médicaux et sociaux. Cette stratégie vise à réduire les erreurs liées aux processus papier, à améliorer l’efficacité opérationnelle, et à renforcer l’autonomie des patients. Le NHS Digital a ainsi encouragé l’optimisation des coûts </w:t>
      </w:r>
      <w:r w:rsidRPr="00CD160A">
        <w:rPr>
          <w:rFonts w:asciiTheme="majorBidi" w:hAnsiTheme="majorBidi" w:cstheme="majorBidi"/>
          <w:szCs w:val="24"/>
        </w:rPr>
        <w:lastRenderedPageBreak/>
        <w:t>et la qualité des soins tout en offrant aux patients un moyen simple et direct d’interagir avec le système de santé.</w:t>
      </w:r>
      <w:r w:rsidRPr="00CD160A">
        <w:rPr>
          <w:rStyle w:val="Appelnotedebasdep"/>
          <w:rFonts w:asciiTheme="majorBidi" w:hAnsiTheme="majorBidi" w:cstheme="majorBidi"/>
          <w:szCs w:val="24"/>
        </w:rPr>
        <w:footnoteReference w:id="38"/>
      </w:r>
    </w:p>
    <w:p w14:paraId="38CBBFF1"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En parallèle, l'organisation a mis en place la NHS Digital </w:t>
      </w:r>
      <w:proofErr w:type="spellStart"/>
      <w:r w:rsidRPr="00CD160A">
        <w:rPr>
          <w:rFonts w:asciiTheme="majorBidi" w:hAnsiTheme="majorBidi" w:cstheme="majorBidi"/>
          <w:szCs w:val="24"/>
        </w:rPr>
        <w:t>Academy</w:t>
      </w:r>
      <w:proofErr w:type="spellEnd"/>
      <w:r w:rsidRPr="00CD160A">
        <w:rPr>
          <w:rFonts w:asciiTheme="majorBidi" w:hAnsiTheme="majorBidi" w:cstheme="majorBidi"/>
          <w:szCs w:val="24"/>
        </w:rPr>
        <w:t xml:space="preserve">, afin de former les responsables en informatique de santé pour conduire la transformation numérique. L'une des priorités de NHS Digital a toujours été la sécurité des données des patients, avec des protocoles stricts pour assurer leur protection et leur utilisation appropriée dans le cadre des soins. Enfin, l’inclusion numérique a été au cœur de ses préoccupations, avec des initiatives visant à rendre les services numériques accessibles à tous les patients, quel que soit leur niveau de compétence technologique. Aujourd'hui, après sa fusion avec NHSX, NHS Digital fait partie intégrante de NHS </w:t>
      </w:r>
      <w:proofErr w:type="spellStart"/>
      <w:r w:rsidRPr="00CD160A">
        <w:rPr>
          <w:rFonts w:asciiTheme="majorBidi" w:hAnsiTheme="majorBidi" w:cstheme="majorBidi"/>
          <w:szCs w:val="24"/>
        </w:rPr>
        <w:t>England</w:t>
      </w:r>
      <w:proofErr w:type="spellEnd"/>
      <w:r w:rsidRPr="00CD160A">
        <w:rPr>
          <w:rFonts w:asciiTheme="majorBidi" w:hAnsiTheme="majorBidi" w:cstheme="majorBidi"/>
          <w:szCs w:val="24"/>
        </w:rPr>
        <w:t>, consolidant ainsi les efforts de transformation numérique pour un système de santé plus efficace et interconnecté.</w:t>
      </w:r>
      <w:r w:rsidRPr="00CD160A">
        <w:rPr>
          <w:rStyle w:val="Appelnotedebasdep"/>
          <w:rFonts w:asciiTheme="majorBidi" w:hAnsiTheme="majorBidi" w:cstheme="majorBidi"/>
          <w:szCs w:val="24"/>
        </w:rPr>
        <w:footnoteReference w:id="39"/>
      </w:r>
    </w:p>
    <w:p w14:paraId="42C85FD0" w14:textId="26241731"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66" w:name="_Toc199958835"/>
      <w:r w:rsidRPr="00CD160A">
        <w:rPr>
          <w:rFonts w:asciiTheme="majorBidi" w:hAnsiTheme="majorBidi" w:cstheme="majorBidi"/>
          <w:szCs w:val="24"/>
        </w:rPr>
        <w:t>Avantages</w:t>
      </w:r>
      <w:bookmarkEnd w:id="66"/>
    </w:p>
    <w:p w14:paraId="1C10984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système NHS Digital présente plusieurs avantages notables, parmi lesquels</w:t>
      </w:r>
      <w:r w:rsidRPr="00CD160A">
        <w:rPr>
          <w:rStyle w:val="Appelnotedebasdep"/>
          <w:rFonts w:asciiTheme="majorBidi" w:hAnsiTheme="majorBidi" w:cstheme="majorBidi"/>
          <w:b/>
          <w:bCs/>
          <w:szCs w:val="24"/>
        </w:rPr>
        <w:footnoteReference w:id="40"/>
      </w:r>
      <w:r w:rsidRPr="00CD160A">
        <w:rPr>
          <w:rFonts w:asciiTheme="majorBidi" w:hAnsiTheme="majorBidi" w:cstheme="majorBidi"/>
          <w:szCs w:val="24"/>
        </w:rPr>
        <w:t xml:space="preserve"> :</w:t>
      </w:r>
    </w:p>
    <w:p w14:paraId="2DAC6191"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Intégration numérique : Le NHS Digital favorise l'intégration des systèmes d'information pour améliorer la coordination entre les différents niveaux de soins, ce qui peut réduire les erreurs médicales et améliorer l'efficacité opérationnelle </w:t>
      </w:r>
    </w:p>
    <w:p w14:paraId="4927C899"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Autonomie du patient : Les outils numériques comme le NHS App permettent aux patients d'accéder à leurs données médicales et de gérer leurs rendez-vous, renforçant ainsi leur autonomie </w:t>
      </w:r>
    </w:p>
    <w:p w14:paraId="16477605"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Transparence : Le système permet une meilleure traçabilité des données, facilitant ainsi l'évaluation et l'amélioration continue des services de santé </w:t>
      </w:r>
    </w:p>
    <w:p w14:paraId="4E874886" w14:textId="77777777" w:rsidR="002210A7" w:rsidRPr="00CD160A" w:rsidRDefault="002210A7" w:rsidP="00CD160A">
      <w:pPr>
        <w:pStyle w:val="Titre3"/>
        <w:numPr>
          <w:ilvl w:val="1"/>
          <w:numId w:val="53"/>
        </w:numPr>
        <w:spacing w:line="360" w:lineRule="auto"/>
        <w:rPr>
          <w:rFonts w:asciiTheme="majorBidi" w:hAnsiTheme="majorBidi" w:cstheme="majorBidi"/>
          <w:szCs w:val="24"/>
        </w:rPr>
      </w:pPr>
      <w:bookmarkStart w:id="67" w:name="_Toc199958836"/>
      <w:r w:rsidRPr="00CD160A">
        <w:rPr>
          <w:rFonts w:asciiTheme="majorBidi" w:hAnsiTheme="majorBidi" w:cstheme="majorBidi"/>
          <w:szCs w:val="24"/>
        </w:rPr>
        <w:lastRenderedPageBreak/>
        <w:t>Inconvénients :</w:t>
      </w:r>
      <w:bookmarkEnd w:id="67"/>
    </w:p>
    <w:p w14:paraId="36F62B0D" w14:textId="77777777" w:rsidR="002210A7" w:rsidRPr="00CD160A" w:rsidRDefault="002210A7" w:rsidP="00CD160A">
      <w:pPr>
        <w:jc w:val="both"/>
        <w:rPr>
          <w:rFonts w:asciiTheme="majorBidi" w:hAnsiTheme="majorBidi" w:cstheme="majorBidi"/>
          <w:b/>
          <w:bCs/>
          <w:szCs w:val="24"/>
          <w:u w:val="single"/>
        </w:rPr>
      </w:pPr>
      <w:r w:rsidRPr="00CD160A">
        <w:rPr>
          <w:rFonts w:asciiTheme="majorBidi" w:hAnsiTheme="majorBidi" w:cstheme="majorBidi"/>
          <w:szCs w:val="24"/>
        </w:rPr>
        <w:t xml:space="preserve">Malgré ses apports significatifs, le système présente également quelques inconvénients qu’il convient de souligner </w:t>
      </w:r>
      <w:r w:rsidRPr="00CD160A">
        <w:rPr>
          <w:rStyle w:val="Appelnotedebasdep"/>
          <w:rFonts w:asciiTheme="majorBidi" w:hAnsiTheme="majorBidi" w:cstheme="majorBidi"/>
          <w:b/>
          <w:bCs/>
          <w:szCs w:val="24"/>
        </w:rPr>
        <w:footnoteReference w:id="41"/>
      </w:r>
      <w:r w:rsidRPr="00CD160A">
        <w:rPr>
          <w:rFonts w:asciiTheme="majorBidi" w:hAnsiTheme="majorBidi" w:cstheme="majorBidi"/>
          <w:szCs w:val="24"/>
        </w:rPr>
        <w:t xml:space="preserve"> :</w:t>
      </w:r>
    </w:p>
    <w:p w14:paraId="1944C258"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Défis techniques : L'intégration des systèmes d'information peut être complexe et coûteuse, nécessitant des investissements importants en infrastructure et en formation du personnel </w:t>
      </w:r>
    </w:p>
    <w:p w14:paraId="7DE06BC1"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Cyber sécurité : La centralisation des données sensibles augmente les risques liés à la cyber sécurité, ce qui nécessite des mesures de protection renforcées </w:t>
      </w:r>
    </w:p>
    <w:p w14:paraId="2592B763"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Inégalités d'accès : Les disparités dans l'accès aux technologies numériques peuvent limiter l'utilisation efficace des outils par certaines populations, notamment les personnes âgées ou celles vivant dans des zones rurales.</w:t>
      </w:r>
    </w:p>
    <w:p w14:paraId="08921694" w14:textId="77777777" w:rsidR="002210A7" w:rsidRPr="00CD160A" w:rsidRDefault="002210A7" w:rsidP="00CD160A">
      <w:pPr>
        <w:pStyle w:val="Titre2"/>
        <w:rPr>
          <w:rFonts w:asciiTheme="majorBidi" w:hAnsiTheme="majorBidi"/>
          <w:szCs w:val="24"/>
        </w:rPr>
      </w:pPr>
      <w:bookmarkStart w:id="68" w:name="_Toc199958837"/>
      <w:r w:rsidRPr="00CD160A">
        <w:rPr>
          <w:rFonts w:asciiTheme="majorBidi" w:hAnsiTheme="majorBidi"/>
          <w:szCs w:val="24"/>
        </w:rPr>
        <w:t>Tableau comparatif des systèmes d’informations santé internationaux</w:t>
      </w:r>
      <w:bookmarkEnd w:id="68"/>
    </w:p>
    <w:p w14:paraId="21A09024" w14:textId="57A75D50"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Afin de mieux comprendre les différentes approches internationales en matière de systèmes d'information hospitaliers, il est pertinent de comparer plusieurs modèles utilisés à travers le monde. Cette comparaison met en lumière les spécificités, les avantages et les limites de chaque système. Le tableau ci-dessous présente une synthèse des principales caractéristiques de trois systèmes d'information en santé : le PMSI (France), le DRG (États-Unis), le NHS Digital (Royaume-Uni). </w:t>
      </w:r>
    </w:p>
    <w:p w14:paraId="0D12B9DA" w14:textId="0C4BDFCA" w:rsidR="00F913DF" w:rsidRPr="00CD160A" w:rsidRDefault="00F913DF" w:rsidP="00CD160A">
      <w:pPr>
        <w:pStyle w:val="Lgende"/>
        <w:keepNext/>
        <w:spacing w:line="360" w:lineRule="auto"/>
        <w:jc w:val="both"/>
        <w:rPr>
          <w:rFonts w:asciiTheme="majorBidi" w:hAnsiTheme="majorBidi" w:cstheme="majorBidi"/>
          <w:color w:val="auto"/>
          <w:sz w:val="24"/>
          <w:szCs w:val="24"/>
        </w:rPr>
      </w:pPr>
      <w:bookmarkStart w:id="69" w:name="_Toc200210110"/>
      <w:r w:rsidRPr="00CD160A">
        <w:rPr>
          <w:rFonts w:asciiTheme="majorBidi" w:hAnsiTheme="majorBidi" w:cstheme="majorBidi"/>
          <w:color w:val="auto"/>
          <w:sz w:val="24"/>
          <w:szCs w:val="24"/>
        </w:rPr>
        <w:t xml:space="preserve">Tableau </w:t>
      </w:r>
      <w:r w:rsidRPr="00CD160A">
        <w:rPr>
          <w:rFonts w:asciiTheme="majorBidi" w:hAnsiTheme="majorBidi" w:cstheme="majorBidi"/>
          <w:color w:val="auto"/>
          <w:sz w:val="24"/>
          <w:szCs w:val="24"/>
        </w:rPr>
        <w:fldChar w:fldCharType="begin"/>
      </w:r>
      <w:r w:rsidRPr="00CD160A">
        <w:rPr>
          <w:rFonts w:asciiTheme="majorBidi" w:hAnsiTheme="majorBidi" w:cstheme="majorBidi"/>
          <w:color w:val="auto"/>
          <w:sz w:val="24"/>
          <w:szCs w:val="24"/>
        </w:rPr>
        <w:instrText xml:space="preserve"> SEQ Tableau \* ARABIC </w:instrText>
      </w:r>
      <w:r w:rsidRPr="00CD160A">
        <w:rPr>
          <w:rFonts w:asciiTheme="majorBidi" w:hAnsiTheme="majorBidi" w:cstheme="majorBidi"/>
          <w:color w:val="auto"/>
          <w:sz w:val="24"/>
          <w:szCs w:val="24"/>
        </w:rPr>
        <w:fldChar w:fldCharType="separate"/>
      </w:r>
      <w:r w:rsidR="008A7BDF" w:rsidRPr="00CD160A">
        <w:rPr>
          <w:rFonts w:asciiTheme="majorBidi" w:hAnsiTheme="majorBidi" w:cstheme="majorBidi"/>
          <w:noProof/>
          <w:color w:val="auto"/>
          <w:sz w:val="24"/>
          <w:szCs w:val="24"/>
        </w:rPr>
        <w:t>2</w:t>
      </w:r>
      <w:r w:rsidRPr="00CD160A">
        <w:rPr>
          <w:rFonts w:asciiTheme="majorBidi" w:hAnsiTheme="majorBidi" w:cstheme="majorBidi"/>
          <w:color w:val="auto"/>
          <w:sz w:val="24"/>
          <w:szCs w:val="24"/>
        </w:rPr>
        <w:fldChar w:fldCharType="end"/>
      </w:r>
      <w:r w:rsidRPr="00CD160A">
        <w:rPr>
          <w:rFonts w:asciiTheme="majorBidi" w:hAnsiTheme="majorBidi" w:cstheme="majorBidi"/>
          <w:color w:val="auto"/>
          <w:sz w:val="24"/>
          <w:szCs w:val="24"/>
        </w:rPr>
        <w:t xml:space="preserve"> : Comparaison des systèmes d’information en santé à l’international</w:t>
      </w:r>
      <w:bookmarkEnd w:id="69"/>
    </w:p>
    <w:tbl>
      <w:tblPr>
        <w:tblStyle w:val="Grilledetableauclaire"/>
        <w:tblW w:w="0" w:type="auto"/>
        <w:tblLook w:val="04A0" w:firstRow="1" w:lastRow="0" w:firstColumn="1" w:lastColumn="0" w:noHBand="0" w:noVBand="1"/>
      </w:tblPr>
      <w:tblGrid>
        <w:gridCol w:w="1672"/>
        <w:gridCol w:w="1367"/>
        <w:gridCol w:w="3849"/>
        <w:gridCol w:w="2174"/>
      </w:tblGrid>
      <w:tr w:rsidR="002210A7" w:rsidRPr="00CD160A" w14:paraId="639AF811" w14:textId="77777777" w:rsidTr="00F913DF">
        <w:tc>
          <w:tcPr>
            <w:tcW w:w="1672" w:type="dxa"/>
          </w:tcPr>
          <w:p w14:paraId="27C66AE1"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Système</w:t>
            </w:r>
          </w:p>
        </w:tc>
        <w:tc>
          <w:tcPr>
            <w:tcW w:w="1367" w:type="dxa"/>
          </w:tcPr>
          <w:p w14:paraId="01FEFD41"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Pays</w:t>
            </w:r>
          </w:p>
        </w:tc>
        <w:tc>
          <w:tcPr>
            <w:tcW w:w="3849" w:type="dxa"/>
          </w:tcPr>
          <w:p w14:paraId="2E464CFA"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Avantages</w:t>
            </w:r>
          </w:p>
        </w:tc>
        <w:tc>
          <w:tcPr>
            <w:tcW w:w="2174" w:type="dxa"/>
          </w:tcPr>
          <w:p w14:paraId="5A03ECA9"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Inconvénients</w:t>
            </w:r>
          </w:p>
        </w:tc>
      </w:tr>
      <w:tr w:rsidR="002210A7" w:rsidRPr="00CD160A" w14:paraId="18EDB108" w14:textId="77777777" w:rsidTr="00F913DF">
        <w:tc>
          <w:tcPr>
            <w:tcW w:w="1672" w:type="dxa"/>
          </w:tcPr>
          <w:p w14:paraId="4B2B9ADD"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PMSI (Programme de Médicalisation des Systèmes d’Information)</w:t>
            </w:r>
          </w:p>
        </w:tc>
        <w:tc>
          <w:tcPr>
            <w:tcW w:w="1367" w:type="dxa"/>
          </w:tcPr>
          <w:p w14:paraId="62E0DF55"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France</w:t>
            </w:r>
          </w:p>
        </w:tc>
        <w:tc>
          <w:tcPr>
            <w:tcW w:w="3849" w:type="dxa"/>
          </w:tcPr>
          <w:p w14:paraId="67E4B1EB"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Base solide pour la </w:t>
            </w:r>
            <w:r w:rsidRPr="00CD160A">
              <w:rPr>
                <w:rStyle w:val="lev"/>
                <w:rFonts w:asciiTheme="majorBidi" w:hAnsiTheme="majorBidi" w:cstheme="majorBidi"/>
                <w:sz w:val="24"/>
                <w:szCs w:val="24"/>
              </w:rPr>
              <w:t>Tarification à l’Activité (T2A)</w:t>
            </w:r>
            <w:r w:rsidRPr="00CD160A">
              <w:rPr>
                <w:rFonts w:asciiTheme="majorBidi" w:hAnsiTheme="majorBidi" w:cstheme="majorBidi"/>
                <w:szCs w:val="24"/>
              </w:rPr>
              <w:br/>
              <w:t xml:space="preserve">- Permet une </w:t>
            </w:r>
            <w:r w:rsidRPr="00CD160A">
              <w:rPr>
                <w:rStyle w:val="lev"/>
                <w:rFonts w:asciiTheme="majorBidi" w:hAnsiTheme="majorBidi" w:cstheme="majorBidi"/>
                <w:sz w:val="24"/>
                <w:szCs w:val="24"/>
              </w:rPr>
              <w:t>analyse fine de l’activité hospitalière</w:t>
            </w:r>
            <w:r w:rsidRPr="00CD160A">
              <w:rPr>
                <w:rFonts w:asciiTheme="majorBidi" w:hAnsiTheme="majorBidi" w:cstheme="majorBidi"/>
                <w:szCs w:val="24"/>
              </w:rPr>
              <w:br/>
              <w:t xml:space="preserve">- Facilite la </w:t>
            </w:r>
            <w:r w:rsidRPr="00CD160A">
              <w:rPr>
                <w:rStyle w:val="lev"/>
                <w:rFonts w:asciiTheme="majorBidi" w:hAnsiTheme="majorBidi" w:cstheme="majorBidi"/>
                <w:sz w:val="24"/>
                <w:szCs w:val="24"/>
              </w:rPr>
              <w:t>gestion médico-économique</w:t>
            </w:r>
            <w:r w:rsidRPr="00CD160A">
              <w:rPr>
                <w:rFonts w:asciiTheme="majorBidi" w:hAnsiTheme="majorBidi" w:cstheme="majorBidi"/>
                <w:szCs w:val="24"/>
              </w:rPr>
              <w:br/>
            </w:r>
            <w:r w:rsidRPr="00CD160A">
              <w:rPr>
                <w:rFonts w:asciiTheme="majorBidi" w:hAnsiTheme="majorBidi" w:cstheme="majorBidi"/>
                <w:szCs w:val="24"/>
              </w:rPr>
              <w:lastRenderedPageBreak/>
              <w:t xml:space="preserve">- Intégré au SIH pour une meilleure </w:t>
            </w:r>
            <w:r w:rsidRPr="00CD160A">
              <w:rPr>
                <w:rStyle w:val="lev"/>
                <w:rFonts w:asciiTheme="majorBidi" w:hAnsiTheme="majorBidi" w:cstheme="majorBidi"/>
                <w:sz w:val="24"/>
                <w:szCs w:val="24"/>
              </w:rPr>
              <w:t>traçabilité</w:t>
            </w:r>
            <w:r w:rsidRPr="00CD160A">
              <w:rPr>
                <w:rFonts w:asciiTheme="majorBidi" w:hAnsiTheme="majorBidi" w:cstheme="majorBidi"/>
                <w:szCs w:val="24"/>
              </w:rPr>
              <w:t xml:space="preserve"> des soins</w:t>
            </w:r>
          </w:p>
        </w:tc>
        <w:tc>
          <w:tcPr>
            <w:tcW w:w="2174" w:type="dxa"/>
          </w:tcPr>
          <w:p w14:paraId="4B8A6FBE"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lastRenderedPageBreak/>
              <w:t xml:space="preserve">- </w:t>
            </w:r>
            <w:r w:rsidRPr="00CD160A">
              <w:rPr>
                <w:rStyle w:val="lev"/>
                <w:rFonts w:asciiTheme="majorBidi" w:hAnsiTheme="majorBidi" w:cstheme="majorBidi"/>
                <w:sz w:val="24"/>
                <w:szCs w:val="24"/>
              </w:rPr>
              <w:t>Complexité du codage</w:t>
            </w:r>
            <w:r w:rsidRPr="00CD160A">
              <w:rPr>
                <w:rFonts w:asciiTheme="majorBidi" w:hAnsiTheme="majorBidi" w:cstheme="majorBidi"/>
                <w:szCs w:val="24"/>
              </w:rPr>
              <w:t xml:space="preserve"> (nécessite une expertise)</w:t>
            </w:r>
            <w:r w:rsidRPr="00CD160A">
              <w:rPr>
                <w:rFonts w:asciiTheme="majorBidi" w:hAnsiTheme="majorBidi" w:cstheme="majorBidi"/>
                <w:szCs w:val="24"/>
              </w:rPr>
              <w:br/>
              <w:t xml:space="preserve">- Charge administrative importante pour le </w:t>
            </w:r>
            <w:r w:rsidRPr="00CD160A">
              <w:rPr>
                <w:rFonts w:asciiTheme="majorBidi" w:hAnsiTheme="majorBidi" w:cstheme="majorBidi"/>
                <w:szCs w:val="24"/>
              </w:rPr>
              <w:lastRenderedPageBreak/>
              <w:t>personnel</w:t>
            </w:r>
            <w:r w:rsidRPr="00CD160A">
              <w:rPr>
                <w:rFonts w:asciiTheme="majorBidi" w:hAnsiTheme="majorBidi" w:cstheme="majorBidi"/>
                <w:szCs w:val="24"/>
              </w:rPr>
              <w:br/>
              <w:t>- Peut favoriser une logique de rentabilité au détriment de la qualité des soins</w:t>
            </w:r>
          </w:p>
        </w:tc>
      </w:tr>
      <w:tr w:rsidR="002210A7" w:rsidRPr="00CD160A" w14:paraId="50749398" w14:textId="77777777" w:rsidTr="00F913DF">
        <w:tc>
          <w:tcPr>
            <w:tcW w:w="1672" w:type="dxa"/>
          </w:tcPr>
          <w:p w14:paraId="71AD2DAF"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lastRenderedPageBreak/>
              <w:t>DRG (</w:t>
            </w:r>
            <w:proofErr w:type="spellStart"/>
            <w:r w:rsidRPr="00CD160A">
              <w:rPr>
                <w:rFonts w:asciiTheme="majorBidi" w:hAnsiTheme="majorBidi" w:cstheme="majorBidi"/>
                <w:szCs w:val="24"/>
              </w:rPr>
              <w:t>Diagnosis</w:t>
            </w:r>
            <w:proofErr w:type="spellEnd"/>
            <w:r w:rsidRPr="00CD160A">
              <w:rPr>
                <w:rFonts w:asciiTheme="majorBidi" w:hAnsiTheme="majorBidi" w:cstheme="majorBidi"/>
                <w:szCs w:val="24"/>
              </w:rPr>
              <w:t xml:space="preserve"> </w:t>
            </w:r>
            <w:proofErr w:type="spellStart"/>
            <w:r w:rsidRPr="00CD160A">
              <w:rPr>
                <w:rFonts w:asciiTheme="majorBidi" w:hAnsiTheme="majorBidi" w:cstheme="majorBidi"/>
                <w:szCs w:val="24"/>
              </w:rPr>
              <w:t>Related</w:t>
            </w:r>
            <w:proofErr w:type="spellEnd"/>
            <w:r w:rsidRPr="00CD160A">
              <w:rPr>
                <w:rFonts w:asciiTheme="majorBidi" w:hAnsiTheme="majorBidi" w:cstheme="majorBidi"/>
                <w:szCs w:val="24"/>
              </w:rPr>
              <w:t xml:space="preserve"> Groups)</w:t>
            </w:r>
          </w:p>
        </w:tc>
        <w:tc>
          <w:tcPr>
            <w:tcW w:w="1367" w:type="dxa"/>
          </w:tcPr>
          <w:p w14:paraId="1BBE921B"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États-Unis</w:t>
            </w:r>
          </w:p>
        </w:tc>
        <w:tc>
          <w:tcPr>
            <w:tcW w:w="3849" w:type="dxa"/>
          </w:tcPr>
          <w:p w14:paraId="78F7CF47"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Standardise la </w:t>
            </w:r>
            <w:r w:rsidRPr="00CD160A">
              <w:rPr>
                <w:rStyle w:val="lev"/>
                <w:rFonts w:asciiTheme="majorBidi" w:hAnsiTheme="majorBidi" w:cstheme="majorBidi"/>
                <w:sz w:val="24"/>
                <w:szCs w:val="24"/>
              </w:rPr>
              <w:t>facturation hospitalière</w:t>
            </w:r>
            <w:r w:rsidRPr="00CD160A">
              <w:rPr>
                <w:rFonts w:asciiTheme="majorBidi" w:hAnsiTheme="majorBidi" w:cstheme="majorBidi"/>
                <w:szCs w:val="24"/>
              </w:rPr>
              <w:br/>
              <w:t xml:space="preserve">- Encourage les hôpitaux à </w:t>
            </w:r>
            <w:r w:rsidRPr="00CD160A">
              <w:rPr>
                <w:rStyle w:val="lev"/>
                <w:rFonts w:asciiTheme="majorBidi" w:hAnsiTheme="majorBidi" w:cstheme="majorBidi"/>
                <w:sz w:val="24"/>
                <w:szCs w:val="24"/>
              </w:rPr>
              <w:t>optimiser les coûts</w:t>
            </w:r>
            <w:r w:rsidRPr="00CD160A">
              <w:rPr>
                <w:rFonts w:asciiTheme="majorBidi" w:hAnsiTheme="majorBidi" w:cstheme="majorBidi"/>
                <w:szCs w:val="24"/>
              </w:rPr>
              <w:br/>
              <w:t xml:space="preserve">- Favorise la </w:t>
            </w:r>
            <w:r w:rsidRPr="00CD160A">
              <w:rPr>
                <w:rStyle w:val="lev"/>
                <w:rFonts w:asciiTheme="majorBidi" w:hAnsiTheme="majorBidi" w:cstheme="majorBidi"/>
                <w:sz w:val="24"/>
                <w:szCs w:val="24"/>
              </w:rPr>
              <w:t>transparence</w:t>
            </w:r>
            <w:r w:rsidRPr="00CD160A">
              <w:rPr>
                <w:rFonts w:asciiTheme="majorBidi" w:hAnsiTheme="majorBidi" w:cstheme="majorBidi"/>
                <w:szCs w:val="24"/>
              </w:rPr>
              <w:t xml:space="preserve"> dans la gestion hospitalière</w:t>
            </w:r>
          </w:p>
        </w:tc>
        <w:tc>
          <w:tcPr>
            <w:tcW w:w="2174" w:type="dxa"/>
          </w:tcPr>
          <w:p w14:paraId="55D7BCD8"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Risque de </w:t>
            </w:r>
            <w:r w:rsidRPr="00CD160A">
              <w:rPr>
                <w:rStyle w:val="lev"/>
                <w:rFonts w:asciiTheme="majorBidi" w:hAnsiTheme="majorBidi" w:cstheme="majorBidi"/>
                <w:sz w:val="24"/>
                <w:szCs w:val="24"/>
              </w:rPr>
              <w:t>“cherry picking”</w:t>
            </w:r>
            <w:r w:rsidRPr="00CD160A">
              <w:rPr>
                <w:rFonts w:asciiTheme="majorBidi" w:hAnsiTheme="majorBidi" w:cstheme="majorBidi"/>
                <w:szCs w:val="24"/>
              </w:rPr>
              <w:t xml:space="preserve"> (sélection des patients rentables)</w:t>
            </w:r>
            <w:r w:rsidRPr="00CD160A">
              <w:rPr>
                <w:rFonts w:asciiTheme="majorBidi" w:hAnsiTheme="majorBidi" w:cstheme="majorBidi"/>
                <w:szCs w:val="24"/>
              </w:rPr>
              <w:br/>
              <w:t xml:space="preserve">- Peut encourager des pratiques axées sur la </w:t>
            </w:r>
            <w:r w:rsidRPr="00CD160A">
              <w:rPr>
                <w:rStyle w:val="lev"/>
                <w:rFonts w:asciiTheme="majorBidi" w:hAnsiTheme="majorBidi" w:cstheme="majorBidi"/>
                <w:sz w:val="24"/>
                <w:szCs w:val="24"/>
              </w:rPr>
              <w:t>quantité au lieu de la qualité</w:t>
            </w:r>
            <w:r w:rsidRPr="00CD160A">
              <w:rPr>
                <w:rFonts w:asciiTheme="majorBidi" w:hAnsiTheme="majorBidi" w:cstheme="majorBidi"/>
                <w:szCs w:val="24"/>
              </w:rPr>
              <w:br/>
              <w:t xml:space="preserve">- Fortement influencé par une logique </w:t>
            </w:r>
            <w:r w:rsidRPr="00CD160A">
              <w:rPr>
                <w:rStyle w:val="lev"/>
                <w:rFonts w:asciiTheme="majorBidi" w:hAnsiTheme="majorBidi" w:cstheme="majorBidi"/>
                <w:sz w:val="24"/>
                <w:szCs w:val="24"/>
              </w:rPr>
              <w:t>commerciale</w:t>
            </w:r>
          </w:p>
        </w:tc>
      </w:tr>
      <w:tr w:rsidR="002210A7" w:rsidRPr="00CD160A" w14:paraId="1893C70F" w14:textId="77777777" w:rsidTr="00F913DF">
        <w:tc>
          <w:tcPr>
            <w:tcW w:w="1672" w:type="dxa"/>
          </w:tcPr>
          <w:p w14:paraId="234F01FE"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NHS Digital</w:t>
            </w:r>
          </w:p>
        </w:tc>
        <w:tc>
          <w:tcPr>
            <w:tcW w:w="1367" w:type="dxa"/>
          </w:tcPr>
          <w:p w14:paraId="290C2399"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Royaume-Uni</w:t>
            </w:r>
          </w:p>
        </w:tc>
        <w:tc>
          <w:tcPr>
            <w:tcW w:w="3849" w:type="dxa"/>
          </w:tcPr>
          <w:p w14:paraId="51BE7282"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SI intégré dans le </w:t>
            </w:r>
            <w:r w:rsidRPr="00CD160A">
              <w:rPr>
                <w:rStyle w:val="lev"/>
                <w:rFonts w:asciiTheme="majorBidi" w:hAnsiTheme="majorBidi" w:cstheme="majorBidi"/>
                <w:sz w:val="24"/>
                <w:szCs w:val="24"/>
              </w:rPr>
              <w:t>modèle public du NHS</w:t>
            </w:r>
            <w:r w:rsidRPr="00CD160A">
              <w:rPr>
                <w:rFonts w:asciiTheme="majorBidi" w:hAnsiTheme="majorBidi" w:cstheme="majorBidi"/>
                <w:szCs w:val="24"/>
              </w:rPr>
              <w:br/>
              <w:t xml:space="preserve">- Permet une </w:t>
            </w:r>
            <w:r w:rsidRPr="00CD160A">
              <w:rPr>
                <w:rStyle w:val="lev"/>
                <w:rFonts w:asciiTheme="majorBidi" w:hAnsiTheme="majorBidi" w:cstheme="majorBidi"/>
                <w:sz w:val="24"/>
                <w:szCs w:val="24"/>
              </w:rPr>
              <w:t>planification centralisée</w:t>
            </w:r>
            <w:r w:rsidRPr="00CD160A">
              <w:rPr>
                <w:rFonts w:asciiTheme="majorBidi" w:hAnsiTheme="majorBidi" w:cstheme="majorBidi"/>
                <w:szCs w:val="24"/>
              </w:rPr>
              <w:t xml:space="preserve"> des soins</w:t>
            </w:r>
            <w:r w:rsidRPr="00CD160A">
              <w:rPr>
                <w:rFonts w:asciiTheme="majorBidi" w:hAnsiTheme="majorBidi" w:cstheme="majorBidi"/>
                <w:szCs w:val="24"/>
              </w:rPr>
              <w:br/>
              <w:t xml:space="preserve">- Accès libre aux données de santé pour la </w:t>
            </w:r>
            <w:r w:rsidRPr="00CD160A">
              <w:rPr>
                <w:rStyle w:val="lev"/>
                <w:rFonts w:asciiTheme="majorBidi" w:hAnsiTheme="majorBidi" w:cstheme="majorBidi"/>
                <w:sz w:val="24"/>
                <w:szCs w:val="24"/>
              </w:rPr>
              <w:t>recherche et les politiques de santé</w:t>
            </w:r>
          </w:p>
        </w:tc>
        <w:tc>
          <w:tcPr>
            <w:tcW w:w="2174" w:type="dxa"/>
          </w:tcPr>
          <w:p w14:paraId="123BBB79"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 Système </w:t>
            </w:r>
            <w:r w:rsidRPr="00CD160A">
              <w:rPr>
                <w:rStyle w:val="lev"/>
                <w:rFonts w:asciiTheme="majorBidi" w:hAnsiTheme="majorBidi" w:cstheme="majorBidi"/>
                <w:sz w:val="24"/>
                <w:szCs w:val="24"/>
              </w:rPr>
              <w:t>lourd et bureaucratique</w:t>
            </w:r>
            <w:r w:rsidRPr="00CD160A">
              <w:rPr>
                <w:rFonts w:asciiTheme="majorBidi" w:hAnsiTheme="majorBidi" w:cstheme="majorBidi"/>
                <w:szCs w:val="24"/>
              </w:rPr>
              <w:br/>
              <w:t xml:space="preserve">- </w:t>
            </w:r>
            <w:r w:rsidRPr="00CD160A">
              <w:rPr>
                <w:rStyle w:val="lev"/>
                <w:rFonts w:asciiTheme="majorBidi" w:hAnsiTheme="majorBidi" w:cstheme="majorBidi"/>
                <w:sz w:val="24"/>
                <w:szCs w:val="24"/>
              </w:rPr>
              <w:t>Sous-financement chronique</w:t>
            </w:r>
            <w:r w:rsidRPr="00CD160A">
              <w:rPr>
                <w:rFonts w:asciiTheme="majorBidi" w:hAnsiTheme="majorBidi" w:cstheme="majorBidi"/>
                <w:szCs w:val="24"/>
              </w:rPr>
              <w:t xml:space="preserve"> du NHS</w:t>
            </w:r>
            <w:r w:rsidRPr="00CD160A">
              <w:rPr>
                <w:rFonts w:asciiTheme="majorBidi" w:hAnsiTheme="majorBidi" w:cstheme="majorBidi"/>
                <w:szCs w:val="24"/>
              </w:rPr>
              <w:br/>
              <w:t xml:space="preserve">- Retards dans le </w:t>
            </w:r>
            <w:r w:rsidRPr="00CD160A">
              <w:rPr>
                <w:rStyle w:val="lev"/>
                <w:rFonts w:asciiTheme="majorBidi" w:hAnsiTheme="majorBidi" w:cstheme="majorBidi"/>
                <w:sz w:val="24"/>
                <w:szCs w:val="24"/>
              </w:rPr>
              <w:t>déploiement des technologies</w:t>
            </w:r>
            <w:r w:rsidRPr="00CD160A">
              <w:rPr>
                <w:rFonts w:asciiTheme="majorBidi" w:hAnsiTheme="majorBidi" w:cstheme="majorBidi"/>
                <w:szCs w:val="24"/>
              </w:rPr>
              <w:t xml:space="preserve"> numériques</w:t>
            </w:r>
          </w:p>
        </w:tc>
      </w:tr>
    </w:tbl>
    <w:p w14:paraId="78484377" w14:textId="77777777" w:rsidR="002210A7" w:rsidRPr="00CD160A" w:rsidRDefault="002210A7" w:rsidP="00CD160A">
      <w:pPr>
        <w:jc w:val="both"/>
        <w:rPr>
          <w:rFonts w:asciiTheme="majorBidi" w:hAnsiTheme="majorBidi" w:cstheme="majorBidi"/>
          <w:szCs w:val="24"/>
        </w:rPr>
      </w:pPr>
    </w:p>
    <w:p w14:paraId="07513534"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Source : Élaboration personnelle à partir de </w:t>
      </w:r>
      <w:r w:rsidRPr="00CD160A">
        <w:rPr>
          <w:rFonts w:asciiTheme="majorBidi" w:hAnsiTheme="majorBidi" w:cstheme="majorBidi"/>
          <w:i/>
          <w:iCs/>
          <w:szCs w:val="24"/>
        </w:rPr>
        <w:t>Faure (2002)</w:t>
      </w:r>
      <w:r w:rsidRPr="00CD160A">
        <w:rPr>
          <w:rFonts w:asciiTheme="majorBidi" w:hAnsiTheme="majorBidi" w:cstheme="majorBidi"/>
          <w:szCs w:val="24"/>
        </w:rPr>
        <w:t xml:space="preserve">, </w:t>
      </w:r>
      <w:r w:rsidRPr="00CD160A">
        <w:rPr>
          <w:rFonts w:asciiTheme="majorBidi" w:hAnsiTheme="majorBidi" w:cstheme="majorBidi"/>
          <w:i/>
          <w:iCs/>
          <w:szCs w:val="24"/>
        </w:rPr>
        <w:t>ATIH (</w:t>
      </w:r>
      <w:proofErr w:type="spellStart"/>
      <w:r w:rsidRPr="00CD160A">
        <w:rPr>
          <w:rFonts w:asciiTheme="majorBidi" w:hAnsiTheme="majorBidi" w:cstheme="majorBidi"/>
          <w:i/>
          <w:iCs/>
          <w:szCs w:val="24"/>
        </w:rPr>
        <w:t>s.d</w:t>
      </w:r>
      <w:proofErr w:type="spellEnd"/>
      <w:r w:rsidRPr="00CD160A">
        <w:rPr>
          <w:rFonts w:asciiTheme="majorBidi" w:hAnsiTheme="majorBidi" w:cstheme="majorBidi"/>
          <w:i/>
          <w:iCs/>
          <w:szCs w:val="24"/>
        </w:rPr>
        <w:t>.)</w:t>
      </w:r>
      <w:r w:rsidRPr="00CD160A">
        <w:rPr>
          <w:rFonts w:asciiTheme="majorBidi" w:hAnsiTheme="majorBidi" w:cstheme="majorBidi"/>
          <w:szCs w:val="24"/>
        </w:rPr>
        <w:t xml:space="preserve">, </w:t>
      </w:r>
      <w:r w:rsidRPr="00CD160A">
        <w:rPr>
          <w:rFonts w:asciiTheme="majorBidi" w:hAnsiTheme="majorBidi" w:cstheme="majorBidi"/>
          <w:i/>
          <w:iCs/>
          <w:szCs w:val="24"/>
        </w:rPr>
        <w:t xml:space="preserve">Office of </w:t>
      </w:r>
      <w:proofErr w:type="spellStart"/>
      <w:r w:rsidRPr="00CD160A">
        <w:rPr>
          <w:rFonts w:asciiTheme="majorBidi" w:hAnsiTheme="majorBidi" w:cstheme="majorBidi"/>
          <w:i/>
          <w:iCs/>
          <w:szCs w:val="24"/>
        </w:rPr>
        <w:t>Inspector</w:t>
      </w:r>
      <w:proofErr w:type="spellEnd"/>
      <w:r w:rsidRPr="00CD160A">
        <w:rPr>
          <w:rFonts w:asciiTheme="majorBidi" w:hAnsiTheme="majorBidi" w:cstheme="majorBidi"/>
          <w:i/>
          <w:iCs/>
          <w:szCs w:val="24"/>
        </w:rPr>
        <w:t xml:space="preserve"> General (2001)</w:t>
      </w:r>
      <w:r w:rsidRPr="00CD160A">
        <w:rPr>
          <w:rFonts w:asciiTheme="majorBidi" w:hAnsiTheme="majorBidi" w:cstheme="majorBidi"/>
          <w:szCs w:val="24"/>
        </w:rPr>
        <w:t xml:space="preserve">, </w:t>
      </w:r>
      <w:r w:rsidRPr="00CD160A">
        <w:rPr>
          <w:rFonts w:asciiTheme="majorBidi" w:hAnsiTheme="majorBidi" w:cstheme="majorBidi"/>
          <w:i/>
          <w:iCs/>
          <w:szCs w:val="24"/>
        </w:rPr>
        <w:t>Mihailovic et al. (2016)</w:t>
      </w:r>
      <w:r w:rsidRPr="00CD160A">
        <w:rPr>
          <w:rFonts w:asciiTheme="majorBidi" w:hAnsiTheme="majorBidi" w:cstheme="majorBidi"/>
          <w:szCs w:val="24"/>
        </w:rPr>
        <w:t xml:space="preserve">, </w:t>
      </w:r>
      <w:r w:rsidRPr="00CD160A">
        <w:rPr>
          <w:rFonts w:asciiTheme="majorBidi" w:hAnsiTheme="majorBidi" w:cstheme="majorBidi"/>
          <w:i/>
          <w:iCs/>
          <w:szCs w:val="24"/>
        </w:rPr>
        <w:t xml:space="preserve">De </w:t>
      </w:r>
      <w:proofErr w:type="spellStart"/>
      <w:r w:rsidRPr="00CD160A">
        <w:rPr>
          <w:rFonts w:asciiTheme="majorBidi" w:hAnsiTheme="majorBidi" w:cstheme="majorBidi"/>
          <w:i/>
          <w:iCs/>
          <w:szCs w:val="24"/>
        </w:rPr>
        <w:t>Pouvourville</w:t>
      </w:r>
      <w:proofErr w:type="spellEnd"/>
      <w:r w:rsidRPr="00CD160A">
        <w:rPr>
          <w:rFonts w:asciiTheme="majorBidi" w:hAnsiTheme="majorBidi" w:cstheme="majorBidi"/>
          <w:i/>
          <w:iCs/>
          <w:szCs w:val="24"/>
        </w:rPr>
        <w:t xml:space="preserve"> (1990)</w:t>
      </w:r>
      <w:r w:rsidRPr="00CD160A">
        <w:rPr>
          <w:rFonts w:asciiTheme="majorBidi" w:hAnsiTheme="majorBidi" w:cstheme="majorBidi"/>
          <w:szCs w:val="24"/>
        </w:rPr>
        <w:t xml:space="preserve">, </w:t>
      </w:r>
      <w:proofErr w:type="spellStart"/>
      <w:r w:rsidRPr="00CD160A">
        <w:rPr>
          <w:rFonts w:asciiTheme="majorBidi" w:hAnsiTheme="majorBidi" w:cstheme="majorBidi"/>
          <w:i/>
          <w:iCs/>
          <w:szCs w:val="24"/>
        </w:rPr>
        <w:t>Brundage</w:t>
      </w:r>
      <w:proofErr w:type="spellEnd"/>
      <w:r w:rsidRPr="00CD160A">
        <w:rPr>
          <w:rFonts w:asciiTheme="majorBidi" w:hAnsiTheme="majorBidi" w:cstheme="majorBidi"/>
          <w:i/>
          <w:iCs/>
          <w:szCs w:val="24"/>
        </w:rPr>
        <w:t xml:space="preserve"> Group (2025)</w:t>
      </w:r>
      <w:r w:rsidRPr="00CD160A">
        <w:rPr>
          <w:rFonts w:asciiTheme="majorBidi" w:hAnsiTheme="majorBidi" w:cstheme="majorBidi"/>
          <w:szCs w:val="24"/>
        </w:rPr>
        <w:t xml:space="preserve">, </w:t>
      </w:r>
      <w:r w:rsidRPr="00CD160A">
        <w:rPr>
          <w:rFonts w:asciiTheme="majorBidi" w:hAnsiTheme="majorBidi" w:cstheme="majorBidi"/>
          <w:i/>
          <w:iCs/>
          <w:szCs w:val="24"/>
        </w:rPr>
        <w:t xml:space="preserve">NHS </w:t>
      </w:r>
      <w:proofErr w:type="spellStart"/>
      <w:r w:rsidRPr="00CD160A">
        <w:rPr>
          <w:rFonts w:asciiTheme="majorBidi" w:hAnsiTheme="majorBidi" w:cstheme="majorBidi"/>
          <w:i/>
          <w:iCs/>
          <w:szCs w:val="24"/>
        </w:rPr>
        <w:t>England</w:t>
      </w:r>
      <w:proofErr w:type="spellEnd"/>
      <w:r w:rsidRPr="00CD160A">
        <w:rPr>
          <w:rFonts w:asciiTheme="majorBidi" w:hAnsiTheme="majorBidi" w:cstheme="majorBidi"/>
          <w:i/>
          <w:iCs/>
          <w:szCs w:val="24"/>
        </w:rPr>
        <w:t xml:space="preserve"> (2023)</w:t>
      </w:r>
      <w:r w:rsidRPr="00CD160A">
        <w:rPr>
          <w:rFonts w:asciiTheme="majorBidi" w:hAnsiTheme="majorBidi" w:cstheme="majorBidi"/>
          <w:szCs w:val="24"/>
        </w:rPr>
        <w:t xml:space="preserve">, </w:t>
      </w:r>
      <w:r w:rsidRPr="00CD160A">
        <w:rPr>
          <w:rFonts w:asciiTheme="majorBidi" w:hAnsiTheme="majorBidi" w:cstheme="majorBidi"/>
          <w:i/>
          <w:iCs/>
          <w:szCs w:val="24"/>
        </w:rPr>
        <w:t xml:space="preserve">NHS Transformation </w:t>
      </w:r>
      <w:proofErr w:type="spellStart"/>
      <w:r w:rsidRPr="00CD160A">
        <w:rPr>
          <w:rFonts w:asciiTheme="majorBidi" w:hAnsiTheme="majorBidi" w:cstheme="majorBidi"/>
          <w:i/>
          <w:iCs/>
          <w:szCs w:val="24"/>
        </w:rPr>
        <w:t>Directorate</w:t>
      </w:r>
      <w:proofErr w:type="spellEnd"/>
      <w:r w:rsidRPr="00CD160A">
        <w:rPr>
          <w:rFonts w:asciiTheme="majorBidi" w:hAnsiTheme="majorBidi" w:cstheme="majorBidi"/>
          <w:i/>
          <w:iCs/>
          <w:szCs w:val="24"/>
        </w:rPr>
        <w:t xml:space="preserve"> (</w:t>
      </w:r>
      <w:proofErr w:type="spellStart"/>
      <w:r w:rsidRPr="00CD160A">
        <w:rPr>
          <w:rFonts w:asciiTheme="majorBidi" w:hAnsiTheme="majorBidi" w:cstheme="majorBidi"/>
          <w:i/>
          <w:iCs/>
          <w:szCs w:val="24"/>
        </w:rPr>
        <w:t>s.d</w:t>
      </w:r>
      <w:proofErr w:type="spellEnd"/>
      <w:r w:rsidRPr="00CD160A">
        <w:rPr>
          <w:rFonts w:asciiTheme="majorBidi" w:hAnsiTheme="majorBidi" w:cstheme="majorBidi"/>
          <w:i/>
          <w:iCs/>
          <w:szCs w:val="24"/>
        </w:rPr>
        <w:t>.)</w:t>
      </w:r>
      <w:r w:rsidRPr="00CD160A">
        <w:rPr>
          <w:rFonts w:asciiTheme="majorBidi" w:hAnsiTheme="majorBidi" w:cstheme="majorBidi"/>
          <w:szCs w:val="24"/>
        </w:rPr>
        <w:t xml:space="preserve">, </w:t>
      </w:r>
      <w:proofErr w:type="spellStart"/>
      <w:r w:rsidRPr="00CD160A">
        <w:rPr>
          <w:rFonts w:asciiTheme="majorBidi" w:hAnsiTheme="majorBidi" w:cstheme="majorBidi"/>
          <w:i/>
          <w:iCs/>
          <w:szCs w:val="24"/>
        </w:rPr>
        <w:t>Government</w:t>
      </w:r>
      <w:proofErr w:type="spellEnd"/>
      <w:r w:rsidRPr="00CD160A">
        <w:rPr>
          <w:rFonts w:asciiTheme="majorBidi" w:hAnsiTheme="majorBidi" w:cstheme="majorBidi"/>
          <w:i/>
          <w:iCs/>
          <w:szCs w:val="24"/>
        </w:rPr>
        <w:t xml:space="preserve"> Digital Service et al. (2021)</w:t>
      </w:r>
      <w:r w:rsidRPr="00CD160A">
        <w:rPr>
          <w:rFonts w:asciiTheme="majorBidi" w:hAnsiTheme="majorBidi" w:cstheme="majorBidi"/>
          <w:szCs w:val="24"/>
        </w:rPr>
        <w:t xml:space="preserve">, </w:t>
      </w:r>
      <w:r w:rsidRPr="00CD160A">
        <w:rPr>
          <w:rFonts w:asciiTheme="majorBidi" w:hAnsiTheme="majorBidi" w:cstheme="majorBidi"/>
          <w:i/>
          <w:iCs/>
          <w:szCs w:val="24"/>
        </w:rPr>
        <w:t xml:space="preserve">House of Commons Health and Social Care </w:t>
      </w:r>
      <w:proofErr w:type="spellStart"/>
      <w:r w:rsidRPr="00CD160A">
        <w:rPr>
          <w:rFonts w:asciiTheme="majorBidi" w:hAnsiTheme="majorBidi" w:cstheme="majorBidi"/>
          <w:i/>
          <w:iCs/>
          <w:szCs w:val="24"/>
        </w:rPr>
        <w:t>Committee</w:t>
      </w:r>
      <w:proofErr w:type="spellEnd"/>
      <w:r w:rsidRPr="00CD160A">
        <w:rPr>
          <w:rFonts w:asciiTheme="majorBidi" w:hAnsiTheme="majorBidi" w:cstheme="majorBidi"/>
          <w:i/>
          <w:iCs/>
          <w:szCs w:val="24"/>
        </w:rPr>
        <w:t xml:space="preserve"> (2023)</w:t>
      </w:r>
      <w:r w:rsidRPr="00CD160A">
        <w:rPr>
          <w:rFonts w:asciiTheme="majorBidi" w:hAnsiTheme="majorBidi" w:cstheme="majorBidi"/>
          <w:szCs w:val="24"/>
        </w:rPr>
        <w:t>.</w:t>
      </w:r>
    </w:p>
    <w:p w14:paraId="5172C0DD" w14:textId="77777777" w:rsidR="002210A7" w:rsidRPr="00CD160A" w:rsidRDefault="002210A7" w:rsidP="00CD160A">
      <w:pPr>
        <w:pStyle w:val="Titre2"/>
        <w:rPr>
          <w:rFonts w:asciiTheme="majorBidi" w:hAnsiTheme="majorBidi"/>
          <w:szCs w:val="24"/>
        </w:rPr>
      </w:pPr>
      <w:bookmarkStart w:id="70" w:name="_Toc199958838"/>
      <w:r w:rsidRPr="00CD160A">
        <w:rPr>
          <w:rFonts w:asciiTheme="majorBidi" w:hAnsiTheme="majorBidi"/>
          <w:szCs w:val="24"/>
        </w:rPr>
        <w:lastRenderedPageBreak/>
        <w:t>Identification des paramètres applicables en Algérie</w:t>
      </w:r>
      <w:bookmarkEnd w:id="70"/>
    </w:p>
    <w:p w14:paraId="3A5DC83C"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Dans le cadre de la mise en place d’un système d'information en santé performant et adapté au contexte algérien, il est essentiel d’identifier les paramètres contextuels, structurels et fonctionnels pouvant conditionner le succès d’un tel dispositif. Ces paramètres tiennent compte de la réalité du système national de santé, des infrastructures existantes, des ressources disponibles et des défis organisationnels propres au pays.</w:t>
      </w:r>
    </w:p>
    <w:p w14:paraId="3AD7797E" w14:textId="1E402F44" w:rsidR="002210A7" w:rsidRPr="00CD160A" w:rsidRDefault="002210A7" w:rsidP="00CD160A">
      <w:pPr>
        <w:pStyle w:val="Titre3"/>
        <w:numPr>
          <w:ilvl w:val="1"/>
          <w:numId w:val="123"/>
        </w:numPr>
        <w:spacing w:line="360" w:lineRule="auto"/>
        <w:rPr>
          <w:rFonts w:asciiTheme="majorBidi" w:hAnsiTheme="majorBidi" w:cstheme="majorBidi"/>
          <w:szCs w:val="24"/>
        </w:rPr>
      </w:pPr>
      <w:r w:rsidRPr="00CD160A">
        <w:rPr>
          <w:rFonts w:asciiTheme="majorBidi" w:hAnsiTheme="majorBidi" w:cstheme="majorBidi"/>
          <w:szCs w:val="24"/>
        </w:rPr>
        <w:t xml:space="preserve"> </w:t>
      </w:r>
      <w:bookmarkStart w:id="71" w:name="_Toc199958839"/>
      <w:r w:rsidRPr="00CD160A">
        <w:rPr>
          <w:rFonts w:asciiTheme="majorBidi" w:hAnsiTheme="majorBidi" w:cstheme="majorBidi"/>
          <w:szCs w:val="24"/>
        </w:rPr>
        <w:t>Le Système National d'Information Sanitaire (SNIS) :</w:t>
      </w:r>
      <w:bookmarkEnd w:id="71"/>
    </w:p>
    <w:p w14:paraId="775CAC7D"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Le SNIS constitue l’ossature de la collecte et de l'analyse des données sanitaires en Algérie Il occupe une position essentielle dans l'élaboration des politiques de santé, le suivi des indicateurs épidémiologiques ainsi que dans la répartition des ressources. Néanmoins ce système souffre de plusieurs lacunes : l’absence de numérisation uniforme, le manque de coordination entre les structures, et une faible exploitation des données collectées à des fins de pilotage stratégique. </w:t>
      </w:r>
      <w:r w:rsidRPr="00CD160A">
        <w:rPr>
          <w:rStyle w:val="Appelnotedebasdep"/>
          <w:rFonts w:asciiTheme="majorBidi" w:hAnsiTheme="majorBidi" w:cstheme="majorBidi"/>
          <w:szCs w:val="24"/>
        </w:rPr>
        <w:footnoteReference w:id="42"/>
      </w:r>
      <w:r w:rsidRPr="00CD160A">
        <w:rPr>
          <w:rFonts w:asciiTheme="majorBidi" w:hAnsiTheme="majorBidi" w:cstheme="majorBidi"/>
          <w:szCs w:val="24"/>
        </w:rPr>
        <w:t xml:space="preserve"> Pour être efficient, un système d'information doit donc se baser sur une refonte du SNIS, avec un cadre réglementaire solide et une plateforme technologique interopérable, des ressources humaines et matérielles, ainsi qu'un financement adéquat pour fonctionner efficacement</w:t>
      </w:r>
    </w:p>
    <w:p w14:paraId="2101613C" w14:textId="1736CD58" w:rsidR="002210A7" w:rsidRPr="00CD160A" w:rsidRDefault="002210A7" w:rsidP="00CD160A">
      <w:pPr>
        <w:pStyle w:val="Titre3"/>
        <w:numPr>
          <w:ilvl w:val="1"/>
          <w:numId w:val="123"/>
        </w:numPr>
        <w:spacing w:line="360" w:lineRule="auto"/>
        <w:rPr>
          <w:rFonts w:asciiTheme="majorBidi" w:hAnsiTheme="majorBidi" w:cstheme="majorBidi"/>
          <w:szCs w:val="24"/>
        </w:rPr>
      </w:pPr>
      <w:bookmarkStart w:id="72" w:name="_Toc199958840"/>
      <w:r w:rsidRPr="00CD160A">
        <w:rPr>
          <w:rFonts w:asciiTheme="majorBidi" w:hAnsiTheme="majorBidi" w:cstheme="majorBidi"/>
          <w:szCs w:val="24"/>
        </w:rPr>
        <w:t>Infrastructures de Soins</w:t>
      </w:r>
      <w:bookmarkEnd w:id="72"/>
    </w:p>
    <w:p w14:paraId="4CFBFB62"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L'Algérie possède un système de santé composé d'institutions publiques et privées, comprenant des établissements publics de santé de proximité, des polycliniques, des unités de soins, des maternités, des centres hospitaliers universitaires ainsi que des établissements hospitaliers spécialisés</w:t>
      </w:r>
      <w:r w:rsidRPr="00CD160A">
        <w:rPr>
          <w:rStyle w:val="Appelnotedebasdep"/>
          <w:rFonts w:asciiTheme="majorBidi" w:hAnsiTheme="majorBidi" w:cstheme="majorBidi"/>
          <w:szCs w:val="24"/>
        </w:rPr>
        <w:footnoteReference w:id="43"/>
      </w:r>
    </w:p>
    <w:p w14:paraId="4CE8B2B3"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Pour améliorer la gestion des patients et l'efficacité des ressources, il est crucial d'intégrer les systèmes d'information dans ces infrastructures, Intégrer les structures privées au réseau </w:t>
      </w:r>
      <w:r w:rsidRPr="00CD160A">
        <w:rPr>
          <w:rFonts w:asciiTheme="majorBidi" w:hAnsiTheme="majorBidi" w:cstheme="majorBidi"/>
          <w:szCs w:val="24"/>
        </w:rPr>
        <w:lastRenderedPageBreak/>
        <w:t xml:space="preserve">d'information national pour une vision globale. Cela permettrait de mieux gérer les flux de patients, d'améliorer la traçabilité des soins et d'optimiser l'utilisation des ressources disponibles. </w:t>
      </w:r>
    </w:p>
    <w:p w14:paraId="161C6674" w14:textId="09A84373" w:rsidR="002210A7" w:rsidRPr="00CD160A" w:rsidRDefault="002210A7" w:rsidP="00CD160A">
      <w:pPr>
        <w:pStyle w:val="Titre3"/>
        <w:numPr>
          <w:ilvl w:val="1"/>
          <w:numId w:val="124"/>
        </w:numPr>
        <w:spacing w:line="360" w:lineRule="auto"/>
        <w:rPr>
          <w:rFonts w:asciiTheme="majorBidi" w:hAnsiTheme="majorBidi" w:cstheme="majorBidi"/>
          <w:szCs w:val="24"/>
        </w:rPr>
      </w:pPr>
      <w:bookmarkStart w:id="73" w:name="_Toc199958841"/>
      <w:r w:rsidRPr="00CD160A">
        <w:rPr>
          <w:rFonts w:asciiTheme="majorBidi" w:hAnsiTheme="majorBidi" w:cstheme="majorBidi"/>
          <w:szCs w:val="24"/>
        </w:rPr>
        <w:t>Logiciels de Gestion Hospitalière :</w:t>
      </w:r>
      <w:bookmarkEnd w:id="73"/>
    </w:p>
    <w:p w14:paraId="5A93396B"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Des logiciels de gestion hospitalière comme </w:t>
      </w:r>
      <w:proofErr w:type="spellStart"/>
      <w:r w:rsidRPr="00CD160A">
        <w:rPr>
          <w:rFonts w:asciiTheme="majorBidi" w:hAnsiTheme="majorBidi" w:cstheme="majorBidi"/>
          <w:szCs w:val="24"/>
        </w:rPr>
        <w:t>Hospitix</w:t>
      </w:r>
      <w:proofErr w:type="spellEnd"/>
      <w:r w:rsidRPr="00CD160A">
        <w:rPr>
          <w:rFonts w:asciiTheme="majorBidi" w:hAnsiTheme="majorBidi" w:cstheme="majorBidi"/>
          <w:szCs w:val="24"/>
        </w:rPr>
        <w:t xml:space="preserve"> sont utilisés pour offrir des solutions intégrées pour la gestion des patients, des dossiers médicaux électroniques, et des ressources hospitalières ils restent souvent limités par leur manque d’interopérabilité, leur obsolescence, ou encore leur inadéquation aux normes internationales.</w:t>
      </w:r>
      <w:r w:rsidRPr="00CD160A">
        <w:rPr>
          <w:rStyle w:val="Appelnotedebasdep"/>
          <w:rFonts w:asciiTheme="majorBidi" w:hAnsiTheme="majorBidi" w:cstheme="majorBidi"/>
          <w:szCs w:val="24"/>
        </w:rPr>
        <w:footnoteReference w:id="44"/>
      </w:r>
      <w:r w:rsidRPr="00CD160A">
        <w:rPr>
          <w:rFonts w:asciiTheme="majorBidi" w:hAnsiTheme="majorBidi" w:cstheme="majorBidi"/>
          <w:szCs w:val="24"/>
        </w:rPr>
        <w:t xml:space="preserve"> Ces logiciels doivent être personnalisés et adaptés aux besoins spécifiques des établissements de santé algériens, en tenant compte des contraintes locales et des exigences réglementaires. L'adaptabilité de ces systèmes est essentielle pour répondre aux défis particuliers du système de santé algérien.</w:t>
      </w:r>
    </w:p>
    <w:p w14:paraId="1793881D" w14:textId="66523F22" w:rsidR="002210A7" w:rsidRPr="00CD160A" w:rsidRDefault="002210A7" w:rsidP="00CD160A">
      <w:pPr>
        <w:pStyle w:val="Titre3"/>
        <w:numPr>
          <w:ilvl w:val="1"/>
          <w:numId w:val="124"/>
        </w:numPr>
        <w:spacing w:line="360" w:lineRule="auto"/>
        <w:rPr>
          <w:rFonts w:asciiTheme="majorBidi" w:hAnsiTheme="majorBidi" w:cstheme="majorBidi"/>
          <w:szCs w:val="24"/>
        </w:rPr>
      </w:pPr>
      <w:bookmarkStart w:id="74" w:name="_Toc199958842"/>
      <w:r w:rsidRPr="00CD160A">
        <w:rPr>
          <w:rFonts w:asciiTheme="majorBidi" w:hAnsiTheme="majorBidi" w:cstheme="majorBidi"/>
          <w:szCs w:val="24"/>
        </w:rPr>
        <w:t>Défis et Perspectives</w:t>
      </w:r>
      <w:bookmarkEnd w:id="74"/>
    </w:p>
    <w:p w14:paraId="11D988B2"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 système de santé algérien fait face à des défis tels que la disparité régionale, la surcharge des structures hospitalières, et la résistance au changement organisationnel, la surcharge des structures de soins spécialisés, et la nécessité d'améliorer la qualité des soins. Les systèmes d'information peuvent aider à identifier ces disparités et à cibler les interventions pour réduire les inégalités en matière d'accès aux soins, Une politique d’accompagnement du changement est donc primordiale pour assurer l’acceptabilité du système, sa pérennité, et son adaptation progressive. De plus, ils peuvent contribuer à améliorer la qualité des soins en fournissant des données pour évaluer les pratiques médicales et optimiser les traitements.</w:t>
      </w:r>
      <w:r w:rsidRPr="00CD160A">
        <w:rPr>
          <w:rStyle w:val="Appelnotedebasdep"/>
          <w:rFonts w:asciiTheme="majorBidi" w:hAnsiTheme="majorBidi" w:cstheme="majorBidi"/>
          <w:szCs w:val="24"/>
        </w:rPr>
        <w:footnoteReference w:id="45"/>
      </w:r>
      <w:r w:rsidRPr="00CD160A">
        <w:rPr>
          <w:rFonts w:asciiTheme="majorBidi" w:hAnsiTheme="majorBidi" w:cstheme="majorBidi"/>
          <w:szCs w:val="24"/>
        </w:rPr>
        <w:t xml:space="preserve"> Des réformes ont été mises en place pour améliorer la prise en charge sanitaire et valoriser les personnels de santé. Les systèmes d'information peuvent soutenir ces efforts en fournissant des outils pour la gestion des ressources humaines et la formation continue.</w:t>
      </w:r>
    </w:p>
    <w:p w14:paraId="655E040D" w14:textId="4ED54F8B" w:rsidR="002210A7" w:rsidRPr="00CD160A" w:rsidRDefault="002210A7" w:rsidP="00CD160A">
      <w:pPr>
        <w:pStyle w:val="Titre3"/>
        <w:numPr>
          <w:ilvl w:val="1"/>
          <w:numId w:val="124"/>
        </w:numPr>
        <w:spacing w:line="360" w:lineRule="auto"/>
        <w:rPr>
          <w:rFonts w:asciiTheme="majorBidi" w:hAnsiTheme="majorBidi" w:cstheme="majorBidi"/>
          <w:szCs w:val="24"/>
        </w:rPr>
      </w:pPr>
      <w:bookmarkStart w:id="75" w:name="_Toc199958843"/>
      <w:r w:rsidRPr="00CD160A">
        <w:rPr>
          <w:rFonts w:asciiTheme="majorBidi" w:hAnsiTheme="majorBidi" w:cstheme="majorBidi"/>
          <w:szCs w:val="24"/>
        </w:rPr>
        <w:lastRenderedPageBreak/>
        <w:t>Systèmes d'Information Hospitaliers</w:t>
      </w:r>
      <w:bookmarkEnd w:id="75"/>
    </w:p>
    <w:p w14:paraId="62CE4F9F"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Les systèmes d'information hospitaliers en Algérie incluent des sous-systèmes pour la gestion logistique, les actions médicales, et la recherche. Ces systèmes nécessitent une coordination efficace pour optimiser les ressources et les soins. </w:t>
      </w:r>
      <w:r w:rsidRPr="00CD160A">
        <w:rPr>
          <w:rStyle w:val="Appelnotedebasdep"/>
          <w:rFonts w:asciiTheme="majorBidi" w:hAnsiTheme="majorBidi" w:cstheme="majorBidi"/>
          <w:szCs w:val="24"/>
        </w:rPr>
        <w:footnoteReference w:id="46"/>
      </w:r>
      <w:r w:rsidRPr="00CD160A">
        <w:rPr>
          <w:rFonts w:asciiTheme="majorBidi" w:hAnsiTheme="majorBidi" w:cstheme="majorBidi"/>
          <w:szCs w:val="24"/>
        </w:rPr>
        <w:t>L'intégration efficace des technologies de l'information et de la communication (TIC) est cruciale pour améliorer la gestion et la qualité des soins. En intégrant ces technologies, les établissements de santé peuvent améliorer leur efficacité opérationnelle et offrir des soins de meilleure qualité aux patients.</w:t>
      </w:r>
    </w:p>
    <w:p w14:paraId="4028B1F6" w14:textId="77777777" w:rsidR="002210A7" w:rsidRPr="00CD160A" w:rsidRDefault="002210A7" w:rsidP="00CD160A">
      <w:pPr>
        <w:pStyle w:val="Titre1"/>
        <w:jc w:val="both"/>
        <w:rPr>
          <w:rFonts w:asciiTheme="majorBidi" w:eastAsiaTheme="minorEastAsia" w:hAnsiTheme="majorBidi"/>
          <w:sz w:val="24"/>
          <w:szCs w:val="24"/>
          <w:lang w:eastAsia="fr-FR"/>
        </w:rPr>
      </w:pPr>
      <w:bookmarkStart w:id="76" w:name="_Toc199958844"/>
      <w:r w:rsidRPr="00CD160A">
        <w:rPr>
          <w:rFonts w:asciiTheme="majorBidi" w:eastAsiaTheme="minorEastAsia" w:hAnsiTheme="majorBidi"/>
          <w:sz w:val="24"/>
          <w:szCs w:val="24"/>
          <w:lang w:eastAsia="fr-FR"/>
        </w:rPr>
        <w:t>Section</w:t>
      </w:r>
      <w:r w:rsidR="004A2614" w:rsidRPr="00CD160A">
        <w:rPr>
          <w:rFonts w:asciiTheme="majorBidi" w:eastAsiaTheme="minorEastAsia" w:hAnsiTheme="majorBidi"/>
          <w:sz w:val="24"/>
          <w:szCs w:val="24"/>
          <w:lang w:eastAsia="fr-FR"/>
        </w:rPr>
        <w:t>5 :</w:t>
      </w:r>
      <w:r w:rsidRPr="00CD160A">
        <w:rPr>
          <w:rFonts w:asciiTheme="majorBidi" w:eastAsiaTheme="minorEastAsia" w:hAnsiTheme="majorBidi"/>
          <w:sz w:val="24"/>
          <w:szCs w:val="24"/>
          <w:lang w:eastAsia="fr-FR"/>
        </w:rPr>
        <w:t xml:space="preserve"> Les Systèmes d’Information comme Outil de Mise en Place des Modes de Financement :</w:t>
      </w:r>
      <w:bookmarkEnd w:id="76"/>
    </w:p>
    <w:p w14:paraId="743FF72A" w14:textId="77777777" w:rsidR="002210A7" w:rsidRPr="00CD160A" w:rsidRDefault="00BF57ED" w:rsidP="00CD160A">
      <w:pPr>
        <w:jc w:val="both"/>
        <w:rPr>
          <w:rFonts w:asciiTheme="majorBidi" w:hAnsiTheme="majorBidi" w:cstheme="majorBidi"/>
          <w:szCs w:val="24"/>
        </w:rPr>
      </w:pPr>
      <w:r w:rsidRPr="00CD160A">
        <w:rPr>
          <w:rFonts w:asciiTheme="majorBidi" w:hAnsiTheme="majorBidi" w:cstheme="majorBidi"/>
          <w:szCs w:val="24"/>
        </w:rPr>
        <w:t>L'enjeu principal pour les systèmes de santé modernes est de gérer efficacement les coûts et d'optimiser l'allocation des ressources.</w:t>
      </w:r>
      <w:r w:rsidR="000F1C45" w:rsidRPr="00CD160A">
        <w:rPr>
          <w:rFonts w:asciiTheme="majorBidi" w:hAnsiTheme="majorBidi" w:cstheme="majorBidi"/>
          <w:szCs w:val="24"/>
        </w:rPr>
        <w:t xml:space="preserve"> Dans cette perspective, les systèmes d'information hospitaliers (SIH) ont un rôle crucial en offrant des données exactes et à jour concernant l'activité médicale et administrative des établissements.</w:t>
      </w:r>
      <w:r w:rsidR="002210A7" w:rsidRPr="00CD160A">
        <w:rPr>
          <w:rFonts w:asciiTheme="majorBidi" w:hAnsiTheme="majorBidi" w:cstheme="majorBidi"/>
          <w:szCs w:val="24"/>
        </w:rPr>
        <w:t xml:space="preserve"> Ces informations sont indispensables pour mettre en place des modes de financement innovants, tels que la tarification à l’activité (T2A) ou les systèmes de paiement prospectif, qui visent à lier directement les ressources financières à la production réelle de soins. Cette section analysera successivement le lien entre SI et financement, leur contribution à l’optimisation des coûts, ainsi que les exemples d’application de ces outils dans les réformes hospitalières.</w:t>
      </w:r>
    </w:p>
    <w:p w14:paraId="54FA0D6D" w14:textId="77777777" w:rsidR="002210A7" w:rsidRPr="00CD160A" w:rsidRDefault="002210A7" w:rsidP="00CD160A">
      <w:pPr>
        <w:pStyle w:val="Titre2"/>
        <w:numPr>
          <w:ilvl w:val="0"/>
          <w:numId w:val="125"/>
        </w:numPr>
        <w:rPr>
          <w:rFonts w:asciiTheme="majorBidi" w:hAnsiTheme="majorBidi"/>
          <w:szCs w:val="24"/>
        </w:rPr>
      </w:pPr>
      <w:bookmarkStart w:id="77" w:name="_Toc199958845"/>
      <w:r w:rsidRPr="00CD160A">
        <w:rPr>
          <w:rFonts w:asciiTheme="majorBidi" w:hAnsiTheme="majorBidi"/>
          <w:szCs w:val="24"/>
        </w:rPr>
        <w:t>Lien entre les Systèmes d’Information et le Financement Hospitalier</w:t>
      </w:r>
      <w:bookmarkEnd w:id="77"/>
    </w:p>
    <w:p w14:paraId="17E20284"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Les systèmes d'information hospitaliers (SIH) constituent un levier stratégique dans la gestion financière des établissements de santé. Grâce à leur capacité à collecter, centraliser et analyser en temps réel des données médicales et administratives, ces systèmes offrent une visibilité précise sur l’activité des structures hospitalières. Cette traçabilité est essentielle pour la mise en œuvre de modèles de financement fondés sur la performance, comme la Tarification à l’Activité </w:t>
      </w:r>
      <w:r w:rsidRPr="00CD160A">
        <w:rPr>
          <w:rFonts w:asciiTheme="majorBidi" w:hAnsiTheme="majorBidi" w:cstheme="majorBidi"/>
          <w:szCs w:val="24"/>
        </w:rPr>
        <w:lastRenderedPageBreak/>
        <w:t>(T2A), qui repose sur l’activité réellement produite plutôt que sur des dotations forfaitaires ou historiques.</w:t>
      </w:r>
      <w:r w:rsidRPr="00CD160A">
        <w:rPr>
          <w:rStyle w:val="Appelnotedebasdep"/>
          <w:rFonts w:asciiTheme="majorBidi" w:hAnsiTheme="majorBidi" w:cstheme="majorBidi"/>
          <w:szCs w:val="24"/>
        </w:rPr>
        <w:footnoteReference w:id="47"/>
      </w:r>
    </w:p>
    <w:p w14:paraId="6216AEC3"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En France, par exemple, le Programme de Médicalisation des Systèmes d’Information (PMSI) joue un rôle central dans le financement hospitalier. Il permet de classer les séjours des patients en Groupes Homogènes de Malades (GHM), auxquels sont associés des Groupes Homogènes de Séjours (GHS) servant de base à la tarification. Ce système garantit une allocation des ressources en fonction de la charge réelle de travail, encourageant ainsi les établissements à une gestion plus efficiente et transparente.</w:t>
      </w:r>
      <w:r w:rsidRPr="00CD160A">
        <w:rPr>
          <w:rStyle w:val="Appelnotedebasdep"/>
          <w:rFonts w:asciiTheme="majorBidi" w:hAnsiTheme="majorBidi" w:cstheme="majorBidi"/>
          <w:szCs w:val="24"/>
        </w:rPr>
        <w:footnoteReference w:id="48"/>
      </w:r>
    </w:p>
    <w:p w14:paraId="4CECE68C"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 xml:space="preserve">De manière comparable, aux États-Unis, le système des </w:t>
      </w:r>
      <w:proofErr w:type="spellStart"/>
      <w:r w:rsidRPr="00CD160A">
        <w:rPr>
          <w:rFonts w:asciiTheme="majorBidi" w:hAnsiTheme="majorBidi" w:cstheme="majorBidi"/>
          <w:szCs w:val="24"/>
        </w:rPr>
        <w:t>Diagnosis-Related</w:t>
      </w:r>
      <w:proofErr w:type="spellEnd"/>
      <w:r w:rsidRPr="00CD160A">
        <w:rPr>
          <w:rFonts w:asciiTheme="majorBidi" w:hAnsiTheme="majorBidi" w:cstheme="majorBidi"/>
          <w:szCs w:val="24"/>
        </w:rPr>
        <w:t xml:space="preserve"> Groups (DRG) permet de standardiser les dépenses en classant les patients selon leurs pathologies et procédures médicales, et en attribuant un tarif unique par type de séjour. Ce modèle de paiement prospectif incite les hôpitaux à optimiser l’utilisation de leurs ressources, tout en maintenant un certain niveau de qualité de soins.</w:t>
      </w:r>
    </w:p>
    <w:p w14:paraId="37555822"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Ainsi, les SIH ne se limitent pas à un rôle purement technico-administratif, mais deviennent de véritables instruments de pilotage financier, favorisant la responsabilisation des établissements, la maîtrise des coûts et la transparence dans l’allocation des budgets.</w:t>
      </w:r>
    </w:p>
    <w:p w14:paraId="6022F0EF" w14:textId="77777777" w:rsidR="002210A7" w:rsidRPr="00CD160A" w:rsidRDefault="002210A7" w:rsidP="00CD160A">
      <w:pPr>
        <w:pStyle w:val="Titre2"/>
        <w:rPr>
          <w:rFonts w:asciiTheme="majorBidi" w:hAnsiTheme="majorBidi"/>
          <w:szCs w:val="24"/>
        </w:rPr>
      </w:pPr>
      <w:bookmarkStart w:id="78" w:name="_Toc199958846"/>
      <w:r w:rsidRPr="00CD160A">
        <w:rPr>
          <w:rFonts w:asciiTheme="majorBidi" w:hAnsiTheme="majorBidi"/>
          <w:szCs w:val="24"/>
        </w:rPr>
        <w:t>Optimisation des Coûts et de la Gestion Financière grâce aux SI :</w:t>
      </w:r>
      <w:bookmarkEnd w:id="78"/>
    </w:p>
    <w:p w14:paraId="3781DFD6"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Les systèmes d'information hospitaliers (SIH) constituent un levier majeur pour optimiser les coûts et améliorer la gestion financière des établissements de santé. En automatisant les procédures administratives telles que la gestion des dossiers médicaux, la facturation ou le suivi des ressources, les SIH permettent de réduire significativement les charges opérationnelles tout en renforçant la traçabilité des flux financiers. Cette automatisation contribue à limiter les erreurs humaines et à accélérer les processus, ce qui se traduit par un gain de temps et une meilleure productivité des équipes administratives.</w:t>
      </w:r>
      <w:r w:rsidRPr="00CD160A">
        <w:rPr>
          <w:rStyle w:val="Appelnotedebasdep"/>
          <w:rFonts w:asciiTheme="majorBidi" w:hAnsiTheme="majorBidi" w:cstheme="majorBidi"/>
          <w:szCs w:val="24"/>
        </w:rPr>
        <w:footnoteReference w:id="49"/>
      </w:r>
    </w:p>
    <w:p w14:paraId="790948CE"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lastRenderedPageBreak/>
        <w:t>Par ailleurs, les SIH intègrent des fonctionnalités avancées d’analyse prédictive et de tableaux de bord décisionnels. Ces outils facilitent l’anticipation des besoins en ressources humaines, matérielles et financières, permettant ainsi une planification budgétaire plus précise et adaptée aux réalités opérationnelles. Cette capacité de prévision est particulièrement utile pour réduire le gaspillage, notamment dans la gestion des stocks médicaux et pharmaceutiques, et pour optimiser l’allocation des moyens disponibles.</w:t>
      </w:r>
    </w:p>
    <w:p w14:paraId="743AEEE9"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La centralisation des données dans un système unique favorise également une meilleure transparence financière. Cette transparence est un facteur clé pour renforcer la redevabilité des gestionnaires publics, améliorer le pilotage stratégique des établissements et orienter les décisions vers une logique de performance économique et de qualité des soins. En effet, la disponibilité de données fiables et en temps réel permet aux décideurs d’ajuster rapidement les politiques internes et d’optimiser les ressources en fonction des priorités sanitaires.</w:t>
      </w:r>
    </w:p>
    <w:p w14:paraId="13EC4607" w14:textId="77777777" w:rsidR="00232E3E"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Enfin, la gestion efficace des ressources humaines, souvent la part la plus importante des dépenses hospitalières, est facilitée par les modules dédiés des SIH. Ces modules permettent d’organiser, de suivre et d’évaluer les effectifs, les plannings, ainsi que les formations, contribuant ainsi à une meilleure maîtrise des coûts liés au personnel.</w:t>
      </w:r>
    </w:p>
    <w:p w14:paraId="306280BB" w14:textId="47390B98" w:rsidR="00E126A2" w:rsidRPr="00CD160A" w:rsidRDefault="00CD4AB0" w:rsidP="00CD160A">
      <w:pPr>
        <w:jc w:val="both"/>
        <w:rPr>
          <w:rFonts w:asciiTheme="majorBidi" w:hAnsiTheme="majorBidi" w:cstheme="majorBidi"/>
          <w:b/>
          <w:bCs/>
          <w:szCs w:val="24"/>
        </w:rPr>
      </w:pPr>
      <w:r w:rsidRPr="00CD160A">
        <w:rPr>
          <w:rFonts w:asciiTheme="majorBidi" w:hAnsiTheme="majorBidi" w:cstheme="majorBidi"/>
          <w:b/>
          <w:bCs/>
          <w:szCs w:val="24"/>
        </w:rPr>
        <w:br w:type="page"/>
      </w:r>
    </w:p>
    <w:p w14:paraId="12B7590D" w14:textId="4324176D" w:rsidR="002210A7" w:rsidRPr="00CD160A" w:rsidRDefault="002210A7" w:rsidP="00CD160A">
      <w:pPr>
        <w:pStyle w:val="Titre1"/>
        <w:jc w:val="both"/>
        <w:rPr>
          <w:rFonts w:asciiTheme="majorBidi" w:hAnsiTheme="majorBidi"/>
          <w:sz w:val="24"/>
          <w:szCs w:val="24"/>
        </w:rPr>
      </w:pPr>
      <w:bookmarkStart w:id="79" w:name="_Toc199958847"/>
      <w:r w:rsidRPr="00CD160A">
        <w:rPr>
          <w:rFonts w:asciiTheme="majorBidi" w:hAnsiTheme="majorBidi"/>
          <w:sz w:val="24"/>
          <w:szCs w:val="24"/>
        </w:rPr>
        <w:lastRenderedPageBreak/>
        <w:t>Conclusion</w:t>
      </w:r>
      <w:bookmarkEnd w:id="79"/>
    </w:p>
    <w:p w14:paraId="1EE003E4" w14:textId="77777777" w:rsidR="002210A7" w:rsidRPr="00CD160A" w:rsidRDefault="002210A7" w:rsidP="00CD160A">
      <w:pPr>
        <w:jc w:val="both"/>
        <w:rPr>
          <w:rFonts w:asciiTheme="majorBidi" w:hAnsiTheme="majorBidi" w:cstheme="majorBidi"/>
          <w:szCs w:val="24"/>
        </w:rPr>
      </w:pPr>
      <w:r w:rsidRPr="00CD160A">
        <w:rPr>
          <w:rFonts w:asciiTheme="majorBidi" w:hAnsiTheme="majorBidi" w:cstheme="majorBidi"/>
          <w:szCs w:val="24"/>
        </w:rPr>
        <w:t>Ce chapitre a permis de poser les bases conceptuelles et pratiques des systèmes d'information en santé, en mettant en évidence leur contribution essentielle à la modernisation du secteur hospitalier. Nous avons exploré les caractéristiques du système d’information hospitalier, ses enjeux, ainsi que son rôle dans l’organisation et la gestion des ressources.</w:t>
      </w:r>
    </w:p>
    <w:p w14:paraId="113886F9" w14:textId="77777777" w:rsidR="00B3430E" w:rsidRDefault="002210A7" w:rsidP="00CD160A">
      <w:pPr>
        <w:jc w:val="both"/>
        <w:sectPr w:rsidR="00B3430E" w:rsidSect="009001B9">
          <w:headerReference w:type="default" r:id="rId13"/>
          <w:footerReference w:type="default" r:id="rId14"/>
          <w:pgSz w:w="11906" w:h="16838"/>
          <w:pgMar w:top="1417" w:right="1417" w:bottom="1417" w:left="1417" w:header="708" w:footer="708" w:gutter="0"/>
          <w:pgNumType w:start="1"/>
          <w:cols w:space="708"/>
          <w:titlePg/>
          <w:docGrid w:linePitch="360"/>
        </w:sectPr>
      </w:pPr>
      <w:r w:rsidRPr="00CD160A">
        <w:rPr>
          <w:rFonts w:asciiTheme="majorBidi" w:hAnsiTheme="majorBidi" w:cstheme="majorBidi"/>
          <w:szCs w:val="24"/>
        </w:rPr>
        <w:t>L’étude du PMSI et d’autres expériences internationales nous a éclairés sur les bonnes pratiques et les innovations susceptibles d’être intégrées dans le contexte algérien. De plus, la dernière section a démontré comment les systèmes d'information peuvent être mobilisés comme levier pour restructurer les modes de financement et accompagner les réformes dans le secteur de la santé. En somme, le développement d’un système d'information performant ne doit plus être perçu comme un simple outil technique, mais comme une condition essentielle à une gouvernance hospitalière efficace et équitable.</w:t>
      </w:r>
    </w:p>
    <w:p w14:paraId="13021633" w14:textId="77777777" w:rsidR="002210A7" w:rsidRPr="00D355E7" w:rsidRDefault="002210A7" w:rsidP="00232E3E">
      <w:pPr>
        <w:jc w:val="both"/>
      </w:pPr>
    </w:p>
    <w:p w14:paraId="521A6A3C" w14:textId="77777777" w:rsidR="002210A7" w:rsidRDefault="002210A7" w:rsidP="00B7491C"/>
    <w:p w14:paraId="5A6A531E" w14:textId="77777777" w:rsidR="002210A7" w:rsidRDefault="002210A7" w:rsidP="00B7491C"/>
    <w:p w14:paraId="1240364B" w14:textId="259B82A4" w:rsidR="002210A7" w:rsidRDefault="002210A7" w:rsidP="00B7491C"/>
    <w:p w14:paraId="7FB79040" w14:textId="6C30B284" w:rsidR="002210A7" w:rsidRDefault="002210A7" w:rsidP="00B7491C"/>
    <w:p w14:paraId="4025DACA" w14:textId="515C7301" w:rsidR="002210A7" w:rsidRDefault="002210A7" w:rsidP="00B7491C"/>
    <w:p w14:paraId="074754D2" w14:textId="49AE22BE" w:rsidR="002210A7" w:rsidRPr="0091575E" w:rsidRDefault="002210A7" w:rsidP="00B7491C"/>
    <w:p w14:paraId="568DC32C" w14:textId="005DD36F" w:rsidR="002210A7" w:rsidRDefault="00B3430E" w:rsidP="00B7491C">
      <w:pPr>
        <w:rPr>
          <w:b/>
          <w:bCs/>
          <w:u w:val="single"/>
        </w:rPr>
      </w:pPr>
      <w:r>
        <w:rPr>
          <w:b/>
          <w:bCs/>
          <w:noProof/>
          <w:sz w:val="48"/>
          <w:szCs w:val="48"/>
          <w:u w:val="single"/>
          <w:lang w:eastAsia="fr-FR"/>
        </w:rPr>
        <mc:AlternateContent>
          <mc:Choice Requires="wps">
            <w:drawing>
              <wp:anchor distT="0" distB="0" distL="114300" distR="114300" simplePos="0" relativeHeight="251771904" behindDoc="1" locked="0" layoutInCell="1" allowOverlap="1" wp14:anchorId="65D71041" wp14:editId="714805C5">
                <wp:simplePos x="0" y="0"/>
                <wp:positionH relativeFrom="margin">
                  <wp:posOffset>233680</wp:posOffset>
                </wp:positionH>
                <wp:positionV relativeFrom="page">
                  <wp:posOffset>3457575</wp:posOffset>
                </wp:positionV>
                <wp:extent cx="5600700" cy="3305175"/>
                <wp:effectExtent l="0" t="0" r="19050" b="28575"/>
                <wp:wrapTight wrapText="bothSides">
                  <wp:wrapPolygon edited="0">
                    <wp:start x="20351" y="0"/>
                    <wp:lineTo x="20057" y="498"/>
                    <wp:lineTo x="19837" y="1369"/>
                    <wp:lineTo x="19837" y="1992"/>
                    <wp:lineTo x="0" y="2490"/>
                    <wp:lineTo x="0" y="21040"/>
                    <wp:lineTo x="367" y="21662"/>
                    <wp:lineTo x="1249" y="21662"/>
                    <wp:lineTo x="1469" y="21662"/>
                    <wp:lineTo x="1837" y="20417"/>
                    <wp:lineTo x="1763" y="19919"/>
                    <wp:lineTo x="21600" y="19172"/>
                    <wp:lineTo x="21600" y="622"/>
                    <wp:lineTo x="21233" y="0"/>
                    <wp:lineTo x="20351" y="0"/>
                  </wp:wrapPolygon>
                </wp:wrapTight>
                <wp:docPr id="197" name="Parchemin horizontal 197"/>
                <wp:cNvGraphicFramePr/>
                <a:graphic xmlns:a="http://schemas.openxmlformats.org/drawingml/2006/main">
                  <a:graphicData uri="http://schemas.microsoft.com/office/word/2010/wordprocessingShape">
                    <wps:wsp>
                      <wps:cNvSpPr/>
                      <wps:spPr>
                        <a:xfrm>
                          <a:off x="0" y="0"/>
                          <a:ext cx="5600700" cy="330517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7CD24861" w14:textId="77777777" w:rsidR="0095621A" w:rsidRPr="00CD160A" w:rsidRDefault="0095621A" w:rsidP="00CD160A">
                            <w:pPr>
                              <w:pStyle w:val="Titre"/>
                              <w:rPr>
                                <w:sz w:val="60"/>
                                <w:szCs w:val="60"/>
                              </w:rPr>
                            </w:pPr>
                            <w:r w:rsidRPr="00CD160A">
                              <w:rPr>
                                <w:sz w:val="60"/>
                                <w:szCs w:val="60"/>
                              </w:rPr>
                              <w:t>Chapitre2 : Les Modes de Financement des Établissements Hospitaliers : Approche Algérienne et Perspectives Internationales</w:t>
                            </w:r>
                          </w:p>
                          <w:p w14:paraId="2A2F9D70"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5D71041" id="Parchemin horizontal 197" o:spid="_x0000_s1051" type="#_x0000_t98" style="position:absolute;margin-left:18.4pt;margin-top:272.25pt;width:441pt;height:260.25pt;z-index:-251544576;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" fillcolor="#c3c3c3 [2166]" strokecolor="#a5a5a5 [3206]" strokeweight=".5pt">
                <v:fill color2="#b6b6b6 [2614]" rotate="t" colors="0 #d2d2d2;.5 #c8c8c8;1 silver" focus="100%" type="gradient">
                  <o:fill v:ext="view" type="gradientUnscaled"/>
                </v:fill>
                <v:stroke joinstyle="miter"/>
                <v:textbox>
                  <w:txbxContent>
                    <w:p w14:paraId="7CD24861" w14:textId="77777777" w:rsidR="0095621A" w:rsidRPr="00CD160A" w:rsidRDefault="0095621A" w:rsidP="00CD160A">
                      <w:pPr>
                        <w:pStyle w:val="Titre"/>
                        <w:rPr>
                          <w:sz w:val="60"/>
                          <w:szCs w:val="60"/>
                        </w:rPr>
                      </w:pPr>
                      <w:r w:rsidRPr="00CD160A">
                        <w:rPr>
                          <w:sz w:val="60"/>
                          <w:szCs w:val="60"/>
                        </w:rPr>
                        <w:t>Chapitre2 : Les Modes de Financement des Établissements Hospitaliers : Approche Algérienne et Perspectives Internationales</w:t>
                      </w:r>
                    </w:p>
                    <w:p w14:paraId="2A2F9D70" w14:textId="77777777" w:rsidR="0095621A" w:rsidRDefault="0095621A" w:rsidP="00B7491C">
                      <w:pPr>
                        <w:jc w:val="center"/>
                      </w:pPr>
                    </w:p>
                  </w:txbxContent>
                </v:textbox>
                <w10:wrap type="tight" anchorx="margin" anchory="page"/>
              </v:shape>
            </w:pict>
          </mc:Fallback>
        </mc:AlternateContent>
      </w:r>
    </w:p>
    <w:p w14:paraId="17854262" w14:textId="1BE308E4" w:rsidR="002210A7" w:rsidRDefault="002210A7" w:rsidP="00B7491C">
      <w:pPr>
        <w:jc w:val="center"/>
        <w:rPr>
          <w:b/>
          <w:bCs/>
          <w:u w:val="single"/>
        </w:rPr>
      </w:pPr>
    </w:p>
    <w:p w14:paraId="6E506372" w14:textId="307CD451" w:rsidR="002210A7" w:rsidRDefault="002210A7" w:rsidP="00B7491C">
      <w:pPr>
        <w:jc w:val="center"/>
        <w:rPr>
          <w:b/>
          <w:bCs/>
          <w:u w:val="single"/>
        </w:rPr>
      </w:pPr>
    </w:p>
    <w:p w14:paraId="1D03EEF2" w14:textId="04F69982" w:rsidR="002210A7" w:rsidRDefault="002210A7" w:rsidP="00B7491C"/>
    <w:p w14:paraId="3AF28E5C" w14:textId="3839E7A4" w:rsidR="002210A7" w:rsidRDefault="002210A7" w:rsidP="00B7491C"/>
    <w:p w14:paraId="064C2E1A" w14:textId="49FC9F21" w:rsidR="002210A7" w:rsidRDefault="002210A7" w:rsidP="00B7491C"/>
    <w:p w14:paraId="04A8001B" w14:textId="79B3D969" w:rsidR="002210A7" w:rsidRDefault="00B3430E" w:rsidP="00B7491C">
      <w:r>
        <w:br w:type="page"/>
      </w:r>
    </w:p>
    <w:p w14:paraId="6D3503B2" w14:textId="2C9A2CBA" w:rsidR="002210A7" w:rsidRPr="00D11D21" w:rsidRDefault="002210A7" w:rsidP="00D11D21">
      <w:pPr>
        <w:pStyle w:val="Titre1"/>
        <w:jc w:val="both"/>
        <w:rPr>
          <w:rFonts w:asciiTheme="majorBidi" w:hAnsiTheme="majorBidi"/>
          <w:sz w:val="24"/>
          <w:szCs w:val="24"/>
        </w:rPr>
      </w:pPr>
      <w:bookmarkStart w:id="80" w:name="_Toc199958848"/>
      <w:r w:rsidRPr="00D11D21">
        <w:rPr>
          <w:rFonts w:asciiTheme="majorBidi" w:hAnsiTheme="majorBidi"/>
          <w:sz w:val="24"/>
          <w:szCs w:val="24"/>
        </w:rPr>
        <w:lastRenderedPageBreak/>
        <w:t>Introduction :</w:t>
      </w:r>
      <w:bookmarkEnd w:id="80"/>
    </w:p>
    <w:p w14:paraId="25DBA96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 financement des établissements hospitaliers constitue un enjeu majeur pour la pérennité et l’efficacité des systèmes de santé. À travers le monde, les modèles de financement varient en fonction des contextes socio-économiques, des priorités politiques, et des dynamiques de santé publique propres à chaque pays. Tandis que certains États privilégient un financement public universel, d’autres optent pour des approches mixtes combinant assurance sociale, contributions des ménages, et partenariats privés.</w:t>
      </w:r>
    </w:p>
    <w:p w14:paraId="76FF3B1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 chapitre vise à explorer de manière comparative les différents modes de financement des établissements hospitaliers, en mettant en lumière d’une part les pratiques adoptées à l’échelle internationale, et d’autre part, le modèle spécifique mis en œuvre en Algérie. Dans un premier temps, il s’agira de présenter les grands mécanismes utilisés dans le monde pour soutenir les systèmes de santé, notamment l’assurance maladie obligatoire, les OCAM, les contributions de l’État et des ménages. Ensuite, une attention particulière sera portée au système algérien, à travers l’analyse des différentes sources de financement mobilisées par l’État, la sécurité sociale et les usagers.</w:t>
      </w:r>
    </w:p>
    <w:p w14:paraId="388BF88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dernière partie sera consacrée aux modalités concrètes de financement des hôpitaux publics en Algérie, avant de s’ouvrir sur une perspective internationale, en examinant des modèles alternatifs tels que la tarification à l’activité (T2A), le budget global ou encore la capitation. Cette approche permettra de mieux comprendre les défis actuels du financement hospitalier et d’identifier des pistes de réforme adaptées au contexte algérien.</w:t>
      </w:r>
    </w:p>
    <w:p w14:paraId="4B0EE8D6" w14:textId="1AF3BB48" w:rsidR="00044672" w:rsidRPr="00D11D21" w:rsidRDefault="00CD4AB0" w:rsidP="00D11D21">
      <w:pPr>
        <w:pStyle w:val="SectionTitle"/>
        <w:spacing w:line="360" w:lineRule="auto"/>
        <w:jc w:val="both"/>
        <w:rPr>
          <w:rFonts w:asciiTheme="majorBidi" w:hAnsiTheme="majorBidi" w:cstheme="majorBidi"/>
          <w:b w:val="0"/>
          <w:sz w:val="24"/>
          <w:szCs w:val="24"/>
        </w:rPr>
      </w:pPr>
      <w:r w:rsidRPr="00D11D21">
        <w:rPr>
          <w:rFonts w:asciiTheme="majorBidi" w:hAnsiTheme="majorBidi" w:cstheme="majorBidi"/>
          <w:b w:val="0"/>
          <w:sz w:val="24"/>
          <w:szCs w:val="24"/>
        </w:rPr>
        <w:br w:type="page"/>
      </w:r>
    </w:p>
    <w:p w14:paraId="03D3BF86" w14:textId="77777777" w:rsidR="002210A7" w:rsidRPr="00D11D21" w:rsidRDefault="002210A7" w:rsidP="00D11D21">
      <w:pPr>
        <w:pStyle w:val="Titre1"/>
        <w:jc w:val="both"/>
        <w:rPr>
          <w:rFonts w:asciiTheme="majorBidi" w:eastAsiaTheme="minorEastAsia" w:hAnsiTheme="majorBidi"/>
          <w:sz w:val="24"/>
          <w:szCs w:val="24"/>
          <w:lang w:eastAsia="fr-FR"/>
        </w:rPr>
      </w:pPr>
      <w:bookmarkStart w:id="81" w:name="_Toc199958849"/>
      <w:r w:rsidRPr="00D11D21">
        <w:rPr>
          <w:rFonts w:asciiTheme="majorBidi" w:eastAsiaTheme="minorEastAsia" w:hAnsiTheme="majorBidi"/>
          <w:sz w:val="24"/>
          <w:szCs w:val="24"/>
          <w:lang w:eastAsia="fr-FR"/>
        </w:rPr>
        <w:lastRenderedPageBreak/>
        <w:t>Section 1 : Le Financement des Systèmes de Santé dans le Monde</w:t>
      </w:r>
      <w:bookmarkEnd w:id="81"/>
    </w:p>
    <w:p w14:paraId="6D6732B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Dans la plupart des pays, le financement des soins de santé provient à la fois de ressources privées (assurances privées, paiements directs) et de sources pub</w:t>
      </w:r>
      <w:r w:rsidR="00997331" w:rsidRPr="00D11D21">
        <w:rPr>
          <w:rFonts w:asciiTheme="majorBidi" w:hAnsiTheme="majorBidi" w:cstheme="majorBidi"/>
          <w:szCs w:val="24"/>
        </w:rPr>
        <w:t xml:space="preserve">liques (administration publique et </w:t>
      </w:r>
      <w:r w:rsidRPr="00D11D21">
        <w:rPr>
          <w:rFonts w:asciiTheme="majorBidi" w:hAnsiTheme="majorBidi" w:cstheme="majorBidi"/>
          <w:szCs w:val="24"/>
        </w:rPr>
        <w:t>organismes de sécurité sociale), cependant, ce financement varie selon la nature du système de santé. On peut distinguer deux types :</w:t>
      </w:r>
    </w:p>
    <w:p w14:paraId="2B11C22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Dans des pays comme le Royaume-Uni, le Danemark, la Suède, la Finlande, l'Italie, l'Espagne, le Portugal, la Grèce, le Canada, l'Australie et la Nouvelle-Zélande, les services de santé sont majoritairement financés par les autorités publiques. </w:t>
      </w:r>
    </w:p>
    <w:p w14:paraId="6351BE4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Les systèmes d'assurance santé, soutenus par la sécurité sociale, tels que l'Allemagne, la France, la Belgique, le Luxembourg, les Pays-Bas, l'Autriche, la Suisse, Israël et le Japon.</w:t>
      </w:r>
      <w:r w:rsidRPr="00D11D21">
        <w:rPr>
          <w:rStyle w:val="Appelnotedebasdep"/>
          <w:rFonts w:asciiTheme="majorBidi" w:hAnsiTheme="majorBidi" w:cstheme="majorBidi"/>
          <w:szCs w:val="24"/>
        </w:rPr>
        <w:footnoteReference w:id="50"/>
      </w:r>
    </w:p>
    <w:p w14:paraId="38A70484" w14:textId="0696C4A5" w:rsidR="002210A7" w:rsidRPr="00D11D21" w:rsidRDefault="002857CA" w:rsidP="00D11D21">
      <w:pPr>
        <w:jc w:val="both"/>
        <w:rPr>
          <w:rFonts w:asciiTheme="majorBidi" w:hAnsiTheme="majorBidi" w:cstheme="majorBidi"/>
          <w:szCs w:val="24"/>
        </w:rPr>
      </w:pPr>
      <w:r w:rsidRPr="00D11D21">
        <w:rPr>
          <w:rFonts w:asciiTheme="majorBidi" w:hAnsiTheme="majorBidi" w:cstheme="majorBidi"/>
          <w:b/>
          <w:bCs/>
          <w:szCs w:val="24"/>
        </w:rPr>
        <w:t>Quatre (4) agents</w:t>
      </w:r>
      <w:r w:rsidR="002210A7" w:rsidRPr="00D11D21">
        <w:rPr>
          <w:rFonts w:asciiTheme="majorBidi" w:hAnsiTheme="majorBidi" w:cstheme="majorBidi"/>
          <w:b/>
          <w:bCs/>
          <w:szCs w:val="24"/>
        </w:rPr>
        <w:t xml:space="preserve"> assurent ce financement :</w:t>
      </w:r>
      <w:r w:rsidR="002210A7" w:rsidRPr="00D11D21">
        <w:rPr>
          <w:rFonts w:asciiTheme="majorBidi" w:hAnsiTheme="majorBidi" w:cstheme="majorBidi"/>
          <w:szCs w:val="24"/>
        </w:rPr>
        <w:br/>
        <w:t xml:space="preserve">•l’Assurance maladie obligatoire, pour la branche de la sécurité sociale </w:t>
      </w:r>
      <w:r w:rsidR="002210A7" w:rsidRPr="00D11D21">
        <w:rPr>
          <w:rFonts w:asciiTheme="majorBidi" w:hAnsiTheme="majorBidi" w:cstheme="majorBidi"/>
          <w:szCs w:val="24"/>
        </w:rPr>
        <w:br/>
        <w:t xml:space="preserve">•les Organismes Complémentaires d’Assurance Maladie (OCAM)  </w:t>
      </w:r>
      <w:r w:rsidR="002210A7" w:rsidRPr="00D11D21">
        <w:rPr>
          <w:rFonts w:asciiTheme="majorBidi" w:hAnsiTheme="majorBidi" w:cstheme="majorBidi"/>
          <w:szCs w:val="24"/>
        </w:rPr>
        <w:br/>
        <w:t xml:space="preserve">•les ménages </w:t>
      </w:r>
      <w:r w:rsidR="00997331" w:rsidRPr="00D11D21">
        <w:rPr>
          <w:rFonts w:asciiTheme="majorBidi" w:hAnsiTheme="majorBidi" w:cstheme="majorBidi"/>
          <w:szCs w:val="24"/>
        </w:rPr>
        <w:br/>
        <w:t>•</w:t>
      </w:r>
      <w:r w:rsidR="002210A7" w:rsidRPr="00D11D21">
        <w:rPr>
          <w:rFonts w:asciiTheme="majorBidi" w:hAnsiTheme="majorBidi" w:cstheme="majorBidi"/>
          <w:szCs w:val="24"/>
        </w:rPr>
        <w:t>l’Etat</w:t>
      </w:r>
    </w:p>
    <w:p w14:paraId="7A64FEC9" w14:textId="77777777" w:rsidR="002210A7" w:rsidRPr="00D11D21" w:rsidRDefault="002210A7" w:rsidP="00D11D21">
      <w:pPr>
        <w:pStyle w:val="Titre2"/>
        <w:numPr>
          <w:ilvl w:val="0"/>
          <w:numId w:val="126"/>
        </w:numPr>
        <w:rPr>
          <w:rFonts w:asciiTheme="majorBidi" w:hAnsiTheme="majorBidi"/>
          <w:szCs w:val="24"/>
        </w:rPr>
      </w:pPr>
      <w:bookmarkStart w:id="82" w:name="_Toc199958850"/>
      <w:r w:rsidRPr="00D11D21">
        <w:rPr>
          <w:rFonts w:asciiTheme="majorBidi" w:hAnsiTheme="majorBidi"/>
          <w:szCs w:val="24"/>
        </w:rPr>
        <w:t>L’Assurance maladie obligatoire :</w:t>
      </w:r>
      <w:bookmarkEnd w:id="82"/>
    </w:p>
    <w:p w14:paraId="0F8F6620" w14:textId="77777777" w:rsidR="0087222E" w:rsidRPr="00D11D21" w:rsidRDefault="0087222E" w:rsidP="00D11D21">
      <w:pPr>
        <w:jc w:val="both"/>
        <w:rPr>
          <w:rFonts w:asciiTheme="majorBidi" w:hAnsiTheme="majorBidi" w:cstheme="majorBidi"/>
          <w:szCs w:val="24"/>
        </w:rPr>
      </w:pPr>
      <w:r w:rsidRPr="00D11D21">
        <w:rPr>
          <w:rFonts w:asciiTheme="majorBidi" w:hAnsiTheme="majorBidi" w:cstheme="majorBidi"/>
          <w:szCs w:val="24"/>
        </w:rPr>
        <w:t xml:space="preserve">On a employé pour la première fois l'expression « protection sociale » dans le titre de la loi américaine, le Social Security </w:t>
      </w:r>
      <w:proofErr w:type="spellStart"/>
      <w:r w:rsidRPr="00D11D21">
        <w:rPr>
          <w:rFonts w:asciiTheme="majorBidi" w:hAnsiTheme="majorBidi" w:cstheme="majorBidi"/>
          <w:szCs w:val="24"/>
        </w:rPr>
        <w:t>Act</w:t>
      </w:r>
      <w:proofErr w:type="spellEnd"/>
      <w:r w:rsidRPr="00D11D21">
        <w:rPr>
          <w:rFonts w:asciiTheme="majorBidi" w:hAnsiTheme="majorBidi" w:cstheme="majorBidi"/>
          <w:szCs w:val="24"/>
        </w:rPr>
        <w:t xml:space="preserve"> du 14 août 1935. Cette loi a été adoptée par le président Roosevelt dans le cadre du New Deal. La Déclaration universelle des droits de l'homme, adoptée par l'Assemblée générale des Nations Unies le 10 décembre 1948, a renforcé cette idée en la considérant comme un droit fondamental. Les systèmes de protection sociale en Afrique ont généralement été établis sur la base des modèles hérités des colonisateurs historiques, puis progressivement adaptés à la réalité locale au cours des trente dernières années.  </w:t>
      </w:r>
    </w:p>
    <w:p w14:paraId="0B4D8BE8" w14:textId="77777777" w:rsidR="002210A7" w:rsidRPr="00D11D21" w:rsidRDefault="0087222E" w:rsidP="00D11D21">
      <w:pPr>
        <w:jc w:val="both"/>
        <w:rPr>
          <w:rFonts w:asciiTheme="majorBidi" w:hAnsiTheme="majorBidi" w:cstheme="majorBidi"/>
          <w:szCs w:val="24"/>
        </w:rPr>
      </w:pPr>
      <w:r w:rsidRPr="00D11D21">
        <w:rPr>
          <w:rFonts w:asciiTheme="majorBidi" w:hAnsiTheme="majorBidi" w:cstheme="majorBidi"/>
          <w:szCs w:val="24"/>
        </w:rPr>
        <w:t xml:space="preserve">Le dispositif d'assurance santé obligatoire a été conçu pour protéger les personnes face aux risques financiers liés à la santé. </w:t>
      </w:r>
      <w:r w:rsidR="002210A7" w:rsidRPr="00D11D21">
        <w:rPr>
          <w:rFonts w:asciiTheme="majorBidi" w:hAnsiTheme="majorBidi" w:cstheme="majorBidi"/>
          <w:szCs w:val="24"/>
        </w:rPr>
        <w:t xml:space="preserve">Elle assure aussi un revenu minimum si l'on est dans l'incapacité de travailler à cause d'une maladie. Elle représente ainsi un pilier essentiel du </w:t>
      </w:r>
      <w:r w:rsidR="002210A7" w:rsidRPr="00D11D21">
        <w:rPr>
          <w:rFonts w:asciiTheme="majorBidi" w:hAnsiTheme="majorBidi" w:cstheme="majorBidi"/>
          <w:szCs w:val="24"/>
        </w:rPr>
        <w:lastRenderedPageBreak/>
        <w:t>financement des systèmes de santé, assurant une répartition équitable des ressources entre les populations.</w:t>
      </w:r>
    </w:p>
    <w:p w14:paraId="38FCF230" w14:textId="77777777" w:rsidR="002210A7" w:rsidRPr="00D11D21" w:rsidRDefault="0087222E" w:rsidP="00D11D21">
      <w:pPr>
        <w:jc w:val="both"/>
        <w:rPr>
          <w:rFonts w:asciiTheme="majorBidi" w:hAnsiTheme="majorBidi" w:cstheme="majorBidi"/>
          <w:szCs w:val="24"/>
        </w:rPr>
      </w:pPr>
      <w:r w:rsidRPr="00D11D21">
        <w:rPr>
          <w:rFonts w:asciiTheme="majorBidi" w:hAnsiTheme="majorBidi" w:cstheme="majorBidi"/>
          <w:szCs w:val="24"/>
        </w:rPr>
        <w:t>L'État occupe une position prépondérante en matière de gestion de l'assurance santé dans plusieurs pays occidentaux, conformément aux principes établis dans la Déclaration universelle des droits de l'homme. L'État peut soit administrer ce système directement, soit le confier à des entités privées autorisées.</w:t>
      </w:r>
      <w:r w:rsidR="002210A7" w:rsidRPr="00D11D21">
        <w:rPr>
          <w:rFonts w:asciiTheme="majorBidi" w:hAnsiTheme="majorBidi" w:cstheme="majorBidi"/>
          <w:szCs w:val="24"/>
        </w:rPr>
        <w:t xml:space="preserve"> Comme toute assurance, son mécanisme repose sur la mutualisation du risque : chaque assuré apporte une contribution financière et en retour, bénéficie d'une couverture selon un barème établi à l'avance.</w:t>
      </w:r>
      <w:r w:rsidR="002210A7" w:rsidRPr="00D11D21">
        <w:rPr>
          <w:rStyle w:val="Appelnotedebasdep"/>
          <w:rFonts w:asciiTheme="majorBidi" w:hAnsiTheme="majorBidi" w:cstheme="majorBidi"/>
          <w:szCs w:val="24"/>
        </w:rPr>
        <w:footnoteReference w:id="51"/>
      </w:r>
    </w:p>
    <w:p w14:paraId="749649DC" w14:textId="77777777" w:rsidR="002210A7" w:rsidRPr="00D11D21" w:rsidRDefault="0087222E" w:rsidP="00D11D21">
      <w:pPr>
        <w:jc w:val="both"/>
        <w:rPr>
          <w:rFonts w:asciiTheme="majorBidi" w:hAnsiTheme="majorBidi" w:cstheme="majorBidi"/>
          <w:szCs w:val="24"/>
        </w:rPr>
      </w:pPr>
      <w:r w:rsidRPr="00D11D21">
        <w:rPr>
          <w:rFonts w:asciiTheme="majorBidi" w:hAnsiTheme="majorBidi" w:cstheme="majorBidi"/>
          <w:szCs w:val="24"/>
        </w:rPr>
        <w:t xml:space="preserve">En règle générale, l'assurance maladie obligatoire comprend tous les régimes qui couvrent diverses catégories de travailleurs, chaque régime étant géré par une entité spécifique sous la tutelle de l'État. Par exemple, en Allemagne, les cotisations versées au titre de l'assurance maladie obligatoire sont la source principale de financement des caisses. </w:t>
      </w:r>
      <w:r w:rsidR="002210A7" w:rsidRPr="00D11D21">
        <w:rPr>
          <w:rFonts w:asciiTheme="majorBidi" w:hAnsiTheme="majorBidi" w:cstheme="majorBidi"/>
          <w:szCs w:val="24"/>
        </w:rPr>
        <w:t>Dans d’autres pays, les budgets publics peuvent également compenser les déficits.</w:t>
      </w:r>
    </w:p>
    <w:p w14:paraId="449C810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À l’échelle mondiale, le financement du système de santé demeure une question centrale, tant pour les individus que pour les gouvernements. Les configurations varient fortement selon les contextes économiques, historiques et politiques : certains pays misent sur l’assurance publique, d’autres sur un système mixte combinant assurances privées et financement public.</w:t>
      </w:r>
    </w:p>
    <w:p w14:paraId="430E7FA6" w14:textId="77777777" w:rsidR="002210A7" w:rsidRPr="00D11D21" w:rsidRDefault="002210A7" w:rsidP="00D11D21">
      <w:pPr>
        <w:pStyle w:val="Paragraphedeliste"/>
        <w:numPr>
          <w:ilvl w:val="0"/>
          <w:numId w:val="50"/>
        </w:numPr>
        <w:spacing w:after="160" w:line="360" w:lineRule="auto"/>
        <w:jc w:val="both"/>
        <w:rPr>
          <w:rFonts w:asciiTheme="majorBidi" w:hAnsiTheme="majorBidi" w:cstheme="majorBidi"/>
          <w:szCs w:val="24"/>
        </w:rPr>
      </w:pPr>
      <w:r w:rsidRPr="00D11D21">
        <w:rPr>
          <w:rFonts w:asciiTheme="majorBidi" w:hAnsiTheme="majorBidi" w:cstheme="majorBidi"/>
          <w:szCs w:val="24"/>
        </w:rPr>
        <w:t>À travers le monde, on observe diverses formes de financement pour l'assurance maladie. Certains bénéficient d'un soutien par la fiscalité, tandis que d'autres le sont par des contributions sociales</w:t>
      </w:r>
      <w:r w:rsidRPr="00D11D21">
        <w:rPr>
          <w:rFonts w:asciiTheme="majorBidi" w:hAnsiTheme="majorBidi" w:cstheme="majorBidi"/>
          <w:szCs w:val="24"/>
          <w:vertAlign w:val="superscript"/>
        </w:rPr>
        <w:footnoteReference w:id="52"/>
      </w:r>
      <w:r w:rsidRPr="00D11D21">
        <w:rPr>
          <w:rFonts w:asciiTheme="majorBidi" w:hAnsiTheme="majorBidi" w:cstheme="majorBidi"/>
          <w:szCs w:val="24"/>
        </w:rPr>
        <w:t> :</w:t>
      </w:r>
    </w:p>
    <w:p w14:paraId="2A2361A9" w14:textId="77777777" w:rsidR="0087222E" w:rsidRPr="00D11D21" w:rsidRDefault="0087222E" w:rsidP="00D11D21">
      <w:pPr>
        <w:pStyle w:val="Paragraphedeliste"/>
        <w:spacing w:after="160" w:line="360" w:lineRule="auto"/>
        <w:ind w:left="360"/>
        <w:jc w:val="both"/>
        <w:rPr>
          <w:rFonts w:asciiTheme="majorBidi" w:hAnsiTheme="majorBidi" w:cstheme="majorBidi"/>
          <w:szCs w:val="24"/>
        </w:rPr>
      </w:pPr>
    </w:p>
    <w:p w14:paraId="2A666537" w14:textId="77777777" w:rsidR="002210A7" w:rsidRPr="00D11D21" w:rsidRDefault="002210A7" w:rsidP="00D11D21">
      <w:pPr>
        <w:pStyle w:val="Titre3"/>
        <w:numPr>
          <w:ilvl w:val="1"/>
          <w:numId w:val="53"/>
        </w:numPr>
        <w:spacing w:line="360" w:lineRule="auto"/>
        <w:rPr>
          <w:rFonts w:asciiTheme="majorBidi" w:hAnsiTheme="majorBidi" w:cstheme="majorBidi"/>
          <w:szCs w:val="24"/>
        </w:rPr>
      </w:pPr>
      <w:r w:rsidRPr="00D11D21">
        <w:rPr>
          <w:rFonts w:asciiTheme="majorBidi" w:hAnsiTheme="majorBidi" w:cstheme="majorBidi"/>
          <w:szCs w:val="24"/>
        </w:rPr>
        <w:t xml:space="preserve"> </w:t>
      </w:r>
      <w:bookmarkStart w:id="83" w:name="_Toc199958851"/>
      <w:r w:rsidRPr="00D11D21">
        <w:rPr>
          <w:rFonts w:asciiTheme="majorBidi" w:hAnsiTheme="majorBidi" w:cstheme="majorBidi"/>
          <w:szCs w:val="24"/>
        </w:rPr>
        <w:t>Le financement par l'impôts :</w:t>
      </w:r>
      <w:bookmarkEnd w:id="83"/>
    </w:p>
    <w:p w14:paraId="3545BA2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Dans ce modèle, les ressources nécessaires à la protection sociale sont issues de la fiscalité nationale ou locale. </w:t>
      </w:r>
      <w:r w:rsidR="0087222E" w:rsidRPr="00D11D21">
        <w:rPr>
          <w:rFonts w:asciiTheme="majorBidi" w:hAnsiTheme="majorBidi" w:cstheme="majorBidi"/>
          <w:szCs w:val="24"/>
        </w:rPr>
        <w:t xml:space="preserve">Ce genre de financement est caractéristique des systèmes qui cherchent à atteindre l'universalité. </w:t>
      </w:r>
      <w:r w:rsidRPr="00D11D21">
        <w:rPr>
          <w:rFonts w:asciiTheme="majorBidi" w:hAnsiTheme="majorBidi" w:cstheme="majorBidi"/>
          <w:szCs w:val="24"/>
        </w:rPr>
        <w:t xml:space="preserve">Par exemple, au </w:t>
      </w:r>
      <w:r w:rsidRPr="00D11D21">
        <w:rPr>
          <w:rFonts w:asciiTheme="majorBidi" w:hAnsiTheme="majorBidi" w:cstheme="majorBidi"/>
          <w:b/>
          <w:bCs/>
          <w:szCs w:val="24"/>
        </w:rPr>
        <w:t>Danemark</w:t>
      </w:r>
      <w:r w:rsidRPr="00D11D21">
        <w:rPr>
          <w:rFonts w:asciiTheme="majorBidi" w:hAnsiTheme="majorBidi" w:cstheme="majorBidi"/>
          <w:szCs w:val="24"/>
        </w:rPr>
        <w:t xml:space="preserve"> et au </w:t>
      </w:r>
      <w:r w:rsidRPr="00D11D21">
        <w:rPr>
          <w:rFonts w:asciiTheme="majorBidi" w:hAnsiTheme="majorBidi" w:cstheme="majorBidi"/>
          <w:b/>
          <w:bCs/>
          <w:szCs w:val="24"/>
        </w:rPr>
        <w:t>Royaume-Uni</w:t>
      </w:r>
      <w:r w:rsidRPr="00D11D21">
        <w:rPr>
          <w:rFonts w:asciiTheme="majorBidi" w:hAnsiTheme="majorBidi" w:cstheme="majorBidi"/>
          <w:szCs w:val="24"/>
        </w:rPr>
        <w:t xml:space="preserve">, plus de 90 % des </w:t>
      </w:r>
      <w:r w:rsidRPr="00D11D21">
        <w:rPr>
          <w:rFonts w:asciiTheme="majorBidi" w:hAnsiTheme="majorBidi" w:cstheme="majorBidi"/>
          <w:szCs w:val="24"/>
        </w:rPr>
        <w:lastRenderedPageBreak/>
        <w:t>fonds destinés à l'assurance maladie proviennent des impôts. Au Royaume-Uni, le service national de santé (NHS) et les allocations familiales sont intégralement financés par les recettes fiscales.</w:t>
      </w:r>
    </w:p>
    <w:p w14:paraId="4F028B4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Cependant, certains régimes restent distincts. Par exemple, les accidents professionnels ne sont pas inclus dans le régime national de protection sociale et sont couverts par des contributions patronales spécifiques de l'employeur. </w:t>
      </w:r>
    </w:p>
    <w:p w14:paraId="2FA7313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De plus, l'assurance nationale, qui verse les prestations contributives en espèces, est financée par des contributions proportionnelles aux revenus.</w:t>
      </w:r>
    </w:p>
    <w:p w14:paraId="3C16CFF6" w14:textId="31551B8D" w:rsidR="002210A7" w:rsidRPr="00D11D21" w:rsidRDefault="002210A7" w:rsidP="00D11D21">
      <w:pPr>
        <w:pStyle w:val="Titre3"/>
        <w:numPr>
          <w:ilvl w:val="1"/>
          <w:numId w:val="128"/>
        </w:numPr>
        <w:spacing w:line="360" w:lineRule="auto"/>
        <w:rPr>
          <w:rFonts w:asciiTheme="majorBidi" w:hAnsiTheme="majorBidi" w:cstheme="majorBidi"/>
          <w:szCs w:val="24"/>
        </w:rPr>
      </w:pPr>
      <w:r w:rsidRPr="00D11D21">
        <w:rPr>
          <w:rFonts w:asciiTheme="majorBidi" w:hAnsiTheme="majorBidi" w:cstheme="majorBidi"/>
          <w:szCs w:val="24"/>
        </w:rPr>
        <w:t xml:space="preserve"> </w:t>
      </w:r>
      <w:bookmarkStart w:id="84" w:name="_Toc199958852"/>
      <w:r w:rsidRPr="00D11D21">
        <w:rPr>
          <w:rFonts w:asciiTheme="majorBidi" w:hAnsiTheme="majorBidi" w:cstheme="majorBidi"/>
          <w:szCs w:val="24"/>
        </w:rPr>
        <w:t>Le financement par le biais des contributions sociales :</w:t>
      </w:r>
      <w:bookmarkEnd w:id="84"/>
    </w:p>
    <w:p w14:paraId="5234DBD2" w14:textId="13F0DA5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Ce modèle est prédominan</w:t>
      </w:r>
      <w:r w:rsidR="00951FA4" w:rsidRPr="00D11D21">
        <w:rPr>
          <w:rFonts w:asciiTheme="majorBidi" w:hAnsiTheme="majorBidi" w:cstheme="majorBidi"/>
          <w:szCs w:val="24"/>
        </w:rPr>
        <w:t>t</w:t>
      </w:r>
      <w:r w:rsidRPr="00D11D21">
        <w:rPr>
          <w:rFonts w:asciiTheme="majorBidi" w:hAnsiTheme="majorBidi" w:cstheme="majorBidi"/>
          <w:szCs w:val="24"/>
        </w:rPr>
        <w:t xml:space="preserve"> utilisé en Espagne, en Allemagne et aux Pays-Bas. </w:t>
      </w:r>
      <w:r w:rsidR="00E8039C" w:rsidRPr="00D11D21">
        <w:rPr>
          <w:rFonts w:asciiTheme="majorBidi" w:hAnsiTheme="majorBidi" w:cstheme="majorBidi"/>
          <w:szCs w:val="24"/>
        </w:rPr>
        <w:t xml:space="preserve">Le système de protection sociale repose principalement sur les contributions sociales. En Allemagne et aux Pays-Bas, pratiquement toutes les aides sociales, à l'exception des allocations familiales (soutenues par le budget national), sont financées grâce à des cotisations. </w:t>
      </w:r>
      <w:r w:rsidRPr="00D11D21">
        <w:rPr>
          <w:rFonts w:asciiTheme="majorBidi" w:hAnsiTheme="majorBidi" w:cstheme="majorBidi"/>
          <w:szCs w:val="24"/>
        </w:rPr>
        <w:t xml:space="preserve">En général, ces dernières sont distribuées entre le salarié et l'employeur. </w:t>
      </w:r>
    </w:p>
    <w:p w14:paraId="50E1DDC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Toutefois, aux Pays-Bas, le système de financement varie en fonction du type d'assurance : pour les assurances destinées à l'ensemble des citoyens, seules les contributions des assurés sont exigées, qu'ils soient salariés ou non, sans intervention des employeurs. En revanche, les assurances spécifiques aux employés comprennent une répartition entre les deux parties.</w:t>
      </w:r>
    </w:p>
    <w:p w14:paraId="0405267C" w14:textId="77777777" w:rsidR="002210A7" w:rsidRPr="00D11D21" w:rsidRDefault="002210A7" w:rsidP="00D11D21">
      <w:pPr>
        <w:pStyle w:val="Titre2"/>
        <w:rPr>
          <w:rFonts w:asciiTheme="majorBidi" w:hAnsiTheme="majorBidi"/>
          <w:szCs w:val="24"/>
        </w:rPr>
      </w:pPr>
      <w:bookmarkStart w:id="85" w:name="_Toc199958853"/>
      <w:r w:rsidRPr="00D11D21">
        <w:rPr>
          <w:rFonts w:asciiTheme="majorBidi" w:hAnsiTheme="majorBidi"/>
          <w:szCs w:val="24"/>
        </w:rPr>
        <w:t>Les Organismes Complémentaires d’Assurance Maladie (OCAM) :</w:t>
      </w:r>
      <w:bookmarkEnd w:id="85"/>
    </w:p>
    <w:p w14:paraId="54A20FB4" w14:textId="77777777" w:rsidR="002210A7" w:rsidRPr="00D11D21" w:rsidRDefault="00E8039C" w:rsidP="00D11D21">
      <w:pPr>
        <w:jc w:val="both"/>
        <w:rPr>
          <w:rFonts w:asciiTheme="majorBidi" w:hAnsiTheme="majorBidi" w:cstheme="majorBidi"/>
          <w:szCs w:val="24"/>
        </w:rPr>
      </w:pPr>
      <w:r w:rsidRPr="00D11D21">
        <w:rPr>
          <w:rFonts w:asciiTheme="majorBidi" w:hAnsiTheme="majorBidi" w:cstheme="majorBidi"/>
          <w:szCs w:val="24"/>
        </w:rPr>
        <w:t>Dans plusieurs pays dotés d'un système d'assurance santé publique obligatoire, la protection offerte n'est pas complète : en effet, l'assurance maladie obligatoire ne prend pas toujours en charge tous les coûts de santé. Cette couverture partielle ne se traduit pas forcément par un coût direct pour l'assuré, car il peut bénéficier d'une prise en charge complémentaire de la part d'organismes dédiés</w:t>
      </w:r>
      <w:r w:rsidR="002210A7" w:rsidRPr="00D11D21">
        <w:rPr>
          <w:rFonts w:asciiTheme="majorBidi" w:hAnsiTheme="majorBidi" w:cstheme="majorBidi"/>
          <w:szCs w:val="24"/>
        </w:rPr>
        <w:t xml:space="preserve">. </w:t>
      </w:r>
      <w:r w:rsidR="002210A7" w:rsidRPr="00D11D21">
        <w:rPr>
          <w:rStyle w:val="Appelnotedebasdep"/>
          <w:rFonts w:asciiTheme="majorBidi" w:hAnsiTheme="majorBidi" w:cstheme="majorBidi"/>
          <w:szCs w:val="24"/>
        </w:rPr>
        <w:footnoteReference w:id="53"/>
      </w:r>
    </w:p>
    <w:p w14:paraId="2CAB8609" w14:textId="77777777" w:rsidR="002210A7" w:rsidRPr="00D11D21" w:rsidRDefault="00E8039C" w:rsidP="00D11D21">
      <w:pPr>
        <w:jc w:val="both"/>
        <w:rPr>
          <w:rFonts w:asciiTheme="majorBidi" w:hAnsiTheme="majorBidi" w:cstheme="majorBidi"/>
          <w:szCs w:val="24"/>
        </w:rPr>
      </w:pPr>
      <w:r w:rsidRPr="00D11D21">
        <w:rPr>
          <w:rFonts w:asciiTheme="majorBidi" w:hAnsiTheme="majorBidi" w:cstheme="majorBidi"/>
          <w:szCs w:val="24"/>
        </w:rPr>
        <w:lastRenderedPageBreak/>
        <w:t xml:space="preserve">On désigne souvent ces entités sous le nom d'Organismes Complémentaires d'Assurance Maladie (OCAM), qui se divisent en trois catégories majeures : les mutuelles, les assurances privées et les institutions de prévoyance </w:t>
      </w:r>
      <w:r w:rsidR="002210A7" w:rsidRPr="00D11D21">
        <w:rPr>
          <w:rFonts w:asciiTheme="majorBidi" w:hAnsiTheme="majorBidi" w:cstheme="majorBidi"/>
          <w:szCs w:val="24"/>
        </w:rPr>
        <w:t>:</w:t>
      </w:r>
    </w:p>
    <w:p w14:paraId="4B41D9C4" w14:textId="16773D7A" w:rsidR="002210A7" w:rsidRPr="00D11D21" w:rsidRDefault="002210A7" w:rsidP="00D11D21">
      <w:pPr>
        <w:pStyle w:val="Titre3"/>
        <w:numPr>
          <w:ilvl w:val="1"/>
          <w:numId w:val="129"/>
        </w:numPr>
        <w:spacing w:line="360" w:lineRule="auto"/>
        <w:rPr>
          <w:rFonts w:asciiTheme="majorBidi" w:hAnsiTheme="majorBidi" w:cstheme="majorBidi"/>
          <w:szCs w:val="24"/>
        </w:rPr>
      </w:pPr>
      <w:bookmarkStart w:id="86" w:name="_Toc199958854"/>
      <w:r w:rsidRPr="00D11D21">
        <w:rPr>
          <w:rFonts w:asciiTheme="majorBidi" w:hAnsiTheme="majorBidi" w:cstheme="majorBidi"/>
          <w:szCs w:val="24"/>
        </w:rPr>
        <w:t>Les mutuelles :</w:t>
      </w:r>
      <w:bookmarkEnd w:id="86"/>
    </w:p>
    <w:p w14:paraId="384C0D85" w14:textId="3FCA6720" w:rsidR="002210A7" w:rsidRPr="00D11D21" w:rsidRDefault="00065409" w:rsidP="00D11D21">
      <w:pPr>
        <w:jc w:val="both"/>
        <w:rPr>
          <w:rFonts w:asciiTheme="majorBidi" w:hAnsiTheme="majorBidi" w:cstheme="majorBidi"/>
          <w:szCs w:val="24"/>
        </w:rPr>
      </w:pPr>
      <w:r w:rsidRPr="00D11D21">
        <w:rPr>
          <w:rFonts w:asciiTheme="majorBidi" w:hAnsiTheme="majorBidi" w:cstheme="majorBidi"/>
          <w:szCs w:val="24"/>
        </w:rPr>
        <w:t xml:space="preserve">Les mutuelles, régies par le Code de la mutualité, sont des entités à but non lucratif organisées en tant que sociétés de personnes, qui offrent des garanties complémentaires à l'assurance maladie obligatoire. Ces dernières couvrent totalement ou partiellement les frais de santé non couvertes par le régime principal, y compris les tickets modérateurs, les dépassements d'honoraires et certaines prestations spécifiques. Elles occupent </w:t>
      </w:r>
      <w:r w:rsidR="00951FA4" w:rsidRPr="00D11D21">
        <w:rPr>
          <w:rFonts w:asciiTheme="majorBidi" w:hAnsiTheme="majorBidi" w:cstheme="majorBidi"/>
          <w:szCs w:val="24"/>
        </w:rPr>
        <w:t>une position majeure</w:t>
      </w:r>
      <w:r w:rsidRPr="00D11D21">
        <w:rPr>
          <w:rFonts w:asciiTheme="majorBidi" w:hAnsiTheme="majorBidi" w:cstheme="majorBidi"/>
          <w:szCs w:val="24"/>
        </w:rPr>
        <w:t xml:space="preserve"> dans la protection contre le risque de maladie et s'inscrivent dans une démarche de solidarité et d'assistance mutuelle entre les </w:t>
      </w:r>
      <w:r w:rsidR="002210A7" w:rsidRPr="00D11D21">
        <w:rPr>
          <w:rFonts w:asciiTheme="majorBidi" w:hAnsiTheme="majorBidi" w:cstheme="majorBidi"/>
          <w:szCs w:val="24"/>
        </w:rPr>
        <w:t>membres.</w:t>
      </w:r>
      <w:r w:rsidR="002210A7" w:rsidRPr="00D11D21">
        <w:rPr>
          <w:rStyle w:val="Appelnotedebasdep"/>
          <w:rFonts w:asciiTheme="majorBidi" w:hAnsiTheme="majorBidi" w:cstheme="majorBidi"/>
          <w:szCs w:val="24"/>
        </w:rPr>
        <w:footnoteReference w:id="54"/>
      </w:r>
    </w:p>
    <w:p w14:paraId="5D31CD46" w14:textId="2AC2CB57" w:rsidR="002210A7" w:rsidRPr="00D11D21" w:rsidRDefault="002210A7" w:rsidP="00D11D21">
      <w:pPr>
        <w:pStyle w:val="Titre3"/>
        <w:numPr>
          <w:ilvl w:val="1"/>
          <w:numId w:val="129"/>
        </w:numPr>
        <w:spacing w:line="360" w:lineRule="auto"/>
        <w:rPr>
          <w:rFonts w:asciiTheme="majorBidi" w:hAnsiTheme="majorBidi" w:cstheme="majorBidi"/>
          <w:szCs w:val="24"/>
        </w:rPr>
      </w:pPr>
      <w:r w:rsidRPr="00D11D21">
        <w:rPr>
          <w:rFonts w:asciiTheme="majorBidi" w:hAnsiTheme="majorBidi" w:cstheme="majorBidi"/>
          <w:szCs w:val="24"/>
        </w:rPr>
        <w:t xml:space="preserve"> </w:t>
      </w:r>
      <w:bookmarkStart w:id="87" w:name="_Toc199958855"/>
      <w:r w:rsidRPr="00D11D21">
        <w:rPr>
          <w:rFonts w:asciiTheme="majorBidi" w:hAnsiTheme="majorBidi" w:cstheme="majorBidi"/>
          <w:szCs w:val="24"/>
        </w:rPr>
        <w:t>Les assurances privées :</w:t>
      </w:r>
      <w:bookmarkEnd w:id="87"/>
    </w:p>
    <w:p w14:paraId="5A9CE865" w14:textId="77777777" w:rsidR="002210A7" w:rsidRPr="00D11D21" w:rsidRDefault="00065409" w:rsidP="00D11D21">
      <w:pPr>
        <w:jc w:val="both"/>
        <w:rPr>
          <w:rFonts w:asciiTheme="majorBidi" w:hAnsiTheme="majorBidi" w:cstheme="majorBidi"/>
          <w:szCs w:val="24"/>
        </w:rPr>
      </w:pPr>
      <w:r w:rsidRPr="00D11D21">
        <w:rPr>
          <w:rFonts w:asciiTheme="majorBidi" w:hAnsiTheme="majorBidi" w:cstheme="majorBidi"/>
          <w:szCs w:val="24"/>
        </w:rPr>
        <w:t>Le Code des assurances régit les assurances privées</w:t>
      </w:r>
      <w:r w:rsidR="002210A7" w:rsidRPr="00D11D21">
        <w:rPr>
          <w:rFonts w:asciiTheme="majorBidi" w:hAnsiTheme="majorBidi" w:cstheme="majorBidi"/>
          <w:szCs w:val="24"/>
        </w:rPr>
        <w:t xml:space="preserve">. Contrairement aux mutuelles, elles sont souvent à but lucratif et proposent des contrats individuels ou collectifs dans le cadre de la prévoyance (santé, décès, invalidité, dépendance) ou de l’épargne. Bien qu’elles participent à la couverture complémentaire, leur fonctionnement repose sur des critères de rentabilité et de sélection du risque. </w:t>
      </w:r>
      <w:r w:rsidRPr="00D11D21">
        <w:rPr>
          <w:rFonts w:asciiTheme="majorBidi" w:hAnsiTheme="majorBidi" w:cstheme="majorBidi"/>
          <w:szCs w:val="24"/>
        </w:rPr>
        <w:t xml:space="preserve">Le cas des États-Unis met en évidence les contraintes de ce modèle : un système largement basé sur l'assurance privée facultative ne garantit pas une couverture universelle, surtout pour les maladies graves ou </w:t>
      </w:r>
      <w:r w:rsidR="002210A7" w:rsidRPr="00D11D21">
        <w:rPr>
          <w:rFonts w:asciiTheme="majorBidi" w:hAnsiTheme="majorBidi" w:cstheme="majorBidi"/>
          <w:szCs w:val="24"/>
        </w:rPr>
        <w:t>chroniques.</w:t>
      </w:r>
    </w:p>
    <w:p w14:paraId="508C4F18" w14:textId="330A98D7" w:rsidR="002210A7" w:rsidRPr="00D11D21" w:rsidRDefault="002210A7" w:rsidP="00D11D21">
      <w:pPr>
        <w:pStyle w:val="Titre3"/>
        <w:numPr>
          <w:ilvl w:val="1"/>
          <w:numId w:val="129"/>
        </w:numPr>
        <w:spacing w:line="360" w:lineRule="auto"/>
        <w:rPr>
          <w:rFonts w:asciiTheme="majorBidi" w:hAnsiTheme="majorBidi" w:cstheme="majorBidi"/>
          <w:szCs w:val="24"/>
        </w:rPr>
      </w:pPr>
      <w:bookmarkStart w:id="88" w:name="_Toc199958856"/>
      <w:r w:rsidRPr="00D11D21">
        <w:rPr>
          <w:rFonts w:asciiTheme="majorBidi" w:hAnsiTheme="majorBidi" w:cstheme="majorBidi"/>
          <w:szCs w:val="24"/>
        </w:rPr>
        <w:t>Les institutions de prévoyance :</w:t>
      </w:r>
      <w:bookmarkEnd w:id="88"/>
    </w:p>
    <w:p w14:paraId="31C334D8" w14:textId="6C0136A4"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Les institutions de prévoyance sont des organismes paritaires (gérés à parts égales par les syndicats de salariés et d’employeurs), régis par le Code de la sécurité sociale ou le Code rural. Elles sont à but non lucratif et interviennent principalement dans la prévoyance collective (santé, invalidité, décès) via des contrats conclus dans le cadre professionnel. </w:t>
      </w:r>
      <w:r w:rsidR="00951FA4" w:rsidRPr="00D11D21">
        <w:rPr>
          <w:rFonts w:asciiTheme="majorBidi" w:hAnsiTheme="majorBidi" w:cstheme="majorBidi"/>
          <w:szCs w:val="24"/>
        </w:rPr>
        <w:t>On</w:t>
      </w:r>
      <w:r w:rsidR="005C083C" w:rsidRPr="00D11D21">
        <w:rPr>
          <w:rFonts w:asciiTheme="majorBidi" w:hAnsiTheme="majorBidi" w:cstheme="majorBidi"/>
          <w:szCs w:val="24"/>
        </w:rPr>
        <w:t xml:space="preserve"> peut classer </w:t>
      </w:r>
      <w:r w:rsidR="005C083C" w:rsidRPr="00D11D21">
        <w:rPr>
          <w:rFonts w:asciiTheme="majorBidi" w:hAnsiTheme="majorBidi" w:cstheme="majorBidi"/>
          <w:szCs w:val="24"/>
        </w:rPr>
        <w:lastRenderedPageBreak/>
        <w:t xml:space="preserve">les institutions en différentes catégories : celles de retraite complémentaire, de retraite supplémentaire et de prévoyance </w:t>
      </w:r>
      <w:r w:rsidRPr="00D11D21">
        <w:rPr>
          <w:rFonts w:asciiTheme="majorBidi" w:hAnsiTheme="majorBidi" w:cstheme="majorBidi"/>
          <w:szCs w:val="24"/>
        </w:rPr>
        <w:t>santé.</w:t>
      </w:r>
      <w:r w:rsidRPr="00D11D21">
        <w:rPr>
          <w:rStyle w:val="Appelnotedebasdep"/>
          <w:rFonts w:asciiTheme="majorBidi" w:hAnsiTheme="majorBidi" w:cstheme="majorBidi"/>
          <w:szCs w:val="24"/>
        </w:rPr>
        <w:footnoteReference w:id="55"/>
      </w:r>
    </w:p>
    <w:p w14:paraId="2B94FED9" w14:textId="77777777" w:rsidR="002210A7" w:rsidRPr="00D11D21" w:rsidRDefault="002210A7" w:rsidP="00D11D21">
      <w:pPr>
        <w:pStyle w:val="Titre2"/>
        <w:rPr>
          <w:rFonts w:asciiTheme="majorBidi" w:hAnsiTheme="majorBidi"/>
          <w:szCs w:val="24"/>
        </w:rPr>
      </w:pPr>
      <w:bookmarkStart w:id="89" w:name="_Toc199958857"/>
      <w:r w:rsidRPr="00D11D21">
        <w:rPr>
          <w:rFonts w:asciiTheme="majorBidi" w:hAnsiTheme="majorBidi"/>
          <w:szCs w:val="24"/>
        </w:rPr>
        <w:t>Les ménages :</w:t>
      </w:r>
      <w:bookmarkEnd w:id="89"/>
    </w:p>
    <w:p w14:paraId="0E0198C3" w14:textId="77777777" w:rsidR="002210A7" w:rsidRPr="00D11D21" w:rsidRDefault="005C083C" w:rsidP="00D11D21">
      <w:pPr>
        <w:jc w:val="both"/>
        <w:rPr>
          <w:rFonts w:asciiTheme="majorBidi" w:hAnsiTheme="majorBidi" w:cstheme="majorBidi"/>
          <w:szCs w:val="24"/>
        </w:rPr>
      </w:pPr>
      <w:r w:rsidRPr="00D11D21">
        <w:rPr>
          <w:rFonts w:asciiTheme="majorBidi" w:hAnsiTheme="majorBidi" w:cstheme="majorBidi"/>
          <w:szCs w:val="24"/>
        </w:rPr>
        <w:t xml:space="preserve">Dans la plupart des pays européens, l'apport financier des ménages représente une source de financement additionnelle du système de santé. </w:t>
      </w:r>
      <w:r w:rsidR="002210A7" w:rsidRPr="00D11D21">
        <w:rPr>
          <w:rFonts w:asciiTheme="majorBidi" w:hAnsiTheme="majorBidi" w:cstheme="majorBidi"/>
          <w:szCs w:val="24"/>
        </w:rPr>
        <w:t xml:space="preserve">Elle se traduit par le reste à charge : c’est-à-dire la part des dépenses de santé non remboursée par l’assurance maladie obligatoire ou complémentaire. </w:t>
      </w:r>
      <w:r w:rsidRPr="00D11D21">
        <w:rPr>
          <w:rFonts w:asciiTheme="majorBidi" w:hAnsiTheme="majorBidi" w:cstheme="majorBidi"/>
          <w:szCs w:val="24"/>
        </w:rPr>
        <w:t>Cette part non couverte est appliquée aux biens et services de santé inclus dans le panier de soins, que ce soit en médecine ambulatoire, à l'hôpital ou en pharmacie.</w:t>
      </w:r>
    </w:p>
    <w:p w14:paraId="6E4E20B7" w14:textId="77777777" w:rsidR="002210A7" w:rsidRPr="00D11D21" w:rsidRDefault="005C083C" w:rsidP="00D11D21">
      <w:pPr>
        <w:jc w:val="both"/>
        <w:rPr>
          <w:rFonts w:asciiTheme="majorBidi" w:hAnsiTheme="majorBidi" w:cstheme="majorBidi"/>
          <w:szCs w:val="24"/>
        </w:rPr>
      </w:pPr>
      <w:r w:rsidRPr="00D11D21">
        <w:rPr>
          <w:rFonts w:asciiTheme="majorBidi" w:hAnsiTheme="majorBidi" w:cstheme="majorBidi"/>
          <w:szCs w:val="24"/>
        </w:rPr>
        <w:t>Plusieurs</w:t>
      </w:r>
      <w:r w:rsidR="002210A7" w:rsidRPr="00D11D21">
        <w:rPr>
          <w:rFonts w:asciiTheme="majorBidi" w:hAnsiTheme="majorBidi" w:cstheme="majorBidi"/>
          <w:szCs w:val="24"/>
        </w:rPr>
        <w:t xml:space="preserve"> mécanismes de participation financière des patients ont été instaurés, dont les objectifs sont multiples : limiter les dépenses publiques, responsabiliser les patients, ou encore réguler la consommation de soins. </w:t>
      </w:r>
    </w:p>
    <w:p w14:paraId="464A0F4E" w14:textId="77777777" w:rsidR="002210A7" w:rsidRPr="00D11D21" w:rsidRDefault="005C083C" w:rsidP="00D11D21">
      <w:pPr>
        <w:jc w:val="both"/>
        <w:rPr>
          <w:rFonts w:asciiTheme="majorBidi" w:hAnsiTheme="majorBidi" w:cstheme="majorBidi"/>
          <w:szCs w:val="24"/>
        </w:rPr>
      </w:pPr>
      <w:r w:rsidRPr="00D11D21">
        <w:rPr>
          <w:rFonts w:asciiTheme="majorBidi" w:hAnsiTheme="majorBidi" w:cstheme="majorBidi"/>
          <w:szCs w:val="24"/>
        </w:rPr>
        <w:t xml:space="preserve">On identifie principalement quatre </w:t>
      </w:r>
      <w:r w:rsidR="002210A7" w:rsidRPr="00D11D21">
        <w:rPr>
          <w:rFonts w:asciiTheme="majorBidi" w:hAnsiTheme="majorBidi" w:cstheme="majorBidi"/>
          <w:szCs w:val="24"/>
        </w:rPr>
        <w:t>outils</w:t>
      </w:r>
      <w:r w:rsidR="002210A7" w:rsidRPr="00D11D21">
        <w:rPr>
          <w:rStyle w:val="Appelnotedebasdep"/>
          <w:rFonts w:asciiTheme="majorBidi" w:hAnsiTheme="majorBidi" w:cstheme="majorBidi"/>
          <w:szCs w:val="24"/>
        </w:rPr>
        <w:footnoteReference w:id="56"/>
      </w:r>
      <w:r w:rsidR="002210A7" w:rsidRPr="00D11D21">
        <w:rPr>
          <w:rFonts w:asciiTheme="majorBidi" w:hAnsiTheme="majorBidi" w:cstheme="majorBidi"/>
          <w:szCs w:val="24"/>
        </w:rPr>
        <w:t xml:space="preserve"> :</w:t>
      </w:r>
    </w:p>
    <w:p w14:paraId="268CEF31" w14:textId="77777777" w:rsidR="002210A7" w:rsidRPr="00D11D21" w:rsidRDefault="002210A7" w:rsidP="00D11D21">
      <w:pPr>
        <w:pStyle w:val="Paragraphedeliste"/>
        <w:numPr>
          <w:ilvl w:val="0"/>
          <w:numId w:val="42"/>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Le ticket modérateur : </w:t>
      </w:r>
      <w:r w:rsidR="005C083C" w:rsidRPr="00D11D21">
        <w:rPr>
          <w:rFonts w:asciiTheme="majorBidi" w:hAnsiTheme="majorBidi" w:cstheme="majorBidi"/>
          <w:szCs w:val="24"/>
        </w:rPr>
        <w:t xml:space="preserve">C'est une forme de franchise d'assurance qui correspond à une portion des coûts de santé que l'assuré est tenu de régler. L'objectif de ce dispositif est de rendre les patients responsables de leur utilisation des soins. </w:t>
      </w:r>
      <w:r w:rsidRPr="00D11D21">
        <w:rPr>
          <w:rFonts w:asciiTheme="majorBidi" w:hAnsiTheme="majorBidi" w:cstheme="majorBidi"/>
          <w:szCs w:val="24"/>
        </w:rPr>
        <w:t>Dans de nombreux cas, les organismes complémentaires d’assurance maladie (mutuelles ou assurances privées) prennent en charge ce ticket modérateur.</w:t>
      </w:r>
    </w:p>
    <w:p w14:paraId="07C0FDE6" w14:textId="77777777" w:rsidR="005C083C" w:rsidRPr="00D11D21" w:rsidRDefault="002210A7" w:rsidP="00D11D21">
      <w:pPr>
        <w:pStyle w:val="Paragraphedeliste"/>
        <w:numPr>
          <w:ilvl w:val="0"/>
          <w:numId w:val="42"/>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Le </w:t>
      </w:r>
      <w:proofErr w:type="spellStart"/>
      <w:r w:rsidRPr="00D11D21">
        <w:rPr>
          <w:rFonts w:asciiTheme="majorBidi" w:hAnsiTheme="majorBidi" w:cstheme="majorBidi"/>
          <w:szCs w:val="24"/>
        </w:rPr>
        <w:t>co</w:t>
      </w:r>
      <w:proofErr w:type="spellEnd"/>
      <w:r w:rsidRPr="00D11D21">
        <w:rPr>
          <w:rFonts w:asciiTheme="majorBidi" w:hAnsiTheme="majorBidi" w:cstheme="majorBidi"/>
          <w:szCs w:val="24"/>
        </w:rPr>
        <w:t xml:space="preserve">-paiement (ou forfait fixe) : Le patient paie un montant fixe par acte ou par bien de santé, indépendamment du coût réel du service (exemple : 5 euros par consultation médicale). </w:t>
      </w:r>
      <w:r w:rsidR="005C083C" w:rsidRPr="00D11D21">
        <w:rPr>
          <w:rFonts w:asciiTheme="majorBidi" w:hAnsiTheme="majorBidi" w:cstheme="majorBidi"/>
          <w:szCs w:val="24"/>
        </w:rPr>
        <w:t>Ce dispositif facilite une prévision plus précise des coûts de santé pour les bailleurs de fonds.</w:t>
      </w:r>
    </w:p>
    <w:p w14:paraId="11D924E4" w14:textId="77777777" w:rsidR="005C083C" w:rsidRPr="00D11D21" w:rsidRDefault="002210A7" w:rsidP="00D11D21">
      <w:pPr>
        <w:pStyle w:val="Paragraphedeliste"/>
        <w:numPr>
          <w:ilvl w:val="0"/>
          <w:numId w:val="42"/>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La franchise ou système de déductibles : </w:t>
      </w:r>
      <w:r w:rsidR="005C083C" w:rsidRPr="00D11D21">
        <w:rPr>
          <w:rFonts w:asciiTheme="majorBidi" w:hAnsiTheme="majorBidi" w:cstheme="majorBidi"/>
          <w:szCs w:val="24"/>
        </w:rPr>
        <w:t>L'assurance ne couvre les frais qu'au-delà d'un certain montant annuel de dépenses. Si la somme n'est pas atteinte, tous les coûts sont à la responsabilité du patient. L'objectif de cette initiative est de diminuer l'utilisation de soins qui ne sont pas indispensables.</w:t>
      </w:r>
    </w:p>
    <w:p w14:paraId="52690B7B" w14:textId="77777777" w:rsidR="002210A7" w:rsidRPr="00D11D21" w:rsidRDefault="002210A7" w:rsidP="00D11D21">
      <w:pPr>
        <w:pStyle w:val="Paragraphedeliste"/>
        <w:numPr>
          <w:ilvl w:val="0"/>
          <w:numId w:val="42"/>
        </w:numPr>
        <w:spacing w:after="160" w:line="360" w:lineRule="auto"/>
        <w:jc w:val="both"/>
        <w:rPr>
          <w:rFonts w:asciiTheme="majorBidi" w:hAnsiTheme="majorBidi" w:cstheme="majorBidi"/>
          <w:szCs w:val="24"/>
        </w:rPr>
      </w:pPr>
      <w:r w:rsidRPr="00D11D21">
        <w:rPr>
          <w:rFonts w:asciiTheme="majorBidi" w:hAnsiTheme="majorBidi" w:cstheme="majorBidi"/>
          <w:szCs w:val="24"/>
        </w:rPr>
        <w:lastRenderedPageBreak/>
        <w:t xml:space="preserve">Le tarif de référence : L’assurance maladie fixe un montant plafond pour le remboursement de certains soins ou produits. </w:t>
      </w:r>
      <w:r w:rsidR="00DA3D4E" w:rsidRPr="00D11D21">
        <w:rPr>
          <w:rFonts w:asciiTheme="majorBidi" w:hAnsiTheme="majorBidi" w:cstheme="majorBidi"/>
          <w:szCs w:val="24"/>
        </w:rPr>
        <w:t>Si le patient opte pour un service plus coûteux, il est tenu de couvrir la différence. Par exemple, pour les médicaments, le remboursement se fait sur la base du générique le moins coûteux. Si le patient choisit une option plus onéreuse, il prend en charge la différence de prix.</w:t>
      </w:r>
      <w:r w:rsidRPr="00D11D21">
        <w:rPr>
          <w:rFonts w:asciiTheme="majorBidi" w:hAnsiTheme="majorBidi" w:cstheme="majorBidi"/>
          <w:szCs w:val="24"/>
        </w:rPr>
        <w:t xml:space="preserve"> Ce système devient une forme indirecte de contribution financière selon le niveau du tarif fixé et la disponibilité effective de l’offre.</w:t>
      </w:r>
    </w:p>
    <w:p w14:paraId="22EA408E" w14:textId="77777777" w:rsidR="00997331"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Ces dispositifs, bien qu’efficaces pour contenir les coûts, peuvent également engendrer des inégalités d’accès aux soins si la charge financière devient trop lourde pour certains ménages, en particulier ceux à revenus modestes ou souffrant de maladies chroniques.</w:t>
      </w:r>
    </w:p>
    <w:p w14:paraId="0FBB5D62" w14:textId="0BA41D45" w:rsidR="00997331" w:rsidRPr="00D11D21" w:rsidRDefault="00190714" w:rsidP="00D11D21">
      <w:pPr>
        <w:pStyle w:val="Titre2"/>
        <w:rPr>
          <w:rFonts w:asciiTheme="majorBidi" w:hAnsiTheme="majorBidi"/>
          <w:szCs w:val="24"/>
        </w:rPr>
      </w:pPr>
      <w:bookmarkStart w:id="90" w:name="_Toc199958858"/>
      <w:r w:rsidRPr="00D11D21">
        <w:rPr>
          <w:rFonts w:asciiTheme="majorBidi" w:hAnsiTheme="majorBidi"/>
          <w:szCs w:val="24"/>
        </w:rPr>
        <w:t>L’</w:t>
      </w:r>
      <w:r w:rsidR="00C657C3" w:rsidRPr="00D11D21">
        <w:rPr>
          <w:rFonts w:asciiTheme="majorBidi" w:hAnsiTheme="majorBidi"/>
          <w:szCs w:val="24"/>
        </w:rPr>
        <w:t>état</w:t>
      </w:r>
      <w:r w:rsidRPr="00D11D21">
        <w:rPr>
          <w:rFonts w:asciiTheme="majorBidi" w:hAnsiTheme="majorBidi"/>
          <w:szCs w:val="24"/>
        </w:rPr>
        <w:t> :</w:t>
      </w:r>
      <w:bookmarkEnd w:id="90"/>
    </w:p>
    <w:p w14:paraId="21FA2B41" w14:textId="77777777" w:rsidR="00190714" w:rsidRPr="00D11D21" w:rsidRDefault="00190714"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L'État joue un rôle central dans le financement des systèmes de santé à travers le monde. Il mobilise des ressources publiques pour garantir l'accès équitable aux soins, en particulier pour les populations vulnérables. Cela se traduit par des allocations budgétaires destinées aux infrastructures sanitaires, aux programmes de prévention et aux services de santé essentiels.</w:t>
      </w:r>
    </w:p>
    <w:p w14:paraId="155A2E5D" w14:textId="77777777" w:rsidR="00190714" w:rsidRPr="00D11D21" w:rsidRDefault="00190714"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En outre, l'État est responsable de la régulation du système de santé. Il définit les politiques de santé, établit les normes de qualité, fixe les tarifs des prestations et supervise les relations entre les différents acteurs du secteur. Cette régulation vise à assurer l'efficacité, la transparence et la durabilité du système de santé.</w:t>
      </w:r>
    </w:p>
    <w:p w14:paraId="3FB15FC8" w14:textId="77777777" w:rsidR="00190714" w:rsidRPr="00D11D21" w:rsidRDefault="00190714"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L'État joue également un rôle dans la redistribution des ressources, en finançant des mécanismes de solidarité tels que les assurances sociales ou les subventions ciblées. Ces mécanismes permettent de réduire les inégalités d'accès aux soins et de protéger les individus contre les risques financiers liés à la maladie.</w:t>
      </w:r>
    </w:p>
    <w:p w14:paraId="12B445C3" w14:textId="77777777" w:rsidR="00190714" w:rsidRPr="00D11D21" w:rsidRDefault="00190714"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Enfin, l'État collabore avec des partenaires internationaux et des organisations non gouvernementales pour renforcer le financement du secteur de la santé, notamment dans les pays à revenu faible ou intermédiaire. Cette collaboration vise à mobiliser des ressources </w:t>
      </w:r>
      <w:r w:rsidRPr="00D11D21">
        <w:rPr>
          <w:rFonts w:asciiTheme="majorBidi" w:eastAsia="Times New Roman" w:hAnsiTheme="majorBidi" w:cstheme="majorBidi"/>
          <w:szCs w:val="24"/>
          <w:lang w:eastAsia="fr-FR"/>
        </w:rPr>
        <w:lastRenderedPageBreak/>
        <w:t>supplémentaires, à partager des expertises et à coordonner les interventions pour améliorer la santé des populations.</w:t>
      </w:r>
      <w:r w:rsidRPr="00D11D21">
        <w:rPr>
          <w:rStyle w:val="Appelnotedebasdep"/>
          <w:rFonts w:asciiTheme="majorBidi" w:eastAsia="Times New Roman" w:hAnsiTheme="majorBidi" w:cstheme="majorBidi"/>
          <w:szCs w:val="24"/>
          <w:lang w:eastAsia="fr-FR"/>
        </w:rPr>
        <w:footnoteReference w:id="57"/>
      </w:r>
    </w:p>
    <w:p w14:paraId="7788938C" w14:textId="77777777" w:rsidR="002210A7" w:rsidRPr="00D11D21" w:rsidRDefault="002210A7" w:rsidP="00D11D21">
      <w:pPr>
        <w:pStyle w:val="Titre1"/>
        <w:jc w:val="both"/>
        <w:rPr>
          <w:rFonts w:asciiTheme="majorBidi" w:eastAsiaTheme="minorEastAsia" w:hAnsiTheme="majorBidi"/>
          <w:sz w:val="24"/>
          <w:szCs w:val="24"/>
          <w:lang w:eastAsia="fr-FR"/>
        </w:rPr>
      </w:pPr>
      <w:bookmarkStart w:id="91" w:name="_Toc199958859"/>
      <w:r w:rsidRPr="00D11D21">
        <w:rPr>
          <w:rFonts w:asciiTheme="majorBidi" w:eastAsiaTheme="minorEastAsia" w:hAnsiTheme="majorBidi"/>
          <w:sz w:val="24"/>
          <w:szCs w:val="24"/>
          <w:lang w:eastAsia="fr-FR"/>
        </w:rPr>
        <w:t>Section2 : Le Financement du Système de Santé en Algérie</w:t>
      </w:r>
      <w:bookmarkEnd w:id="91"/>
    </w:p>
    <w:p w14:paraId="4D91548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 financement de la santé en Algérie revêt une particularité spéciale du fait qu’il est basé sur une contribution forfaitaire de l’Etat, de la sécurité sociale et celle des ménages.</w:t>
      </w:r>
    </w:p>
    <w:p w14:paraId="5B63890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En Algérie, le financement de la santé est principalement assuré par l'État, avec une contribution significative provenant de la sécurité sociale et un soutien des familles. Environ 86 % du financement provient des impôts généraux, tandis que 10 % sont produits grâce aux contributions sociales, principalement par le biais de la CNAS et de la CASNOS. </w:t>
      </w:r>
      <w:r w:rsidR="00CC2F88" w:rsidRPr="00D11D21">
        <w:rPr>
          <w:rFonts w:asciiTheme="majorBidi" w:hAnsiTheme="majorBidi" w:cstheme="majorBidi"/>
          <w:szCs w:val="24"/>
        </w:rPr>
        <w:t xml:space="preserve">Les ménages participent directement à 4 % des dépenses globales en matière de santé. Pour l'année 2025, le budget alloué à la santé est d'environ 1004,4 milliards de dinars, ce qui représente une progression de 19 % par rapport à l'année antérieure. Dans l'objectif d'améliorer les ressources humaines, les infrastructures de santé et les investissements dans ce </w:t>
      </w:r>
      <w:r w:rsidRPr="00D11D21">
        <w:rPr>
          <w:rFonts w:asciiTheme="majorBidi" w:hAnsiTheme="majorBidi" w:cstheme="majorBidi"/>
          <w:szCs w:val="24"/>
        </w:rPr>
        <w:t xml:space="preserve">domaine. Ce système mixte, qui fusionne des aspects des systèmes Bismarck et Beveridge, vise à garantir une protection universelle. Néanmoins, des problèmes subsistent, notamment en termes de disponibilité du matériel et de gestion des urgences. </w:t>
      </w:r>
      <w:r w:rsidR="00CC2F88" w:rsidRPr="00D11D21">
        <w:rPr>
          <w:rFonts w:asciiTheme="majorBidi" w:hAnsiTheme="majorBidi" w:cstheme="majorBidi"/>
          <w:szCs w:val="24"/>
        </w:rPr>
        <w:t xml:space="preserve">Dans le but d'améliorer l'efficacité du système, il est primordial de mettre en œuvre des réformes visant à améliorer la gestion des ressources et à consolider la couverture santé </w:t>
      </w:r>
      <w:r w:rsidRPr="00D11D21">
        <w:rPr>
          <w:rFonts w:asciiTheme="majorBidi" w:hAnsiTheme="majorBidi" w:cstheme="majorBidi"/>
          <w:szCs w:val="24"/>
        </w:rPr>
        <w:t>universelle.</w:t>
      </w:r>
      <w:r w:rsidRPr="00D11D21">
        <w:rPr>
          <w:rStyle w:val="Appelnotedebasdep"/>
          <w:rFonts w:asciiTheme="majorBidi" w:hAnsiTheme="majorBidi" w:cstheme="majorBidi"/>
          <w:szCs w:val="24"/>
        </w:rPr>
        <w:footnoteReference w:id="58"/>
      </w:r>
    </w:p>
    <w:p w14:paraId="0968C4FF" w14:textId="77777777" w:rsidR="00B82B43" w:rsidRPr="00D11D21" w:rsidRDefault="00B82B43" w:rsidP="00D11D21">
      <w:pPr>
        <w:jc w:val="both"/>
        <w:rPr>
          <w:rFonts w:asciiTheme="majorBidi" w:hAnsiTheme="majorBidi" w:cstheme="majorBidi"/>
          <w:szCs w:val="24"/>
        </w:rPr>
      </w:pPr>
      <w:r w:rsidRPr="00D11D21">
        <w:rPr>
          <w:rFonts w:asciiTheme="majorBidi" w:hAnsiTheme="majorBidi" w:cstheme="majorBidi"/>
          <w:szCs w:val="24"/>
        </w:rPr>
        <w:t>Au cours des années 70, suite à l'instauration de la gratuité des soins, le financement du secteur de la santé était assuré pour 75% par l'État et pour 25% par la Sécurité sociale. Depuis les années 80, suite à la baisse des prix du pétrole sur le marché international, l'État a peu à peu réduit son implication dans ce domaine. Il a obligé la sécurité sociale à prendre des mesures, tout en encourageant les ménages à faire une contribution symbolique. De 1980 à 2005, la proportion des ménages a connu une augmentation significative, puis elle a commencé à diminuer en 2009 pour tomber à 3% en 2014.</w:t>
      </w:r>
    </w:p>
    <w:p w14:paraId="135A286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Le tableau ci-dessous présente la progression en pourcentage selon le type de financement :</w:t>
      </w:r>
    </w:p>
    <w:p w14:paraId="04CBDE7E" w14:textId="7149D0A5" w:rsidR="002210A7" w:rsidRPr="00D11D21" w:rsidRDefault="00C22156" w:rsidP="00D11D21">
      <w:pPr>
        <w:pStyle w:val="Lgende"/>
        <w:keepNext/>
        <w:spacing w:line="360" w:lineRule="auto"/>
        <w:jc w:val="both"/>
        <w:rPr>
          <w:rFonts w:asciiTheme="majorBidi" w:hAnsiTheme="majorBidi" w:cstheme="majorBidi"/>
          <w:color w:val="auto"/>
          <w:sz w:val="24"/>
          <w:szCs w:val="24"/>
        </w:rPr>
      </w:pPr>
      <w:bookmarkStart w:id="92" w:name="_Toc200210111"/>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Évolution de la part des sources de financement du système de santé en Algérie (% des dépenses totales de santé)</w:t>
      </w:r>
      <w:bookmarkEnd w:id="92"/>
    </w:p>
    <w:tbl>
      <w:tblPr>
        <w:tblStyle w:val="Grilledutableau"/>
        <w:tblW w:w="0" w:type="auto"/>
        <w:tblInd w:w="2051" w:type="dxa"/>
        <w:tblLook w:val="04A0" w:firstRow="1" w:lastRow="0" w:firstColumn="1" w:lastColumn="0" w:noHBand="0" w:noVBand="1"/>
      </w:tblPr>
      <w:tblGrid>
        <w:gridCol w:w="988"/>
        <w:gridCol w:w="1134"/>
        <w:gridCol w:w="1275"/>
        <w:gridCol w:w="1560"/>
      </w:tblGrid>
      <w:tr w:rsidR="002210A7" w:rsidRPr="00D11D21" w14:paraId="67435E3C" w14:textId="77777777" w:rsidTr="00B7491C">
        <w:tc>
          <w:tcPr>
            <w:tcW w:w="988" w:type="dxa"/>
          </w:tcPr>
          <w:p w14:paraId="1C2345AB" w14:textId="06272669"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w:t>
            </w:r>
            <w:r w:rsidR="00951FA4" w:rsidRPr="00D11D21">
              <w:rPr>
                <w:rFonts w:asciiTheme="majorBidi" w:hAnsiTheme="majorBidi" w:cstheme="majorBidi"/>
                <w:szCs w:val="24"/>
              </w:rPr>
              <w:t>Années</w:t>
            </w:r>
          </w:p>
        </w:tc>
        <w:tc>
          <w:tcPr>
            <w:tcW w:w="1134" w:type="dxa"/>
          </w:tcPr>
          <w:p w14:paraId="103465F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L’état</w:t>
            </w:r>
          </w:p>
        </w:tc>
        <w:tc>
          <w:tcPr>
            <w:tcW w:w="1275" w:type="dxa"/>
          </w:tcPr>
          <w:p w14:paraId="4537D0E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Sécurité sociale</w:t>
            </w:r>
          </w:p>
        </w:tc>
        <w:tc>
          <w:tcPr>
            <w:tcW w:w="1560" w:type="dxa"/>
          </w:tcPr>
          <w:p w14:paraId="0956F00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Les ménages</w:t>
            </w:r>
          </w:p>
        </w:tc>
      </w:tr>
      <w:tr w:rsidR="002210A7" w:rsidRPr="00D11D21" w14:paraId="0A984903" w14:textId="77777777" w:rsidTr="00B7491C">
        <w:tc>
          <w:tcPr>
            <w:tcW w:w="988" w:type="dxa"/>
          </w:tcPr>
          <w:p w14:paraId="1E83234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1974</w:t>
            </w:r>
          </w:p>
        </w:tc>
        <w:tc>
          <w:tcPr>
            <w:tcW w:w="1134" w:type="dxa"/>
          </w:tcPr>
          <w:p w14:paraId="27EC26F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76.51</w:t>
            </w:r>
          </w:p>
        </w:tc>
        <w:tc>
          <w:tcPr>
            <w:tcW w:w="1275" w:type="dxa"/>
          </w:tcPr>
          <w:p w14:paraId="299FADF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23.49</w:t>
            </w:r>
          </w:p>
        </w:tc>
        <w:tc>
          <w:tcPr>
            <w:tcW w:w="1560" w:type="dxa"/>
          </w:tcPr>
          <w:p w14:paraId="6DE1CD9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00</w:t>
            </w:r>
          </w:p>
        </w:tc>
      </w:tr>
      <w:tr w:rsidR="002210A7" w:rsidRPr="00D11D21" w14:paraId="1D91C34B" w14:textId="77777777" w:rsidTr="00B7491C">
        <w:tc>
          <w:tcPr>
            <w:tcW w:w="988" w:type="dxa"/>
          </w:tcPr>
          <w:p w14:paraId="0F35AC0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1979</w:t>
            </w:r>
          </w:p>
        </w:tc>
        <w:tc>
          <w:tcPr>
            <w:tcW w:w="1134" w:type="dxa"/>
          </w:tcPr>
          <w:p w14:paraId="1914EA9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60.88</w:t>
            </w:r>
          </w:p>
        </w:tc>
        <w:tc>
          <w:tcPr>
            <w:tcW w:w="1275" w:type="dxa"/>
          </w:tcPr>
          <w:p w14:paraId="5277CA1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38.58</w:t>
            </w:r>
          </w:p>
        </w:tc>
        <w:tc>
          <w:tcPr>
            <w:tcW w:w="1560" w:type="dxa"/>
          </w:tcPr>
          <w:p w14:paraId="588FBEA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0.54</w:t>
            </w:r>
          </w:p>
        </w:tc>
      </w:tr>
      <w:tr w:rsidR="002210A7" w:rsidRPr="00D11D21" w14:paraId="1399675F" w14:textId="77777777" w:rsidTr="00B7491C">
        <w:tc>
          <w:tcPr>
            <w:tcW w:w="988" w:type="dxa"/>
          </w:tcPr>
          <w:p w14:paraId="7BFDD7A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1986</w:t>
            </w:r>
          </w:p>
        </w:tc>
        <w:tc>
          <w:tcPr>
            <w:tcW w:w="1134" w:type="dxa"/>
          </w:tcPr>
          <w:p w14:paraId="54481A5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36.60</w:t>
            </w:r>
          </w:p>
        </w:tc>
        <w:tc>
          <w:tcPr>
            <w:tcW w:w="1275" w:type="dxa"/>
          </w:tcPr>
          <w:p w14:paraId="6D270CE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61.40</w:t>
            </w:r>
          </w:p>
        </w:tc>
        <w:tc>
          <w:tcPr>
            <w:tcW w:w="1560" w:type="dxa"/>
          </w:tcPr>
          <w:p w14:paraId="0E27454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w:t>
            </w:r>
          </w:p>
        </w:tc>
      </w:tr>
      <w:tr w:rsidR="002210A7" w:rsidRPr="00D11D21" w14:paraId="18584FC5" w14:textId="77777777" w:rsidTr="00B7491C">
        <w:tc>
          <w:tcPr>
            <w:tcW w:w="988" w:type="dxa"/>
          </w:tcPr>
          <w:p w14:paraId="7F1F724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1992</w:t>
            </w:r>
          </w:p>
        </w:tc>
        <w:tc>
          <w:tcPr>
            <w:tcW w:w="1134" w:type="dxa"/>
          </w:tcPr>
          <w:p w14:paraId="7470655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31.50</w:t>
            </w:r>
          </w:p>
        </w:tc>
        <w:tc>
          <w:tcPr>
            <w:tcW w:w="1275" w:type="dxa"/>
          </w:tcPr>
          <w:p w14:paraId="16ED6A9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38.87</w:t>
            </w:r>
          </w:p>
        </w:tc>
        <w:tc>
          <w:tcPr>
            <w:tcW w:w="1560" w:type="dxa"/>
          </w:tcPr>
          <w:p w14:paraId="2D1EF98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29.63</w:t>
            </w:r>
          </w:p>
        </w:tc>
      </w:tr>
      <w:tr w:rsidR="002210A7" w:rsidRPr="00D11D21" w14:paraId="303CDAAE" w14:textId="77777777" w:rsidTr="00B7491C">
        <w:tc>
          <w:tcPr>
            <w:tcW w:w="988" w:type="dxa"/>
          </w:tcPr>
          <w:p w14:paraId="0EF8FF3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1996</w:t>
            </w:r>
          </w:p>
        </w:tc>
        <w:tc>
          <w:tcPr>
            <w:tcW w:w="1134" w:type="dxa"/>
          </w:tcPr>
          <w:p w14:paraId="0164129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38.45</w:t>
            </w:r>
          </w:p>
        </w:tc>
        <w:tc>
          <w:tcPr>
            <w:tcW w:w="1275" w:type="dxa"/>
          </w:tcPr>
          <w:p w14:paraId="7728E48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35.66</w:t>
            </w:r>
          </w:p>
        </w:tc>
        <w:tc>
          <w:tcPr>
            <w:tcW w:w="1560" w:type="dxa"/>
          </w:tcPr>
          <w:p w14:paraId="76D3A3B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25.90</w:t>
            </w:r>
          </w:p>
        </w:tc>
      </w:tr>
      <w:tr w:rsidR="002210A7" w:rsidRPr="00D11D21" w14:paraId="597AAEB6" w14:textId="77777777" w:rsidTr="00B7491C">
        <w:tc>
          <w:tcPr>
            <w:tcW w:w="988" w:type="dxa"/>
          </w:tcPr>
          <w:p w14:paraId="299E236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1997</w:t>
            </w:r>
          </w:p>
        </w:tc>
        <w:tc>
          <w:tcPr>
            <w:tcW w:w="1134" w:type="dxa"/>
          </w:tcPr>
          <w:p w14:paraId="32C0BFE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37.93</w:t>
            </w:r>
          </w:p>
        </w:tc>
        <w:tc>
          <w:tcPr>
            <w:tcW w:w="1275" w:type="dxa"/>
          </w:tcPr>
          <w:p w14:paraId="278E84B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32.57</w:t>
            </w:r>
          </w:p>
        </w:tc>
        <w:tc>
          <w:tcPr>
            <w:tcW w:w="1560" w:type="dxa"/>
          </w:tcPr>
          <w:p w14:paraId="21872A9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29.50</w:t>
            </w:r>
          </w:p>
        </w:tc>
      </w:tr>
      <w:tr w:rsidR="002210A7" w:rsidRPr="00D11D21" w14:paraId="06DE899A" w14:textId="77777777" w:rsidTr="00B7491C">
        <w:tc>
          <w:tcPr>
            <w:tcW w:w="988" w:type="dxa"/>
          </w:tcPr>
          <w:p w14:paraId="528D689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2000</w:t>
            </w:r>
          </w:p>
        </w:tc>
        <w:tc>
          <w:tcPr>
            <w:tcW w:w="1134" w:type="dxa"/>
          </w:tcPr>
          <w:p w14:paraId="15F3297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47.27</w:t>
            </w:r>
          </w:p>
        </w:tc>
        <w:tc>
          <w:tcPr>
            <w:tcW w:w="1275" w:type="dxa"/>
          </w:tcPr>
          <w:p w14:paraId="2C8AEA0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26.03</w:t>
            </w:r>
          </w:p>
        </w:tc>
        <w:tc>
          <w:tcPr>
            <w:tcW w:w="1560" w:type="dxa"/>
          </w:tcPr>
          <w:p w14:paraId="684053D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26.70</w:t>
            </w:r>
          </w:p>
        </w:tc>
      </w:tr>
      <w:tr w:rsidR="002210A7" w:rsidRPr="00D11D21" w14:paraId="7F3BA7AE" w14:textId="77777777" w:rsidTr="00B7491C">
        <w:tc>
          <w:tcPr>
            <w:tcW w:w="988" w:type="dxa"/>
          </w:tcPr>
          <w:p w14:paraId="2251888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2002</w:t>
            </w:r>
          </w:p>
        </w:tc>
        <w:tc>
          <w:tcPr>
            <w:tcW w:w="1134" w:type="dxa"/>
          </w:tcPr>
          <w:p w14:paraId="2CEF63A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48.42</w:t>
            </w:r>
          </w:p>
        </w:tc>
        <w:tc>
          <w:tcPr>
            <w:tcW w:w="1275" w:type="dxa"/>
          </w:tcPr>
          <w:p w14:paraId="76CE075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26.88</w:t>
            </w:r>
          </w:p>
        </w:tc>
        <w:tc>
          <w:tcPr>
            <w:tcW w:w="1560" w:type="dxa"/>
          </w:tcPr>
          <w:p w14:paraId="58FD0F2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24.70</w:t>
            </w:r>
          </w:p>
        </w:tc>
      </w:tr>
      <w:tr w:rsidR="002210A7" w:rsidRPr="00D11D21" w14:paraId="7EE71D17" w14:textId="77777777" w:rsidTr="00B7491C">
        <w:tc>
          <w:tcPr>
            <w:tcW w:w="988" w:type="dxa"/>
          </w:tcPr>
          <w:p w14:paraId="2E9CADD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2003</w:t>
            </w:r>
          </w:p>
        </w:tc>
        <w:tc>
          <w:tcPr>
            <w:tcW w:w="1134" w:type="dxa"/>
          </w:tcPr>
          <w:p w14:paraId="4BC676E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50.38</w:t>
            </w:r>
          </w:p>
        </w:tc>
        <w:tc>
          <w:tcPr>
            <w:tcW w:w="1275" w:type="dxa"/>
          </w:tcPr>
          <w:p w14:paraId="17CCA60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27.01</w:t>
            </w:r>
          </w:p>
        </w:tc>
        <w:tc>
          <w:tcPr>
            <w:tcW w:w="1560" w:type="dxa"/>
          </w:tcPr>
          <w:p w14:paraId="21095AA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22.60</w:t>
            </w:r>
          </w:p>
        </w:tc>
      </w:tr>
      <w:tr w:rsidR="002210A7" w:rsidRPr="00D11D21" w14:paraId="5C7D4D76" w14:textId="77777777" w:rsidTr="00B7491C">
        <w:tc>
          <w:tcPr>
            <w:tcW w:w="988" w:type="dxa"/>
          </w:tcPr>
          <w:p w14:paraId="0354018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2004</w:t>
            </w:r>
          </w:p>
        </w:tc>
        <w:tc>
          <w:tcPr>
            <w:tcW w:w="1134" w:type="dxa"/>
          </w:tcPr>
          <w:p w14:paraId="48CC645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48.43</w:t>
            </w:r>
          </w:p>
        </w:tc>
        <w:tc>
          <w:tcPr>
            <w:tcW w:w="1275" w:type="dxa"/>
          </w:tcPr>
          <w:p w14:paraId="64329A4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24.01</w:t>
            </w:r>
          </w:p>
        </w:tc>
        <w:tc>
          <w:tcPr>
            <w:tcW w:w="1560" w:type="dxa"/>
          </w:tcPr>
          <w:p w14:paraId="04556E8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27.50</w:t>
            </w:r>
          </w:p>
        </w:tc>
      </w:tr>
      <w:tr w:rsidR="002210A7" w:rsidRPr="00D11D21" w14:paraId="63D14CBF" w14:textId="77777777" w:rsidTr="00B7491C">
        <w:tc>
          <w:tcPr>
            <w:tcW w:w="988" w:type="dxa"/>
          </w:tcPr>
          <w:p w14:paraId="4E1198B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2006</w:t>
            </w:r>
          </w:p>
        </w:tc>
        <w:tc>
          <w:tcPr>
            <w:tcW w:w="1134" w:type="dxa"/>
          </w:tcPr>
          <w:p w14:paraId="141C46B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53.8</w:t>
            </w:r>
          </w:p>
        </w:tc>
        <w:tc>
          <w:tcPr>
            <w:tcW w:w="1275" w:type="dxa"/>
          </w:tcPr>
          <w:p w14:paraId="1BD2016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27.40</w:t>
            </w:r>
          </w:p>
        </w:tc>
        <w:tc>
          <w:tcPr>
            <w:tcW w:w="1560" w:type="dxa"/>
          </w:tcPr>
          <w:p w14:paraId="628D5A6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18.80</w:t>
            </w:r>
          </w:p>
        </w:tc>
      </w:tr>
      <w:tr w:rsidR="002210A7" w:rsidRPr="00D11D21" w14:paraId="59CB5801" w14:textId="77777777" w:rsidTr="00B7491C">
        <w:tc>
          <w:tcPr>
            <w:tcW w:w="988" w:type="dxa"/>
          </w:tcPr>
          <w:p w14:paraId="6F7A31D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2007</w:t>
            </w:r>
          </w:p>
        </w:tc>
        <w:tc>
          <w:tcPr>
            <w:tcW w:w="1134" w:type="dxa"/>
          </w:tcPr>
          <w:p w14:paraId="3DD7325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50.7</w:t>
            </w:r>
          </w:p>
        </w:tc>
        <w:tc>
          <w:tcPr>
            <w:tcW w:w="1275" w:type="dxa"/>
          </w:tcPr>
          <w:p w14:paraId="03B30BA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30.90</w:t>
            </w:r>
          </w:p>
        </w:tc>
        <w:tc>
          <w:tcPr>
            <w:tcW w:w="1560" w:type="dxa"/>
          </w:tcPr>
          <w:p w14:paraId="06D2A33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18.40</w:t>
            </w:r>
          </w:p>
        </w:tc>
      </w:tr>
      <w:tr w:rsidR="002210A7" w:rsidRPr="00D11D21" w14:paraId="5A4E3F9A" w14:textId="77777777" w:rsidTr="00B7491C">
        <w:tc>
          <w:tcPr>
            <w:tcW w:w="988" w:type="dxa"/>
          </w:tcPr>
          <w:p w14:paraId="68FC09F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2008</w:t>
            </w:r>
          </w:p>
        </w:tc>
        <w:tc>
          <w:tcPr>
            <w:tcW w:w="1134" w:type="dxa"/>
          </w:tcPr>
          <w:p w14:paraId="2816F5E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55.1</w:t>
            </w:r>
          </w:p>
        </w:tc>
        <w:tc>
          <w:tcPr>
            <w:tcW w:w="1275" w:type="dxa"/>
          </w:tcPr>
          <w:p w14:paraId="13E4D9C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31</w:t>
            </w:r>
          </w:p>
        </w:tc>
        <w:tc>
          <w:tcPr>
            <w:tcW w:w="1560" w:type="dxa"/>
          </w:tcPr>
          <w:p w14:paraId="4D83F4A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13.90</w:t>
            </w:r>
          </w:p>
        </w:tc>
      </w:tr>
      <w:tr w:rsidR="002210A7" w:rsidRPr="00D11D21" w14:paraId="2440929D" w14:textId="77777777" w:rsidTr="00B7491C">
        <w:tc>
          <w:tcPr>
            <w:tcW w:w="988" w:type="dxa"/>
          </w:tcPr>
          <w:p w14:paraId="06EADDF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2009</w:t>
            </w:r>
          </w:p>
        </w:tc>
        <w:tc>
          <w:tcPr>
            <w:tcW w:w="1134" w:type="dxa"/>
          </w:tcPr>
          <w:p w14:paraId="7B5269E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55.2</w:t>
            </w:r>
          </w:p>
        </w:tc>
        <w:tc>
          <w:tcPr>
            <w:tcW w:w="1275" w:type="dxa"/>
          </w:tcPr>
          <w:p w14:paraId="23B6AC7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31</w:t>
            </w:r>
          </w:p>
        </w:tc>
        <w:tc>
          <w:tcPr>
            <w:tcW w:w="1560" w:type="dxa"/>
          </w:tcPr>
          <w:p w14:paraId="32027B4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13.80</w:t>
            </w:r>
          </w:p>
        </w:tc>
      </w:tr>
    </w:tbl>
    <w:p w14:paraId="68622742" w14:textId="2498AC19"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Source : </w:t>
      </w:r>
      <w:proofErr w:type="spellStart"/>
      <w:r w:rsidRPr="00D11D21">
        <w:rPr>
          <w:rFonts w:asciiTheme="majorBidi" w:hAnsiTheme="majorBidi" w:cstheme="majorBidi"/>
          <w:szCs w:val="24"/>
        </w:rPr>
        <w:t>Kaid</w:t>
      </w:r>
      <w:proofErr w:type="spellEnd"/>
      <w:r w:rsidRPr="00D11D21">
        <w:rPr>
          <w:rFonts w:asciiTheme="majorBidi" w:hAnsiTheme="majorBidi" w:cstheme="majorBidi"/>
          <w:szCs w:val="24"/>
        </w:rPr>
        <w:t xml:space="preserve"> </w:t>
      </w:r>
      <w:proofErr w:type="spellStart"/>
      <w:r w:rsidRPr="00D11D21">
        <w:rPr>
          <w:rFonts w:asciiTheme="majorBidi" w:hAnsiTheme="majorBidi" w:cstheme="majorBidi"/>
          <w:szCs w:val="24"/>
        </w:rPr>
        <w:t>Tlilane</w:t>
      </w:r>
      <w:proofErr w:type="spellEnd"/>
      <w:r w:rsidRPr="00D11D21">
        <w:rPr>
          <w:rFonts w:asciiTheme="majorBidi" w:hAnsiTheme="majorBidi" w:cstheme="majorBidi"/>
          <w:szCs w:val="24"/>
        </w:rPr>
        <w:t xml:space="preserve"> N : la problématique du financement des soins en Algérie, </w:t>
      </w:r>
      <w:r w:rsidR="00201164" w:rsidRPr="00D11D21">
        <w:rPr>
          <w:rFonts w:asciiTheme="majorBidi" w:hAnsiTheme="majorBidi" w:cstheme="majorBidi"/>
          <w:szCs w:val="24"/>
        </w:rPr>
        <w:t>revue internationale</w:t>
      </w:r>
      <w:r w:rsidRPr="00D11D21">
        <w:rPr>
          <w:rFonts w:asciiTheme="majorBidi" w:hAnsiTheme="majorBidi" w:cstheme="majorBidi"/>
          <w:szCs w:val="24"/>
        </w:rPr>
        <w:t xml:space="preserve"> de sécurité sociale n°4vol 57OMS ; rapport sur la santé dans le monde 2002,2004 et 2006.In </w:t>
      </w:r>
      <w:hyperlink r:id="rId15" w:history="1">
        <w:r w:rsidRPr="00D11D21">
          <w:rPr>
            <w:rStyle w:val="Lienhypertexte"/>
            <w:rFonts w:asciiTheme="majorBidi" w:hAnsiTheme="majorBidi" w:cstheme="majorBidi"/>
            <w:szCs w:val="24"/>
          </w:rPr>
          <w:t>www.wh.int</w:t>
        </w:r>
      </w:hyperlink>
      <w:r w:rsidRPr="00D11D21">
        <w:rPr>
          <w:rFonts w:asciiTheme="majorBidi" w:hAnsiTheme="majorBidi" w:cstheme="majorBidi"/>
          <w:szCs w:val="24"/>
        </w:rPr>
        <w:t>.</w:t>
      </w:r>
    </w:p>
    <w:p w14:paraId="18890EBB"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Remarque </w:t>
      </w:r>
    </w:p>
    <w:p w14:paraId="5D06EA28" w14:textId="77777777" w:rsidR="002210A7" w:rsidRPr="00D11D21" w:rsidRDefault="002210A7" w:rsidP="00D11D21">
      <w:pPr>
        <w:pStyle w:val="Paragraphedeliste"/>
        <w:numPr>
          <w:ilvl w:val="0"/>
          <w:numId w:val="46"/>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Ce tableau représente l’évolution des sources de financement de la santé en Algérie de 1974 jusqu’à 2014. Nous remarquons que le taux de financement par l’Etat et le plus élevé durant toutes les années représentées. Donc l’Etat est le financeur majeur de la santé en Algérie. </w:t>
      </w:r>
    </w:p>
    <w:p w14:paraId="6D51F2A5" w14:textId="77777777" w:rsidR="002210A7" w:rsidRPr="00D11D21" w:rsidRDefault="002210A7" w:rsidP="00D11D21">
      <w:pPr>
        <w:pStyle w:val="Paragraphedeliste"/>
        <w:numPr>
          <w:ilvl w:val="0"/>
          <w:numId w:val="46"/>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La sécurité sociale représente le deuxième rang au financement. Elle participe avec23.49 % en 1974, elle connaît une fort croissance1986 (durant la crise économique </w:t>
      </w:r>
      <w:r w:rsidRPr="00D11D21">
        <w:rPr>
          <w:rFonts w:asciiTheme="majorBidi" w:hAnsiTheme="majorBidi" w:cstheme="majorBidi"/>
          <w:szCs w:val="24"/>
        </w:rPr>
        <w:lastRenderedPageBreak/>
        <w:t xml:space="preserve">de l’Algérie) elle atteint 61.40%. Aux années suivantes le taux de financement a connu une baisse, en effet il ne dépasse pas 40%. </w:t>
      </w:r>
    </w:p>
    <w:p w14:paraId="7BD69647" w14:textId="77777777" w:rsidR="002210A7" w:rsidRPr="00D11D21" w:rsidRDefault="002210A7" w:rsidP="00D11D21">
      <w:pPr>
        <w:pStyle w:val="Paragraphedeliste"/>
        <w:numPr>
          <w:ilvl w:val="0"/>
          <w:numId w:val="46"/>
        </w:numPr>
        <w:spacing w:after="160" w:line="360" w:lineRule="auto"/>
        <w:jc w:val="both"/>
        <w:rPr>
          <w:rFonts w:asciiTheme="majorBidi" w:hAnsiTheme="majorBidi" w:cstheme="majorBidi"/>
          <w:szCs w:val="24"/>
        </w:rPr>
      </w:pPr>
      <w:r w:rsidRPr="00D11D21">
        <w:rPr>
          <w:rFonts w:asciiTheme="majorBidi" w:hAnsiTheme="majorBidi" w:cstheme="majorBidi"/>
          <w:szCs w:val="24"/>
        </w:rPr>
        <w:t>1974 les ménages ne participent pas au financement de la santé, notamment ils ont commencé à la participation à partir 1979 avec un taux très faible qui représente 0.54%.</w:t>
      </w:r>
    </w:p>
    <w:p w14:paraId="72502930" w14:textId="77777777" w:rsidR="00F633C9" w:rsidRPr="00D11D21" w:rsidRDefault="00F633C9" w:rsidP="00D11D21">
      <w:pPr>
        <w:pStyle w:val="Paragraphedeliste"/>
        <w:spacing w:after="160" w:line="360" w:lineRule="auto"/>
        <w:jc w:val="both"/>
        <w:rPr>
          <w:rFonts w:asciiTheme="majorBidi" w:hAnsiTheme="majorBidi" w:cstheme="majorBidi"/>
          <w:szCs w:val="24"/>
        </w:rPr>
      </w:pPr>
    </w:p>
    <w:p w14:paraId="0848F8F9" w14:textId="77777777" w:rsidR="002210A7" w:rsidRPr="00D11D21" w:rsidRDefault="002210A7" w:rsidP="00D11D21">
      <w:pPr>
        <w:pStyle w:val="Titre2"/>
        <w:numPr>
          <w:ilvl w:val="0"/>
          <w:numId w:val="130"/>
        </w:numPr>
        <w:rPr>
          <w:rFonts w:asciiTheme="majorBidi" w:hAnsiTheme="majorBidi"/>
          <w:szCs w:val="24"/>
        </w:rPr>
      </w:pPr>
      <w:bookmarkStart w:id="93" w:name="_Toc199958860"/>
      <w:r w:rsidRPr="00D11D21">
        <w:rPr>
          <w:rFonts w:asciiTheme="majorBidi" w:hAnsiTheme="majorBidi"/>
          <w:szCs w:val="24"/>
        </w:rPr>
        <w:t>Maintien de la participation de l’Etat :</w:t>
      </w:r>
      <w:bookmarkEnd w:id="93"/>
    </w:p>
    <w:p w14:paraId="72841689" w14:textId="77777777" w:rsidR="002210A7" w:rsidRPr="00D11D21" w:rsidRDefault="00A47E88" w:rsidP="00D11D21">
      <w:pPr>
        <w:jc w:val="both"/>
        <w:rPr>
          <w:rFonts w:asciiTheme="majorBidi" w:hAnsiTheme="majorBidi" w:cstheme="majorBidi"/>
          <w:szCs w:val="24"/>
        </w:rPr>
      </w:pPr>
      <w:r w:rsidRPr="00D11D21">
        <w:rPr>
          <w:rFonts w:asciiTheme="majorBidi" w:hAnsiTheme="majorBidi" w:cstheme="majorBidi"/>
          <w:szCs w:val="24"/>
        </w:rPr>
        <w:t xml:space="preserve">Il est essentiel que l'État s'implique dans le financement de la santé, et il prend une position de leader en termes de contribution significative. L'État finance tous les types de dépenses, qu'elles concernent le personnel, les biens et services, les transferts ou encore les investissements. Cette implication a pour but de garantir la solidarité sociale, l'unité sociale et la promotion de la </w:t>
      </w:r>
      <w:r w:rsidR="002210A7" w:rsidRPr="00D11D21">
        <w:rPr>
          <w:rFonts w:asciiTheme="majorBidi" w:hAnsiTheme="majorBidi" w:cstheme="majorBidi"/>
          <w:szCs w:val="24"/>
        </w:rPr>
        <w:t>santé.</w:t>
      </w:r>
      <w:r w:rsidR="002210A7" w:rsidRPr="00D11D21">
        <w:rPr>
          <w:rStyle w:val="Appelnotedebasdep"/>
          <w:rFonts w:asciiTheme="majorBidi" w:hAnsiTheme="majorBidi" w:cstheme="majorBidi"/>
          <w:szCs w:val="24"/>
        </w:rPr>
        <w:footnoteReference w:id="59"/>
      </w:r>
    </w:p>
    <w:p w14:paraId="46B1268C" w14:textId="77777777" w:rsidR="00A47E88" w:rsidRPr="00D11D21" w:rsidRDefault="00A47E88" w:rsidP="00D11D21">
      <w:pPr>
        <w:jc w:val="both"/>
        <w:rPr>
          <w:rFonts w:asciiTheme="majorBidi" w:hAnsiTheme="majorBidi" w:cstheme="majorBidi"/>
          <w:szCs w:val="24"/>
        </w:rPr>
      </w:pPr>
      <w:r w:rsidRPr="00D11D21">
        <w:rPr>
          <w:rFonts w:asciiTheme="majorBidi" w:hAnsiTheme="majorBidi" w:cstheme="majorBidi"/>
          <w:szCs w:val="24"/>
        </w:rPr>
        <w:t xml:space="preserve">Le ministère de la santé, qui représente la source principale de financement budgétaire, contribue à plus de 75 % du budget total de l'État. Cependant, une hausse significative de ce taux a été constatée, atteignant 37,39% en 1997, puis 50% en 2003 et grimpant à 55,2% en 2009. Cela représente une hausse de 18 % sur une période de douze ans.  </w:t>
      </w:r>
    </w:p>
    <w:p w14:paraId="1520B06A" w14:textId="077AC9D1" w:rsidR="002210A7" w:rsidRPr="00D11D21" w:rsidRDefault="00A47E88" w:rsidP="00D11D21">
      <w:pPr>
        <w:jc w:val="both"/>
        <w:rPr>
          <w:rFonts w:asciiTheme="majorBidi" w:hAnsiTheme="majorBidi" w:cstheme="majorBidi"/>
          <w:szCs w:val="24"/>
        </w:rPr>
      </w:pPr>
      <w:r w:rsidRPr="00D11D21">
        <w:rPr>
          <w:rFonts w:asciiTheme="majorBidi" w:hAnsiTheme="majorBidi" w:cstheme="majorBidi"/>
          <w:szCs w:val="24"/>
        </w:rPr>
        <w:t xml:space="preserve">En outre, divers ministères participent au financement du budget dédié à la santé. Par </w:t>
      </w:r>
      <w:r w:rsidR="00201164" w:rsidRPr="00D11D21">
        <w:rPr>
          <w:rFonts w:asciiTheme="majorBidi" w:hAnsiTheme="majorBidi" w:cstheme="majorBidi"/>
          <w:szCs w:val="24"/>
        </w:rPr>
        <w:t>exemple :</w:t>
      </w:r>
      <w:r w:rsidRPr="00D11D21">
        <w:rPr>
          <w:rFonts w:asciiTheme="majorBidi" w:hAnsiTheme="majorBidi" w:cstheme="majorBidi"/>
          <w:szCs w:val="24"/>
        </w:rPr>
        <w:t xml:space="preserve"> Le financement des hôpitaux militaires est assuré par le ministère de la défense ; les praticiens des CHU relèvent du ministère de l'enseignement et de la recherche scientifique ; alors que le ministère de l'éducation et le ministère de la jeunesse et du sport s'impliquent dans les actions de prévention</w:t>
      </w:r>
      <w:r w:rsidR="002210A7" w:rsidRPr="00D11D21">
        <w:rPr>
          <w:rFonts w:asciiTheme="majorBidi" w:hAnsiTheme="majorBidi" w:cstheme="majorBidi"/>
          <w:szCs w:val="24"/>
        </w:rPr>
        <w:t>. De plus, d'autres départements financiers soutiennent les établissements de santé destinés à des groupes spécifiques.</w:t>
      </w:r>
      <w:r w:rsidR="002210A7" w:rsidRPr="00D11D21">
        <w:rPr>
          <w:rStyle w:val="Appelnotedebasdep"/>
          <w:rFonts w:asciiTheme="majorBidi" w:hAnsiTheme="majorBidi" w:cstheme="majorBidi"/>
          <w:szCs w:val="24"/>
        </w:rPr>
        <w:footnoteReference w:id="60"/>
      </w:r>
    </w:p>
    <w:p w14:paraId="3B752469" w14:textId="77777777" w:rsidR="00A47E88" w:rsidRPr="00D11D21" w:rsidRDefault="002210A7" w:rsidP="00D11D21">
      <w:pPr>
        <w:pStyle w:val="Titre2"/>
        <w:rPr>
          <w:rFonts w:asciiTheme="majorBidi" w:hAnsiTheme="majorBidi"/>
          <w:szCs w:val="24"/>
        </w:rPr>
      </w:pPr>
      <w:bookmarkStart w:id="94" w:name="_Toc199958861"/>
      <w:r w:rsidRPr="00D11D21">
        <w:rPr>
          <w:rFonts w:asciiTheme="majorBidi" w:hAnsiTheme="majorBidi"/>
          <w:szCs w:val="24"/>
        </w:rPr>
        <w:t>Consolidation de la sécurité sociale :</w:t>
      </w:r>
      <w:bookmarkEnd w:id="94"/>
    </w:p>
    <w:p w14:paraId="18029635" w14:textId="77777777" w:rsidR="002210A7" w:rsidRPr="00D11D21" w:rsidRDefault="002210A7" w:rsidP="00D11D21">
      <w:pPr>
        <w:pStyle w:val="Paragraphedeliste"/>
        <w:numPr>
          <w:ilvl w:val="0"/>
          <w:numId w:val="47"/>
        </w:numPr>
        <w:spacing w:after="160" w:line="360" w:lineRule="auto"/>
        <w:jc w:val="both"/>
        <w:rPr>
          <w:rFonts w:asciiTheme="majorBidi" w:hAnsiTheme="majorBidi" w:cstheme="majorBidi"/>
          <w:b/>
          <w:bCs/>
          <w:szCs w:val="24"/>
          <w:u w:val="single"/>
        </w:rPr>
      </w:pPr>
      <w:r w:rsidRPr="00D11D21">
        <w:rPr>
          <w:rFonts w:asciiTheme="majorBidi" w:hAnsiTheme="majorBidi" w:cstheme="majorBidi"/>
          <w:szCs w:val="24"/>
        </w:rPr>
        <w:t xml:space="preserve">Art 2« les assurances sociales couvrent les risques suivants : maladie ; maternité ; invalidité ; décès » </w:t>
      </w:r>
    </w:p>
    <w:p w14:paraId="36491C5D" w14:textId="4A786F8B" w:rsidR="002210A7" w:rsidRPr="00D11D21" w:rsidRDefault="002210A7" w:rsidP="00D11D21">
      <w:pPr>
        <w:pStyle w:val="Paragraphedeliste"/>
        <w:numPr>
          <w:ilvl w:val="0"/>
          <w:numId w:val="47"/>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Art 7« les prestations de l’assurance maladie comportent la prise en charge des frais de soins de santé ; à titre préventif et curatif, en faveur de l’assurance et </w:t>
      </w:r>
      <w:r w:rsidR="00EC079D" w:rsidRPr="00D11D21">
        <w:rPr>
          <w:rFonts w:asciiTheme="majorBidi" w:hAnsiTheme="majorBidi" w:cstheme="majorBidi"/>
          <w:szCs w:val="24"/>
        </w:rPr>
        <w:t>des</w:t>
      </w:r>
      <w:r w:rsidR="00044672" w:rsidRPr="00D11D21">
        <w:rPr>
          <w:rFonts w:asciiTheme="majorBidi" w:hAnsiTheme="majorBidi" w:cstheme="majorBidi"/>
          <w:szCs w:val="24"/>
        </w:rPr>
        <w:t xml:space="preserve"> </w:t>
      </w:r>
      <w:r w:rsidR="002A2096" w:rsidRPr="00D11D21">
        <w:rPr>
          <w:rFonts w:asciiTheme="majorBidi" w:hAnsiTheme="majorBidi" w:cstheme="majorBidi"/>
          <w:szCs w:val="24"/>
        </w:rPr>
        <w:t>ayants-droits</w:t>
      </w:r>
      <w:r w:rsidR="00201164" w:rsidRPr="00D11D21">
        <w:rPr>
          <w:rFonts w:asciiTheme="majorBidi" w:hAnsiTheme="majorBidi" w:cstheme="majorBidi"/>
          <w:szCs w:val="24"/>
        </w:rPr>
        <w:t xml:space="preserve"> »</w:t>
      </w:r>
      <w:r w:rsidRPr="00D11D21">
        <w:rPr>
          <w:rFonts w:asciiTheme="majorBidi" w:hAnsiTheme="majorBidi" w:cstheme="majorBidi"/>
          <w:szCs w:val="24"/>
        </w:rPr>
        <w:t>.</w:t>
      </w:r>
    </w:p>
    <w:p w14:paraId="2DD1DC99" w14:textId="77777777" w:rsidR="002210A7" w:rsidRPr="00D11D21" w:rsidRDefault="00A47E88" w:rsidP="00D11D21">
      <w:pPr>
        <w:jc w:val="both"/>
        <w:rPr>
          <w:rFonts w:asciiTheme="majorBidi" w:hAnsiTheme="majorBidi" w:cstheme="majorBidi"/>
          <w:szCs w:val="24"/>
        </w:rPr>
      </w:pPr>
      <w:r w:rsidRPr="00D11D21">
        <w:rPr>
          <w:rFonts w:asciiTheme="majorBidi" w:hAnsiTheme="majorBidi" w:cstheme="majorBidi"/>
          <w:szCs w:val="24"/>
        </w:rPr>
        <w:lastRenderedPageBreak/>
        <w:t xml:space="preserve">Selon les deux dispositions de la loi n° 83-11 du 2 juillet 1983 concernant les assurances sociales, page 1198. Il est possible de constater que la sécurité sociale joue un rôle financier dans le système de santé algérien.et joue un rôle crucial en tant que « agent financeur » dans le domaine de la santé. Elle s'engage de plus en plus dans le financement, notamment à partir de 1985, suite aux premiers signaux de problèmes économiques et financiers liés à la chute des prix des hydrocarbures à la fin des années </w:t>
      </w:r>
      <w:r w:rsidR="002210A7" w:rsidRPr="00D11D21">
        <w:rPr>
          <w:rFonts w:asciiTheme="majorBidi" w:hAnsiTheme="majorBidi" w:cstheme="majorBidi"/>
          <w:szCs w:val="24"/>
        </w:rPr>
        <w:t>1980.</w:t>
      </w:r>
      <w:r w:rsidR="002210A7" w:rsidRPr="00D11D21">
        <w:rPr>
          <w:rStyle w:val="Appelnotedebasdep"/>
          <w:rFonts w:asciiTheme="majorBidi" w:hAnsiTheme="majorBidi" w:cstheme="majorBidi"/>
          <w:szCs w:val="24"/>
        </w:rPr>
        <w:footnoteReference w:id="61"/>
      </w:r>
    </w:p>
    <w:p w14:paraId="54876004" w14:textId="77777777" w:rsidR="00A47E88"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Au cours des années 70, la contribution de la sécurité sociale aux dépenses globales de santé est relativement modeste, atteignant 23,49% en 1974. </w:t>
      </w:r>
      <w:r w:rsidR="00A47E88" w:rsidRPr="00D11D21">
        <w:rPr>
          <w:rFonts w:asciiTheme="majorBidi" w:hAnsiTheme="majorBidi" w:cstheme="majorBidi"/>
          <w:szCs w:val="24"/>
        </w:rPr>
        <w:t>Cette faible participation s'explique par l'implication majeure de l'État, qui possédait une proportion importante (76,51%), à la suite du surplus financier constaté pendant cette période. Toutefois, suite à la crise que le pays a vécue (diminution des revenus pétroliers), la sécurité sociale est alors intervenue pour appuyer le budget de l'État et agir d'une manière plus consolidée. Depuis 1999, la proportion de la sécurité sociale dans les dépenses totales de santé a connu une diminution, se chiffrant désormais à 29,33%.</w:t>
      </w:r>
    </w:p>
    <w:p w14:paraId="687B640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Cette circonstance est le résultat de l'augmentation du budget gouvernemental due aux recettes pétrolières perçues, à savoir 28,9 dollars par baril en 2003 et une hausse de 27% en 2006. </w:t>
      </w:r>
    </w:p>
    <w:p w14:paraId="60B83914" w14:textId="77777777" w:rsidR="00A4378F" w:rsidRPr="00D11D21" w:rsidRDefault="00A4378F" w:rsidP="00D11D21">
      <w:pPr>
        <w:jc w:val="both"/>
        <w:rPr>
          <w:rFonts w:asciiTheme="majorBidi" w:hAnsiTheme="majorBidi" w:cstheme="majorBidi"/>
          <w:szCs w:val="24"/>
        </w:rPr>
      </w:pPr>
      <w:r w:rsidRPr="00D11D21">
        <w:rPr>
          <w:rFonts w:asciiTheme="majorBidi" w:hAnsiTheme="majorBidi" w:cstheme="majorBidi"/>
          <w:szCs w:val="24"/>
        </w:rPr>
        <w:t>En 2008, la part de la sécurité sociale dans le financement du système de santé est toujours dominante, dépassant les 33%. Par rapport aux années antérieures, ce taux a diminué, puisqu'il était auparavant de 45%.</w:t>
      </w:r>
    </w:p>
    <w:p w14:paraId="16728F62" w14:textId="77777777" w:rsidR="00A4378F" w:rsidRPr="00D11D21" w:rsidRDefault="00A4378F" w:rsidP="00D11D21">
      <w:pPr>
        <w:jc w:val="both"/>
        <w:rPr>
          <w:rFonts w:asciiTheme="majorBidi" w:hAnsiTheme="majorBidi" w:cstheme="majorBidi"/>
          <w:szCs w:val="24"/>
        </w:rPr>
      </w:pPr>
      <w:r w:rsidRPr="00D11D21">
        <w:rPr>
          <w:rFonts w:asciiTheme="majorBidi" w:hAnsiTheme="majorBidi" w:cstheme="majorBidi"/>
          <w:szCs w:val="24"/>
        </w:rPr>
        <w:t>Actuellement, cinq organismes nationaux sont chargés de gérer la protection sociale : le CNAC, le CNR, le CASNOS, le CNAS et le CACOBATPH. Sous la tutelle du ministère du travail et de la sécurité sociale, elles fonctionnent selon le statut d'Établissement public à gestion spécifique.</w:t>
      </w:r>
    </w:p>
    <w:p w14:paraId="43F35148" w14:textId="61755777" w:rsidR="002210A7" w:rsidRPr="00D11D21" w:rsidRDefault="0082188D" w:rsidP="00D11D21">
      <w:pPr>
        <w:pStyle w:val="Lgende"/>
        <w:keepNext/>
        <w:spacing w:line="360" w:lineRule="auto"/>
        <w:jc w:val="both"/>
        <w:rPr>
          <w:rFonts w:asciiTheme="majorBidi" w:hAnsiTheme="majorBidi" w:cstheme="majorBidi"/>
          <w:color w:val="auto"/>
          <w:sz w:val="24"/>
          <w:szCs w:val="24"/>
        </w:rPr>
      </w:pPr>
      <w:bookmarkStart w:id="95" w:name="_Toc200210112"/>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Évolution de la participation de la sécurité sociale au financement de la santé (1974–2018), en millions de dinars</w:t>
      </w:r>
      <w:bookmarkEnd w:id="95"/>
    </w:p>
    <w:tbl>
      <w:tblPr>
        <w:tblStyle w:val="Grilledutableau"/>
        <w:tblW w:w="0" w:type="auto"/>
        <w:tblLook w:val="04A0" w:firstRow="1" w:lastRow="0" w:firstColumn="1" w:lastColumn="0" w:noHBand="0" w:noVBand="1"/>
      </w:tblPr>
      <w:tblGrid>
        <w:gridCol w:w="816"/>
        <w:gridCol w:w="995"/>
        <w:gridCol w:w="816"/>
        <w:gridCol w:w="996"/>
        <w:gridCol w:w="817"/>
        <w:gridCol w:w="996"/>
        <w:gridCol w:w="817"/>
        <w:gridCol w:w="996"/>
        <w:gridCol w:w="817"/>
        <w:gridCol w:w="996"/>
      </w:tblGrid>
      <w:tr w:rsidR="002210A7" w:rsidRPr="00D11D21" w14:paraId="4CCD034E" w14:textId="77777777" w:rsidTr="00B7491C">
        <w:tc>
          <w:tcPr>
            <w:tcW w:w="906" w:type="dxa"/>
          </w:tcPr>
          <w:p w14:paraId="6882173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Année</w:t>
            </w:r>
          </w:p>
        </w:tc>
        <w:tc>
          <w:tcPr>
            <w:tcW w:w="906" w:type="dxa"/>
          </w:tcPr>
          <w:p w14:paraId="61C16D9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Montant</w:t>
            </w:r>
          </w:p>
        </w:tc>
        <w:tc>
          <w:tcPr>
            <w:tcW w:w="906" w:type="dxa"/>
          </w:tcPr>
          <w:p w14:paraId="54957D0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Année</w:t>
            </w:r>
          </w:p>
        </w:tc>
        <w:tc>
          <w:tcPr>
            <w:tcW w:w="906" w:type="dxa"/>
          </w:tcPr>
          <w:p w14:paraId="05E9C96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Montant</w:t>
            </w:r>
          </w:p>
        </w:tc>
        <w:tc>
          <w:tcPr>
            <w:tcW w:w="906" w:type="dxa"/>
          </w:tcPr>
          <w:p w14:paraId="74E09B8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Année</w:t>
            </w:r>
          </w:p>
        </w:tc>
        <w:tc>
          <w:tcPr>
            <w:tcW w:w="906" w:type="dxa"/>
          </w:tcPr>
          <w:p w14:paraId="67BAA65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Montant</w:t>
            </w:r>
          </w:p>
        </w:tc>
        <w:tc>
          <w:tcPr>
            <w:tcW w:w="906" w:type="dxa"/>
          </w:tcPr>
          <w:p w14:paraId="7E8B2E0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Année</w:t>
            </w:r>
          </w:p>
        </w:tc>
        <w:tc>
          <w:tcPr>
            <w:tcW w:w="906" w:type="dxa"/>
          </w:tcPr>
          <w:p w14:paraId="3C7233D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Montant</w:t>
            </w:r>
          </w:p>
        </w:tc>
        <w:tc>
          <w:tcPr>
            <w:tcW w:w="907" w:type="dxa"/>
          </w:tcPr>
          <w:p w14:paraId="043A87E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Année</w:t>
            </w:r>
          </w:p>
        </w:tc>
        <w:tc>
          <w:tcPr>
            <w:tcW w:w="907" w:type="dxa"/>
          </w:tcPr>
          <w:p w14:paraId="547CA4D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Montant</w:t>
            </w:r>
          </w:p>
        </w:tc>
      </w:tr>
      <w:tr w:rsidR="002210A7" w:rsidRPr="00D11D21" w14:paraId="6D8B7DCC" w14:textId="77777777" w:rsidTr="00B7491C">
        <w:tc>
          <w:tcPr>
            <w:tcW w:w="906" w:type="dxa"/>
          </w:tcPr>
          <w:p w14:paraId="7004A57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1974</w:t>
            </w:r>
          </w:p>
        </w:tc>
        <w:tc>
          <w:tcPr>
            <w:tcW w:w="906" w:type="dxa"/>
          </w:tcPr>
          <w:p w14:paraId="7D4BE5A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w:t>
            </w:r>
          </w:p>
        </w:tc>
        <w:tc>
          <w:tcPr>
            <w:tcW w:w="906" w:type="dxa"/>
          </w:tcPr>
          <w:p w14:paraId="63B5E60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1984</w:t>
            </w:r>
          </w:p>
        </w:tc>
        <w:tc>
          <w:tcPr>
            <w:tcW w:w="906" w:type="dxa"/>
          </w:tcPr>
          <w:p w14:paraId="544744F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2055</w:t>
            </w:r>
          </w:p>
        </w:tc>
        <w:tc>
          <w:tcPr>
            <w:tcW w:w="906" w:type="dxa"/>
          </w:tcPr>
          <w:p w14:paraId="4D2E3D3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1994</w:t>
            </w:r>
          </w:p>
        </w:tc>
        <w:tc>
          <w:tcPr>
            <w:tcW w:w="906" w:type="dxa"/>
          </w:tcPr>
          <w:p w14:paraId="01EFD76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10050</w:t>
            </w:r>
          </w:p>
        </w:tc>
        <w:tc>
          <w:tcPr>
            <w:tcW w:w="906" w:type="dxa"/>
          </w:tcPr>
          <w:p w14:paraId="6928460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2004</w:t>
            </w:r>
          </w:p>
        </w:tc>
        <w:tc>
          <w:tcPr>
            <w:tcW w:w="906" w:type="dxa"/>
          </w:tcPr>
          <w:p w14:paraId="4912E3F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27000</w:t>
            </w:r>
          </w:p>
        </w:tc>
        <w:tc>
          <w:tcPr>
            <w:tcW w:w="907" w:type="dxa"/>
          </w:tcPr>
          <w:p w14:paraId="74C15E4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2014</w:t>
            </w:r>
          </w:p>
        </w:tc>
        <w:tc>
          <w:tcPr>
            <w:tcW w:w="907" w:type="dxa"/>
          </w:tcPr>
          <w:p w14:paraId="394A2C1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57000</w:t>
            </w:r>
          </w:p>
        </w:tc>
      </w:tr>
      <w:tr w:rsidR="002210A7" w:rsidRPr="00D11D21" w14:paraId="4208F47B" w14:textId="77777777" w:rsidTr="00B7491C">
        <w:tc>
          <w:tcPr>
            <w:tcW w:w="906" w:type="dxa"/>
          </w:tcPr>
          <w:p w14:paraId="1B65E17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1975</w:t>
            </w:r>
          </w:p>
        </w:tc>
        <w:tc>
          <w:tcPr>
            <w:tcW w:w="906" w:type="dxa"/>
          </w:tcPr>
          <w:p w14:paraId="2E874A8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255</w:t>
            </w:r>
          </w:p>
        </w:tc>
        <w:tc>
          <w:tcPr>
            <w:tcW w:w="906" w:type="dxa"/>
          </w:tcPr>
          <w:p w14:paraId="1741FA2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1985</w:t>
            </w:r>
          </w:p>
        </w:tc>
        <w:tc>
          <w:tcPr>
            <w:tcW w:w="906" w:type="dxa"/>
          </w:tcPr>
          <w:p w14:paraId="592661F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4000</w:t>
            </w:r>
          </w:p>
        </w:tc>
        <w:tc>
          <w:tcPr>
            <w:tcW w:w="906" w:type="dxa"/>
          </w:tcPr>
          <w:p w14:paraId="308A0D1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1995</w:t>
            </w:r>
          </w:p>
        </w:tc>
        <w:tc>
          <w:tcPr>
            <w:tcW w:w="906" w:type="dxa"/>
          </w:tcPr>
          <w:p w14:paraId="3B25E21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13551</w:t>
            </w:r>
          </w:p>
        </w:tc>
        <w:tc>
          <w:tcPr>
            <w:tcW w:w="906" w:type="dxa"/>
          </w:tcPr>
          <w:p w14:paraId="375F239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2005</w:t>
            </w:r>
          </w:p>
        </w:tc>
        <w:tc>
          <w:tcPr>
            <w:tcW w:w="906" w:type="dxa"/>
          </w:tcPr>
          <w:p w14:paraId="57E4F0C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35000</w:t>
            </w:r>
          </w:p>
        </w:tc>
        <w:tc>
          <w:tcPr>
            <w:tcW w:w="907" w:type="dxa"/>
          </w:tcPr>
          <w:p w14:paraId="04F6FB5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2015</w:t>
            </w:r>
          </w:p>
        </w:tc>
        <w:tc>
          <w:tcPr>
            <w:tcW w:w="907" w:type="dxa"/>
          </w:tcPr>
          <w:p w14:paraId="1214C65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65000</w:t>
            </w:r>
          </w:p>
        </w:tc>
      </w:tr>
      <w:tr w:rsidR="002210A7" w:rsidRPr="00D11D21" w14:paraId="65C7A073" w14:textId="77777777" w:rsidTr="00B7491C">
        <w:tc>
          <w:tcPr>
            <w:tcW w:w="906" w:type="dxa"/>
          </w:tcPr>
          <w:p w14:paraId="6C97F17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1976</w:t>
            </w:r>
          </w:p>
        </w:tc>
        <w:tc>
          <w:tcPr>
            <w:tcW w:w="906" w:type="dxa"/>
          </w:tcPr>
          <w:p w14:paraId="1C1759D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245</w:t>
            </w:r>
          </w:p>
        </w:tc>
        <w:tc>
          <w:tcPr>
            <w:tcW w:w="906" w:type="dxa"/>
          </w:tcPr>
          <w:p w14:paraId="46DD7CD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1986</w:t>
            </w:r>
          </w:p>
        </w:tc>
        <w:tc>
          <w:tcPr>
            <w:tcW w:w="906" w:type="dxa"/>
          </w:tcPr>
          <w:p w14:paraId="3A0C379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5000</w:t>
            </w:r>
          </w:p>
        </w:tc>
        <w:tc>
          <w:tcPr>
            <w:tcW w:w="906" w:type="dxa"/>
          </w:tcPr>
          <w:p w14:paraId="01BDD87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1996</w:t>
            </w:r>
          </w:p>
        </w:tc>
        <w:tc>
          <w:tcPr>
            <w:tcW w:w="906" w:type="dxa"/>
          </w:tcPr>
          <w:p w14:paraId="6B2594E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16576</w:t>
            </w:r>
          </w:p>
        </w:tc>
        <w:tc>
          <w:tcPr>
            <w:tcW w:w="906" w:type="dxa"/>
          </w:tcPr>
          <w:p w14:paraId="1BCD8B8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w:t>
            </w:r>
          </w:p>
        </w:tc>
        <w:tc>
          <w:tcPr>
            <w:tcW w:w="906" w:type="dxa"/>
          </w:tcPr>
          <w:p w14:paraId="376E9A5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35000</w:t>
            </w:r>
          </w:p>
        </w:tc>
        <w:tc>
          <w:tcPr>
            <w:tcW w:w="907" w:type="dxa"/>
          </w:tcPr>
          <w:p w14:paraId="29234BA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2016</w:t>
            </w:r>
          </w:p>
        </w:tc>
        <w:tc>
          <w:tcPr>
            <w:tcW w:w="907" w:type="dxa"/>
          </w:tcPr>
          <w:p w14:paraId="4A1A15E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64000</w:t>
            </w:r>
          </w:p>
        </w:tc>
      </w:tr>
      <w:tr w:rsidR="002210A7" w:rsidRPr="00D11D21" w14:paraId="00DAAEF8" w14:textId="77777777" w:rsidTr="00B7491C">
        <w:tc>
          <w:tcPr>
            <w:tcW w:w="906" w:type="dxa"/>
          </w:tcPr>
          <w:p w14:paraId="366351F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1977</w:t>
            </w:r>
          </w:p>
        </w:tc>
        <w:tc>
          <w:tcPr>
            <w:tcW w:w="906" w:type="dxa"/>
          </w:tcPr>
          <w:p w14:paraId="1B4B4F3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300</w:t>
            </w:r>
          </w:p>
        </w:tc>
        <w:tc>
          <w:tcPr>
            <w:tcW w:w="906" w:type="dxa"/>
          </w:tcPr>
          <w:p w14:paraId="3329A69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1987</w:t>
            </w:r>
          </w:p>
        </w:tc>
        <w:tc>
          <w:tcPr>
            <w:tcW w:w="906" w:type="dxa"/>
          </w:tcPr>
          <w:p w14:paraId="5FE9245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6500</w:t>
            </w:r>
          </w:p>
        </w:tc>
        <w:tc>
          <w:tcPr>
            <w:tcW w:w="906" w:type="dxa"/>
          </w:tcPr>
          <w:p w14:paraId="0E23A82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1997</w:t>
            </w:r>
          </w:p>
        </w:tc>
        <w:tc>
          <w:tcPr>
            <w:tcW w:w="906" w:type="dxa"/>
          </w:tcPr>
          <w:p w14:paraId="08F76AE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17972</w:t>
            </w:r>
          </w:p>
        </w:tc>
        <w:tc>
          <w:tcPr>
            <w:tcW w:w="906" w:type="dxa"/>
          </w:tcPr>
          <w:p w14:paraId="16CD5F1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62007</w:t>
            </w:r>
          </w:p>
        </w:tc>
        <w:tc>
          <w:tcPr>
            <w:tcW w:w="906" w:type="dxa"/>
          </w:tcPr>
          <w:p w14:paraId="5FC4AA4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35000</w:t>
            </w:r>
          </w:p>
        </w:tc>
        <w:tc>
          <w:tcPr>
            <w:tcW w:w="907" w:type="dxa"/>
          </w:tcPr>
          <w:p w14:paraId="16C61C6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2017</w:t>
            </w:r>
          </w:p>
        </w:tc>
        <w:tc>
          <w:tcPr>
            <w:tcW w:w="907" w:type="dxa"/>
          </w:tcPr>
          <w:p w14:paraId="493B3E8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73000</w:t>
            </w:r>
          </w:p>
        </w:tc>
      </w:tr>
      <w:tr w:rsidR="002210A7" w:rsidRPr="00D11D21" w14:paraId="3381541D" w14:textId="77777777" w:rsidTr="00B7491C">
        <w:tc>
          <w:tcPr>
            <w:tcW w:w="906" w:type="dxa"/>
          </w:tcPr>
          <w:p w14:paraId="6076FF1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1978</w:t>
            </w:r>
          </w:p>
        </w:tc>
        <w:tc>
          <w:tcPr>
            <w:tcW w:w="906" w:type="dxa"/>
          </w:tcPr>
          <w:p w14:paraId="5025DD0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475</w:t>
            </w:r>
          </w:p>
        </w:tc>
        <w:tc>
          <w:tcPr>
            <w:tcW w:w="906" w:type="dxa"/>
          </w:tcPr>
          <w:p w14:paraId="579CD3D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1988</w:t>
            </w:r>
          </w:p>
        </w:tc>
        <w:tc>
          <w:tcPr>
            <w:tcW w:w="906" w:type="dxa"/>
          </w:tcPr>
          <w:p w14:paraId="3676F24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7545</w:t>
            </w:r>
          </w:p>
        </w:tc>
        <w:tc>
          <w:tcPr>
            <w:tcW w:w="906" w:type="dxa"/>
          </w:tcPr>
          <w:p w14:paraId="0C3AA46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1998</w:t>
            </w:r>
          </w:p>
        </w:tc>
        <w:tc>
          <w:tcPr>
            <w:tcW w:w="906" w:type="dxa"/>
          </w:tcPr>
          <w:p w14:paraId="40C2E0B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19652</w:t>
            </w:r>
          </w:p>
        </w:tc>
        <w:tc>
          <w:tcPr>
            <w:tcW w:w="906" w:type="dxa"/>
          </w:tcPr>
          <w:p w14:paraId="0F345EC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2008</w:t>
            </w:r>
          </w:p>
        </w:tc>
        <w:tc>
          <w:tcPr>
            <w:tcW w:w="906" w:type="dxa"/>
          </w:tcPr>
          <w:p w14:paraId="67256B0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38000</w:t>
            </w:r>
          </w:p>
        </w:tc>
        <w:tc>
          <w:tcPr>
            <w:tcW w:w="907" w:type="dxa"/>
          </w:tcPr>
          <w:p w14:paraId="21890C1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2018</w:t>
            </w:r>
          </w:p>
        </w:tc>
        <w:tc>
          <w:tcPr>
            <w:tcW w:w="907" w:type="dxa"/>
          </w:tcPr>
          <w:p w14:paraId="21A0DE6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80000</w:t>
            </w:r>
          </w:p>
        </w:tc>
      </w:tr>
      <w:tr w:rsidR="002210A7" w:rsidRPr="00D11D21" w14:paraId="675DDB56" w14:textId="77777777" w:rsidTr="00B7491C">
        <w:tc>
          <w:tcPr>
            <w:tcW w:w="906" w:type="dxa"/>
          </w:tcPr>
          <w:p w14:paraId="03849A9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1979</w:t>
            </w:r>
          </w:p>
        </w:tc>
        <w:tc>
          <w:tcPr>
            <w:tcW w:w="906" w:type="dxa"/>
          </w:tcPr>
          <w:p w14:paraId="112AE28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714</w:t>
            </w:r>
          </w:p>
        </w:tc>
        <w:tc>
          <w:tcPr>
            <w:tcW w:w="906" w:type="dxa"/>
          </w:tcPr>
          <w:p w14:paraId="354128D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1989</w:t>
            </w:r>
          </w:p>
        </w:tc>
        <w:tc>
          <w:tcPr>
            <w:tcW w:w="906" w:type="dxa"/>
          </w:tcPr>
          <w:p w14:paraId="1FC7904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9200</w:t>
            </w:r>
          </w:p>
        </w:tc>
        <w:tc>
          <w:tcPr>
            <w:tcW w:w="906" w:type="dxa"/>
          </w:tcPr>
          <w:p w14:paraId="45F5B52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1999</w:t>
            </w:r>
          </w:p>
        </w:tc>
        <w:tc>
          <w:tcPr>
            <w:tcW w:w="906" w:type="dxa"/>
          </w:tcPr>
          <w:p w14:paraId="7E34559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19872</w:t>
            </w:r>
          </w:p>
        </w:tc>
        <w:tc>
          <w:tcPr>
            <w:tcW w:w="906" w:type="dxa"/>
          </w:tcPr>
          <w:p w14:paraId="38C45E5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2009</w:t>
            </w:r>
          </w:p>
        </w:tc>
        <w:tc>
          <w:tcPr>
            <w:tcW w:w="906" w:type="dxa"/>
          </w:tcPr>
          <w:p w14:paraId="606328F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38000</w:t>
            </w:r>
          </w:p>
        </w:tc>
        <w:tc>
          <w:tcPr>
            <w:tcW w:w="907" w:type="dxa"/>
          </w:tcPr>
          <w:p w14:paraId="57272F8C" w14:textId="77777777" w:rsidR="002210A7" w:rsidRPr="00D11D21" w:rsidRDefault="002210A7" w:rsidP="00D11D21">
            <w:pPr>
              <w:jc w:val="both"/>
              <w:rPr>
                <w:rFonts w:asciiTheme="majorBidi" w:hAnsiTheme="majorBidi" w:cstheme="majorBidi"/>
                <w:szCs w:val="24"/>
              </w:rPr>
            </w:pPr>
          </w:p>
        </w:tc>
        <w:tc>
          <w:tcPr>
            <w:tcW w:w="907" w:type="dxa"/>
          </w:tcPr>
          <w:p w14:paraId="1557E0F5" w14:textId="77777777" w:rsidR="002210A7" w:rsidRPr="00D11D21" w:rsidRDefault="002210A7" w:rsidP="00D11D21">
            <w:pPr>
              <w:jc w:val="both"/>
              <w:rPr>
                <w:rFonts w:asciiTheme="majorBidi" w:hAnsiTheme="majorBidi" w:cstheme="majorBidi"/>
                <w:szCs w:val="24"/>
              </w:rPr>
            </w:pPr>
          </w:p>
        </w:tc>
      </w:tr>
      <w:tr w:rsidR="002210A7" w:rsidRPr="00D11D21" w14:paraId="00ECEF41" w14:textId="77777777" w:rsidTr="00B7491C">
        <w:tc>
          <w:tcPr>
            <w:tcW w:w="906" w:type="dxa"/>
          </w:tcPr>
          <w:p w14:paraId="16B4654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1980</w:t>
            </w:r>
          </w:p>
        </w:tc>
        <w:tc>
          <w:tcPr>
            <w:tcW w:w="906" w:type="dxa"/>
          </w:tcPr>
          <w:p w14:paraId="219D67D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1126</w:t>
            </w:r>
          </w:p>
        </w:tc>
        <w:tc>
          <w:tcPr>
            <w:tcW w:w="906" w:type="dxa"/>
          </w:tcPr>
          <w:p w14:paraId="2EA5C5A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1990</w:t>
            </w:r>
          </w:p>
        </w:tc>
        <w:tc>
          <w:tcPr>
            <w:tcW w:w="906" w:type="dxa"/>
          </w:tcPr>
          <w:p w14:paraId="289B642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8600</w:t>
            </w:r>
          </w:p>
        </w:tc>
        <w:tc>
          <w:tcPr>
            <w:tcW w:w="906" w:type="dxa"/>
          </w:tcPr>
          <w:p w14:paraId="6C5D8AD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2000</w:t>
            </w:r>
          </w:p>
        </w:tc>
        <w:tc>
          <w:tcPr>
            <w:tcW w:w="906" w:type="dxa"/>
          </w:tcPr>
          <w:p w14:paraId="5BA3A10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20540</w:t>
            </w:r>
          </w:p>
        </w:tc>
        <w:tc>
          <w:tcPr>
            <w:tcW w:w="906" w:type="dxa"/>
          </w:tcPr>
          <w:p w14:paraId="2F64BA5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2010</w:t>
            </w:r>
          </w:p>
        </w:tc>
        <w:tc>
          <w:tcPr>
            <w:tcW w:w="906" w:type="dxa"/>
          </w:tcPr>
          <w:p w14:paraId="464D9C0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38000</w:t>
            </w:r>
          </w:p>
        </w:tc>
        <w:tc>
          <w:tcPr>
            <w:tcW w:w="907" w:type="dxa"/>
          </w:tcPr>
          <w:p w14:paraId="2A67C57C" w14:textId="77777777" w:rsidR="002210A7" w:rsidRPr="00D11D21" w:rsidRDefault="002210A7" w:rsidP="00D11D21">
            <w:pPr>
              <w:jc w:val="both"/>
              <w:rPr>
                <w:rFonts w:asciiTheme="majorBidi" w:hAnsiTheme="majorBidi" w:cstheme="majorBidi"/>
                <w:szCs w:val="24"/>
              </w:rPr>
            </w:pPr>
          </w:p>
        </w:tc>
        <w:tc>
          <w:tcPr>
            <w:tcW w:w="907" w:type="dxa"/>
          </w:tcPr>
          <w:p w14:paraId="6A0FF312" w14:textId="77777777" w:rsidR="002210A7" w:rsidRPr="00D11D21" w:rsidRDefault="002210A7" w:rsidP="00D11D21">
            <w:pPr>
              <w:jc w:val="both"/>
              <w:rPr>
                <w:rFonts w:asciiTheme="majorBidi" w:hAnsiTheme="majorBidi" w:cstheme="majorBidi"/>
                <w:szCs w:val="24"/>
              </w:rPr>
            </w:pPr>
          </w:p>
        </w:tc>
      </w:tr>
      <w:tr w:rsidR="002210A7" w:rsidRPr="00D11D21" w14:paraId="18D0677E" w14:textId="77777777" w:rsidTr="00B7491C">
        <w:tc>
          <w:tcPr>
            <w:tcW w:w="906" w:type="dxa"/>
          </w:tcPr>
          <w:p w14:paraId="1CA351C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1981</w:t>
            </w:r>
          </w:p>
        </w:tc>
        <w:tc>
          <w:tcPr>
            <w:tcW w:w="906" w:type="dxa"/>
          </w:tcPr>
          <w:p w14:paraId="4086005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1410</w:t>
            </w:r>
          </w:p>
        </w:tc>
        <w:tc>
          <w:tcPr>
            <w:tcW w:w="906" w:type="dxa"/>
          </w:tcPr>
          <w:p w14:paraId="6FC8BB6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1991</w:t>
            </w:r>
          </w:p>
        </w:tc>
        <w:tc>
          <w:tcPr>
            <w:tcW w:w="906" w:type="dxa"/>
          </w:tcPr>
          <w:p w14:paraId="02CB194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9500</w:t>
            </w:r>
          </w:p>
        </w:tc>
        <w:tc>
          <w:tcPr>
            <w:tcW w:w="906" w:type="dxa"/>
          </w:tcPr>
          <w:p w14:paraId="4495296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2001</w:t>
            </w:r>
          </w:p>
        </w:tc>
        <w:tc>
          <w:tcPr>
            <w:tcW w:w="906" w:type="dxa"/>
          </w:tcPr>
          <w:p w14:paraId="2963581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21500</w:t>
            </w:r>
          </w:p>
        </w:tc>
        <w:tc>
          <w:tcPr>
            <w:tcW w:w="906" w:type="dxa"/>
          </w:tcPr>
          <w:p w14:paraId="6337A09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2011</w:t>
            </w:r>
          </w:p>
        </w:tc>
        <w:tc>
          <w:tcPr>
            <w:tcW w:w="906" w:type="dxa"/>
          </w:tcPr>
          <w:p w14:paraId="6818446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38000</w:t>
            </w:r>
          </w:p>
        </w:tc>
        <w:tc>
          <w:tcPr>
            <w:tcW w:w="907" w:type="dxa"/>
          </w:tcPr>
          <w:p w14:paraId="06040553" w14:textId="77777777" w:rsidR="002210A7" w:rsidRPr="00D11D21" w:rsidRDefault="002210A7" w:rsidP="00D11D21">
            <w:pPr>
              <w:jc w:val="both"/>
              <w:rPr>
                <w:rFonts w:asciiTheme="majorBidi" w:hAnsiTheme="majorBidi" w:cstheme="majorBidi"/>
                <w:szCs w:val="24"/>
              </w:rPr>
            </w:pPr>
          </w:p>
        </w:tc>
        <w:tc>
          <w:tcPr>
            <w:tcW w:w="907" w:type="dxa"/>
          </w:tcPr>
          <w:p w14:paraId="634CEA96" w14:textId="77777777" w:rsidR="002210A7" w:rsidRPr="00D11D21" w:rsidRDefault="002210A7" w:rsidP="00D11D21">
            <w:pPr>
              <w:jc w:val="both"/>
              <w:rPr>
                <w:rFonts w:asciiTheme="majorBidi" w:hAnsiTheme="majorBidi" w:cstheme="majorBidi"/>
                <w:szCs w:val="24"/>
              </w:rPr>
            </w:pPr>
          </w:p>
        </w:tc>
      </w:tr>
      <w:tr w:rsidR="002210A7" w:rsidRPr="00D11D21" w14:paraId="7DEA2A3C" w14:textId="77777777" w:rsidTr="00B7491C">
        <w:tc>
          <w:tcPr>
            <w:tcW w:w="906" w:type="dxa"/>
          </w:tcPr>
          <w:p w14:paraId="0E1F0EF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1982</w:t>
            </w:r>
          </w:p>
        </w:tc>
        <w:tc>
          <w:tcPr>
            <w:tcW w:w="906" w:type="dxa"/>
          </w:tcPr>
          <w:p w14:paraId="588CCF9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1800</w:t>
            </w:r>
          </w:p>
        </w:tc>
        <w:tc>
          <w:tcPr>
            <w:tcW w:w="906" w:type="dxa"/>
          </w:tcPr>
          <w:p w14:paraId="2D0411B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1992</w:t>
            </w:r>
          </w:p>
        </w:tc>
        <w:tc>
          <w:tcPr>
            <w:tcW w:w="906" w:type="dxa"/>
          </w:tcPr>
          <w:p w14:paraId="1027A49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9500</w:t>
            </w:r>
          </w:p>
        </w:tc>
        <w:tc>
          <w:tcPr>
            <w:tcW w:w="906" w:type="dxa"/>
          </w:tcPr>
          <w:p w14:paraId="5BE2274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2002</w:t>
            </w:r>
          </w:p>
        </w:tc>
        <w:tc>
          <w:tcPr>
            <w:tcW w:w="906" w:type="dxa"/>
          </w:tcPr>
          <w:p w14:paraId="0E0969E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24000</w:t>
            </w:r>
          </w:p>
        </w:tc>
        <w:tc>
          <w:tcPr>
            <w:tcW w:w="906" w:type="dxa"/>
          </w:tcPr>
          <w:p w14:paraId="1A312CC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2012</w:t>
            </w:r>
          </w:p>
        </w:tc>
        <w:tc>
          <w:tcPr>
            <w:tcW w:w="906" w:type="dxa"/>
          </w:tcPr>
          <w:p w14:paraId="6B8F579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48000</w:t>
            </w:r>
          </w:p>
        </w:tc>
        <w:tc>
          <w:tcPr>
            <w:tcW w:w="907" w:type="dxa"/>
          </w:tcPr>
          <w:p w14:paraId="751FDD0C" w14:textId="77777777" w:rsidR="002210A7" w:rsidRPr="00D11D21" w:rsidRDefault="002210A7" w:rsidP="00D11D21">
            <w:pPr>
              <w:jc w:val="both"/>
              <w:rPr>
                <w:rFonts w:asciiTheme="majorBidi" w:hAnsiTheme="majorBidi" w:cstheme="majorBidi"/>
                <w:szCs w:val="24"/>
              </w:rPr>
            </w:pPr>
          </w:p>
        </w:tc>
        <w:tc>
          <w:tcPr>
            <w:tcW w:w="907" w:type="dxa"/>
          </w:tcPr>
          <w:p w14:paraId="6270012E" w14:textId="77777777" w:rsidR="002210A7" w:rsidRPr="00D11D21" w:rsidRDefault="002210A7" w:rsidP="00D11D21">
            <w:pPr>
              <w:jc w:val="both"/>
              <w:rPr>
                <w:rFonts w:asciiTheme="majorBidi" w:hAnsiTheme="majorBidi" w:cstheme="majorBidi"/>
                <w:szCs w:val="24"/>
              </w:rPr>
            </w:pPr>
          </w:p>
        </w:tc>
      </w:tr>
      <w:tr w:rsidR="002210A7" w:rsidRPr="00D11D21" w14:paraId="280850F1" w14:textId="77777777" w:rsidTr="00B7491C">
        <w:tc>
          <w:tcPr>
            <w:tcW w:w="906" w:type="dxa"/>
          </w:tcPr>
          <w:p w14:paraId="1B63288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1983</w:t>
            </w:r>
          </w:p>
        </w:tc>
        <w:tc>
          <w:tcPr>
            <w:tcW w:w="906" w:type="dxa"/>
          </w:tcPr>
          <w:p w14:paraId="46175A4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2102</w:t>
            </w:r>
          </w:p>
        </w:tc>
        <w:tc>
          <w:tcPr>
            <w:tcW w:w="906" w:type="dxa"/>
          </w:tcPr>
          <w:p w14:paraId="08F014D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1993</w:t>
            </w:r>
          </w:p>
        </w:tc>
        <w:tc>
          <w:tcPr>
            <w:tcW w:w="906" w:type="dxa"/>
          </w:tcPr>
          <w:p w14:paraId="7D5C3FE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9983</w:t>
            </w:r>
          </w:p>
        </w:tc>
        <w:tc>
          <w:tcPr>
            <w:tcW w:w="906" w:type="dxa"/>
          </w:tcPr>
          <w:p w14:paraId="570CDC9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2003</w:t>
            </w:r>
          </w:p>
        </w:tc>
        <w:tc>
          <w:tcPr>
            <w:tcW w:w="906" w:type="dxa"/>
          </w:tcPr>
          <w:p w14:paraId="2378160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25000</w:t>
            </w:r>
          </w:p>
        </w:tc>
        <w:tc>
          <w:tcPr>
            <w:tcW w:w="906" w:type="dxa"/>
          </w:tcPr>
          <w:p w14:paraId="50F1DDB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2013</w:t>
            </w:r>
          </w:p>
        </w:tc>
        <w:tc>
          <w:tcPr>
            <w:tcW w:w="906" w:type="dxa"/>
          </w:tcPr>
          <w:p w14:paraId="69D380C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49000</w:t>
            </w:r>
          </w:p>
        </w:tc>
        <w:tc>
          <w:tcPr>
            <w:tcW w:w="907" w:type="dxa"/>
          </w:tcPr>
          <w:p w14:paraId="7200678C" w14:textId="77777777" w:rsidR="002210A7" w:rsidRPr="00D11D21" w:rsidRDefault="002210A7" w:rsidP="00D11D21">
            <w:pPr>
              <w:jc w:val="both"/>
              <w:rPr>
                <w:rFonts w:asciiTheme="majorBidi" w:hAnsiTheme="majorBidi" w:cstheme="majorBidi"/>
                <w:szCs w:val="24"/>
              </w:rPr>
            </w:pPr>
          </w:p>
        </w:tc>
        <w:tc>
          <w:tcPr>
            <w:tcW w:w="907" w:type="dxa"/>
          </w:tcPr>
          <w:p w14:paraId="14915F79" w14:textId="77777777" w:rsidR="002210A7" w:rsidRPr="00D11D21" w:rsidRDefault="002210A7" w:rsidP="00D11D21">
            <w:pPr>
              <w:jc w:val="both"/>
              <w:rPr>
                <w:rFonts w:asciiTheme="majorBidi" w:hAnsiTheme="majorBidi" w:cstheme="majorBidi"/>
                <w:szCs w:val="24"/>
              </w:rPr>
            </w:pPr>
          </w:p>
        </w:tc>
      </w:tr>
    </w:tbl>
    <w:p w14:paraId="6215F8ED" w14:textId="77777777" w:rsidR="002210A7" w:rsidRPr="00D11D21" w:rsidRDefault="002210A7" w:rsidP="00D11D21">
      <w:pPr>
        <w:jc w:val="both"/>
        <w:rPr>
          <w:rFonts w:asciiTheme="majorBidi" w:hAnsiTheme="majorBidi" w:cstheme="majorBidi"/>
          <w:szCs w:val="24"/>
        </w:rPr>
      </w:pPr>
    </w:p>
    <w:p w14:paraId="7FFB91F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Données extraites du document interne fourni par la CNAS – « Contribution de la sécurité sociale au financement », 2018.</w:t>
      </w:r>
    </w:p>
    <w:p w14:paraId="711B597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L’analyse des données montre que la participation de la sécurité sociale au financement des dépenses de santé en Algérie a connu une évolution marquée au fil des décennies. Dans les années 1970, sa contribution restait limitée (environ 23 % en 1974), l’État assurant l’essentiel des dépenses grâce à une situation budgétaire favorable. Cependant, à partir des années 1980, et plus fortement après 1985, la sécurité sociale a commencé à jouer un rôle beaucoup plus important. Cette évolution s’explique par la baisse des recettes pétrolières et les contraintes budgétaires de l’État, obligeant ce dernier à faire appel à d’autres sources de financement pour garantir la continuité des services de santé.</w:t>
      </w:r>
    </w:p>
    <w:p w14:paraId="4145096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Au début des années 2000, la part de la sécurité sociale a de nouveau connu des fluctuations, influencée par l’amélioration des recettes publiques. Malgré cela, elle reste aujourd’hui un acteur majeur et structurant dans le financement du système de santé, avec des pics de participation atteignant 33 % en 2008. Cette évolution confirme une tendance de consolidation de son rôle dans un système basé sur la solidarité, notamment dans le financement des soins hospitaliers et la prise en charge des populations vulnérables.</w:t>
      </w:r>
    </w:p>
    <w:p w14:paraId="10873533" w14:textId="77777777" w:rsidR="002210A7" w:rsidRPr="00D11D21" w:rsidRDefault="002210A7" w:rsidP="00D11D21">
      <w:pPr>
        <w:pStyle w:val="Titre2"/>
        <w:rPr>
          <w:rFonts w:asciiTheme="majorBidi" w:hAnsiTheme="majorBidi"/>
          <w:szCs w:val="24"/>
        </w:rPr>
      </w:pPr>
      <w:bookmarkStart w:id="96" w:name="_Toc199958862"/>
      <w:r w:rsidRPr="00D11D21">
        <w:rPr>
          <w:rFonts w:asciiTheme="majorBidi" w:hAnsiTheme="majorBidi"/>
          <w:szCs w:val="24"/>
        </w:rPr>
        <w:lastRenderedPageBreak/>
        <w:t>Contribution des ménages</w:t>
      </w:r>
      <w:bookmarkEnd w:id="96"/>
    </w:p>
    <w:p w14:paraId="2E10AB83" w14:textId="77777777" w:rsidR="00A4378F" w:rsidRPr="00D11D21" w:rsidRDefault="00A4378F" w:rsidP="00D11D21">
      <w:pPr>
        <w:jc w:val="both"/>
        <w:rPr>
          <w:rFonts w:asciiTheme="majorBidi" w:hAnsiTheme="majorBidi" w:cstheme="majorBidi"/>
          <w:szCs w:val="24"/>
        </w:rPr>
      </w:pPr>
      <w:r w:rsidRPr="00D11D21">
        <w:rPr>
          <w:rFonts w:asciiTheme="majorBidi" w:hAnsiTheme="majorBidi" w:cstheme="majorBidi"/>
          <w:szCs w:val="24"/>
        </w:rPr>
        <w:t>Ils bénéficient d'une hospitalisation gratuite ainsi que de tous les soins proposés par secteur public. Toutefois, ils s'acquittent d'une somme équivalente au ticket modérateur pour les soins ambulatoires, notamment pour les actes de radiologie et de biologie.</w:t>
      </w:r>
    </w:p>
    <w:p w14:paraId="50908D17" w14:textId="0CA6DDC0"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De ce fait, ils restent perpétuellement responsables de deux éléments : d'une part, une partie  des dépenses liées à l'utilisation du secteur privé est assumée par la sécurité sociale (ticket modérateur), et d'autre part, ils se procurent des biens et services médicaux qui ne sont pas remboursés, que ce soit parce qu'ils ne sont pas bénéficiaires par la sécurité sociale, soit parce qu'ils ont recours à l'automédication, ou encore parce qu'ils ne respectent pas ou n'ont pas tenu compte des exigences imposées par la sécurité sociale. C’est la source de financement le moins connue (pour ne pas dire inconnue) et en particulier on ignore son volume et la part exacte qu’elle représente dans l’ensemble </w:t>
      </w:r>
      <w:r w:rsidR="00201164" w:rsidRPr="00D11D21">
        <w:rPr>
          <w:rFonts w:asciiTheme="majorBidi" w:hAnsiTheme="majorBidi" w:cstheme="majorBidi"/>
          <w:szCs w:val="24"/>
        </w:rPr>
        <w:t>des dépenses</w:t>
      </w:r>
      <w:r w:rsidRPr="00D11D21">
        <w:rPr>
          <w:rFonts w:asciiTheme="majorBidi" w:hAnsiTheme="majorBidi" w:cstheme="majorBidi"/>
          <w:szCs w:val="24"/>
        </w:rPr>
        <w:t xml:space="preserve"> de soins.</w:t>
      </w:r>
      <w:r w:rsidRPr="00D11D21">
        <w:rPr>
          <w:rStyle w:val="Appelnotedebasdep"/>
          <w:rFonts w:asciiTheme="majorBidi" w:hAnsiTheme="majorBidi" w:cstheme="majorBidi"/>
          <w:szCs w:val="24"/>
        </w:rPr>
        <w:footnoteReference w:id="62"/>
      </w:r>
    </w:p>
    <w:p w14:paraId="0A7D62B5" w14:textId="77777777" w:rsidR="00A4378F" w:rsidRPr="00D11D21" w:rsidRDefault="00A4378F" w:rsidP="00D11D21">
      <w:pPr>
        <w:jc w:val="both"/>
        <w:rPr>
          <w:rFonts w:asciiTheme="majorBidi" w:hAnsiTheme="majorBidi" w:cstheme="majorBidi"/>
          <w:szCs w:val="24"/>
        </w:rPr>
      </w:pPr>
      <w:r w:rsidRPr="00D11D21">
        <w:rPr>
          <w:rFonts w:asciiTheme="majorBidi" w:hAnsiTheme="majorBidi" w:cstheme="majorBidi"/>
          <w:szCs w:val="24"/>
        </w:rPr>
        <w:t>Selon l'article 165 de la loi de finances, introduit en 1995 et qui prévoit la mise en œuvre du ticket modérateur en Algérie, il est prévu que les patients contribuent à différents coûts des soins par le biais de la restauration et de l'hébergement dans les établissements sanitaires.</w:t>
      </w:r>
    </w:p>
    <w:p w14:paraId="07406BA9" w14:textId="77777777" w:rsidR="002210A7" w:rsidRPr="00D11D21" w:rsidRDefault="00A4378F" w:rsidP="00D11D21">
      <w:pPr>
        <w:jc w:val="both"/>
        <w:rPr>
          <w:rFonts w:asciiTheme="majorBidi" w:hAnsiTheme="majorBidi" w:cstheme="majorBidi"/>
          <w:szCs w:val="24"/>
        </w:rPr>
      </w:pPr>
      <w:r w:rsidRPr="00D11D21">
        <w:rPr>
          <w:rFonts w:asciiTheme="majorBidi" w:hAnsiTheme="majorBidi" w:cstheme="majorBidi"/>
          <w:szCs w:val="24"/>
        </w:rPr>
        <w:t xml:space="preserve">Les ménages ont commencé à constituer une part importante du financement du système de santé national en matière de dépenses de santé. Effectivement, entre 1992 et 2005, leurs dépenses dans le domaine de la santé équivalaient à presque un quart de l'ensemble des dépenses de </w:t>
      </w:r>
      <w:r w:rsidR="002210A7" w:rsidRPr="00D11D21">
        <w:rPr>
          <w:rFonts w:asciiTheme="majorBidi" w:hAnsiTheme="majorBidi" w:cstheme="majorBidi"/>
          <w:szCs w:val="24"/>
        </w:rPr>
        <w:t>santé.</w:t>
      </w:r>
      <w:r w:rsidR="002210A7" w:rsidRPr="00D11D21">
        <w:rPr>
          <w:rStyle w:val="Appelnotedebasdep"/>
          <w:rFonts w:asciiTheme="majorBidi" w:hAnsiTheme="majorBidi" w:cstheme="majorBidi"/>
          <w:szCs w:val="24"/>
        </w:rPr>
        <w:footnoteReference w:id="63"/>
      </w:r>
    </w:p>
    <w:p w14:paraId="324D2F7F" w14:textId="77777777" w:rsidR="002210A7" w:rsidRPr="00D11D21" w:rsidRDefault="00A4378F" w:rsidP="00D11D21">
      <w:pPr>
        <w:jc w:val="both"/>
        <w:rPr>
          <w:rFonts w:asciiTheme="majorBidi" w:hAnsiTheme="majorBidi" w:cstheme="majorBidi"/>
          <w:szCs w:val="24"/>
        </w:rPr>
      </w:pPr>
      <w:r w:rsidRPr="00D11D21">
        <w:rPr>
          <w:rFonts w:asciiTheme="majorBidi" w:hAnsiTheme="majorBidi" w:cstheme="majorBidi"/>
          <w:szCs w:val="24"/>
        </w:rPr>
        <w:t>Depuis 2005, on a observé une diminution de la participation des ménages, atteignant 18,8% en 2006, 18,4% en 2007 et tombant à 13,8% en 2009</w:t>
      </w:r>
      <w:r w:rsidR="002210A7" w:rsidRPr="00D11D21">
        <w:rPr>
          <w:rFonts w:asciiTheme="majorBidi" w:hAnsiTheme="majorBidi" w:cstheme="majorBidi"/>
          <w:szCs w:val="24"/>
        </w:rPr>
        <w:t>. Cette situation peut être attribuée au rôle majeur joué par de l'État suite à la crise financière qui a touché l'économie algérienne dès cette période, stimulée par la hausse des prix des hydrocarbures.</w:t>
      </w:r>
    </w:p>
    <w:p w14:paraId="5623E17E" w14:textId="77777777" w:rsidR="002210A7" w:rsidRPr="00D11D21" w:rsidRDefault="00044672" w:rsidP="00D11D21">
      <w:pPr>
        <w:pStyle w:val="Titre2"/>
        <w:rPr>
          <w:rFonts w:asciiTheme="majorBidi" w:hAnsiTheme="majorBidi"/>
          <w:szCs w:val="24"/>
        </w:rPr>
      </w:pPr>
      <w:r w:rsidRPr="00D11D21">
        <w:rPr>
          <w:rFonts w:asciiTheme="majorBidi" w:hAnsiTheme="majorBidi"/>
          <w:szCs w:val="24"/>
        </w:rPr>
        <w:t xml:space="preserve"> </w:t>
      </w:r>
      <w:bookmarkStart w:id="97" w:name="_Toc199958863"/>
      <w:r w:rsidRPr="00D11D21">
        <w:rPr>
          <w:rFonts w:asciiTheme="majorBidi" w:hAnsiTheme="majorBidi"/>
          <w:szCs w:val="24"/>
        </w:rPr>
        <w:t>Autres</w:t>
      </w:r>
      <w:r w:rsidR="002210A7" w:rsidRPr="00D11D21">
        <w:rPr>
          <w:rFonts w:asciiTheme="majorBidi" w:hAnsiTheme="majorBidi"/>
          <w:szCs w:val="24"/>
        </w:rPr>
        <w:t xml:space="preserve"> sources alternatives du financement des dépenses de santé :</w:t>
      </w:r>
      <w:bookmarkEnd w:id="97"/>
    </w:p>
    <w:p w14:paraId="398E8E1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En Algérie, le financement du système de santé repose principalement sur les ressources publiques, en particulier l'État et la sécurité sociale. Néanmoins, en raison des contraintes </w:t>
      </w:r>
      <w:r w:rsidRPr="00D11D21">
        <w:rPr>
          <w:rFonts w:asciiTheme="majorBidi" w:hAnsiTheme="majorBidi" w:cstheme="majorBidi"/>
          <w:szCs w:val="24"/>
        </w:rPr>
        <w:lastRenderedPageBreak/>
        <w:t xml:space="preserve">budgétaires et à la nécessité d’assurer la pérennité du système, il devient nécessaire de chercher d'autres sources de financement. </w:t>
      </w:r>
    </w:p>
    <w:p w14:paraId="2CEEEB9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Parmi ces sources complémentaires, on peut citer</w:t>
      </w:r>
      <w:r w:rsidRPr="00D11D21">
        <w:rPr>
          <w:rStyle w:val="Appelnotedebasdep"/>
          <w:rFonts w:asciiTheme="majorBidi" w:hAnsiTheme="majorBidi" w:cstheme="majorBidi"/>
          <w:szCs w:val="24"/>
        </w:rPr>
        <w:footnoteReference w:id="64"/>
      </w:r>
      <w:r w:rsidRPr="00D11D21">
        <w:rPr>
          <w:rFonts w:asciiTheme="majorBidi" w:hAnsiTheme="majorBidi" w:cstheme="majorBidi"/>
          <w:szCs w:val="24"/>
        </w:rPr>
        <w:t xml:space="preserve"> :</w:t>
      </w:r>
    </w:p>
    <w:p w14:paraId="3C2528DC" w14:textId="580F68F1" w:rsidR="0079332C" w:rsidRPr="00D11D21" w:rsidRDefault="0079332C" w:rsidP="00D11D21">
      <w:pPr>
        <w:pStyle w:val="Paragraphedeliste"/>
        <w:numPr>
          <w:ilvl w:val="0"/>
          <w:numId w:val="43"/>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Les mutuelles et les assurances </w:t>
      </w:r>
      <w:r w:rsidR="00201164" w:rsidRPr="00D11D21">
        <w:rPr>
          <w:rFonts w:asciiTheme="majorBidi" w:hAnsiTheme="majorBidi" w:cstheme="majorBidi"/>
          <w:szCs w:val="24"/>
        </w:rPr>
        <w:t>santés complémentaires</w:t>
      </w:r>
      <w:r w:rsidRPr="00D11D21">
        <w:rPr>
          <w:rFonts w:asciiTheme="majorBidi" w:hAnsiTheme="majorBidi" w:cstheme="majorBidi"/>
          <w:szCs w:val="24"/>
        </w:rPr>
        <w:t>, qui ont pour mission de couvrir les dépenses non prises en charge par le système public, sont conscientes de la restriction du pouvoir d'achat des ménages.</w:t>
      </w:r>
    </w:p>
    <w:p w14:paraId="789D64C6" w14:textId="77777777" w:rsidR="002210A7" w:rsidRPr="00D11D21" w:rsidRDefault="002210A7" w:rsidP="00D11D21">
      <w:pPr>
        <w:pStyle w:val="Paragraphedeliste"/>
        <w:numPr>
          <w:ilvl w:val="0"/>
          <w:numId w:val="43"/>
        </w:numPr>
        <w:spacing w:after="160" w:line="360" w:lineRule="auto"/>
        <w:jc w:val="both"/>
        <w:rPr>
          <w:rFonts w:asciiTheme="majorBidi" w:hAnsiTheme="majorBidi" w:cstheme="majorBidi"/>
          <w:szCs w:val="24"/>
        </w:rPr>
      </w:pPr>
      <w:r w:rsidRPr="00D11D21">
        <w:rPr>
          <w:rFonts w:asciiTheme="majorBidi" w:hAnsiTheme="majorBidi" w:cstheme="majorBidi"/>
          <w:szCs w:val="24"/>
        </w:rPr>
        <w:t>L'engagement des entreprises et des administrations, encadré par des lois et règlements, concerne particulièrement les actions de prévention liées aux risques professionnels et à la santé des employés.</w:t>
      </w:r>
    </w:p>
    <w:p w14:paraId="492FEC80" w14:textId="77777777" w:rsidR="0079332C" w:rsidRPr="00D11D21" w:rsidRDefault="0079332C" w:rsidP="00D11D21">
      <w:pPr>
        <w:pStyle w:val="Paragraphedeliste"/>
        <w:numPr>
          <w:ilvl w:val="0"/>
          <w:numId w:val="43"/>
        </w:numPr>
        <w:spacing w:after="160" w:line="360" w:lineRule="auto"/>
        <w:jc w:val="both"/>
        <w:rPr>
          <w:rFonts w:asciiTheme="majorBidi" w:hAnsiTheme="majorBidi" w:cstheme="majorBidi"/>
          <w:szCs w:val="24"/>
        </w:rPr>
      </w:pPr>
      <w:r w:rsidRPr="00D11D21">
        <w:rPr>
          <w:rFonts w:asciiTheme="majorBidi" w:hAnsiTheme="majorBidi" w:cstheme="majorBidi"/>
          <w:szCs w:val="24"/>
        </w:rPr>
        <w:t>Les sociétés d'assurance privées, qui participent au financement des coûts associés aux médicaments et à certains traitements spécifiques, proposent donc une couverture complémentaire à leurs assurés.</w:t>
      </w:r>
    </w:p>
    <w:p w14:paraId="4E90CBFB" w14:textId="77777777" w:rsidR="002210A7" w:rsidRPr="00D11D21" w:rsidRDefault="00C9349B" w:rsidP="00D11D21">
      <w:pPr>
        <w:pStyle w:val="Paragraphedeliste"/>
        <w:numPr>
          <w:ilvl w:val="0"/>
          <w:numId w:val="43"/>
        </w:numPr>
        <w:spacing w:after="160" w:line="360" w:lineRule="auto"/>
        <w:jc w:val="both"/>
        <w:rPr>
          <w:rFonts w:asciiTheme="majorBidi" w:hAnsiTheme="majorBidi" w:cstheme="majorBidi"/>
          <w:szCs w:val="24"/>
        </w:rPr>
      </w:pPr>
      <w:r w:rsidRPr="00D11D21">
        <w:rPr>
          <w:rFonts w:asciiTheme="majorBidi" w:hAnsiTheme="majorBidi" w:cstheme="majorBidi"/>
          <w:szCs w:val="24"/>
        </w:rPr>
        <w:t>Les entités locales comme les APC et APW contribuent au financement de la santé en soutenant le financement de l'éducation sanitaire et des initiatives préventives, entre autres.</w:t>
      </w:r>
      <w:r w:rsidR="002210A7" w:rsidRPr="00D11D21">
        <w:rPr>
          <w:rFonts w:asciiTheme="majorBidi" w:hAnsiTheme="majorBidi" w:cstheme="majorBidi"/>
          <w:szCs w:val="24"/>
        </w:rPr>
        <w:t>… etc.</w:t>
      </w:r>
    </w:p>
    <w:p w14:paraId="23EE421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Ces mécanismes contribuent à diversifier les sources de financement, à alléger la pression sur les finances publiques et à améliorer l’accès aux soins, notamment pour les populations vulnérables. Cependant, leur progression est encore limitée et requiert un cadre institutionnel et réglementaire plus renforcé pour garantir leur efficacité et leur équité. </w:t>
      </w:r>
    </w:p>
    <w:p w14:paraId="066A2109" w14:textId="77777777" w:rsidR="002210A7" w:rsidRPr="00D11D21" w:rsidRDefault="002210A7" w:rsidP="00D11D21">
      <w:pPr>
        <w:pStyle w:val="Titre1"/>
        <w:jc w:val="both"/>
        <w:rPr>
          <w:rFonts w:asciiTheme="majorBidi" w:eastAsiaTheme="minorEastAsia" w:hAnsiTheme="majorBidi"/>
          <w:sz w:val="24"/>
          <w:szCs w:val="24"/>
          <w:lang w:eastAsia="fr-FR"/>
        </w:rPr>
      </w:pPr>
      <w:bookmarkStart w:id="98" w:name="_Toc199958864"/>
      <w:r w:rsidRPr="00D11D21">
        <w:rPr>
          <w:rFonts w:asciiTheme="majorBidi" w:eastAsiaTheme="minorEastAsia" w:hAnsiTheme="majorBidi"/>
          <w:sz w:val="24"/>
          <w:szCs w:val="24"/>
          <w:lang w:eastAsia="fr-FR"/>
        </w:rPr>
        <w:t>Section3 : Le Financement des Hôpitaux Publics en Algérie</w:t>
      </w:r>
      <w:bookmarkEnd w:id="98"/>
    </w:p>
    <w:p w14:paraId="3081FDF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Depuis 1974, avec l’institutionnalisation de la médecine gratuite, une nouvelle procédure dénommée « budget global » a été mise en place pour le financement des hôpitaux.  La budgétisation vient se substituer au mode de rémunération pratiquait depuis l’indépendance appelée "prix de journée". Ce budget total est distr</w:t>
      </w:r>
      <w:r w:rsidR="00997331" w:rsidRPr="00D11D21">
        <w:rPr>
          <w:rFonts w:asciiTheme="majorBidi" w:hAnsiTheme="majorBidi" w:cstheme="majorBidi"/>
          <w:szCs w:val="24"/>
        </w:rPr>
        <w:t xml:space="preserve">ibué à l'avance conformément à la </w:t>
      </w:r>
      <w:r w:rsidRPr="00D11D21">
        <w:rPr>
          <w:rFonts w:asciiTheme="majorBidi" w:hAnsiTheme="majorBidi" w:cstheme="majorBidi"/>
          <w:szCs w:val="24"/>
        </w:rPr>
        <w:t xml:space="preserve">nomenclature budgétaire. Le financement des établissements publics de santé dispose de l'ensemble des ressources générées par leurs activités ainsi que celles qui leurs sont affectées.  Il est important de différencier deux sources distinctes. L'établissement public hospitalier peut bénéficier de financements externes, tels que le budget de l'État et la sécurité sociale, pour ses </w:t>
      </w:r>
      <w:r w:rsidRPr="00D11D21">
        <w:rPr>
          <w:rFonts w:asciiTheme="majorBidi" w:hAnsiTheme="majorBidi" w:cstheme="majorBidi"/>
          <w:szCs w:val="24"/>
        </w:rPr>
        <w:lastRenderedPageBreak/>
        <w:t>ressources budgétaires. Le patient peut également participer par le biais des services et prestations que l'établissement lui propose.</w:t>
      </w:r>
    </w:p>
    <w:p w14:paraId="05F96A5E" w14:textId="77777777" w:rsidR="002210A7" w:rsidRPr="00D11D21" w:rsidRDefault="002210A7" w:rsidP="00D11D21">
      <w:pPr>
        <w:pStyle w:val="Titre2"/>
        <w:numPr>
          <w:ilvl w:val="0"/>
          <w:numId w:val="131"/>
        </w:numPr>
        <w:rPr>
          <w:rFonts w:asciiTheme="majorBidi" w:hAnsiTheme="majorBidi"/>
          <w:szCs w:val="24"/>
        </w:rPr>
      </w:pPr>
      <w:r w:rsidRPr="00D11D21">
        <w:rPr>
          <w:rFonts w:asciiTheme="majorBidi" w:hAnsiTheme="majorBidi"/>
          <w:szCs w:val="24"/>
        </w:rPr>
        <w:t xml:space="preserve"> </w:t>
      </w:r>
      <w:bookmarkStart w:id="99" w:name="_Toc199958865"/>
      <w:r w:rsidRPr="00D11D21">
        <w:rPr>
          <w:rFonts w:asciiTheme="majorBidi" w:hAnsiTheme="majorBidi"/>
          <w:szCs w:val="24"/>
        </w:rPr>
        <w:t>Les sources de financement de l’hôpital public :</w:t>
      </w:r>
      <w:bookmarkEnd w:id="99"/>
    </w:p>
    <w:p w14:paraId="4C72460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L’hôpital public en Algérie est financé principalement par l’Etat, la sécurité sociale et les patients</w:t>
      </w:r>
    </w:p>
    <w:p w14:paraId="597AAB35" w14:textId="6C53BA84" w:rsidR="0082188D" w:rsidRPr="00D11D21" w:rsidRDefault="0082188D" w:rsidP="00D11D21">
      <w:pPr>
        <w:pStyle w:val="Lgende"/>
        <w:keepNext/>
        <w:spacing w:line="360" w:lineRule="auto"/>
        <w:jc w:val="both"/>
        <w:rPr>
          <w:rFonts w:asciiTheme="majorBidi" w:hAnsiTheme="majorBidi" w:cstheme="majorBidi"/>
          <w:color w:val="auto"/>
          <w:sz w:val="24"/>
          <w:szCs w:val="24"/>
        </w:rPr>
      </w:pPr>
      <w:bookmarkStart w:id="100" w:name="_Toc200210071"/>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Les sources de financement des établissements publics de santé</w:t>
      </w:r>
      <w:bookmarkEnd w:id="100"/>
    </w:p>
    <w:p w14:paraId="7B2607B2" w14:textId="5924C3B0" w:rsidR="002210A7" w:rsidRPr="00D11D21" w:rsidRDefault="002210A7" w:rsidP="00D11D21">
      <w:pPr>
        <w:jc w:val="both"/>
        <w:rPr>
          <w:rFonts w:asciiTheme="majorBidi" w:hAnsiTheme="majorBidi" w:cstheme="majorBidi"/>
          <w:szCs w:val="24"/>
        </w:rPr>
      </w:pPr>
      <w:r w:rsidRPr="00D11D21">
        <w:rPr>
          <w:rFonts w:asciiTheme="majorBidi" w:hAnsiTheme="majorBidi" w:cstheme="majorBidi"/>
          <w:noProof/>
          <w:szCs w:val="24"/>
          <w:lang w:eastAsia="fr-FR"/>
        </w:rPr>
        <mc:AlternateContent>
          <mc:Choice Requires="wps">
            <w:drawing>
              <wp:anchor distT="0" distB="0" distL="114300" distR="114300" simplePos="0" relativeHeight="251678720" behindDoc="0" locked="0" layoutInCell="1" allowOverlap="1" wp14:anchorId="3FDDDDF3" wp14:editId="3D9896A2">
                <wp:simplePos x="0" y="0"/>
                <wp:positionH relativeFrom="column">
                  <wp:posOffset>1767205</wp:posOffset>
                </wp:positionH>
                <wp:positionV relativeFrom="paragraph">
                  <wp:posOffset>32385</wp:posOffset>
                </wp:positionV>
                <wp:extent cx="1431235" cy="523875"/>
                <wp:effectExtent l="0" t="0" r="17145" b="28575"/>
                <wp:wrapNone/>
                <wp:docPr id="18" name="Rectangle à coins arrondis 18"/>
                <wp:cNvGraphicFramePr/>
                <a:graphic xmlns:a="http://schemas.openxmlformats.org/drawingml/2006/main">
                  <a:graphicData uri="http://schemas.microsoft.com/office/word/2010/wordprocessingShape">
                    <wps:wsp>
                      <wps:cNvSpPr/>
                      <wps:spPr>
                        <a:xfrm>
                          <a:off x="0" y="0"/>
                          <a:ext cx="1431235" cy="523875"/>
                        </a:xfrm>
                        <a:prstGeom prst="roundRect">
                          <a:avLst/>
                        </a:prstGeom>
                      </wps:spPr>
                      <wps:style>
                        <a:lnRef idx="2">
                          <a:schemeClr val="dk1"/>
                        </a:lnRef>
                        <a:fillRef idx="1">
                          <a:schemeClr val="lt1"/>
                        </a:fillRef>
                        <a:effectRef idx="0">
                          <a:schemeClr val="dk1"/>
                        </a:effectRef>
                        <a:fontRef idx="minor">
                          <a:schemeClr val="dk1"/>
                        </a:fontRef>
                      </wps:style>
                      <wps:txbx>
                        <w:txbxContent>
                          <w:p w14:paraId="6382BE17" w14:textId="77777777" w:rsidR="0095621A" w:rsidRPr="00285533" w:rsidRDefault="0095621A" w:rsidP="00B7491C">
                            <w:pPr>
                              <w:jc w:val="center"/>
                              <w:rPr>
                                <w:color w:val="000000" w:themeColor="text1"/>
                                <w:sz w:val="12"/>
                                <w:szCs w:val="1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85533">
                              <w:rPr>
                                <w:color w:val="000000" w:themeColor="text1"/>
                                <w:sz w:val="18"/>
                                <w:szCs w:val="18"/>
                              </w:rPr>
                              <w:t>Financement des établissements de santé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DDDDF3" id="Rectangle à coins arrondis 18" o:spid="_x0000_s1052" style="position:absolute;left:0;text-align:left;margin-left:139.15pt;margin-top:2.55pt;width:112.7pt;height:41.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" fillcolor="white [3201]" strokecolor="black [3200]" strokeweight="1pt">
                <v:stroke joinstyle="miter"/>
                <v:textbox>
                  <w:txbxContent>
                    <w:p w14:paraId="6382BE17" w14:textId="77777777" w:rsidR="0095621A" w:rsidRPr="00285533" w:rsidRDefault="0095621A" w:rsidP="00B7491C">
                      <w:pPr>
                        <w:jc w:val="center"/>
                        <w:rPr>
                          <w:color w:val="000000" w:themeColor="text1"/>
                          <w:sz w:val="12"/>
                          <w:szCs w:val="1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85533">
                        <w:rPr>
                          <w:color w:val="000000" w:themeColor="text1"/>
                          <w:sz w:val="18"/>
                          <w:szCs w:val="18"/>
                        </w:rPr>
                        <w:t>Financement des établissements de santé</w:t>
                      </w:r>
                    </w:p>
                  </w:txbxContent>
                </v:textbox>
              </v:roundrect>
            </w:pict>
          </mc:Fallback>
        </mc:AlternateContent>
      </w:r>
    </w:p>
    <w:p w14:paraId="29C3690D" w14:textId="77777777" w:rsidR="002210A7" w:rsidRPr="00D11D21" w:rsidRDefault="002210A7" w:rsidP="00D11D21">
      <w:pPr>
        <w:pStyle w:val="Paragraphedeliste"/>
        <w:spacing w:line="360" w:lineRule="auto"/>
        <w:jc w:val="both"/>
        <w:rPr>
          <w:rFonts w:asciiTheme="majorBidi" w:hAnsiTheme="majorBidi" w:cstheme="majorBidi"/>
          <w:szCs w:val="24"/>
        </w:rPr>
      </w:pPr>
      <w:r w:rsidRPr="00D11D21">
        <w:rPr>
          <w:rFonts w:asciiTheme="majorBidi" w:hAnsiTheme="majorBidi" w:cstheme="majorBidi"/>
          <w:noProof/>
          <w:szCs w:val="24"/>
        </w:rPr>
        <mc:AlternateContent>
          <mc:Choice Requires="wps">
            <w:drawing>
              <wp:anchor distT="0" distB="0" distL="114300" distR="114300" simplePos="0" relativeHeight="251687936" behindDoc="0" locked="0" layoutInCell="1" allowOverlap="1" wp14:anchorId="21D79926" wp14:editId="671B078A">
                <wp:simplePos x="0" y="0"/>
                <wp:positionH relativeFrom="column">
                  <wp:posOffset>2455241</wp:posOffset>
                </wp:positionH>
                <wp:positionV relativeFrom="paragraph">
                  <wp:posOffset>225314</wp:posOffset>
                </wp:positionV>
                <wp:extent cx="1224501" cy="373656"/>
                <wp:effectExtent l="0" t="0" r="71120" b="64770"/>
                <wp:wrapNone/>
                <wp:docPr id="19" name="Connecteur droit avec flèche 19"/>
                <wp:cNvGraphicFramePr/>
                <a:graphic xmlns:a="http://schemas.openxmlformats.org/drawingml/2006/main">
                  <a:graphicData uri="http://schemas.microsoft.com/office/word/2010/wordprocessingShape">
                    <wps:wsp>
                      <wps:cNvCnPr/>
                      <wps:spPr>
                        <a:xfrm>
                          <a:off x="0" y="0"/>
                          <a:ext cx="1224501" cy="3736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150A919" id="Connecteur droit avec flèche 19" o:spid="_x0000_s1026" type="#_x0000_t32" style="position:absolute;margin-left:193.35pt;margin-top:17.75pt;width:96.4pt;height:29.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" strokecolor="black [3200]" strokeweight=".5pt">
                <v:stroke endarrow="block" joinstyle="miter"/>
              </v:shape>
            </w:pict>
          </mc:Fallback>
        </mc:AlternateContent>
      </w:r>
      <w:r w:rsidRPr="00D11D21">
        <w:rPr>
          <w:rFonts w:asciiTheme="majorBidi" w:hAnsiTheme="majorBidi" w:cstheme="majorBidi"/>
          <w:noProof/>
          <w:szCs w:val="24"/>
        </w:rPr>
        <mc:AlternateContent>
          <mc:Choice Requires="wps">
            <w:drawing>
              <wp:anchor distT="0" distB="0" distL="114300" distR="114300" simplePos="0" relativeHeight="251685888" behindDoc="0" locked="0" layoutInCell="1" allowOverlap="1" wp14:anchorId="12FD36F1" wp14:editId="17316E0E">
                <wp:simplePos x="0" y="0"/>
                <wp:positionH relativeFrom="column">
                  <wp:posOffset>1112603</wp:posOffset>
                </wp:positionH>
                <wp:positionV relativeFrom="paragraph">
                  <wp:posOffset>225315</wp:posOffset>
                </wp:positionV>
                <wp:extent cx="1319419" cy="326003"/>
                <wp:effectExtent l="19050" t="0" r="14605" b="74295"/>
                <wp:wrapNone/>
                <wp:docPr id="20" name="Connecteur droit avec flèche 20"/>
                <wp:cNvGraphicFramePr/>
                <a:graphic xmlns:a="http://schemas.openxmlformats.org/drawingml/2006/main">
                  <a:graphicData uri="http://schemas.microsoft.com/office/word/2010/wordprocessingShape">
                    <wps:wsp>
                      <wps:cNvCnPr/>
                      <wps:spPr>
                        <a:xfrm flipH="1">
                          <a:off x="0" y="0"/>
                          <a:ext cx="1319419" cy="3260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AB4BDB" id="Connecteur droit avec flèche 20" o:spid="_x0000_s1026" type="#_x0000_t32" style="position:absolute;margin-left:87.6pt;margin-top:17.75pt;width:103.9pt;height:25.6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" strokecolor="black [3200]" strokeweight=".5pt">
                <v:stroke endarrow="block" joinstyle="miter"/>
              </v:shape>
            </w:pict>
          </mc:Fallback>
        </mc:AlternateContent>
      </w:r>
      <w:r w:rsidRPr="00D11D21">
        <w:rPr>
          <w:rFonts w:asciiTheme="majorBidi" w:hAnsiTheme="majorBidi" w:cstheme="majorBidi"/>
          <w:noProof/>
          <w:szCs w:val="24"/>
        </w:rPr>
        <mc:AlternateContent>
          <mc:Choice Requires="wps">
            <w:drawing>
              <wp:anchor distT="0" distB="0" distL="114300" distR="114300" simplePos="0" relativeHeight="251686912" behindDoc="0" locked="0" layoutInCell="1" allowOverlap="1" wp14:anchorId="5E57D2E5" wp14:editId="6A4283CA">
                <wp:simplePos x="0" y="0"/>
                <wp:positionH relativeFrom="column">
                  <wp:posOffset>2431415</wp:posOffset>
                </wp:positionH>
                <wp:positionV relativeFrom="paragraph">
                  <wp:posOffset>216894</wp:posOffset>
                </wp:positionV>
                <wp:extent cx="0" cy="397565"/>
                <wp:effectExtent l="76200" t="0" r="57150" b="59690"/>
                <wp:wrapNone/>
                <wp:docPr id="21" name="Connecteur droit avec flèche 21"/>
                <wp:cNvGraphicFramePr/>
                <a:graphic xmlns:a="http://schemas.openxmlformats.org/drawingml/2006/main">
                  <a:graphicData uri="http://schemas.microsoft.com/office/word/2010/wordprocessingShape">
                    <wps:wsp>
                      <wps:cNvCnPr/>
                      <wps:spPr>
                        <a:xfrm>
                          <a:off x="0" y="0"/>
                          <a:ext cx="0" cy="3975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C37CAA" id="Connecteur droit avec flèche 21" o:spid="_x0000_s1026" type="#_x0000_t32" style="position:absolute;margin-left:191.45pt;margin-top:17.1pt;width:0;height:31.3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" strokecolor="black [3200]" strokeweight=".5pt">
                <v:stroke endarrow="block" joinstyle="miter"/>
              </v:shape>
            </w:pict>
          </mc:Fallback>
        </mc:AlternateContent>
      </w:r>
    </w:p>
    <w:p w14:paraId="48A1D264" w14:textId="77777777" w:rsidR="002210A7" w:rsidRPr="00D11D21" w:rsidRDefault="00997331" w:rsidP="00D11D21">
      <w:pPr>
        <w:jc w:val="both"/>
        <w:rPr>
          <w:rFonts w:asciiTheme="majorBidi" w:hAnsiTheme="majorBidi" w:cstheme="majorBidi"/>
          <w:szCs w:val="24"/>
        </w:rPr>
      </w:pPr>
      <w:r w:rsidRPr="00D11D21">
        <w:rPr>
          <w:rFonts w:asciiTheme="majorBidi" w:hAnsiTheme="majorBidi" w:cstheme="majorBidi"/>
          <w:noProof/>
          <w:szCs w:val="24"/>
          <w:lang w:eastAsia="fr-FR"/>
        </w:rPr>
        <mc:AlternateContent>
          <mc:Choice Requires="wps">
            <w:drawing>
              <wp:anchor distT="0" distB="0" distL="114300" distR="114300" simplePos="0" relativeHeight="251679744" behindDoc="0" locked="0" layoutInCell="1" allowOverlap="1" wp14:anchorId="3FC8E8FC" wp14:editId="199EF127">
                <wp:simplePos x="0" y="0"/>
                <wp:positionH relativeFrom="column">
                  <wp:posOffset>690880</wp:posOffset>
                </wp:positionH>
                <wp:positionV relativeFrom="paragraph">
                  <wp:posOffset>368299</wp:posOffset>
                </wp:positionV>
                <wp:extent cx="834390" cy="485775"/>
                <wp:effectExtent l="0" t="0" r="22860" b="28575"/>
                <wp:wrapNone/>
                <wp:docPr id="24" name="Rectangle à coins arrondis 24"/>
                <wp:cNvGraphicFramePr/>
                <a:graphic xmlns:a="http://schemas.openxmlformats.org/drawingml/2006/main">
                  <a:graphicData uri="http://schemas.microsoft.com/office/word/2010/wordprocessingShape">
                    <wps:wsp>
                      <wps:cNvSpPr/>
                      <wps:spPr>
                        <a:xfrm>
                          <a:off x="0" y="0"/>
                          <a:ext cx="834390" cy="485775"/>
                        </a:xfrm>
                        <a:prstGeom prst="roundRect">
                          <a:avLst/>
                        </a:prstGeom>
                      </wps:spPr>
                      <wps:style>
                        <a:lnRef idx="2">
                          <a:schemeClr val="dk1"/>
                        </a:lnRef>
                        <a:fillRef idx="1">
                          <a:schemeClr val="lt1"/>
                        </a:fillRef>
                        <a:effectRef idx="0">
                          <a:schemeClr val="dk1"/>
                        </a:effectRef>
                        <a:fontRef idx="minor">
                          <a:schemeClr val="dk1"/>
                        </a:fontRef>
                      </wps:style>
                      <wps:txbx>
                        <w:txbxContent>
                          <w:p w14:paraId="43BD1F10" w14:textId="77777777" w:rsidR="0095621A" w:rsidRPr="00285533" w:rsidRDefault="0095621A" w:rsidP="00B7491C">
                            <w:pPr>
                              <w:spacing w:after="0"/>
                              <w:jc w:val="center"/>
                              <w:rPr>
                                <w:color w:val="000000" w:themeColor="text1"/>
                                <w:sz w:val="18"/>
                                <w:szCs w:val="18"/>
                              </w:rPr>
                            </w:pPr>
                            <w:r w:rsidRPr="00285533">
                              <w:rPr>
                                <w:color w:val="000000" w:themeColor="text1"/>
                                <w:sz w:val="18"/>
                                <w:szCs w:val="18"/>
                              </w:rPr>
                              <w:t>La sécurité sociale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C8E8FC" id="Rectangle à coins arrondis 24" o:spid="_x0000_s1053" style="position:absolute;left:0;text-align:left;margin-left:54.4pt;margin-top:29pt;width:65.7pt;height:3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" fillcolor="white [3201]" strokecolor="black [3200]" strokeweight="1pt">
                <v:stroke joinstyle="miter"/>
                <v:textbox>
                  <w:txbxContent>
                    <w:p w14:paraId="43BD1F10" w14:textId="77777777" w:rsidR="0095621A" w:rsidRPr="00285533" w:rsidRDefault="0095621A" w:rsidP="00B7491C">
                      <w:pPr>
                        <w:spacing w:after="0"/>
                        <w:jc w:val="center"/>
                        <w:rPr>
                          <w:color w:val="000000" w:themeColor="text1"/>
                          <w:sz w:val="18"/>
                          <w:szCs w:val="18"/>
                        </w:rPr>
                      </w:pPr>
                      <w:r w:rsidRPr="00285533">
                        <w:rPr>
                          <w:color w:val="000000" w:themeColor="text1"/>
                          <w:sz w:val="18"/>
                          <w:szCs w:val="18"/>
                        </w:rPr>
                        <w:t>La sécurité sociale</w:t>
                      </w:r>
                    </w:p>
                  </w:txbxContent>
                </v:textbox>
              </v:roundrect>
            </w:pict>
          </mc:Fallback>
        </mc:AlternateContent>
      </w:r>
    </w:p>
    <w:p w14:paraId="495D92C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noProof/>
          <w:szCs w:val="24"/>
          <w:lang w:eastAsia="fr-FR"/>
        </w:rPr>
        <mc:AlternateContent>
          <mc:Choice Requires="wps">
            <w:drawing>
              <wp:anchor distT="0" distB="0" distL="114300" distR="114300" simplePos="0" relativeHeight="251681792" behindDoc="0" locked="0" layoutInCell="1" allowOverlap="1" wp14:anchorId="0CAA2556" wp14:editId="766712F4">
                <wp:simplePos x="0" y="0"/>
                <wp:positionH relativeFrom="column">
                  <wp:posOffset>3266495</wp:posOffset>
                </wp:positionH>
                <wp:positionV relativeFrom="paragraph">
                  <wp:posOffset>3810</wp:posOffset>
                </wp:positionV>
                <wp:extent cx="898497" cy="420370"/>
                <wp:effectExtent l="0" t="0" r="16510" b="17780"/>
                <wp:wrapNone/>
                <wp:docPr id="22" name="Rectangle à coins arrondis 22"/>
                <wp:cNvGraphicFramePr/>
                <a:graphic xmlns:a="http://schemas.openxmlformats.org/drawingml/2006/main">
                  <a:graphicData uri="http://schemas.microsoft.com/office/word/2010/wordprocessingShape">
                    <wps:wsp>
                      <wps:cNvSpPr/>
                      <wps:spPr>
                        <a:xfrm>
                          <a:off x="0" y="0"/>
                          <a:ext cx="898497" cy="420370"/>
                        </a:xfrm>
                        <a:prstGeom prst="roundRect">
                          <a:avLst/>
                        </a:prstGeom>
                      </wps:spPr>
                      <wps:style>
                        <a:lnRef idx="2">
                          <a:schemeClr val="dk1"/>
                        </a:lnRef>
                        <a:fillRef idx="1">
                          <a:schemeClr val="lt1"/>
                        </a:fillRef>
                        <a:effectRef idx="0">
                          <a:schemeClr val="dk1"/>
                        </a:effectRef>
                        <a:fontRef idx="minor">
                          <a:schemeClr val="dk1"/>
                        </a:fontRef>
                      </wps:style>
                      <wps:txbx>
                        <w:txbxContent>
                          <w:p w14:paraId="1BCF9C76" w14:textId="77777777" w:rsidR="0095621A" w:rsidRPr="00285533" w:rsidRDefault="0095621A" w:rsidP="00B7491C">
                            <w:pPr>
                              <w:jc w:val="center"/>
                              <w:rPr>
                                <w:color w:val="000000" w:themeColor="text1"/>
                                <w:sz w:val="20"/>
                                <w:szCs w:val="20"/>
                              </w:rPr>
                            </w:pPr>
                            <w:r w:rsidRPr="00285533">
                              <w:rPr>
                                <w:color w:val="000000" w:themeColor="text1"/>
                                <w:sz w:val="20"/>
                                <w:szCs w:val="20"/>
                              </w:rPr>
                              <w:t>Les ménages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AA2556" id="Rectangle à coins arrondis 22" o:spid="_x0000_s1054" style="position:absolute;left:0;text-align:left;margin-left:257.2pt;margin-top:.3pt;width:70.75pt;height:33.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" fillcolor="white [3201]" strokecolor="black [3200]" strokeweight="1pt">
                <v:stroke joinstyle="miter"/>
                <v:textbox>
                  <w:txbxContent>
                    <w:p w14:paraId="1BCF9C76" w14:textId="77777777" w:rsidR="0095621A" w:rsidRPr="00285533" w:rsidRDefault="0095621A" w:rsidP="00B7491C">
                      <w:pPr>
                        <w:jc w:val="center"/>
                        <w:rPr>
                          <w:color w:val="000000" w:themeColor="text1"/>
                          <w:sz w:val="20"/>
                          <w:szCs w:val="20"/>
                        </w:rPr>
                      </w:pPr>
                      <w:r w:rsidRPr="00285533">
                        <w:rPr>
                          <w:color w:val="000000" w:themeColor="text1"/>
                          <w:sz w:val="20"/>
                          <w:szCs w:val="20"/>
                        </w:rPr>
                        <w:t>Les ménages</w:t>
                      </w:r>
                    </w:p>
                  </w:txbxContent>
                </v:textbox>
              </v:roundrect>
            </w:pict>
          </mc:Fallback>
        </mc:AlternateContent>
      </w:r>
      <w:r w:rsidRPr="00D11D21">
        <w:rPr>
          <w:rFonts w:asciiTheme="majorBidi" w:hAnsiTheme="majorBidi" w:cstheme="majorBidi"/>
          <w:noProof/>
          <w:szCs w:val="24"/>
          <w:lang w:eastAsia="fr-FR"/>
        </w:rPr>
        <mc:AlternateContent>
          <mc:Choice Requires="wps">
            <w:drawing>
              <wp:anchor distT="0" distB="0" distL="114300" distR="114300" simplePos="0" relativeHeight="251680768" behindDoc="0" locked="0" layoutInCell="1" allowOverlap="1" wp14:anchorId="6B4F1C1D" wp14:editId="54F67FF1">
                <wp:simplePos x="0" y="0"/>
                <wp:positionH relativeFrom="column">
                  <wp:posOffset>2033960</wp:posOffset>
                </wp:positionH>
                <wp:positionV relativeFrom="paragraph">
                  <wp:posOffset>3424</wp:posOffset>
                </wp:positionV>
                <wp:extent cx="834390" cy="428818"/>
                <wp:effectExtent l="0" t="0" r="22860" b="28575"/>
                <wp:wrapNone/>
                <wp:docPr id="23" name="Rectangle à coins arrondis 23"/>
                <wp:cNvGraphicFramePr/>
                <a:graphic xmlns:a="http://schemas.openxmlformats.org/drawingml/2006/main">
                  <a:graphicData uri="http://schemas.microsoft.com/office/word/2010/wordprocessingShape">
                    <wps:wsp>
                      <wps:cNvSpPr/>
                      <wps:spPr>
                        <a:xfrm>
                          <a:off x="0" y="0"/>
                          <a:ext cx="834390" cy="428818"/>
                        </a:xfrm>
                        <a:prstGeom prst="roundRect">
                          <a:avLst/>
                        </a:prstGeom>
                      </wps:spPr>
                      <wps:style>
                        <a:lnRef idx="2">
                          <a:schemeClr val="dk1"/>
                        </a:lnRef>
                        <a:fillRef idx="1">
                          <a:schemeClr val="lt1"/>
                        </a:fillRef>
                        <a:effectRef idx="0">
                          <a:schemeClr val="dk1"/>
                        </a:effectRef>
                        <a:fontRef idx="minor">
                          <a:schemeClr val="dk1"/>
                        </a:fontRef>
                      </wps:style>
                      <wps:txbx>
                        <w:txbxContent>
                          <w:p w14:paraId="234CDBC4" w14:textId="77777777" w:rsidR="0095621A" w:rsidRPr="00285533" w:rsidRDefault="0095621A" w:rsidP="00B7491C">
                            <w:pPr>
                              <w:jc w:val="center"/>
                              <w:rPr>
                                <w:color w:val="000000" w:themeColor="text1"/>
                                <w:sz w:val="20"/>
                                <w:szCs w:val="20"/>
                              </w:rPr>
                            </w:pPr>
                            <w:r w:rsidRPr="00285533">
                              <w:rPr>
                                <w:color w:val="000000" w:themeColor="text1"/>
                                <w:sz w:val="20"/>
                                <w:szCs w:val="20"/>
                              </w:rPr>
                              <w:t>L’état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B4F1C1D" id="Rectangle à coins arrondis 23" o:spid="_x0000_s1055" style="position:absolute;left:0;text-align:left;margin-left:160.15pt;margin-top:.25pt;width:65.7pt;height:33.7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" fillcolor="white [3201]" strokecolor="black [3200]" strokeweight="1pt">
                <v:stroke joinstyle="miter"/>
                <v:textbox>
                  <w:txbxContent>
                    <w:p w14:paraId="234CDBC4" w14:textId="77777777" w:rsidR="0095621A" w:rsidRPr="00285533" w:rsidRDefault="0095621A" w:rsidP="00B7491C">
                      <w:pPr>
                        <w:jc w:val="center"/>
                        <w:rPr>
                          <w:color w:val="000000" w:themeColor="text1"/>
                          <w:sz w:val="20"/>
                          <w:szCs w:val="20"/>
                        </w:rPr>
                      </w:pPr>
                      <w:r w:rsidRPr="00285533">
                        <w:rPr>
                          <w:color w:val="000000" w:themeColor="text1"/>
                          <w:sz w:val="20"/>
                          <w:szCs w:val="20"/>
                        </w:rPr>
                        <w:t>L’état</w:t>
                      </w:r>
                    </w:p>
                  </w:txbxContent>
                </v:textbox>
              </v:roundrect>
            </w:pict>
          </mc:Fallback>
        </mc:AlternateContent>
      </w:r>
    </w:p>
    <w:p w14:paraId="5D5D1452" w14:textId="77777777" w:rsidR="006625B1" w:rsidRPr="00D11D21" w:rsidRDefault="006625B1" w:rsidP="00D11D21">
      <w:pPr>
        <w:tabs>
          <w:tab w:val="left" w:pos="5635"/>
        </w:tabs>
        <w:jc w:val="both"/>
        <w:rPr>
          <w:rFonts w:asciiTheme="majorBidi" w:hAnsiTheme="majorBidi" w:cstheme="majorBidi"/>
          <w:szCs w:val="24"/>
        </w:rPr>
      </w:pPr>
    </w:p>
    <w:p w14:paraId="21A48DE7" w14:textId="7362F043" w:rsidR="006625B1" w:rsidRPr="00D11D21" w:rsidRDefault="00B55C34" w:rsidP="00D11D21">
      <w:pPr>
        <w:tabs>
          <w:tab w:val="left" w:pos="5635"/>
        </w:tabs>
        <w:jc w:val="both"/>
        <w:rPr>
          <w:rFonts w:asciiTheme="majorBidi" w:hAnsiTheme="majorBidi" w:cstheme="majorBidi"/>
          <w:szCs w:val="24"/>
        </w:rPr>
      </w:pPr>
      <w:r w:rsidRPr="00D11D21">
        <w:rPr>
          <w:rFonts w:asciiTheme="majorBidi" w:hAnsiTheme="majorBidi" w:cstheme="majorBidi"/>
          <w:noProof/>
          <w:szCs w:val="24"/>
          <w:lang w:eastAsia="fr-FR"/>
        </w:rPr>
        <mc:AlternateContent>
          <mc:Choice Requires="wps">
            <w:drawing>
              <wp:anchor distT="0" distB="0" distL="114300" distR="114300" simplePos="0" relativeHeight="251682816" behindDoc="0" locked="0" layoutInCell="1" allowOverlap="1" wp14:anchorId="08B39409" wp14:editId="20D0C4B0">
                <wp:simplePos x="0" y="0"/>
                <wp:positionH relativeFrom="column">
                  <wp:posOffset>3296187</wp:posOffset>
                </wp:positionH>
                <wp:positionV relativeFrom="paragraph">
                  <wp:posOffset>155331</wp:posOffset>
                </wp:positionV>
                <wp:extent cx="1000125" cy="619125"/>
                <wp:effectExtent l="0" t="0" r="28575" b="28575"/>
                <wp:wrapNone/>
                <wp:docPr id="28" name="Rectangle à coins arrondis 28"/>
                <wp:cNvGraphicFramePr/>
                <a:graphic xmlns:a="http://schemas.openxmlformats.org/drawingml/2006/main">
                  <a:graphicData uri="http://schemas.microsoft.com/office/word/2010/wordprocessingShape">
                    <wps:wsp>
                      <wps:cNvSpPr/>
                      <wps:spPr>
                        <a:xfrm>
                          <a:off x="0" y="0"/>
                          <a:ext cx="1000125" cy="619125"/>
                        </a:xfrm>
                        <a:prstGeom prst="roundRect">
                          <a:avLst/>
                        </a:prstGeom>
                      </wps:spPr>
                      <wps:style>
                        <a:lnRef idx="2">
                          <a:schemeClr val="dk1"/>
                        </a:lnRef>
                        <a:fillRef idx="1">
                          <a:schemeClr val="lt1"/>
                        </a:fillRef>
                        <a:effectRef idx="0">
                          <a:schemeClr val="dk1"/>
                        </a:effectRef>
                        <a:fontRef idx="minor">
                          <a:schemeClr val="dk1"/>
                        </a:fontRef>
                      </wps:style>
                      <wps:txbx>
                        <w:txbxContent>
                          <w:p w14:paraId="12B9B5B4" w14:textId="77777777" w:rsidR="0095621A" w:rsidRPr="00285533" w:rsidRDefault="0095621A" w:rsidP="00B7491C">
                            <w:pPr>
                              <w:jc w:val="center"/>
                              <w:rPr>
                                <w:color w:val="000000" w:themeColor="text1"/>
                              </w:rPr>
                            </w:pPr>
                            <w:r w:rsidRPr="00285533">
                              <w:rPr>
                                <w:color w:val="000000" w:themeColor="text1"/>
                              </w:rPr>
                              <w:t>Ticket modérateur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B39409" id="Rectangle à coins arrondis 28" o:spid="_x0000_s1056" style="position:absolute;left:0;text-align:left;margin-left:259.55pt;margin-top:12.25pt;width:78.75pt;height:48.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" fillcolor="white [3201]" strokecolor="black [3200]" strokeweight="1pt">
                <v:stroke joinstyle="miter"/>
                <v:textbox>
                  <w:txbxContent>
                    <w:p w14:paraId="12B9B5B4" w14:textId="77777777" w:rsidR="0095621A" w:rsidRPr="00285533" w:rsidRDefault="0095621A" w:rsidP="00B7491C">
                      <w:pPr>
                        <w:jc w:val="center"/>
                        <w:rPr>
                          <w:color w:val="000000" w:themeColor="text1"/>
                        </w:rPr>
                      </w:pPr>
                      <w:r w:rsidRPr="00285533">
                        <w:rPr>
                          <w:color w:val="000000" w:themeColor="text1"/>
                        </w:rPr>
                        <w:t>Ticket modérateur</w:t>
                      </w:r>
                    </w:p>
                  </w:txbxContent>
                </v:textbox>
              </v:roundrect>
            </w:pict>
          </mc:Fallback>
        </mc:AlternateContent>
      </w:r>
      <w:r w:rsidRPr="00D11D21">
        <w:rPr>
          <w:rFonts w:asciiTheme="majorBidi" w:hAnsiTheme="majorBidi" w:cstheme="majorBidi"/>
          <w:noProof/>
          <w:szCs w:val="24"/>
          <w:lang w:eastAsia="fr-FR"/>
        </w:rPr>
        <mc:AlternateContent>
          <mc:Choice Requires="wps">
            <w:drawing>
              <wp:anchor distT="0" distB="0" distL="114300" distR="114300" simplePos="0" relativeHeight="251683840" behindDoc="0" locked="0" layoutInCell="1" allowOverlap="1" wp14:anchorId="2F2AE1CC" wp14:editId="7F020087">
                <wp:simplePos x="0" y="0"/>
                <wp:positionH relativeFrom="column">
                  <wp:posOffset>1989455</wp:posOffset>
                </wp:positionH>
                <wp:positionV relativeFrom="paragraph">
                  <wp:posOffset>192747</wp:posOffset>
                </wp:positionV>
                <wp:extent cx="834390" cy="600075"/>
                <wp:effectExtent l="0" t="0" r="22860" b="28575"/>
                <wp:wrapNone/>
                <wp:docPr id="46" name="Rectangle à coins arrondis 46"/>
                <wp:cNvGraphicFramePr/>
                <a:graphic xmlns:a="http://schemas.openxmlformats.org/drawingml/2006/main">
                  <a:graphicData uri="http://schemas.microsoft.com/office/word/2010/wordprocessingShape">
                    <wps:wsp>
                      <wps:cNvSpPr/>
                      <wps:spPr>
                        <a:xfrm>
                          <a:off x="0" y="0"/>
                          <a:ext cx="834390" cy="600075"/>
                        </a:xfrm>
                        <a:prstGeom prst="roundRect">
                          <a:avLst/>
                        </a:prstGeom>
                      </wps:spPr>
                      <wps:style>
                        <a:lnRef idx="2">
                          <a:schemeClr val="dk1"/>
                        </a:lnRef>
                        <a:fillRef idx="1">
                          <a:schemeClr val="lt1"/>
                        </a:fillRef>
                        <a:effectRef idx="0">
                          <a:schemeClr val="dk1"/>
                        </a:effectRef>
                        <a:fontRef idx="minor">
                          <a:schemeClr val="dk1"/>
                        </a:fontRef>
                      </wps:style>
                      <wps:txbx>
                        <w:txbxContent>
                          <w:p w14:paraId="6DE747AD" w14:textId="77777777" w:rsidR="0095621A" w:rsidRPr="00285533" w:rsidRDefault="0095621A" w:rsidP="00B7491C">
                            <w:pPr>
                              <w:jc w:val="center"/>
                              <w:rPr>
                                <w:color w:val="000000" w:themeColor="text1"/>
                              </w:rPr>
                            </w:pPr>
                            <w:r w:rsidRPr="00285533">
                              <w:rPr>
                                <w:color w:val="000000" w:themeColor="text1"/>
                              </w:rPr>
                              <w:t>Le budg</w:t>
                            </w:r>
                            <w:r>
                              <w:rPr>
                                <w:color w:val="000000" w:themeColor="text1"/>
                              </w:rPr>
                              <w:t>e</w:t>
                            </w:r>
                            <w:r w:rsidRPr="00285533">
                              <w:rPr>
                                <w:color w:val="000000" w:themeColor="text1"/>
                              </w:rPr>
                              <w:t>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F2AE1CC" id="Rectangle à coins arrondis 46" o:spid="_x0000_s1057" style="position:absolute;left:0;text-align:left;margin-left:156.65pt;margin-top:15.2pt;width:65.7pt;height:47.2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" fillcolor="white [3201]" strokecolor="black [3200]" strokeweight="1pt">
                <v:stroke joinstyle="miter"/>
                <v:textbox>
                  <w:txbxContent>
                    <w:p w14:paraId="6DE747AD" w14:textId="77777777" w:rsidR="0095621A" w:rsidRPr="00285533" w:rsidRDefault="0095621A" w:rsidP="00B7491C">
                      <w:pPr>
                        <w:jc w:val="center"/>
                        <w:rPr>
                          <w:color w:val="000000" w:themeColor="text1"/>
                        </w:rPr>
                      </w:pPr>
                      <w:r w:rsidRPr="00285533">
                        <w:rPr>
                          <w:color w:val="000000" w:themeColor="text1"/>
                        </w:rPr>
                        <w:t>Le budg</w:t>
                      </w:r>
                      <w:r>
                        <w:rPr>
                          <w:color w:val="000000" w:themeColor="text1"/>
                        </w:rPr>
                        <w:t>e</w:t>
                      </w:r>
                      <w:r w:rsidRPr="00285533">
                        <w:rPr>
                          <w:color w:val="000000" w:themeColor="text1"/>
                        </w:rPr>
                        <w:t>t</w:t>
                      </w:r>
                    </w:p>
                  </w:txbxContent>
                </v:textbox>
              </v:roundrect>
            </w:pict>
          </mc:Fallback>
        </mc:AlternateContent>
      </w:r>
      <w:r w:rsidRPr="00D11D21">
        <w:rPr>
          <w:rFonts w:asciiTheme="majorBidi" w:hAnsiTheme="majorBidi" w:cstheme="majorBidi"/>
          <w:noProof/>
          <w:szCs w:val="24"/>
          <w:lang w:eastAsia="fr-FR"/>
        </w:rPr>
        <mc:AlternateContent>
          <mc:Choice Requires="wps">
            <w:drawing>
              <wp:anchor distT="0" distB="0" distL="114300" distR="114300" simplePos="0" relativeHeight="251684864" behindDoc="0" locked="0" layoutInCell="1" allowOverlap="1" wp14:anchorId="785689D7" wp14:editId="4C5BC373">
                <wp:simplePos x="0" y="0"/>
                <wp:positionH relativeFrom="column">
                  <wp:posOffset>695423</wp:posOffset>
                </wp:positionH>
                <wp:positionV relativeFrom="paragraph">
                  <wp:posOffset>215558</wp:posOffset>
                </wp:positionV>
                <wp:extent cx="834390" cy="619125"/>
                <wp:effectExtent l="0" t="0" r="22860" b="28575"/>
                <wp:wrapNone/>
                <wp:docPr id="47" name="Rectangle à coins arrondis 47"/>
                <wp:cNvGraphicFramePr/>
                <a:graphic xmlns:a="http://schemas.openxmlformats.org/drawingml/2006/main">
                  <a:graphicData uri="http://schemas.microsoft.com/office/word/2010/wordprocessingShape">
                    <wps:wsp>
                      <wps:cNvSpPr/>
                      <wps:spPr>
                        <a:xfrm>
                          <a:off x="0" y="0"/>
                          <a:ext cx="834390" cy="619125"/>
                        </a:xfrm>
                        <a:prstGeom prst="roundRect">
                          <a:avLst/>
                        </a:prstGeom>
                      </wps:spPr>
                      <wps:style>
                        <a:lnRef idx="2">
                          <a:schemeClr val="dk1"/>
                        </a:lnRef>
                        <a:fillRef idx="1">
                          <a:schemeClr val="lt1"/>
                        </a:fillRef>
                        <a:effectRef idx="0">
                          <a:schemeClr val="dk1"/>
                        </a:effectRef>
                        <a:fontRef idx="minor">
                          <a:schemeClr val="dk1"/>
                        </a:fontRef>
                      </wps:style>
                      <wps:txbx>
                        <w:txbxContent>
                          <w:p w14:paraId="4A5D11F9" w14:textId="77777777" w:rsidR="0095621A" w:rsidRPr="00285533" w:rsidRDefault="0095621A" w:rsidP="00B7491C">
                            <w:pPr>
                              <w:jc w:val="center"/>
                              <w:rPr>
                                <w:color w:val="000000" w:themeColor="text1"/>
                              </w:rPr>
                            </w:pPr>
                            <w:r>
                              <w:rPr>
                                <w:color w:val="000000" w:themeColor="text1"/>
                              </w:rPr>
                              <w:t>Forfait hôpitaux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85689D7" id="Rectangle à coins arrondis 47" o:spid="_x0000_s1058" style="position:absolute;left:0;text-align:left;margin-left:54.75pt;margin-top:16.95pt;width:65.7pt;height:48.7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" fillcolor="white [3201]" strokecolor="black [3200]" strokeweight="1pt">
                <v:stroke joinstyle="miter"/>
                <v:textbox>
                  <w:txbxContent>
                    <w:p w14:paraId="4A5D11F9" w14:textId="77777777" w:rsidR="0095621A" w:rsidRPr="00285533" w:rsidRDefault="0095621A" w:rsidP="00B7491C">
                      <w:pPr>
                        <w:jc w:val="center"/>
                        <w:rPr>
                          <w:color w:val="000000" w:themeColor="text1"/>
                        </w:rPr>
                      </w:pPr>
                      <w:r>
                        <w:rPr>
                          <w:color w:val="000000" w:themeColor="text1"/>
                        </w:rPr>
                        <w:t>Forfait hôpitaux</w:t>
                      </w:r>
                    </w:p>
                  </w:txbxContent>
                </v:textbox>
              </v:roundrect>
            </w:pict>
          </mc:Fallback>
        </mc:AlternateContent>
      </w:r>
    </w:p>
    <w:p w14:paraId="347DA3AE" w14:textId="5B48ACC9" w:rsidR="002210A7" w:rsidRDefault="006A6965" w:rsidP="00282FFC">
      <w:pPr>
        <w:tabs>
          <w:tab w:val="left" w:pos="5635"/>
        </w:tabs>
        <w:jc w:val="both"/>
        <w:rPr>
          <w:rFonts w:asciiTheme="majorBidi" w:hAnsiTheme="majorBidi" w:cstheme="majorBidi"/>
          <w:szCs w:val="24"/>
        </w:rPr>
      </w:pPr>
      <w:r w:rsidRPr="00D11D21">
        <w:rPr>
          <w:rFonts w:asciiTheme="majorBidi" w:hAnsiTheme="majorBidi" w:cstheme="majorBidi"/>
          <w:noProof/>
          <w:szCs w:val="24"/>
          <w:lang w:eastAsia="fr-FR"/>
        </w:rPr>
        <mc:AlternateContent>
          <mc:Choice Requires="wps">
            <w:drawing>
              <wp:anchor distT="0" distB="0" distL="114300" distR="114300" simplePos="0" relativeHeight="251691008" behindDoc="0" locked="0" layoutInCell="1" allowOverlap="1" wp14:anchorId="5CDA9153" wp14:editId="5BDA8D9D">
                <wp:simplePos x="0" y="0"/>
                <wp:positionH relativeFrom="column">
                  <wp:posOffset>3735542</wp:posOffset>
                </wp:positionH>
                <wp:positionV relativeFrom="paragraph">
                  <wp:posOffset>-570771</wp:posOffset>
                </wp:positionV>
                <wp:extent cx="0" cy="278710"/>
                <wp:effectExtent l="76200" t="0" r="57150" b="64770"/>
                <wp:wrapNone/>
                <wp:docPr id="25" name="Connecteur droit avec flèche 25"/>
                <wp:cNvGraphicFramePr/>
                <a:graphic xmlns:a="http://schemas.openxmlformats.org/drawingml/2006/main">
                  <a:graphicData uri="http://schemas.microsoft.com/office/word/2010/wordprocessingShape">
                    <wps:wsp>
                      <wps:cNvCnPr/>
                      <wps:spPr>
                        <a:xfrm>
                          <a:off x="0" y="0"/>
                          <a:ext cx="0" cy="2787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9855D58" id="_x0000_t32" coordsize="21600,21600" o:spt="32" o:oned="t" path="m,l21600,21600e" filled="f">
                <v:path arrowok="t" fillok="f" o:connecttype="none"/>
                <o:lock v:ext="edit" shapetype="t"/>
              </v:shapetype>
              <v:shape id="Connecteur droit avec flèche 25" o:spid="_x0000_s1026" type="#_x0000_t32" style="position:absolute;margin-left:294.15pt;margin-top:-44.95pt;width:0;height:21.9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" strokecolor="black [3200]" strokeweight=".5pt">
                <v:stroke endarrow="block" joinstyle="miter"/>
              </v:shape>
            </w:pict>
          </mc:Fallback>
        </mc:AlternateContent>
      </w:r>
      <w:r w:rsidRPr="00D11D21">
        <w:rPr>
          <w:rFonts w:asciiTheme="majorBidi" w:hAnsiTheme="majorBidi" w:cstheme="majorBidi"/>
          <w:noProof/>
          <w:szCs w:val="24"/>
          <w:lang w:eastAsia="fr-FR"/>
        </w:rPr>
        <mc:AlternateContent>
          <mc:Choice Requires="wps">
            <w:drawing>
              <wp:anchor distT="0" distB="0" distL="114300" distR="114300" simplePos="0" relativeHeight="251689984" behindDoc="0" locked="0" layoutInCell="1" allowOverlap="1" wp14:anchorId="3474025B" wp14:editId="661159A5">
                <wp:simplePos x="0" y="0"/>
                <wp:positionH relativeFrom="column">
                  <wp:posOffset>2320705</wp:posOffset>
                </wp:positionH>
                <wp:positionV relativeFrom="paragraph">
                  <wp:posOffset>-561391</wp:posOffset>
                </wp:positionV>
                <wp:extent cx="0" cy="310709"/>
                <wp:effectExtent l="76200" t="0" r="57150" b="51435"/>
                <wp:wrapNone/>
                <wp:docPr id="26" name="Connecteur droit avec flèche 26"/>
                <wp:cNvGraphicFramePr/>
                <a:graphic xmlns:a="http://schemas.openxmlformats.org/drawingml/2006/main">
                  <a:graphicData uri="http://schemas.microsoft.com/office/word/2010/wordprocessingShape">
                    <wps:wsp>
                      <wps:cNvCnPr/>
                      <wps:spPr>
                        <a:xfrm>
                          <a:off x="0" y="0"/>
                          <a:ext cx="0" cy="3107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C7ED37" id="Connecteur droit avec flèche 26" o:spid="_x0000_s1026" type="#_x0000_t32" style="position:absolute;margin-left:182.75pt;margin-top:-44.2pt;width:0;height:24.4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" strokecolor="black [3200]" strokeweight=".5pt">
                <v:stroke endarrow="block" joinstyle="miter"/>
              </v:shape>
            </w:pict>
          </mc:Fallback>
        </mc:AlternateContent>
      </w:r>
      <w:r w:rsidRPr="00D11D21">
        <w:rPr>
          <w:rFonts w:asciiTheme="majorBidi" w:hAnsiTheme="majorBidi" w:cstheme="majorBidi"/>
          <w:noProof/>
          <w:szCs w:val="24"/>
          <w:lang w:eastAsia="fr-FR"/>
        </w:rPr>
        <mc:AlternateContent>
          <mc:Choice Requires="wps">
            <w:drawing>
              <wp:anchor distT="0" distB="0" distL="114300" distR="114300" simplePos="0" relativeHeight="251688960" behindDoc="0" locked="0" layoutInCell="1" allowOverlap="1" wp14:anchorId="60AE2A48" wp14:editId="18609B45">
                <wp:simplePos x="0" y="0"/>
                <wp:positionH relativeFrom="column">
                  <wp:posOffset>1090930</wp:posOffset>
                </wp:positionH>
                <wp:positionV relativeFrom="paragraph">
                  <wp:posOffset>-526446</wp:posOffset>
                </wp:positionV>
                <wp:extent cx="7952" cy="302150"/>
                <wp:effectExtent l="76200" t="0" r="68580" b="60325"/>
                <wp:wrapNone/>
                <wp:docPr id="27" name="Connecteur droit avec flèche 27"/>
                <wp:cNvGraphicFramePr/>
                <a:graphic xmlns:a="http://schemas.openxmlformats.org/drawingml/2006/main">
                  <a:graphicData uri="http://schemas.microsoft.com/office/word/2010/wordprocessingShape">
                    <wps:wsp>
                      <wps:cNvCnPr/>
                      <wps:spPr>
                        <a:xfrm>
                          <a:off x="0" y="0"/>
                          <a:ext cx="7952" cy="302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9881FB9" id="Connecteur droit avec flèche 27" o:spid="_x0000_s1026" type="#_x0000_t32" style="position:absolute;margin-left:85.9pt;margin-top:-41.45pt;width:.65pt;height:23.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" strokecolor="black [3200]" strokeweight=".5pt">
                <v:stroke endarrow="block" joinstyle="miter"/>
              </v:shape>
            </w:pict>
          </mc:Fallback>
        </mc:AlternateContent>
      </w:r>
      <w:r w:rsidR="002210A7" w:rsidRPr="00D11D21">
        <w:rPr>
          <w:rFonts w:asciiTheme="majorBidi" w:hAnsiTheme="majorBidi" w:cstheme="majorBidi"/>
          <w:szCs w:val="24"/>
        </w:rPr>
        <w:tab/>
      </w:r>
    </w:p>
    <w:p w14:paraId="04738D44" w14:textId="77777777" w:rsidR="00282FFC" w:rsidRPr="00D11D21" w:rsidRDefault="00282FFC" w:rsidP="00282FFC">
      <w:pPr>
        <w:tabs>
          <w:tab w:val="left" w:pos="5635"/>
        </w:tabs>
        <w:jc w:val="both"/>
        <w:rPr>
          <w:rFonts w:asciiTheme="majorBidi" w:hAnsiTheme="majorBidi" w:cstheme="majorBidi"/>
          <w:szCs w:val="24"/>
        </w:rPr>
      </w:pPr>
    </w:p>
    <w:p w14:paraId="52FD27F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Source : </w:t>
      </w:r>
      <w:r w:rsidRPr="00D11D21">
        <w:rPr>
          <w:rStyle w:val="fadeinm1hgl8"/>
          <w:rFonts w:asciiTheme="majorBidi" w:hAnsiTheme="majorBidi" w:cstheme="majorBidi"/>
          <w:szCs w:val="24"/>
        </w:rPr>
        <w:t>Élaboration personnelle à partir des éléments issus de la section précédente.</w:t>
      </w:r>
    </w:p>
    <w:p w14:paraId="54F251AB" w14:textId="77777777"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01" w:name="_Toc199958866"/>
      <w:r w:rsidRPr="00D11D21">
        <w:rPr>
          <w:rFonts w:asciiTheme="majorBidi" w:hAnsiTheme="majorBidi" w:cstheme="majorBidi"/>
          <w:szCs w:val="24"/>
        </w:rPr>
        <w:t>L’état :</w:t>
      </w:r>
      <w:bookmarkEnd w:id="101"/>
    </w:p>
    <w:p w14:paraId="6F33F665" w14:textId="77777777" w:rsidR="002210A7" w:rsidRPr="00D11D21" w:rsidRDefault="00E95E12" w:rsidP="00D11D21">
      <w:pPr>
        <w:jc w:val="both"/>
        <w:rPr>
          <w:rFonts w:asciiTheme="majorBidi" w:hAnsiTheme="majorBidi" w:cstheme="majorBidi"/>
          <w:szCs w:val="24"/>
        </w:rPr>
      </w:pPr>
      <w:r w:rsidRPr="00D11D21">
        <w:rPr>
          <w:rFonts w:asciiTheme="majorBidi" w:hAnsiTheme="majorBidi" w:cstheme="majorBidi"/>
          <w:szCs w:val="24"/>
        </w:rPr>
        <w:t xml:space="preserve">Il assure la protection de l'intérêt général et le l'amélioration de la santé publique. </w:t>
      </w:r>
      <w:r w:rsidR="002210A7" w:rsidRPr="00D11D21">
        <w:rPr>
          <w:rFonts w:asciiTheme="majorBidi" w:hAnsiTheme="majorBidi" w:cstheme="majorBidi"/>
          <w:szCs w:val="24"/>
        </w:rPr>
        <w:t>Il participe au financement des établissements de santé publique selon un système de budget global, forfaitaire et préétabli, et assume seul la responsabilité de la supervision des politiques de santé, d'enseignement médical et paramédical, ainsi que de la recherche. Chaque année, l'État consacre un montant de plusieurs milliards de DA pour financer le budget opérationnel des établissements de santé publics.</w:t>
      </w:r>
      <w:r w:rsidR="002210A7" w:rsidRPr="00D11D21">
        <w:rPr>
          <w:rStyle w:val="Appelnotedebasdep"/>
          <w:rFonts w:asciiTheme="majorBidi" w:hAnsiTheme="majorBidi" w:cstheme="majorBidi"/>
          <w:szCs w:val="24"/>
        </w:rPr>
        <w:footnoteReference w:id="65"/>
      </w:r>
    </w:p>
    <w:p w14:paraId="534BB77F" w14:textId="77777777" w:rsidR="002210A7" w:rsidRPr="00D11D21" w:rsidRDefault="002210A7" w:rsidP="00D11D21">
      <w:pPr>
        <w:pStyle w:val="Paragraphedeliste"/>
        <w:numPr>
          <w:ilvl w:val="0"/>
          <w:numId w:val="41"/>
        </w:numPr>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Les avantages de la méthode de financement par budget globale </w:t>
      </w:r>
    </w:p>
    <w:p w14:paraId="1ACB782D" w14:textId="77777777" w:rsidR="002210A7" w:rsidRPr="00D11D21" w:rsidRDefault="00E95E12" w:rsidP="00D11D21">
      <w:pPr>
        <w:jc w:val="both"/>
        <w:rPr>
          <w:rFonts w:asciiTheme="majorBidi" w:hAnsiTheme="majorBidi" w:cstheme="majorBidi"/>
          <w:szCs w:val="24"/>
        </w:rPr>
      </w:pPr>
      <w:r w:rsidRPr="00D11D21">
        <w:rPr>
          <w:rFonts w:asciiTheme="majorBidi" w:hAnsiTheme="majorBidi" w:cstheme="majorBidi"/>
          <w:szCs w:val="24"/>
        </w:rPr>
        <w:lastRenderedPageBreak/>
        <w:t xml:space="preserve">La gestion des coûts est assurément l'avantage le plus notable et souvent mentionné dans la documentation sur le financement des services de santé publics. Il est à noter que cette caractéristique contribue en partie à expliquer pourquoi elle a été la méthode de financement dominante pendant de nombreuses années. L'autre avantage est sa simplicité de calcul, ce qui signifie que même si ce n'est pas le premier budget établi depuis la fondation de l'établissement public de santé, déterminer le nouveau montant reste assez facile. Il est important de noter que le budget total est plus équitable pour la population. C'est pourquoi la Banque mondiale perçoit le financement par budget global comme l'approche la plus juste et équitable du point de vue des </w:t>
      </w:r>
      <w:r w:rsidR="002210A7" w:rsidRPr="00D11D21">
        <w:rPr>
          <w:rFonts w:asciiTheme="majorBidi" w:hAnsiTheme="majorBidi" w:cstheme="majorBidi"/>
          <w:szCs w:val="24"/>
        </w:rPr>
        <w:t>citoyens.</w:t>
      </w:r>
      <w:r w:rsidR="002210A7" w:rsidRPr="00D11D21">
        <w:rPr>
          <w:rStyle w:val="Appelnotedebasdep"/>
          <w:rFonts w:asciiTheme="majorBidi" w:hAnsiTheme="majorBidi" w:cstheme="majorBidi"/>
          <w:szCs w:val="24"/>
        </w:rPr>
        <w:footnoteReference w:id="66"/>
      </w:r>
    </w:p>
    <w:p w14:paraId="2183457A" w14:textId="7F82A971" w:rsidR="002210A7" w:rsidRPr="00D11D21" w:rsidRDefault="002210A7" w:rsidP="00D11D21">
      <w:pPr>
        <w:pStyle w:val="Titre3"/>
        <w:numPr>
          <w:ilvl w:val="1"/>
          <w:numId w:val="132"/>
        </w:numPr>
        <w:spacing w:line="360" w:lineRule="auto"/>
        <w:rPr>
          <w:rFonts w:asciiTheme="majorBidi" w:hAnsiTheme="majorBidi" w:cstheme="majorBidi"/>
          <w:szCs w:val="24"/>
        </w:rPr>
      </w:pPr>
      <w:bookmarkStart w:id="102" w:name="_Toc199958867"/>
      <w:r w:rsidRPr="00D11D21">
        <w:rPr>
          <w:rFonts w:asciiTheme="majorBidi" w:hAnsiTheme="majorBidi" w:cstheme="majorBidi"/>
          <w:szCs w:val="24"/>
        </w:rPr>
        <w:t>La sécurité sociale :</w:t>
      </w:r>
      <w:bookmarkEnd w:id="102"/>
    </w:p>
    <w:p w14:paraId="440D1616" w14:textId="5F9DAC66" w:rsidR="00E95E12" w:rsidRPr="00D11D21" w:rsidRDefault="00E95E12" w:rsidP="00D11D21">
      <w:pPr>
        <w:jc w:val="both"/>
        <w:rPr>
          <w:rFonts w:asciiTheme="majorBidi" w:hAnsiTheme="majorBidi" w:cstheme="majorBidi"/>
          <w:szCs w:val="24"/>
        </w:rPr>
      </w:pPr>
      <w:r w:rsidRPr="00D11D21">
        <w:rPr>
          <w:rFonts w:asciiTheme="majorBidi" w:hAnsiTheme="majorBidi" w:cstheme="majorBidi"/>
          <w:szCs w:val="24"/>
        </w:rPr>
        <w:t xml:space="preserve">Depuis son instauration en 1974, qui a marqué </w:t>
      </w:r>
      <w:r w:rsidR="00201164" w:rsidRPr="00D11D21">
        <w:rPr>
          <w:rFonts w:asciiTheme="majorBidi" w:hAnsiTheme="majorBidi" w:cstheme="majorBidi"/>
          <w:szCs w:val="24"/>
        </w:rPr>
        <w:t>là</w:t>
      </w:r>
      <w:r w:rsidRPr="00D11D21">
        <w:rPr>
          <w:rFonts w:asciiTheme="majorBidi" w:hAnsiTheme="majorBidi" w:cstheme="majorBidi"/>
          <w:szCs w:val="24"/>
        </w:rPr>
        <w:t xml:space="preserve"> l’institutionnalisation de la médecine gratuite en Algérie, la sécurité sociale a joué un rôle essentiel dans le financement des établissements de santé publics. En vertu des textes législatifs, notamment la loi de finances, cette contribution se matérialise par une subvention annuelle fixe généralement désignée sous le nom de « forfait hôpitaux ».</w:t>
      </w:r>
    </w:p>
    <w:p w14:paraId="45152FBF" w14:textId="739CC1EF" w:rsidR="002210A7" w:rsidRPr="00D11D21" w:rsidRDefault="00E95E12" w:rsidP="00D11D21">
      <w:pPr>
        <w:jc w:val="both"/>
        <w:rPr>
          <w:rFonts w:asciiTheme="majorBidi" w:hAnsiTheme="majorBidi" w:cstheme="majorBidi"/>
          <w:szCs w:val="24"/>
        </w:rPr>
      </w:pPr>
      <w:r w:rsidRPr="00D11D21">
        <w:rPr>
          <w:rFonts w:asciiTheme="majorBidi" w:hAnsiTheme="majorBidi" w:cstheme="majorBidi"/>
          <w:szCs w:val="24"/>
        </w:rPr>
        <w:t xml:space="preserve">Mis en place depuis 1973, ce mécanisme vise à compenser les soins dispensés aux bénéficiaires de la sécurité sociale ainsi qu'à leurs ayant-droits. Chaque </w:t>
      </w:r>
      <w:r w:rsidR="00201164" w:rsidRPr="00D11D21">
        <w:rPr>
          <w:rFonts w:asciiTheme="majorBidi" w:hAnsiTheme="majorBidi" w:cstheme="majorBidi"/>
          <w:szCs w:val="24"/>
        </w:rPr>
        <w:t>année, la</w:t>
      </w:r>
      <w:r w:rsidRPr="00D11D21">
        <w:rPr>
          <w:rFonts w:asciiTheme="majorBidi" w:hAnsiTheme="majorBidi" w:cstheme="majorBidi"/>
          <w:szCs w:val="24"/>
        </w:rPr>
        <w:t xml:space="preserve"> loi de finances détermine la somme du forfait, en prenant en compte les besoins prévisibles en matière de santé publique et les moyens disponibles. </w:t>
      </w:r>
    </w:p>
    <w:p w14:paraId="58D57F7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 forfait a connu une progression significative au fil du temps. Effectivement, il a connu une augmentation significative, passant de 120 millions de DA en 1973 à presque 38 000 millions de DA en 2011, ce qui représente une croissance supérieure à 300 fois sur une période de 38 ans. Cette progression reflète à la fois l’augmentation des charges supportées par les établissements de santé et le désengagement progressif du budget de l’État, qui ne couvrait que 24 % des dépenses hospitalières dès 1989.</w:t>
      </w:r>
    </w:p>
    <w:p w14:paraId="1188B4B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De plus, depuis 1992, une nouvelle phase a démarré : les relations contractuelles se sont transformées en fondement légal de la participation des organismes de sécurité sociale au </w:t>
      </w:r>
      <w:r w:rsidRPr="00D11D21">
        <w:rPr>
          <w:rFonts w:asciiTheme="majorBidi" w:hAnsiTheme="majorBidi" w:cstheme="majorBidi"/>
          <w:szCs w:val="24"/>
        </w:rPr>
        <w:lastRenderedPageBreak/>
        <w:t>financement des hôpitaux publics. Cela signifie que la dotation n’est plus versée de manière uniforme ou automatique, mais négociée en fonction des objectifs de performance, des besoins spécifiques des établissements et des services réellement rendus.</w:t>
      </w:r>
    </w:p>
    <w:p w14:paraId="448A2700" w14:textId="64E2AF4D" w:rsidR="002210A7" w:rsidRPr="00D11D21" w:rsidRDefault="002210A7" w:rsidP="00D11D21">
      <w:pPr>
        <w:pStyle w:val="Titre4"/>
        <w:numPr>
          <w:ilvl w:val="2"/>
          <w:numId w:val="133"/>
        </w:numPr>
        <w:rPr>
          <w:rFonts w:asciiTheme="majorBidi" w:hAnsiTheme="majorBidi" w:cstheme="majorBidi"/>
        </w:rPr>
      </w:pPr>
      <w:r w:rsidRPr="00D11D21">
        <w:rPr>
          <w:rFonts w:asciiTheme="majorBidi" w:hAnsiTheme="majorBidi" w:cstheme="majorBidi"/>
        </w:rPr>
        <w:t>Les limites du forfait hôpitaux</w:t>
      </w:r>
    </w:p>
    <w:p w14:paraId="03070644" w14:textId="77777777" w:rsidR="00E95E12" w:rsidRPr="00D11D21" w:rsidRDefault="00E95E12" w:rsidP="00D11D21">
      <w:pPr>
        <w:tabs>
          <w:tab w:val="left" w:pos="2429"/>
        </w:tabs>
        <w:jc w:val="both"/>
        <w:rPr>
          <w:rFonts w:asciiTheme="majorBidi" w:hAnsiTheme="majorBidi" w:cstheme="majorBidi"/>
          <w:szCs w:val="24"/>
        </w:rPr>
      </w:pPr>
      <w:r w:rsidRPr="00D11D21">
        <w:rPr>
          <w:rFonts w:asciiTheme="majorBidi" w:hAnsiTheme="majorBidi" w:cstheme="majorBidi"/>
          <w:szCs w:val="24"/>
        </w:rPr>
        <w:t>Malgré son statut de source majeure de financement pour les établissements publics de santé, le forfait hôpitaux révèle aujourd'hui des contraintes significatives associées à ses modalités d'exécution et à ses processus d'application.</w:t>
      </w:r>
    </w:p>
    <w:p w14:paraId="3F881B52" w14:textId="77777777" w:rsidR="00E95E12" w:rsidRPr="00D11D21" w:rsidRDefault="00E95E12" w:rsidP="00D11D21">
      <w:pPr>
        <w:tabs>
          <w:tab w:val="left" w:pos="2429"/>
        </w:tabs>
        <w:jc w:val="both"/>
        <w:rPr>
          <w:rFonts w:asciiTheme="majorBidi" w:hAnsiTheme="majorBidi" w:cstheme="majorBidi"/>
          <w:szCs w:val="24"/>
        </w:rPr>
      </w:pPr>
      <w:r w:rsidRPr="00D11D21">
        <w:rPr>
          <w:rFonts w:asciiTheme="majorBidi" w:hAnsiTheme="majorBidi" w:cstheme="majorBidi"/>
          <w:szCs w:val="24"/>
        </w:rPr>
        <w:t>Il est effectivement constaté un décalage significatif entre la hausse constante du montant du forfait et la diminution de l'activité des hôpitaux. Cette situation souligne l'importance de revoir les procédures et les normes d'attribution des ressources disponibles, pour assurer un meilleur alignement entre les financements alloués et les véritables niveaux d'activité, en suivant une approche coût-efficacité.</w:t>
      </w:r>
    </w:p>
    <w:p w14:paraId="638CF09B" w14:textId="77777777" w:rsidR="002210A7" w:rsidRPr="00D11D21" w:rsidRDefault="00CE155C" w:rsidP="00D11D21">
      <w:pPr>
        <w:tabs>
          <w:tab w:val="left" w:pos="2429"/>
        </w:tabs>
        <w:jc w:val="both"/>
        <w:rPr>
          <w:rFonts w:asciiTheme="majorBidi" w:hAnsiTheme="majorBidi" w:cstheme="majorBidi"/>
          <w:szCs w:val="24"/>
        </w:rPr>
      </w:pPr>
      <w:r w:rsidRPr="00D11D21">
        <w:rPr>
          <w:rFonts w:asciiTheme="majorBidi" w:hAnsiTheme="majorBidi" w:cstheme="majorBidi"/>
          <w:szCs w:val="24"/>
        </w:rPr>
        <w:t xml:space="preserve">Effectivement, on a constaté une baisse continue du taux de d'occupation des lits depuis 1990 (51 % en 1995). Une part grandissante d’explorations, des tests médicaux et des médicaments administrés aux patients hospitalisés dans les établissements publics se fait désormais dans le secteur privé, ce qui engendre un remboursement par la sécurité sociale. En définitive, l'augmentation du personnel médical généralement non spécialisé en santé publique compense les départs des professionnels hospitalo-universitaires. Cela conduit à une augmentation de la masse salariale sans retour sur investissement en matière </w:t>
      </w:r>
      <w:r w:rsidR="002210A7" w:rsidRPr="00D11D21">
        <w:rPr>
          <w:rFonts w:asciiTheme="majorBidi" w:hAnsiTheme="majorBidi" w:cstheme="majorBidi"/>
          <w:szCs w:val="24"/>
        </w:rPr>
        <w:t>d'activités.</w:t>
      </w:r>
      <w:r w:rsidR="002210A7" w:rsidRPr="00D11D21">
        <w:rPr>
          <w:rStyle w:val="Appelnotedebasdep"/>
          <w:rFonts w:asciiTheme="majorBidi" w:hAnsiTheme="majorBidi" w:cstheme="majorBidi"/>
          <w:szCs w:val="24"/>
        </w:rPr>
        <w:footnoteReference w:id="67"/>
      </w:r>
      <w:r w:rsidR="002210A7" w:rsidRPr="00D11D21">
        <w:rPr>
          <w:rFonts w:asciiTheme="majorBidi" w:hAnsiTheme="majorBidi" w:cstheme="majorBidi"/>
          <w:szCs w:val="24"/>
        </w:rPr>
        <w:tab/>
      </w:r>
    </w:p>
    <w:p w14:paraId="1BC4378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De plus, les véritables </w:t>
      </w:r>
      <w:r w:rsidRPr="00D11D21">
        <w:rPr>
          <w:rFonts w:asciiTheme="majorBidi" w:hAnsiTheme="majorBidi" w:cstheme="majorBidi"/>
          <w:b/>
          <w:bCs/>
          <w:szCs w:val="24"/>
        </w:rPr>
        <w:t>inconvénients</w:t>
      </w:r>
      <w:r w:rsidRPr="00D11D21">
        <w:rPr>
          <w:rFonts w:asciiTheme="majorBidi" w:hAnsiTheme="majorBidi" w:cstheme="majorBidi"/>
          <w:szCs w:val="24"/>
        </w:rPr>
        <w:t xml:space="preserve"> liés à ce mécanisme se manifestent dans les éléments suivants :</w:t>
      </w:r>
    </w:p>
    <w:p w14:paraId="519347B4" w14:textId="77777777" w:rsidR="002210A7" w:rsidRPr="00D11D21" w:rsidRDefault="002210A7" w:rsidP="00D11D21">
      <w:pPr>
        <w:pStyle w:val="Paragraphedeliste"/>
        <w:numPr>
          <w:ilvl w:val="0"/>
          <w:numId w:val="115"/>
        </w:numPr>
        <w:spacing w:line="360" w:lineRule="auto"/>
        <w:jc w:val="both"/>
        <w:rPr>
          <w:rFonts w:asciiTheme="majorBidi" w:hAnsiTheme="majorBidi" w:cstheme="majorBidi"/>
          <w:szCs w:val="24"/>
        </w:rPr>
      </w:pPr>
      <w:r w:rsidRPr="00D11D21">
        <w:rPr>
          <w:rFonts w:asciiTheme="majorBidi" w:hAnsiTheme="majorBidi" w:cstheme="majorBidi"/>
          <w:szCs w:val="24"/>
        </w:rPr>
        <w:t>L'absence de références médicales et tarifaires :</w:t>
      </w:r>
    </w:p>
    <w:p w14:paraId="1A32A26E" w14:textId="45316E95"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contribution de la sécurité sociale est effectuée sur une base forfaitaire, ce qui signifie que les sommes prélevées chaque année ne sont pas déterminées selon un tarif spécifique. Les textes ne stipulent ni un pourcentage spécifique, ni un m</w:t>
      </w:r>
      <w:r w:rsidR="00D32199" w:rsidRPr="00D11D21">
        <w:rPr>
          <w:rFonts w:asciiTheme="majorBidi" w:hAnsiTheme="majorBidi" w:cstheme="majorBidi"/>
          <w:szCs w:val="24"/>
        </w:rPr>
        <w:t>ontant clairement déterminé dédié</w:t>
      </w:r>
      <w:r w:rsidRPr="00D11D21">
        <w:rPr>
          <w:rFonts w:asciiTheme="majorBidi" w:hAnsiTheme="majorBidi" w:cstheme="majorBidi"/>
          <w:szCs w:val="24"/>
        </w:rPr>
        <w:t> à la sécurité d'y participer, c'est-à-dire l'absence d'une nomenclature des actes médicaux.</w:t>
      </w:r>
    </w:p>
    <w:p w14:paraId="238E07DE" w14:textId="77777777" w:rsidR="002210A7" w:rsidRPr="00D11D21" w:rsidRDefault="002210A7" w:rsidP="00D11D21">
      <w:pPr>
        <w:pStyle w:val="Paragraphedeliste"/>
        <w:numPr>
          <w:ilvl w:val="0"/>
          <w:numId w:val="115"/>
        </w:numPr>
        <w:spacing w:line="360" w:lineRule="auto"/>
        <w:jc w:val="both"/>
        <w:rPr>
          <w:rFonts w:asciiTheme="majorBidi" w:hAnsiTheme="majorBidi" w:cstheme="majorBidi"/>
          <w:szCs w:val="24"/>
        </w:rPr>
      </w:pPr>
      <w:r w:rsidRPr="00D11D21">
        <w:rPr>
          <w:rFonts w:asciiTheme="majorBidi" w:hAnsiTheme="majorBidi" w:cstheme="majorBidi"/>
          <w:szCs w:val="24"/>
        </w:rPr>
        <w:lastRenderedPageBreak/>
        <w:t>Gratuités totales des actes médicaux :</w:t>
      </w:r>
    </w:p>
    <w:p w14:paraId="1AD0821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Actes médicaux entièrement gratuits : Il convient simplement de noter que la loi sur la gratuité des soins médicaux a rendu tous les services offerts dans les établissements de santé publics accessibles sans distinction pour tous les groupes de personnes.</w:t>
      </w:r>
    </w:p>
    <w:p w14:paraId="4C1AF61B" w14:textId="77777777" w:rsidR="002210A7" w:rsidRPr="00D11D21" w:rsidRDefault="002210A7" w:rsidP="00D11D21">
      <w:pPr>
        <w:pStyle w:val="Paragraphedeliste"/>
        <w:numPr>
          <w:ilvl w:val="0"/>
          <w:numId w:val="115"/>
        </w:numPr>
        <w:spacing w:line="360" w:lineRule="auto"/>
        <w:jc w:val="both"/>
        <w:rPr>
          <w:rFonts w:asciiTheme="majorBidi" w:hAnsiTheme="majorBidi" w:cstheme="majorBidi"/>
          <w:szCs w:val="24"/>
        </w:rPr>
      </w:pPr>
      <w:r w:rsidRPr="00D11D21">
        <w:rPr>
          <w:rFonts w:asciiTheme="majorBidi" w:hAnsiTheme="majorBidi" w:cstheme="majorBidi"/>
          <w:szCs w:val="24"/>
        </w:rPr>
        <w:t>L'absence de tarifs pour les soins a initialement engendré une difficulté concernant la compréhension des coûts des soins en milieu hospitalier, qui peuvent être utilisés comme référence et outil de contrôle de gestion.  Il est donc extrêmement compliqué de déterminer précisément les dépenses que couvre ce forfait en termes de soins. Cela a conduit à un décalage complet entre les fonds alloués et les services de santé effectivement fournis aux bénéficiaires sociaux et à leurs ayants droit.</w:t>
      </w:r>
    </w:p>
    <w:p w14:paraId="41605688" w14:textId="77777777" w:rsidR="002210A7" w:rsidRPr="00D11D21" w:rsidRDefault="002210A7" w:rsidP="00D11D21">
      <w:pPr>
        <w:pStyle w:val="Paragraphedeliste"/>
        <w:numPr>
          <w:ilvl w:val="0"/>
          <w:numId w:val="115"/>
        </w:numPr>
        <w:spacing w:line="360" w:lineRule="auto"/>
        <w:jc w:val="both"/>
        <w:rPr>
          <w:rFonts w:asciiTheme="majorBidi" w:hAnsiTheme="majorBidi" w:cstheme="majorBidi"/>
          <w:szCs w:val="24"/>
        </w:rPr>
      </w:pPr>
      <w:r w:rsidRPr="00D11D21">
        <w:rPr>
          <w:rFonts w:asciiTheme="majorBidi" w:hAnsiTheme="majorBidi" w:cstheme="majorBidi"/>
          <w:szCs w:val="24"/>
        </w:rPr>
        <w:t>La détérioration de la qualité des soins a contraint de nombreux assurés à chercher refuge dans le secteur privé, entraînant un double financement pour l'entité de sécurité sociale : le premier destiné aux établissements de santé publics, et le second pour la prise en charge des frais engagés auprès du secteur privé.</w:t>
      </w:r>
    </w:p>
    <w:p w14:paraId="27E4686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Après 1993, où le gouvernement a manifesté son intention de réformer le financement de la santé, la situation financière de la CNAS a malheureusement pris une tournure plus préoccupante. Cette réforme indique sans ambiguïté que l'état n'a plus la capacité de supporter les multiples actions liées à la prévention, la formation, la recherche et la santé des personnes nécessiteuses.</w:t>
      </w:r>
      <w:r w:rsidRPr="00D11D21">
        <w:rPr>
          <w:rStyle w:val="Appelnotedebasdep"/>
          <w:rFonts w:asciiTheme="majorBidi" w:hAnsiTheme="majorBidi" w:cstheme="majorBidi"/>
          <w:szCs w:val="24"/>
        </w:rPr>
        <w:footnoteReference w:id="68"/>
      </w:r>
    </w:p>
    <w:p w14:paraId="1AD930F1" w14:textId="146FCAB3" w:rsidR="002210A7" w:rsidRPr="00D11D21" w:rsidRDefault="002210A7" w:rsidP="00D11D21">
      <w:pPr>
        <w:pStyle w:val="Titre3"/>
        <w:numPr>
          <w:ilvl w:val="1"/>
          <w:numId w:val="133"/>
        </w:numPr>
        <w:spacing w:line="360" w:lineRule="auto"/>
        <w:rPr>
          <w:rFonts w:asciiTheme="majorBidi" w:hAnsiTheme="majorBidi" w:cstheme="majorBidi"/>
          <w:szCs w:val="24"/>
        </w:rPr>
      </w:pPr>
      <w:bookmarkStart w:id="103" w:name="_Toc199958868"/>
      <w:r w:rsidRPr="00D11D21">
        <w:rPr>
          <w:rFonts w:asciiTheme="majorBidi" w:hAnsiTheme="majorBidi" w:cstheme="majorBidi"/>
          <w:szCs w:val="24"/>
        </w:rPr>
        <w:t>Les ménages :</w:t>
      </w:r>
      <w:bookmarkEnd w:id="103"/>
      <w:r w:rsidRPr="00D11D21">
        <w:rPr>
          <w:rFonts w:asciiTheme="majorBidi" w:hAnsiTheme="majorBidi" w:cstheme="majorBidi"/>
          <w:szCs w:val="24"/>
        </w:rPr>
        <w:t xml:space="preserve"> </w:t>
      </w:r>
    </w:p>
    <w:p w14:paraId="19375436" w14:textId="77777777" w:rsidR="002210A7" w:rsidRPr="00D11D21" w:rsidRDefault="00FC7C5F" w:rsidP="00D11D21">
      <w:pPr>
        <w:jc w:val="both"/>
        <w:rPr>
          <w:rFonts w:asciiTheme="majorBidi" w:hAnsiTheme="majorBidi" w:cstheme="majorBidi"/>
          <w:szCs w:val="24"/>
        </w:rPr>
      </w:pPr>
      <w:r w:rsidRPr="00D11D21">
        <w:rPr>
          <w:rFonts w:asciiTheme="majorBidi" w:hAnsiTheme="majorBidi" w:cstheme="majorBidi"/>
          <w:szCs w:val="24"/>
        </w:rPr>
        <w:t xml:space="preserve">Les ménages contribuent au financement du secteur de la santé en s'acquittant l'intégralité ou une partie des coûts liés aux soins et à l'hospitalisation dans les structures médicales. Les ménages peuvent apporter leur contribution de différentes manières, notamment : le ticket modérateur, le forfait hospitalier et les honoraires </w:t>
      </w:r>
      <w:r w:rsidR="002210A7" w:rsidRPr="00D11D21">
        <w:rPr>
          <w:rFonts w:asciiTheme="majorBidi" w:hAnsiTheme="majorBidi" w:cstheme="majorBidi"/>
          <w:szCs w:val="24"/>
        </w:rPr>
        <w:t xml:space="preserve">dépassés. </w:t>
      </w:r>
      <w:r w:rsidR="002210A7" w:rsidRPr="00D11D21">
        <w:rPr>
          <w:rStyle w:val="Appelnotedebasdep"/>
          <w:rFonts w:asciiTheme="majorBidi" w:hAnsiTheme="majorBidi" w:cstheme="majorBidi"/>
          <w:szCs w:val="24"/>
        </w:rPr>
        <w:footnoteReference w:id="69"/>
      </w:r>
    </w:p>
    <w:p w14:paraId="5C94E687" w14:textId="77777777" w:rsidR="00FC7C5F" w:rsidRPr="00D11D21" w:rsidRDefault="00FC7C5F" w:rsidP="00D11D21">
      <w:pPr>
        <w:jc w:val="both"/>
        <w:rPr>
          <w:rFonts w:asciiTheme="majorBidi" w:hAnsiTheme="majorBidi" w:cstheme="majorBidi"/>
          <w:szCs w:val="24"/>
        </w:rPr>
      </w:pPr>
      <w:r w:rsidRPr="00D11D21">
        <w:rPr>
          <w:rFonts w:asciiTheme="majorBidi" w:hAnsiTheme="majorBidi" w:cstheme="majorBidi"/>
          <w:szCs w:val="24"/>
        </w:rPr>
        <w:lastRenderedPageBreak/>
        <w:t>Le ticket modérateur désigne la portion des frais de santé qui demeure à la charge de l'assuré (ou du ménage) une fois que l'Assurance Maladie a effectué son remboursement.</w:t>
      </w:r>
    </w:p>
    <w:p w14:paraId="575CAAF9" w14:textId="77777777" w:rsidR="002210A7" w:rsidRPr="00D11D21" w:rsidRDefault="00FC7C5F" w:rsidP="00D11D21">
      <w:pPr>
        <w:jc w:val="both"/>
        <w:rPr>
          <w:rFonts w:asciiTheme="majorBidi" w:hAnsiTheme="majorBidi" w:cstheme="majorBidi"/>
          <w:szCs w:val="24"/>
        </w:rPr>
      </w:pPr>
      <w:r w:rsidRPr="00D11D21">
        <w:rPr>
          <w:rFonts w:asciiTheme="majorBidi" w:hAnsiTheme="majorBidi" w:cstheme="majorBidi"/>
          <w:szCs w:val="24"/>
        </w:rPr>
        <w:t>Lorsque les ménages effectuent des paiements directement aux prestataires de soins médicaux, sans l'intervention d'un intermédiaire financier, cela est considéré comme un paiement direct de la part des ménages. La participation financière des utilisateurs dans les établissements de santé publiques constitue égalem</w:t>
      </w:r>
      <w:r w:rsidR="00437F98" w:rsidRPr="00D11D21">
        <w:rPr>
          <w:rFonts w:asciiTheme="majorBidi" w:hAnsiTheme="majorBidi" w:cstheme="majorBidi"/>
          <w:szCs w:val="24"/>
        </w:rPr>
        <w:t xml:space="preserve">ent un type de paiement direct, </w:t>
      </w:r>
      <w:r w:rsidRPr="00D11D21">
        <w:rPr>
          <w:rFonts w:asciiTheme="majorBidi" w:hAnsiTheme="majorBidi" w:cstheme="majorBidi"/>
          <w:szCs w:val="24"/>
        </w:rPr>
        <w:t xml:space="preserve">règlement immédiat. </w:t>
      </w:r>
      <w:r w:rsidR="002210A7" w:rsidRPr="00D11D21">
        <w:rPr>
          <w:rFonts w:asciiTheme="majorBidi" w:hAnsiTheme="majorBidi" w:cstheme="majorBidi"/>
          <w:szCs w:val="24"/>
        </w:rPr>
        <w:t xml:space="preserve">De plus, la portion non remboursée par l'assurance maladie que les membres d'une mutuelle doivent payer constitue une autre catégorie de paiement direct. </w:t>
      </w:r>
    </w:p>
    <w:p w14:paraId="1917FBC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Pour finir, les personnes qui ne bénéficient d'aucune assurance maladie versent aussi directement des sommes aux prestataires de santé privés, ce qui est également considéré comme un paiement direct.</w:t>
      </w:r>
    </w:p>
    <w:p w14:paraId="4823F68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contribution des ménages au financement comprend également les paiements directs pour les soins et services de santé, que ce soit pour le montant total des frais ou sous forme de ticket modérateur (tout ce qui n'est pas couvert par les régimes d'assurance maladie), contribuant</w:t>
      </w:r>
      <w:r w:rsidR="001F5008" w:rsidRPr="00D11D21">
        <w:rPr>
          <w:rFonts w:asciiTheme="majorBidi" w:hAnsiTheme="majorBidi" w:cstheme="majorBidi"/>
          <w:szCs w:val="24"/>
        </w:rPr>
        <w:t xml:space="preserve"> ainsi au recouvrement partiel</w:t>
      </w:r>
      <w:r w:rsidRPr="00D11D21">
        <w:rPr>
          <w:rFonts w:asciiTheme="majorBidi" w:hAnsiTheme="majorBidi" w:cstheme="majorBidi"/>
          <w:szCs w:val="24"/>
        </w:rPr>
        <w:t xml:space="preserve"> des coûts financiers liés aux prestations publiques et privées.</w:t>
      </w:r>
    </w:p>
    <w:p w14:paraId="26B4CFEA" w14:textId="77777777" w:rsidR="002210A7" w:rsidRPr="00D11D21" w:rsidRDefault="002210A7" w:rsidP="00D11D21">
      <w:pPr>
        <w:pStyle w:val="Titre1"/>
        <w:jc w:val="both"/>
        <w:rPr>
          <w:rFonts w:asciiTheme="majorBidi" w:hAnsiTheme="majorBidi"/>
          <w:sz w:val="24"/>
          <w:szCs w:val="24"/>
        </w:rPr>
      </w:pPr>
      <w:bookmarkStart w:id="104" w:name="_Toc199958869"/>
      <w:r w:rsidRPr="00D11D21">
        <w:rPr>
          <w:rFonts w:asciiTheme="majorBidi" w:hAnsiTheme="majorBidi"/>
          <w:sz w:val="24"/>
          <w:szCs w:val="24"/>
        </w:rPr>
        <w:t>Section4 : Les Autres Modes de Financement des Établissements Hospitaliers dans le Monde</w:t>
      </w:r>
      <w:bookmarkEnd w:id="104"/>
    </w:p>
    <w:p w14:paraId="01991310" w14:textId="77777777" w:rsidR="002210A7" w:rsidRPr="00D11D21" w:rsidRDefault="002210A7" w:rsidP="00D11D21">
      <w:pPr>
        <w:pStyle w:val="Titre2"/>
        <w:numPr>
          <w:ilvl w:val="0"/>
          <w:numId w:val="134"/>
        </w:numPr>
        <w:rPr>
          <w:rFonts w:asciiTheme="majorBidi" w:hAnsiTheme="majorBidi"/>
          <w:szCs w:val="24"/>
        </w:rPr>
      </w:pPr>
      <w:bookmarkStart w:id="105" w:name="_Toc199958870"/>
      <w:r w:rsidRPr="00D11D21">
        <w:rPr>
          <w:rFonts w:asciiTheme="majorBidi" w:hAnsiTheme="majorBidi"/>
          <w:szCs w:val="24"/>
        </w:rPr>
        <w:t>Le financement par le budget global :</w:t>
      </w:r>
      <w:bookmarkEnd w:id="105"/>
      <w:r w:rsidRPr="00D11D21">
        <w:rPr>
          <w:rFonts w:asciiTheme="majorBidi" w:hAnsiTheme="majorBidi"/>
          <w:szCs w:val="24"/>
        </w:rPr>
        <w:t xml:space="preserve"> </w:t>
      </w:r>
    </w:p>
    <w:p w14:paraId="687CF220" w14:textId="77777777" w:rsidR="00437F98" w:rsidRPr="00D11D21" w:rsidRDefault="00437F98" w:rsidP="00D11D21">
      <w:pPr>
        <w:jc w:val="both"/>
        <w:rPr>
          <w:rFonts w:asciiTheme="majorBidi" w:hAnsiTheme="majorBidi" w:cstheme="majorBidi"/>
          <w:szCs w:val="24"/>
        </w:rPr>
      </w:pPr>
      <w:r w:rsidRPr="00D11D21">
        <w:rPr>
          <w:rFonts w:asciiTheme="majorBidi" w:hAnsiTheme="majorBidi" w:cstheme="majorBidi"/>
          <w:szCs w:val="24"/>
        </w:rPr>
        <w:t>En Algérie, l'approche principale de financement des établissements de santé publics repose sur un système de budget global, s'insérant dans le cadre plus large du budget national. Ce mode de financement constitue la principale source de capitaux pour couvrir les coûts fonctionnement et d'investissement des institutions établissements de santé publics</w:t>
      </w:r>
    </w:p>
    <w:p w14:paraId="1C61A100" w14:textId="38638B42" w:rsidR="002210A7" w:rsidRPr="00D11D21" w:rsidRDefault="00201164" w:rsidP="00D11D21">
      <w:pPr>
        <w:jc w:val="both"/>
        <w:rPr>
          <w:rFonts w:asciiTheme="majorBidi" w:hAnsiTheme="majorBidi" w:cstheme="majorBidi"/>
          <w:szCs w:val="24"/>
        </w:rPr>
      </w:pPr>
      <w:r w:rsidRPr="00D11D21">
        <w:rPr>
          <w:rFonts w:asciiTheme="majorBidi" w:hAnsiTheme="majorBidi" w:cstheme="majorBidi"/>
          <w:szCs w:val="24"/>
        </w:rPr>
        <w:t>Là</w:t>
      </w:r>
      <w:r w:rsidR="008A0E99" w:rsidRPr="00D11D21">
        <w:rPr>
          <w:rFonts w:asciiTheme="majorBidi" w:hAnsiTheme="majorBidi" w:cstheme="majorBidi"/>
          <w:szCs w:val="24"/>
        </w:rPr>
        <w:t xml:space="preserve"> L’Ordonnance n° 73-65 du 28 décembre 1973 a instauré la médecine gratuite (sans frais) dans le secteur public de soins, positionnant ainsi l'État en tant que principal financeur du système de santé algérien. Ce dispositif a posé les bases d'un financement public unifié, reposant sur une dotation globale </w:t>
      </w:r>
      <w:r w:rsidR="002210A7" w:rsidRPr="00D11D21">
        <w:rPr>
          <w:rFonts w:asciiTheme="majorBidi" w:hAnsiTheme="majorBidi" w:cstheme="majorBidi"/>
          <w:szCs w:val="24"/>
        </w:rPr>
        <w:t>annuelle.</w:t>
      </w:r>
      <w:r w:rsidR="002210A7" w:rsidRPr="00D11D21">
        <w:rPr>
          <w:rStyle w:val="Appelnotedebasdep"/>
          <w:rFonts w:asciiTheme="majorBidi" w:hAnsiTheme="majorBidi" w:cstheme="majorBidi"/>
          <w:szCs w:val="24"/>
        </w:rPr>
        <w:footnoteReference w:id="70"/>
      </w:r>
    </w:p>
    <w:p w14:paraId="5036A2EF" w14:textId="77777777"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06" w:name="_Toc199958871"/>
      <w:r w:rsidRPr="00D11D21">
        <w:rPr>
          <w:rFonts w:asciiTheme="majorBidi" w:hAnsiTheme="majorBidi" w:cstheme="majorBidi"/>
          <w:szCs w:val="24"/>
        </w:rPr>
        <w:lastRenderedPageBreak/>
        <w:t>Fonctionnement du financement par budget global</w:t>
      </w:r>
      <w:bookmarkEnd w:id="106"/>
    </w:p>
    <w:p w14:paraId="5B1599A4" w14:textId="77777777" w:rsidR="002210A7" w:rsidRPr="00D11D21" w:rsidRDefault="008A0E99" w:rsidP="00D11D21">
      <w:pPr>
        <w:jc w:val="both"/>
        <w:rPr>
          <w:rFonts w:asciiTheme="majorBidi" w:hAnsiTheme="majorBidi" w:cstheme="majorBidi"/>
          <w:szCs w:val="24"/>
        </w:rPr>
      </w:pPr>
      <w:r w:rsidRPr="00D11D21">
        <w:rPr>
          <w:rFonts w:asciiTheme="majorBidi" w:hAnsiTheme="majorBidi" w:cstheme="majorBidi"/>
          <w:szCs w:val="24"/>
        </w:rPr>
        <w:t>Chaque année, le Parlement algérien vote la Loi de Finances, qui détermine les autorisations d'engagement et les crédits de paiement alloués à différents ministères, y compris celui de la santé. Tous les établissements publics de santé sont financés grâce à une dotation budgétaire globale attribuée au ministère de la santé</w:t>
      </w:r>
      <w:r w:rsidR="002210A7" w:rsidRPr="00D11D21">
        <w:rPr>
          <w:rFonts w:asciiTheme="majorBidi" w:hAnsiTheme="majorBidi" w:cstheme="majorBidi"/>
          <w:szCs w:val="24"/>
        </w:rPr>
        <w:t>. Cette dotation est répartie sous forme de crédits forfaitaires couvrant les besoins courants les dépenses courantes comme les salaires des employés, l'acquisition d'équipements, les médicaments et les coûts associés à la l’exploitation des établissements.</w:t>
      </w:r>
    </w:p>
    <w:p w14:paraId="66B41B37" w14:textId="77777777" w:rsidR="002210A7" w:rsidRPr="00D11D21" w:rsidRDefault="008A0E99" w:rsidP="00D11D21">
      <w:pPr>
        <w:jc w:val="both"/>
        <w:rPr>
          <w:rFonts w:asciiTheme="majorBidi" w:hAnsiTheme="majorBidi" w:cstheme="majorBidi"/>
          <w:szCs w:val="24"/>
        </w:rPr>
      </w:pPr>
      <w:r w:rsidRPr="00D11D21">
        <w:rPr>
          <w:rFonts w:asciiTheme="majorBidi" w:hAnsiTheme="majorBidi" w:cstheme="majorBidi"/>
          <w:szCs w:val="24"/>
        </w:rPr>
        <w:t xml:space="preserve">Le système de financement initial, fondé sur le prix journalier hospitalier, encourageait les gestionnaires à mettre en place une comptabilité analytique afin de maîtriser et de suivre les dépenses. Toutefois, l'instauration du budget global a conduit à une déresponsabilisation des gestionnaires, dont la tâche s'est limitée à « dépenser » un budget </w:t>
      </w:r>
      <w:proofErr w:type="spellStart"/>
      <w:r w:rsidRPr="00D11D21">
        <w:rPr>
          <w:rFonts w:asciiTheme="majorBidi" w:hAnsiTheme="majorBidi" w:cstheme="majorBidi"/>
          <w:szCs w:val="24"/>
        </w:rPr>
        <w:t>préattribué</w:t>
      </w:r>
      <w:proofErr w:type="spellEnd"/>
      <w:r w:rsidRPr="00D11D21">
        <w:rPr>
          <w:rFonts w:asciiTheme="majorBidi" w:hAnsiTheme="majorBidi" w:cstheme="majorBidi"/>
          <w:szCs w:val="24"/>
        </w:rPr>
        <w:t xml:space="preserve"> de façon centralisée parmi les titres, chapitres et articles</w:t>
      </w:r>
      <w:r w:rsidR="002210A7" w:rsidRPr="00D11D21">
        <w:rPr>
          <w:rFonts w:asciiTheme="majorBidi" w:hAnsiTheme="majorBidi" w:cstheme="majorBidi"/>
          <w:szCs w:val="24"/>
        </w:rPr>
        <w:t>. Ainsi, les directeurs d'hôpitaux ont évolué de leur fonction de gestionnaires vers celle de « dépensiers », la gestion opérationnelle étant largement entravée par un système hautement centralisé.</w:t>
      </w:r>
    </w:p>
    <w:p w14:paraId="268509BD" w14:textId="095BBDFB" w:rsidR="002210A7" w:rsidRPr="00D11D21" w:rsidRDefault="002210A7" w:rsidP="00D11D21">
      <w:pPr>
        <w:pStyle w:val="Titre3"/>
        <w:numPr>
          <w:ilvl w:val="1"/>
          <w:numId w:val="135"/>
        </w:numPr>
        <w:spacing w:line="360" w:lineRule="auto"/>
        <w:rPr>
          <w:rFonts w:asciiTheme="majorBidi" w:hAnsiTheme="majorBidi" w:cstheme="majorBidi"/>
          <w:szCs w:val="24"/>
        </w:rPr>
      </w:pPr>
      <w:bookmarkStart w:id="107" w:name="_Toc199958872"/>
      <w:r w:rsidRPr="00D11D21">
        <w:rPr>
          <w:rFonts w:asciiTheme="majorBidi" w:hAnsiTheme="majorBidi" w:cstheme="majorBidi"/>
          <w:szCs w:val="24"/>
        </w:rPr>
        <w:t>Les avantages du financement par budget global</w:t>
      </w:r>
      <w:bookmarkEnd w:id="107"/>
    </w:p>
    <w:p w14:paraId="58D35BB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Le contrôle des coût- </w:t>
      </w:r>
      <w:r w:rsidR="008A0E99" w:rsidRPr="00D11D21">
        <w:rPr>
          <w:rFonts w:asciiTheme="majorBidi" w:hAnsiTheme="majorBidi" w:cstheme="majorBidi"/>
          <w:szCs w:val="24"/>
        </w:rPr>
        <w:t xml:space="preserve">est sans doute l'élément le plus significatif et généralement reconnu dans les écrits relatifs au financement des services de santé. </w:t>
      </w:r>
      <w:r w:rsidRPr="00D11D21">
        <w:rPr>
          <w:rFonts w:asciiTheme="majorBidi" w:hAnsiTheme="majorBidi" w:cstheme="majorBidi"/>
          <w:szCs w:val="24"/>
        </w:rPr>
        <w:t>Street (2007) souligne que cette caractéristique est l'un des éléments qui expliquent pourquoi elle a été la modalité de financement dominante pendant de nombreuses années.</w:t>
      </w:r>
    </w:p>
    <w:p w14:paraId="3F7192CE" w14:textId="77777777" w:rsidR="008A0E99"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w:t>
      </w:r>
      <w:r w:rsidR="008A0E99" w:rsidRPr="00D11D21">
        <w:rPr>
          <w:rFonts w:asciiTheme="majorBidi" w:hAnsiTheme="majorBidi" w:cstheme="majorBidi"/>
          <w:szCs w:val="24"/>
        </w:rPr>
        <w:t>La simplicité et la facilité de calcul - Même si l'établissement du budget n'est pas la première fois depuis l'ouverture de l'hôpital, définir le nouveau montant reste relativement simple.</w:t>
      </w:r>
    </w:p>
    <w:p w14:paraId="0319CC32" w14:textId="77777777" w:rsidR="008A0E99"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La flexibilité– Sutherland (2009</w:t>
      </w:r>
      <w:r w:rsidR="008A0E99" w:rsidRPr="00D11D21">
        <w:rPr>
          <w:rFonts w:asciiTheme="majorBidi" w:hAnsiTheme="majorBidi" w:cstheme="majorBidi"/>
          <w:szCs w:val="24"/>
        </w:rPr>
        <w:t>) met en évidence que les budgets globaux peuvent facilement être complétés par d'autres modalités de paiement.</w:t>
      </w:r>
    </w:p>
    <w:p w14:paraId="0FBB481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Plus équitable pour la population – Selon la Banque Mondiale (2009), le financement par budget est perçu comme le moyen le plus juste du point de vue de la population. En effet, la distribution des montants disponibles facilite une meilleure répartition des services aux patients eus égard aux facteurs démographiques, épidémiologiques et socioéconomiques.</w:t>
      </w:r>
    </w:p>
    <w:p w14:paraId="1EC9A7D3" w14:textId="35DF937A" w:rsidR="002210A7" w:rsidRPr="00D11D21" w:rsidRDefault="002210A7" w:rsidP="00D11D21">
      <w:pPr>
        <w:pStyle w:val="Titre3"/>
        <w:numPr>
          <w:ilvl w:val="1"/>
          <w:numId w:val="136"/>
        </w:numPr>
        <w:spacing w:line="360" w:lineRule="auto"/>
        <w:rPr>
          <w:rFonts w:asciiTheme="majorBidi" w:hAnsiTheme="majorBidi" w:cstheme="majorBidi"/>
          <w:szCs w:val="24"/>
        </w:rPr>
      </w:pPr>
      <w:bookmarkStart w:id="108" w:name="_Toc199958873"/>
      <w:r w:rsidRPr="00D11D21">
        <w:rPr>
          <w:rFonts w:asciiTheme="majorBidi" w:hAnsiTheme="majorBidi" w:cstheme="majorBidi"/>
          <w:szCs w:val="24"/>
        </w:rPr>
        <w:lastRenderedPageBreak/>
        <w:t xml:space="preserve">Les inconvénients </w:t>
      </w:r>
      <w:r w:rsidR="00060A16" w:rsidRPr="00D11D21">
        <w:rPr>
          <w:rFonts w:asciiTheme="majorBidi" w:hAnsiTheme="majorBidi" w:cstheme="majorBidi"/>
          <w:szCs w:val="24"/>
        </w:rPr>
        <w:t>du financement par budget global</w:t>
      </w:r>
      <w:bookmarkEnd w:id="108"/>
    </w:p>
    <w:p w14:paraId="393811BC" w14:textId="479DB9A1"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Un manque d’incitatifs : </w:t>
      </w:r>
      <w:r w:rsidR="00776319" w:rsidRPr="00D11D21">
        <w:rPr>
          <w:rFonts w:asciiTheme="majorBidi" w:hAnsiTheme="majorBidi" w:cstheme="majorBidi"/>
          <w:szCs w:val="24"/>
        </w:rPr>
        <w:t xml:space="preserve">D'après les sources, le principal défaut de ce modèle de financement est le manque de motivation à performance, notamment en termes : de la qualité des soins, de l'efficacité opérationnelle des établissements et de </w:t>
      </w:r>
      <w:r w:rsidR="00201164" w:rsidRPr="00D11D21">
        <w:rPr>
          <w:rFonts w:asciiTheme="majorBidi" w:hAnsiTheme="majorBidi" w:cstheme="majorBidi"/>
          <w:szCs w:val="24"/>
        </w:rPr>
        <w:t>là</w:t>
      </w:r>
      <w:r w:rsidR="00776319" w:rsidRPr="00D11D21">
        <w:rPr>
          <w:rFonts w:asciiTheme="majorBidi" w:hAnsiTheme="majorBidi" w:cstheme="majorBidi"/>
          <w:szCs w:val="24"/>
        </w:rPr>
        <w:t xml:space="preserve"> l'accessibilité des services. Bien que la responsabilité de ne pas dépasser le budget repose sur l'hôpital, l'arrivée de chaque nouveau patient a un impact sur les dépenses. Cette priorité conduit à une limitation de l'accès aux services. En outre, ce mécanisme n'incite pas les hôpitaux à réduire la durée du séjour des patients et à les diriger vers des ressources de soins moins coûteuses, car le coût par jour de l'hospitalisation diminue avec la durée du séjour. </w:t>
      </w:r>
      <w:r w:rsidRPr="00D11D21">
        <w:rPr>
          <w:rFonts w:asciiTheme="majorBidi" w:hAnsiTheme="majorBidi" w:cstheme="majorBidi"/>
          <w:szCs w:val="24"/>
        </w:rPr>
        <w:t>En libérant une place plus tôt, on substitue un patient à moindre coût par un patient plus onéreux. C'est la raison pour laquelle, dans les systèmes où le financement des hôpitaux se fait par budget, on constate un taux relativement bas de patients traités et une propension à chercher à réduire au minimum les ressources utilisées par chaque patient. Cela peut conduire à une diminution de la qualité des soins.</w:t>
      </w:r>
    </w:p>
    <w:p w14:paraId="370D2919" w14:textId="77777777" w:rsidR="00776319"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Des séjours longues – </w:t>
      </w:r>
      <w:r w:rsidR="00776319" w:rsidRPr="00D11D21">
        <w:rPr>
          <w:rFonts w:asciiTheme="majorBidi" w:hAnsiTheme="majorBidi" w:cstheme="majorBidi"/>
          <w:szCs w:val="24"/>
        </w:rPr>
        <w:t>Ce point négatif est directement lié à l'absence de motivations, comme précisé dans le paragraphe antérieur.</w:t>
      </w:r>
    </w:p>
    <w:p w14:paraId="0EEE68B8" w14:textId="77777777" w:rsidR="00776319"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Une innovation restreinte – </w:t>
      </w:r>
      <w:r w:rsidR="00776319" w:rsidRPr="00D11D21">
        <w:rPr>
          <w:rFonts w:asciiTheme="majorBidi" w:hAnsiTheme="majorBidi" w:cstheme="majorBidi"/>
          <w:szCs w:val="24"/>
        </w:rPr>
        <w:t>Selon le CHSRF (Sutherland 2010), les budgets globaux freinent l'innovation, car le risque financier est trop élevé pour que les hôpitaux apportent des changements à leurs procédures.</w:t>
      </w:r>
    </w:p>
    <w:p w14:paraId="6B341D01" w14:textId="77777777" w:rsidR="00776319"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 Un risque non partagé - D'après Street (2007), les hôpitaux ont l'obligation d'assurer une activité minimale conforme à l'accord conclu entre l'établissement et le financeur. </w:t>
      </w:r>
      <w:r w:rsidR="00776319" w:rsidRPr="00D11D21">
        <w:rPr>
          <w:rFonts w:asciiTheme="majorBidi" w:hAnsiTheme="majorBidi" w:cstheme="majorBidi"/>
          <w:szCs w:val="24"/>
        </w:rPr>
        <w:t>Dans ce contexte, si le budget vient à manquer avant la clôture de l'année tout en continuant à faire face à une demande de soins, l'hôpital sera alors en déficit.</w:t>
      </w:r>
    </w:p>
    <w:p w14:paraId="4949981D" w14:textId="77777777" w:rsidR="002210A7" w:rsidRPr="00D11D21" w:rsidRDefault="002210A7" w:rsidP="00D11D21">
      <w:pPr>
        <w:pStyle w:val="Titre2"/>
        <w:rPr>
          <w:rFonts w:asciiTheme="majorBidi" w:hAnsiTheme="majorBidi"/>
          <w:szCs w:val="24"/>
        </w:rPr>
      </w:pPr>
      <w:bookmarkStart w:id="109" w:name="_Toc199958874"/>
      <w:r w:rsidRPr="00D11D21">
        <w:rPr>
          <w:rFonts w:asciiTheme="majorBidi" w:hAnsiTheme="majorBidi"/>
          <w:szCs w:val="24"/>
        </w:rPr>
        <w:t>La Contractualisation : un futur mode de financement en Algérie</w:t>
      </w:r>
      <w:bookmarkEnd w:id="109"/>
    </w:p>
    <w:p w14:paraId="275D67F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Face aux limites du budget global, la contractualisation a été introduite par la loi de finances de 1993 et réactivée en 1997, comme une solution intermédiaire visant à offrir une gestion plus souple et plus efficiente des ressources. En Algérie, elle est envisagée comme un futur mode de financement complémentaire au budget global, actuellement en phase d’expérimentation et de développement.</w:t>
      </w:r>
    </w:p>
    <w:p w14:paraId="456ABAA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Ce mécanisme repose sur des relations contractuelles entre la sécurité sociale, l’État et les établissements de santé, fondées sur des critères de performance, de qualité et de maîtrise des coûts. L’objectif est d’améliorer la gouvernance, de mieux contrôler les dépenses, et d’élever le niveau de qualité des soins. Alors que le financement par dotation repose sur une logique unilatérale, la contractualisation introduit une dynamique partenariale entre financeurs et prestataires basée sur la transparence, la responsabilité et l’évaluation des résultats.</w:t>
      </w:r>
      <w:r w:rsidRPr="00D11D21">
        <w:rPr>
          <w:rStyle w:val="Appelnotedebasdep"/>
          <w:rFonts w:asciiTheme="majorBidi" w:hAnsiTheme="majorBidi" w:cstheme="majorBidi"/>
          <w:szCs w:val="24"/>
        </w:rPr>
        <w:footnoteReference w:id="71"/>
      </w:r>
    </w:p>
    <w:p w14:paraId="59B148F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Ce modèle ambitionne de responsabiliser les établissements en leur accordant plus d’autonomie tout en exigeant des résultats mesurables. Il constitue une étape de transition vers des modes de financement plus complexes, comme la </w:t>
      </w:r>
      <w:r w:rsidRPr="00D11D21">
        <w:rPr>
          <w:rFonts w:asciiTheme="majorBidi" w:hAnsiTheme="majorBidi" w:cstheme="majorBidi"/>
          <w:b/>
          <w:bCs/>
          <w:szCs w:val="24"/>
        </w:rPr>
        <w:t>Tarification à l’Activité (T2A)</w:t>
      </w:r>
      <w:r w:rsidRPr="00D11D21">
        <w:rPr>
          <w:rFonts w:asciiTheme="majorBidi" w:hAnsiTheme="majorBidi" w:cstheme="majorBidi"/>
          <w:szCs w:val="24"/>
        </w:rPr>
        <w:t>, en introduisant progressivement des notions de performance, d’analyse des coûts et de résultats sanitaires.</w:t>
      </w:r>
    </w:p>
    <w:p w14:paraId="0149DB4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En Algérie, des expérimentations ont été menées dans certains établissements hospitaliers pilotes dans le cadre des réformes sanitaires. La contractualisation y est perçue comme un levier de gouvernance hospitalière, permettant d’améliorer la qualité des soins, la gestion des ressources et la transparence dans l’allocation des fonds publics</w:t>
      </w:r>
      <w:r w:rsidRPr="00D11D21">
        <w:rPr>
          <w:rFonts w:asciiTheme="majorBidi" w:hAnsiTheme="majorBidi" w:cstheme="majorBidi"/>
          <w:szCs w:val="24"/>
          <w:vertAlign w:val="superscript"/>
        </w:rPr>
        <w:footnoteReference w:id="72"/>
      </w:r>
      <w:r w:rsidRPr="00D11D21">
        <w:rPr>
          <w:rFonts w:asciiTheme="majorBidi" w:hAnsiTheme="majorBidi" w:cstheme="majorBidi"/>
          <w:szCs w:val="24"/>
        </w:rPr>
        <w:t>. L’idée centrale est de lier le financement d’un établissement à des engagements contractuels précis, qu’ils soient en matière de qualité, d’efficience ou de résultats sanitaires.</w:t>
      </w:r>
    </w:p>
    <w:p w14:paraId="4BA866A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Toutefois, malgré son introduction légale et les expérimentations menées, la contractualisation n’a pas encore été généralisée en Algérie. Elle reste freinée par des obstacles techniques, organisationnels et institutionnels, notamment l’absence d’un système d’information intégré, la centralisation administrative et le manque de coordination entre les acteurs</w:t>
      </w:r>
      <w:r w:rsidRPr="00D11D21">
        <w:rPr>
          <w:rFonts w:asciiTheme="majorBidi" w:hAnsiTheme="majorBidi" w:cstheme="majorBidi"/>
          <w:szCs w:val="24"/>
          <w:vertAlign w:val="superscript"/>
        </w:rPr>
        <w:footnoteReference w:id="73"/>
      </w:r>
      <w:r w:rsidRPr="00D11D21">
        <w:rPr>
          <w:rFonts w:asciiTheme="majorBidi" w:hAnsiTheme="majorBidi" w:cstheme="majorBidi"/>
          <w:szCs w:val="24"/>
        </w:rPr>
        <w:t>. L’État, en tant que régulateur, et la sécurité sociale, en tant qu’acheteur stratégique, doivent renforcer leur collaboration et mettre en place un cadre juridique et opérationnel clair pour que la contractualisation devienne un mode de financement effectif et efficient.</w:t>
      </w:r>
    </w:p>
    <w:p w14:paraId="13082D62" w14:textId="0B937641" w:rsidR="002210A7" w:rsidRPr="00D11D21" w:rsidRDefault="002210A7" w:rsidP="00D11D21">
      <w:pPr>
        <w:pStyle w:val="Titre3"/>
        <w:numPr>
          <w:ilvl w:val="1"/>
          <w:numId w:val="137"/>
        </w:numPr>
        <w:spacing w:line="360" w:lineRule="auto"/>
        <w:rPr>
          <w:rFonts w:asciiTheme="majorBidi" w:hAnsiTheme="majorBidi" w:cstheme="majorBidi"/>
          <w:szCs w:val="24"/>
        </w:rPr>
      </w:pPr>
      <w:bookmarkStart w:id="110" w:name="_Toc199958875"/>
      <w:r w:rsidRPr="00D11D21">
        <w:rPr>
          <w:rFonts w:asciiTheme="majorBidi" w:hAnsiTheme="majorBidi" w:cstheme="majorBidi"/>
          <w:szCs w:val="24"/>
        </w:rPr>
        <w:t>Textes réglementaires d’appui</w:t>
      </w:r>
      <w:bookmarkEnd w:id="110"/>
    </w:p>
    <w:p w14:paraId="3BC1C49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La mise en œuvre de ce processus repose sur plusieurs fondements juridiques :</w:t>
      </w:r>
    </w:p>
    <w:p w14:paraId="13A0CE33" w14:textId="77777777" w:rsidR="002210A7" w:rsidRPr="00D11D21" w:rsidRDefault="002210A7" w:rsidP="00D11D21">
      <w:pPr>
        <w:numPr>
          <w:ilvl w:val="0"/>
          <w:numId w:val="51"/>
        </w:numPr>
        <w:jc w:val="both"/>
        <w:rPr>
          <w:rFonts w:asciiTheme="majorBidi" w:hAnsiTheme="majorBidi" w:cstheme="majorBidi"/>
          <w:szCs w:val="24"/>
        </w:rPr>
      </w:pPr>
      <w:r w:rsidRPr="00D11D21">
        <w:rPr>
          <w:rFonts w:asciiTheme="majorBidi" w:hAnsiTheme="majorBidi" w:cstheme="majorBidi"/>
          <w:b/>
          <w:bCs/>
          <w:szCs w:val="24"/>
        </w:rPr>
        <w:t>Décret exécutif n° 04-101 du 1er avril 2004</w:t>
      </w:r>
      <w:r w:rsidRPr="00D11D21">
        <w:rPr>
          <w:rFonts w:asciiTheme="majorBidi" w:hAnsiTheme="majorBidi" w:cstheme="majorBidi"/>
          <w:szCs w:val="24"/>
        </w:rPr>
        <w:t xml:space="preserve"> : précise les modalités de versement de la contribution de la sécurité sociale aux établissements publics de santé. Il impose un paiement par fraction trimestrielle sur la base de données précises (durée du séjour, spécialité, nature des soins…).</w:t>
      </w:r>
    </w:p>
    <w:p w14:paraId="1B13241D" w14:textId="77777777" w:rsidR="002210A7" w:rsidRPr="00D11D21" w:rsidRDefault="002210A7" w:rsidP="00D11D21">
      <w:pPr>
        <w:numPr>
          <w:ilvl w:val="0"/>
          <w:numId w:val="51"/>
        </w:numPr>
        <w:jc w:val="both"/>
        <w:rPr>
          <w:rFonts w:asciiTheme="majorBidi" w:hAnsiTheme="majorBidi" w:cstheme="majorBidi"/>
          <w:szCs w:val="24"/>
        </w:rPr>
      </w:pPr>
      <w:r w:rsidRPr="00D11D21">
        <w:rPr>
          <w:rFonts w:asciiTheme="majorBidi" w:hAnsiTheme="majorBidi" w:cstheme="majorBidi"/>
          <w:b/>
          <w:bCs/>
          <w:szCs w:val="24"/>
        </w:rPr>
        <w:t>Décisions interministérielles du 18 octobre 2005</w:t>
      </w:r>
      <w:r w:rsidRPr="00D11D21">
        <w:rPr>
          <w:rFonts w:asciiTheme="majorBidi" w:hAnsiTheme="majorBidi" w:cstheme="majorBidi"/>
          <w:szCs w:val="24"/>
        </w:rPr>
        <w:t xml:space="preserve"> : fixent les modalités de transmission électronique des données et créent les comités intersectoriels de suivi à l’échelle des wilayas.</w:t>
      </w:r>
    </w:p>
    <w:p w14:paraId="485D3F1B" w14:textId="77777777" w:rsidR="002210A7" w:rsidRPr="00D11D21" w:rsidRDefault="002210A7" w:rsidP="00D11D21">
      <w:pPr>
        <w:numPr>
          <w:ilvl w:val="0"/>
          <w:numId w:val="51"/>
        </w:numPr>
        <w:jc w:val="both"/>
        <w:rPr>
          <w:rFonts w:asciiTheme="majorBidi" w:hAnsiTheme="majorBidi" w:cstheme="majorBidi"/>
          <w:szCs w:val="24"/>
        </w:rPr>
      </w:pPr>
      <w:r w:rsidRPr="00D11D21">
        <w:rPr>
          <w:rFonts w:asciiTheme="majorBidi" w:hAnsiTheme="majorBidi" w:cstheme="majorBidi"/>
          <w:b/>
          <w:bCs/>
          <w:szCs w:val="24"/>
        </w:rPr>
        <w:t>Instructions du Conseil Interministériel de 2010 et 2017</w:t>
      </w:r>
      <w:r w:rsidRPr="00D11D21">
        <w:rPr>
          <w:rFonts w:asciiTheme="majorBidi" w:hAnsiTheme="majorBidi" w:cstheme="majorBidi"/>
          <w:szCs w:val="24"/>
        </w:rPr>
        <w:t xml:space="preserve"> : lancent officiellement le processus de contractualisation et redynamisent les structures chargées de sa mise en œuvre.</w:t>
      </w:r>
    </w:p>
    <w:p w14:paraId="3C4ACF18" w14:textId="1D319CE8" w:rsidR="002210A7" w:rsidRPr="00D11D21" w:rsidRDefault="002210A7" w:rsidP="00D11D21">
      <w:pPr>
        <w:pStyle w:val="Titre3"/>
        <w:numPr>
          <w:ilvl w:val="1"/>
          <w:numId w:val="138"/>
        </w:numPr>
        <w:spacing w:line="360" w:lineRule="auto"/>
        <w:rPr>
          <w:rFonts w:asciiTheme="majorBidi" w:hAnsiTheme="majorBidi" w:cstheme="majorBidi"/>
          <w:szCs w:val="24"/>
        </w:rPr>
      </w:pPr>
      <w:bookmarkStart w:id="111" w:name="_Toc199958876"/>
      <w:r w:rsidRPr="00D11D21">
        <w:rPr>
          <w:rFonts w:asciiTheme="majorBidi" w:hAnsiTheme="majorBidi" w:cstheme="majorBidi"/>
          <w:szCs w:val="24"/>
        </w:rPr>
        <w:t>Mise en œuvre expérimentale</w:t>
      </w:r>
      <w:bookmarkEnd w:id="111"/>
    </w:p>
    <w:p w14:paraId="1CF78EDB"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La contractualisation a été mise en œuvre dans le cadre d’expériences pilotes. Parmi les actions réalisées :</w:t>
      </w:r>
    </w:p>
    <w:p w14:paraId="603037CE" w14:textId="77777777" w:rsidR="002210A7" w:rsidRPr="00D11D21" w:rsidRDefault="002210A7" w:rsidP="00D11D21">
      <w:pPr>
        <w:numPr>
          <w:ilvl w:val="0"/>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Création des services Hôpitaux-Cliniques</w:t>
      </w:r>
      <w:r w:rsidRPr="00D11D21">
        <w:rPr>
          <w:rFonts w:asciiTheme="majorBidi" w:eastAsia="Times New Roman" w:hAnsiTheme="majorBidi" w:cstheme="majorBidi"/>
          <w:szCs w:val="24"/>
          <w:lang w:eastAsia="fr-FR"/>
        </w:rPr>
        <w:t xml:space="preserve"> dans 49 agences CNAS, dotés de ressources humaines (180 agents dont 62 médecins) et de moyens techniques.</w:t>
      </w:r>
    </w:p>
    <w:p w14:paraId="34D9C848" w14:textId="77777777" w:rsidR="002210A7" w:rsidRPr="00D11D21" w:rsidRDefault="002210A7" w:rsidP="00D11D21">
      <w:pPr>
        <w:numPr>
          <w:ilvl w:val="0"/>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Déploiement du logiciel IDAAS</w:t>
      </w:r>
      <w:r w:rsidRPr="00D11D21">
        <w:rPr>
          <w:rFonts w:asciiTheme="majorBidi" w:eastAsia="Times New Roman" w:hAnsiTheme="majorBidi" w:cstheme="majorBidi"/>
          <w:szCs w:val="24"/>
          <w:lang w:eastAsia="fr-FR"/>
        </w:rPr>
        <w:t xml:space="preserve"> pour l’identification des assurés sociaux et la transmission électronique des données de facturation.</w:t>
      </w:r>
    </w:p>
    <w:p w14:paraId="21E541F5" w14:textId="77777777" w:rsidR="002210A7" w:rsidRPr="00D11D21" w:rsidRDefault="002210A7" w:rsidP="00D11D21">
      <w:pPr>
        <w:numPr>
          <w:ilvl w:val="0"/>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Formation du personnel</w:t>
      </w:r>
      <w:r w:rsidRPr="00D11D21">
        <w:rPr>
          <w:rFonts w:asciiTheme="majorBidi" w:eastAsia="Times New Roman" w:hAnsiTheme="majorBidi" w:cstheme="majorBidi"/>
          <w:szCs w:val="24"/>
          <w:lang w:eastAsia="fr-FR"/>
        </w:rPr>
        <w:t xml:space="preserve"> des agences CNAS et des établissements de santé sur les procédures de contractualisation.</w:t>
      </w:r>
    </w:p>
    <w:p w14:paraId="732018A3" w14:textId="77777777" w:rsidR="002210A7" w:rsidRPr="00D11D21" w:rsidRDefault="002210A7" w:rsidP="00D11D21">
      <w:pPr>
        <w:numPr>
          <w:ilvl w:val="0"/>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Mise en ligne d’un portail sécurisé</w:t>
      </w:r>
      <w:r w:rsidRPr="00D11D21">
        <w:rPr>
          <w:rFonts w:asciiTheme="majorBidi" w:eastAsia="Times New Roman" w:hAnsiTheme="majorBidi" w:cstheme="majorBidi"/>
          <w:szCs w:val="24"/>
          <w:lang w:eastAsia="fr-FR"/>
        </w:rPr>
        <w:t xml:space="preserve"> (VPN) pour l’échange de fichiers (hospitalisation, facturation).</w:t>
      </w:r>
    </w:p>
    <w:p w14:paraId="315E0DBE" w14:textId="77777777" w:rsidR="002210A7" w:rsidRPr="00D11D21" w:rsidRDefault="002210A7" w:rsidP="00D11D21">
      <w:pPr>
        <w:numPr>
          <w:ilvl w:val="0"/>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Lancement de deux expériences concrètes</w:t>
      </w:r>
      <w:r w:rsidRPr="00D11D21">
        <w:rPr>
          <w:rFonts w:asciiTheme="majorBidi" w:eastAsia="Times New Roman" w:hAnsiTheme="majorBidi" w:cstheme="majorBidi"/>
          <w:szCs w:val="24"/>
          <w:lang w:eastAsia="fr-FR"/>
        </w:rPr>
        <w:t xml:space="preserve"> :</w:t>
      </w:r>
    </w:p>
    <w:p w14:paraId="0041F47D" w14:textId="77777777" w:rsidR="002210A7" w:rsidRPr="00D11D21" w:rsidRDefault="002210A7" w:rsidP="00D11D21">
      <w:pPr>
        <w:numPr>
          <w:ilvl w:val="1"/>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Avec les établissements militaires (forfait par pathologie),</w:t>
      </w:r>
    </w:p>
    <w:p w14:paraId="7D4D174E" w14:textId="77777777" w:rsidR="002210A7" w:rsidRPr="00D11D21" w:rsidRDefault="002210A7" w:rsidP="00D11D21">
      <w:pPr>
        <w:numPr>
          <w:ilvl w:val="1"/>
          <w:numId w:val="52"/>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Et avec la CMCI de Bou Ismail (projet pilote interne).</w:t>
      </w:r>
      <w:r w:rsidR="00776319" w:rsidRPr="00D11D21">
        <w:rPr>
          <w:rStyle w:val="Appelnotedebasdep"/>
          <w:rFonts w:asciiTheme="majorBidi" w:eastAsia="Times New Roman" w:hAnsiTheme="majorBidi" w:cstheme="majorBidi"/>
          <w:szCs w:val="24"/>
          <w:lang w:eastAsia="fr-FR"/>
        </w:rPr>
        <w:footnoteReference w:id="74"/>
      </w:r>
    </w:p>
    <w:p w14:paraId="0EE16E1E" w14:textId="33FF814F" w:rsidR="002210A7" w:rsidRPr="00D11D21" w:rsidRDefault="002210A7" w:rsidP="00D11D21">
      <w:pPr>
        <w:pStyle w:val="Titre3"/>
        <w:numPr>
          <w:ilvl w:val="1"/>
          <w:numId w:val="138"/>
        </w:numPr>
        <w:spacing w:line="360" w:lineRule="auto"/>
        <w:rPr>
          <w:rFonts w:asciiTheme="majorBidi" w:hAnsiTheme="majorBidi" w:cstheme="majorBidi"/>
          <w:szCs w:val="24"/>
        </w:rPr>
      </w:pPr>
      <w:bookmarkStart w:id="112" w:name="_Toc199958877"/>
      <w:r w:rsidRPr="00D11D21">
        <w:rPr>
          <w:rFonts w:asciiTheme="majorBidi" w:hAnsiTheme="majorBidi" w:cstheme="majorBidi"/>
          <w:szCs w:val="24"/>
        </w:rPr>
        <w:t>Contraintes majeures à la mise en œuvre de la contractualisation en Algérie</w:t>
      </w:r>
      <w:bookmarkEnd w:id="112"/>
    </w:p>
    <w:p w14:paraId="794A350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 xml:space="preserve">La mise en place de la contractualisation dans le système de santé algérien se heurte à plusieurs obstacles structurels et organisationnels. Tout d’abord, on observe un </w:t>
      </w:r>
      <w:r w:rsidRPr="00D11D21">
        <w:rPr>
          <w:rFonts w:asciiTheme="majorBidi" w:hAnsiTheme="majorBidi" w:cstheme="majorBidi"/>
          <w:b/>
          <w:bCs/>
          <w:szCs w:val="24"/>
        </w:rPr>
        <w:t>manque de volonté politique forte et continue</w:t>
      </w:r>
      <w:r w:rsidRPr="00D11D21">
        <w:rPr>
          <w:rFonts w:asciiTheme="majorBidi" w:hAnsiTheme="majorBidi" w:cstheme="majorBidi"/>
          <w:szCs w:val="24"/>
        </w:rPr>
        <w:t>. Bien que le concept ait été introduit dès 1993 et relancé à plusieurs reprises, il n’a jamais bénéficié d’un soutien politique clair et soutenu. Les changements institutionnels fréquents et les divergences dans les priorités nationales ont souvent freiné ou interrompu les dynamiques de réforme.</w:t>
      </w:r>
    </w:p>
    <w:p w14:paraId="2EE186B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Par ailleurs, la contractualisation se heurte à des </w:t>
      </w:r>
      <w:r w:rsidRPr="00D11D21">
        <w:rPr>
          <w:rFonts w:asciiTheme="majorBidi" w:hAnsiTheme="majorBidi" w:cstheme="majorBidi"/>
          <w:b/>
          <w:bCs/>
          <w:szCs w:val="24"/>
        </w:rPr>
        <w:t>difficultés techniques majeures liées au système d’information et de gestion</w:t>
      </w:r>
      <w:r w:rsidRPr="00D11D21">
        <w:rPr>
          <w:rFonts w:asciiTheme="majorBidi" w:hAnsiTheme="majorBidi" w:cstheme="majorBidi"/>
          <w:szCs w:val="24"/>
        </w:rPr>
        <w:t>. En effet, l’absence d’un système fiable, intégré et homogène de collecte et d’analyse des données hospitalières et des coûts des soins rend difficile la négociation, le suivi et l’évaluation des contrats. À ce jour, des outils essentiels comme la comptabilité analytique ou la tarification à l’activité (T2A) ne sont toujours pas pleinement opérationnels à l’échelle nationale.</w:t>
      </w:r>
      <w:r w:rsidRPr="00D11D21">
        <w:rPr>
          <w:rStyle w:val="Appelnotedebasdep"/>
          <w:rFonts w:asciiTheme="majorBidi" w:hAnsiTheme="majorBidi" w:cstheme="majorBidi"/>
          <w:szCs w:val="24"/>
        </w:rPr>
        <w:footnoteReference w:id="75"/>
      </w:r>
    </w:p>
    <w:p w14:paraId="18AED79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Un autre obstacle important réside dans </w:t>
      </w:r>
      <w:r w:rsidRPr="00D11D21">
        <w:rPr>
          <w:rFonts w:asciiTheme="majorBidi" w:hAnsiTheme="majorBidi" w:cstheme="majorBidi"/>
          <w:b/>
          <w:bCs/>
          <w:szCs w:val="24"/>
        </w:rPr>
        <w:t>l’absence de consensus entre les acteurs concernés</w:t>
      </w:r>
      <w:r w:rsidRPr="00D11D21">
        <w:rPr>
          <w:rFonts w:asciiTheme="majorBidi" w:hAnsiTheme="majorBidi" w:cstheme="majorBidi"/>
          <w:szCs w:val="24"/>
        </w:rPr>
        <w:t>. Les relations contractuelles impliquent principalement les établissements publics de santé et les organismes de sécurité sociale, mais un accord sur les modalités de mise en œuvre n’a pas été trouvé. Chaque partie accuse l’autre des blocages observés, ce qui empêche la finalisation et l’exécution efficace des contrats.</w:t>
      </w:r>
    </w:p>
    <w:p w14:paraId="06927C5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De plus, le </w:t>
      </w:r>
      <w:r w:rsidRPr="00D11D21">
        <w:rPr>
          <w:rFonts w:asciiTheme="majorBidi" w:hAnsiTheme="majorBidi" w:cstheme="majorBidi"/>
          <w:b/>
          <w:bCs/>
          <w:szCs w:val="24"/>
        </w:rPr>
        <w:t>modèle administratif centralisé et bureaucratique</w:t>
      </w:r>
      <w:r w:rsidRPr="00D11D21">
        <w:rPr>
          <w:rFonts w:asciiTheme="majorBidi" w:hAnsiTheme="majorBidi" w:cstheme="majorBidi"/>
          <w:szCs w:val="24"/>
        </w:rPr>
        <w:t xml:space="preserve"> en vigueur dans la gestion hospitalière limite l’autonomie des structures sanitaires. Cette centralisation excessive constitue un frein majeur à la responsabilisation des gestionnaires locaux et à la mise en place d’une gestion axée sur les résultats, conditions pourtant indispensables à une contractualisation réussie.</w:t>
      </w:r>
    </w:p>
    <w:p w14:paraId="3CB8514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La </w:t>
      </w:r>
      <w:r w:rsidRPr="00D11D21">
        <w:rPr>
          <w:rFonts w:asciiTheme="majorBidi" w:hAnsiTheme="majorBidi" w:cstheme="majorBidi"/>
          <w:b/>
          <w:bCs/>
          <w:szCs w:val="24"/>
        </w:rPr>
        <w:t>faible implication du secteur privé et des autres acteurs de la santé</w:t>
      </w:r>
      <w:r w:rsidRPr="00D11D21">
        <w:rPr>
          <w:rFonts w:asciiTheme="majorBidi" w:hAnsiTheme="majorBidi" w:cstheme="majorBidi"/>
          <w:szCs w:val="24"/>
        </w:rPr>
        <w:t xml:space="preserve"> représente également un facteur limitant. Actuellement, seules les structures publiques sont concernées par la contractualisation, excluant ainsi les mutuelles et les établissements privés, ce qui réduit </w:t>
      </w:r>
      <w:r w:rsidRPr="00D11D21">
        <w:rPr>
          <w:rFonts w:asciiTheme="majorBidi" w:hAnsiTheme="majorBidi" w:cstheme="majorBidi"/>
          <w:szCs w:val="24"/>
        </w:rPr>
        <w:lastRenderedPageBreak/>
        <w:t>considérablement l’efficacité globale du dispositif et sa capacité à générer des dynamiques de transformation positives.</w:t>
      </w:r>
    </w:p>
    <w:p w14:paraId="0612AB1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En outre, on constate une </w:t>
      </w:r>
      <w:r w:rsidRPr="00D11D21">
        <w:rPr>
          <w:rFonts w:asciiTheme="majorBidi" w:hAnsiTheme="majorBidi" w:cstheme="majorBidi"/>
          <w:b/>
          <w:bCs/>
          <w:szCs w:val="24"/>
        </w:rPr>
        <w:t>lenteur dans la mise en œuvre des étapes préparatoires essentielles</w:t>
      </w:r>
      <w:r w:rsidRPr="00D11D21">
        <w:rPr>
          <w:rFonts w:asciiTheme="majorBidi" w:hAnsiTheme="majorBidi" w:cstheme="majorBidi"/>
          <w:szCs w:val="24"/>
        </w:rPr>
        <w:t>. La révision des nomenclatures d’actes médicaux, l’identification précise du statut des patients, ou encore la création de services spécialisés pour la gestion contractuelle sont autant de mesures dont l’application progresse trop lentement.</w:t>
      </w:r>
    </w:p>
    <w:p w14:paraId="153A883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Enfin, l’un des freins les plus structurants est </w:t>
      </w:r>
      <w:r w:rsidRPr="00D11D21">
        <w:rPr>
          <w:rFonts w:asciiTheme="majorBidi" w:hAnsiTheme="majorBidi" w:cstheme="majorBidi"/>
          <w:b/>
          <w:bCs/>
          <w:szCs w:val="24"/>
        </w:rPr>
        <w:t>l’absence d’un cadre juridique et réglementaire clair, stable et adapté</w:t>
      </w:r>
      <w:r w:rsidRPr="00D11D21">
        <w:rPr>
          <w:rFonts w:asciiTheme="majorBidi" w:hAnsiTheme="majorBidi" w:cstheme="majorBidi"/>
          <w:szCs w:val="24"/>
        </w:rPr>
        <w:t>. Le manque de lois et de règlements précis pour encadrer la contractualisation empêche une mise en œuvre cohérente, sécurisée et pérenne, suscitant des incertitudes chez les acteurs et freinant ainsi toute dynamique de changement durable.</w:t>
      </w:r>
      <w:r w:rsidRPr="00D11D21">
        <w:rPr>
          <w:rStyle w:val="Appelnotedebasdep"/>
          <w:rFonts w:asciiTheme="majorBidi" w:hAnsiTheme="majorBidi" w:cstheme="majorBidi"/>
          <w:szCs w:val="24"/>
        </w:rPr>
        <w:footnoteReference w:id="76"/>
      </w:r>
    </w:p>
    <w:p w14:paraId="4A96B4D1" w14:textId="6BDE53D7" w:rsidR="002210A7" w:rsidRPr="00D11D21" w:rsidRDefault="002210A7" w:rsidP="00D11D21">
      <w:pPr>
        <w:pStyle w:val="Titre3"/>
        <w:numPr>
          <w:ilvl w:val="1"/>
          <w:numId w:val="138"/>
        </w:numPr>
        <w:spacing w:line="360" w:lineRule="auto"/>
        <w:rPr>
          <w:rFonts w:asciiTheme="majorBidi" w:hAnsiTheme="majorBidi" w:cstheme="majorBidi"/>
          <w:szCs w:val="24"/>
        </w:rPr>
      </w:pPr>
      <w:bookmarkStart w:id="113" w:name="_Toc199958878"/>
      <w:r w:rsidRPr="00D11D21">
        <w:rPr>
          <w:rFonts w:asciiTheme="majorBidi" w:hAnsiTheme="majorBidi" w:cstheme="majorBidi"/>
          <w:szCs w:val="24"/>
        </w:rPr>
        <w:t>Avantages :</w:t>
      </w:r>
      <w:bookmarkEnd w:id="113"/>
      <w:r w:rsidRPr="00D11D21">
        <w:rPr>
          <w:rFonts w:asciiTheme="majorBidi" w:hAnsiTheme="majorBidi" w:cstheme="majorBidi"/>
          <w:szCs w:val="24"/>
        </w:rPr>
        <w:t xml:space="preserve"> </w:t>
      </w:r>
    </w:p>
    <w:p w14:paraId="12A3A20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La contractualisation dans le secteur de la santé présente plusieurs avantages reconnus à travers diverses expériences internationales et analyses. </w:t>
      </w:r>
    </w:p>
    <w:p w14:paraId="2A8C8FC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Elle encourage une plus grande efficience des établissements en les incitant à optimiser l'usage des ressources existantes, ce qui contribue à l'amélioration de la gestion financière et opérationnelle. Ce système incite aussi les acteurs, en particulier les directeurs et le personnel de santé, à se fixer des buts clairs et mesurables, ce qui accroît leur implication pour atteindre les résultats attendus. </w:t>
      </w:r>
      <w:r w:rsidR="00776319" w:rsidRPr="00D11D21">
        <w:rPr>
          <w:rFonts w:asciiTheme="majorBidi" w:hAnsiTheme="majorBidi" w:cstheme="majorBidi"/>
          <w:szCs w:val="24"/>
        </w:rPr>
        <w:t>La</w:t>
      </w:r>
      <w:r w:rsidRPr="00D11D21">
        <w:rPr>
          <w:rFonts w:asciiTheme="majorBidi" w:hAnsiTheme="majorBidi" w:cstheme="majorBidi"/>
          <w:szCs w:val="24"/>
        </w:rPr>
        <w:t xml:space="preserve"> contractualisation renforce la transparence financière en rendant le financement plus justifiable et suivi, ce qui simplifie </w:t>
      </w:r>
      <w:r w:rsidR="00776319" w:rsidRPr="00D11D21">
        <w:rPr>
          <w:rFonts w:asciiTheme="majorBidi" w:hAnsiTheme="majorBidi" w:cstheme="majorBidi"/>
          <w:szCs w:val="24"/>
        </w:rPr>
        <w:t>le contrôle</w:t>
      </w:r>
      <w:r w:rsidRPr="00D11D21">
        <w:rPr>
          <w:rFonts w:asciiTheme="majorBidi" w:hAnsiTheme="majorBidi" w:cstheme="majorBidi"/>
          <w:szCs w:val="24"/>
        </w:rPr>
        <w:t xml:space="preserve"> des dépenses et l'obligation de rendre compte. En outre, elle participe à l'amélioration de la qualité des soins en utilisant des indicateurs spécifiques qui permettent d’évaluer l'efficacité des établissements et d’orienter les actions vers une meilleure prise en charge des patients. </w:t>
      </w:r>
      <w:r w:rsidRPr="00D11D21">
        <w:rPr>
          <w:rStyle w:val="Appelnotedebasdep"/>
          <w:rFonts w:asciiTheme="majorBidi" w:hAnsiTheme="majorBidi" w:cstheme="majorBidi"/>
          <w:szCs w:val="24"/>
        </w:rPr>
        <w:footnoteReference w:id="77"/>
      </w:r>
    </w:p>
    <w:p w14:paraId="370DE52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Enfin, dans certains pays, la contractualisation a permis d’augmenter l’accessibilité des soins, notamment dans les zones difficiles, en facilitant la réouverture de postes fermés et en réduisant le déficit en personnel qualifié. </w:t>
      </w:r>
    </w:p>
    <w:p w14:paraId="2B1DBED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Ces effets positifs sont souvent associés à une meilleure coordination entre les acteurs du système de santé et à un cadre juridique clair qui encadre les relations contractuelles, favorisant ainsi la pérennisation de l’offre de services de qualité.</w:t>
      </w:r>
    </w:p>
    <w:p w14:paraId="2F2F59F5" w14:textId="683B45B2" w:rsidR="002210A7" w:rsidRPr="00D11D21" w:rsidRDefault="002210A7" w:rsidP="00D11D21">
      <w:pPr>
        <w:pStyle w:val="Titre3"/>
        <w:numPr>
          <w:ilvl w:val="1"/>
          <w:numId w:val="138"/>
        </w:numPr>
        <w:spacing w:line="360" w:lineRule="auto"/>
        <w:rPr>
          <w:rFonts w:asciiTheme="majorBidi" w:hAnsiTheme="majorBidi" w:cstheme="majorBidi"/>
          <w:szCs w:val="24"/>
        </w:rPr>
      </w:pPr>
      <w:bookmarkStart w:id="114" w:name="_Toc199958879"/>
      <w:r w:rsidRPr="00D11D21">
        <w:rPr>
          <w:rFonts w:asciiTheme="majorBidi" w:hAnsiTheme="majorBidi" w:cstheme="majorBidi"/>
          <w:szCs w:val="24"/>
        </w:rPr>
        <w:t>Inconvénients :</w:t>
      </w:r>
      <w:bookmarkEnd w:id="114"/>
      <w:r w:rsidRPr="00D11D21">
        <w:rPr>
          <w:rFonts w:asciiTheme="majorBidi" w:hAnsiTheme="majorBidi" w:cstheme="majorBidi"/>
          <w:szCs w:val="24"/>
        </w:rPr>
        <w:t xml:space="preserve"> </w:t>
      </w:r>
    </w:p>
    <w:p w14:paraId="469ADEA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Bien que la contractualisation dans les systèmes de santé présente des bénéfices, elle comporte également des désavantages et des contraintes qu'il est important de considérer.</w:t>
      </w:r>
    </w:p>
    <w:p w14:paraId="3E5C6D8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Pour commencer, la mise en place de contractualisation peut conduire à une dilution des responsabilités parmi les différents acteurs, rendant parfois difficile la détermination précise des rôles et la responsabilité en cas de dysfonctionnements. Cette ambiguïté peut affaiblir la gouvernance et rendre le contrôle des résultats plus complexe.</w:t>
      </w:r>
    </w:p>
    <w:p w14:paraId="7AE3C5F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mise en pratique de la contractualisation requiert ensuite des compétences avancées en gestion financière et administrative, qui sont fréquemment absentes au niveau local, particulièrement dans les structures de santé de première ligne ou les hôpitaux régionaux. Cette lacune limite la capacité des structures à négocier, suivre et évaluer les contrats de manière rigoureuse.</w:t>
      </w:r>
    </w:p>
    <w:p w14:paraId="0F2E655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De plus, l'absence d'un cadre juridique et réglementaire clair et stable peut entraver la mise en place de la contractualisation, entraînant des pratiques disparates souvent au cas par cas. Le suivi, l'évaluation et la reddition des comptes sont également complexifiés par le manque d'un système d'information efficace et d'un système d'enregistrement de données. </w:t>
      </w:r>
    </w:p>
    <w:p w14:paraId="01F3189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Un autre risque important est lié à l’asymétrie de l’information entre financeurs, prestataires et patients. Cette inégalité peut conduire à des comportements opportunistes, tels que la surconsommation de soins (risque moral), la sélection des patients les moins coûteux (sélection adverse) ou l’induction de la demande par l’offre. Ces phénomènes peuvent compromettre l’efficacité et l’équité du système contractuel.</w:t>
      </w:r>
      <w:r w:rsidRPr="00D11D21">
        <w:rPr>
          <w:rStyle w:val="Appelnotedebasdep"/>
          <w:rFonts w:asciiTheme="majorBidi" w:hAnsiTheme="majorBidi" w:cstheme="majorBidi"/>
          <w:szCs w:val="24"/>
        </w:rPr>
        <w:footnoteReference w:id="78"/>
      </w:r>
    </w:p>
    <w:p w14:paraId="4D22EB8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Enfin, la contractualisation peut générer une complexité administrative accrue et un alourdissement des procédures, ce qui peut décourager certains acteurs et ralentir les processus décisionnels. Elle nécessite également un engagement fort des parties prenantes, une formation adaptée et une coordination étroite, qui ne sont pas toujours présents dans les contextes où elle est mise en place.</w:t>
      </w:r>
    </w:p>
    <w:p w14:paraId="4FB1EE8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En résumé, bien que la contractualisation soit un outil prometteur pour améliorer la gestion et la qualité des soins, ses limites techniques, organisationnelles et institutionnelles doivent être soigneusement adressées pour garan</w:t>
      </w:r>
      <w:r w:rsidR="00A10F57" w:rsidRPr="00D11D21">
        <w:rPr>
          <w:rFonts w:asciiTheme="majorBidi" w:hAnsiTheme="majorBidi" w:cstheme="majorBidi"/>
          <w:szCs w:val="24"/>
        </w:rPr>
        <w:t>tir son succès et sa pérennité.</w:t>
      </w:r>
    </w:p>
    <w:p w14:paraId="7817DCF8" w14:textId="77777777" w:rsidR="002210A7" w:rsidRPr="00D11D21" w:rsidRDefault="002210A7" w:rsidP="00D11D21">
      <w:pPr>
        <w:pStyle w:val="Titre2"/>
        <w:rPr>
          <w:rFonts w:asciiTheme="majorBidi" w:hAnsiTheme="majorBidi"/>
          <w:szCs w:val="24"/>
        </w:rPr>
      </w:pPr>
      <w:r w:rsidRPr="00D11D21">
        <w:rPr>
          <w:rFonts w:asciiTheme="majorBidi" w:hAnsiTheme="majorBidi"/>
          <w:szCs w:val="24"/>
        </w:rPr>
        <w:t xml:space="preserve"> </w:t>
      </w:r>
      <w:bookmarkStart w:id="115" w:name="_Toc199958880"/>
      <w:r w:rsidRPr="00D11D21">
        <w:rPr>
          <w:rFonts w:asciiTheme="majorBidi" w:hAnsiTheme="majorBidi"/>
          <w:szCs w:val="24"/>
        </w:rPr>
        <w:t>La « T2A » mode de financement des hôpitaux en France :</w:t>
      </w:r>
      <w:bookmarkEnd w:id="115"/>
    </w:p>
    <w:p w14:paraId="46851DF0" w14:textId="0739E511" w:rsidR="002210A7" w:rsidRPr="00D11D21" w:rsidRDefault="00A10F57" w:rsidP="00D11D21">
      <w:pPr>
        <w:pStyle w:val="Titre3"/>
        <w:numPr>
          <w:ilvl w:val="1"/>
          <w:numId w:val="139"/>
        </w:numPr>
        <w:spacing w:line="360" w:lineRule="auto"/>
        <w:rPr>
          <w:rFonts w:asciiTheme="majorBidi" w:hAnsiTheme="majorBidi" w:cstheme="majorBidi"/>
          <w:szCs w:val="24"/>
        </w:rPr>
      </w:pPr>
      <w:bookmarkStart w:id="116" w:name="_Toc199958881"/>
      <w:r w:rsidRPr="00D11D21">
        <w:rPr>
          <w:rFonts w:asciiTheme="majorBidi" w:hAnsiTheme="majorBidi" w:cstheme="majorBidi"/>
          <w:szCs w:val="24"/>
        </w:rPr>
        <w:t>Définition de la</w:t>
      </w:r>
      <w:r w:rsidR="002210A7" w:rsidRPr="00D11D21">
        <w:rPr>
          <w:rFonts w:asciiTheme="majorBidi" w:hAnsiTheme="majorBidi" w:cstheme="majorBidi"/>
          <w:szCs w:val="24"/>
        </w:rPr>
        <w:t xml:space="preserve"> t</w:t>
      </w:r>
      <w:r w:rsidRPr="00D11D21">
        <w:rPr>
          <w:rFonts w:asciiTheme="majorBidi" w:hAnsiTheme="majorBidi" w:cstheme="majorBidi"/>
          <w:szCs w:val="24"/>
        </w:rPr>
        <w:t>arification à l’activité (T2A) :</w:t>
      </w:r>
      <w:bookmarkEnd w:id="116"/>
    </w:p>
    <w:p w14:paraId="7BDA662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Le système de financement à l'activité (T2A) est un mode de rémunération des établissements de santé basée sur le paiement en fonction de l'activité effectuée. Créée en 2004, elle a été conçue pour se renforcer progressivement jusqu'en 2008. </w:t>
      </w:r>
      <w:r w:rsidR="00B05EE5" w:rsidRPr="00D11D21">
        <w:rPr>
          <w:rFonts w:asciiTheme="majorBidi" w:hAnsiTheme="majorBidi" w:cstheme="majorBidi"/>
          <w:szCs w:val="24"/>
        </w:rPr>
        <w:t xml:space="preserve">Pour établir le montant du paiement à l'hôpital, il est essentiel de catégoriser les différentes prestations hospitalières, ce qui repose sur la classification par groupe homogène de malades (GHM). </w:t>
      </w:r>
      <w:r w:rsidR="00AB2D69" w:rsidRPr="00D11D21">
        <w:rPr>
          <w:rFonts w:asciiTheme="majorBidi" w:hAnsiTheme="majorBidi" w:cstheme="majorBidi"/>
          <w:szCs w:val="24"/>
        </w:rPr>
        <w:t>Plus de 2 000 GHM sont répertoriés, classés en vingt-huit catégories majeures de diagnostic (CMD). Chaque GHM est par la suite converti en groupe homogène de soins (GHS), afin de prendre en compte les spécificités de certains séjours hospitaliers. Chaque GHS se voit attribuer un tarif.</w:t>
      </w:r>
      <w:r w:rsidRPr="00D11D21">
        <w:rPr>
          <w:rFonts w:asciiTheme="majorBidi" w:hAnsiTheme="majorBidi" w:cstheme="majorBidi"/>
          <w:szCs w:val="24"/>
        </w:rPr>
        <w:t xml:space="preserve"> Cette tarification est prospective, et fixée à une périodicité annuelle par le ministère de la santé dans le cadre de la loi de financement de la Sécurité sociale.</w:t>
      </w:r>
      <w:r w:rsidRPr="00D11D21">
        <w:rPr>
          <w:rStyle w:val="Appelnotedebasdep"/>
          <w:rFonts w:asciiTheme="majorBidi" w:hAnsiTheme="majorBidi" w:cstheme="majorBidi"/>
          <w:szCs w:val="24"/>
        </w:rPr>
        <w:footnoteReference w:id="79"/>
      </w:r>
    </w:p>
    <w:p w14:paraId="5F8469A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 mode de financement vise à instaurer une plus grande équité entre les établissements en les rémunérant proportionnellement à leur production réelle de soins, tout en renforçant l’efficience globale du système de santé.</w:t>
      </w:r>
    </w:p>
    <w:p w14:paraId="75D63695" w14:textId="0B7DDD14" w:rsidR="002210A7" w:rsidRPr="00D11D21" w:rsidRDefault="002210A7" w:rsidP="00D11D21">
      <w:pPr>
        <w:pStyle w:val="Titre3"/>
        <w:numPr>
          <w:ilvl w:val="1"/>
          <w:numId w:val="140"/>
        </w:numPr>
        <w:spacing w:line="360" w:lineRule="auto"/>
        <w:rPr>
          <w:rFonts w:asciiTheme="majorBidi" w:hAnsiTheme="majorBidi" w:cstheme="majorBidi"/>
          <w:szCs w:val="24"/>
        </w:rPr>
      </w:pPr>
      <w:bookmarkStart w:id="117" w:name="_Toc199958882"/>
      <w:r w:rsidRPr="00D11D21">
        <w:rPr>
          <w:rFonts w:asciiTheme="majorBidi" w:hAnsiTheme="majorBidi" w:cstheme="majorBidi"/>
          <w:szCs w:val="24"/>
        </w:rPr>
        <w:t>Historique :</w:t>
      </w:r>
      <w:bookmarkEnd w:id="117"/>
    </w:p>
    <w:p w14:paraId="35F8E931" w14:textId="77777777" w:rsidR="002210A7" w:rsidRPr="00D11D21" w:rsidRDefault="00AB2D69" w:rsidP="00D11D21">
      <w:pPr>
        <w:jc w:val="both"/>
        <w:rPr>
          <w:rFonts w:asciiTheme="majorBidi" w:hAnsiTheme="majorBidi" w:cstheme="majorBidi"/>
          <w:szCs w:val="24"/>
        </w:rPr>
      </w:pPr>
      <w:r w:rsidRPr="00D11D21">
        <w:rPr>
          <w:rFonts w:asciiTheme="majorBidi" w:hAnsiTheme="majorBidi" w:cstheme="majorBidi"/>
          <w:szCs w:val="24"/>
        </w:rPr>
        <w:t xml:space="preserve">En 1983, la France abandonne le mécanisme de financement des hôpitaux basé sur le tarif journalier, un système qui compensait les établissements hospitaliers selon la durée </w:t>
      </w:r>
      <w:r w:rsidRPr="00D11D21">
        <w:rPr>
          <w:rFonts w:asciiTheme="majorBidi" w:hAnsiTheme="majorBidi" w:cstheme="majorBidi"/>
          <w:szCs w:val="24"/>
        </w:rPr>
        <w:lastRenderedPageBreak/>
        <w:t xml:space="preserve">d’hospitalisation. Ce mécanisme de financement encourageait des séjours hospitaliers prolongés, parfois en l'absence d'indication médicale, ce qui conduisait à une augmentation constante des coûts de la santé. La réforme de 1984 a instauré un modèle de financement basé sur une dotation globale, attribuant à chaque établissement un budget annuelle fixe, afin de remédier à cette problématique. Ce dispositif, tout en assurant une certaine constance, ne prenait pas en compte l'activité réelle des établissements hospitaliers et limitait les encouragements à la </w:t>
      </w:r>
      <w:r w:rsidR="002210A7" w:rsidRPr="00D11D21">
        <w:rPr>
          <w:rFonts w:asciiTheme="majorBidi" w:hAnsiTheme="majorBidi" w:cstheme="majorBidi"/>
          <w:szCs w:val="24"/>
        </w:rPr>
        <w:t>performance.</w:t>
      </w:r>
    </w:p>
    <w:p w14:paraId="2916C86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Au cours des années 2000, face aux contraintes du modèle de financement global et influencée par des systèmes d'autres pays, notamment le modèle des </w:t>
      </w:r>
      <w:proofErr w:type="spellStart"/>
      <w:r w:rsidRPr="00D11D21">
        <w:rPr>
          <w:rFonts w:asciiTheme="majorBidi" w:hAnsiTheme="majorBidi" w:cstheme="majorBidi"/>
          <w:szCs w:val="24"/>
        </w:rPr>
        <w:t>Diagnosis</w:t>
      </w:r>
      <w:proofErr w:type="spellEnd"/>
      <w:r w:rsidRPr="00D11D21">
        <w:rPr>
          <w:rFonts w:asciiTheme="majorBidi" w:hAnsiTheme="majorBidi" w:cstheme="majorBidi"/>
          <w:szCs w:val="24"/>
        </w:rPr>
        <w:t xml:space="preserve"> </w:t>
      </w:r>
      <w:proofErr w:type="spellStart"/>
      <w:r w:rsidRPr="00D11D21">
        <w:rPr>
          <w:rFonts w:asciiTheme="majorBidi" w:hAnsiTheme="majorBidi" w:cstheme="majorBidi"/>
          <w:szCs w:val="24"/>
        </w:rPr>
        <w:t>Related</w:t>
      </w:r>
      <w:proofErr w:type="spellEnd"/>
      <w:r w:rsidRPr="00D11D21">
        <w:rPr>
          <w:rFonts w:asciiTheme="majorBidi" w:hAnsiTheme="majorBidi" w:cstheme="majorBidi"/>
          <w:szCs w:val="24"/>
        </w:rPr>
        <w:t xml:space="preserve"> Groups (DRG) aux États-Unis, la France a lancé une réforme visant à aligner les financements sur l'activité médicale effective. Ainsi, en 2003, le gouvernement met en place l'idée de la Tarification à l'Activité (T2A), qui a été instaurée dans le contexte de la Loi de Financement de la Sécurité Sociale de 2004. Ce système innovant repose sur une classification des séjours en Groupes Homogènes de Malades (GHM) et leur valorisation à travers les Groupes Homogènes de Séjours.</w:t>
      </w:r>
    </w:p>
    <w:p w14:paraId="6A12FBD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Entre 2004 et 2008, l'instauration progressive de la Tarification à l'Activité (T2A) a eu lieu dans les établissements publics et privés à but non lucratif, en commençant par les départements de médecine, chirurgie et obstétrique (MCO). Depuis 2008, toutes les activités de court séjour sont financées en conformité avec ce nouveau modèle. Par la suite, en 2009, les autorités ont mis en place les Missions d'Intérêt Général et d'Aide à la Contractualisation (MIGAC), dans le but de pallier certaines limites du financement exclusivement basé sur l'activité, en particulier pour les missions qui ne sont pas directement liées à la prestation de soins.</w:t>
      </w:r>
    </w:p>
    <w:p w14:paraId="75539069" w14:textId="77777777" w:rsidR="002210A7" w:rsidRPr="00D11D21" w:rsidRDefault="00AB2D69" w:rsidP="00D11D21">
      <w:pPr>
        <w:jc w:val="both"/>
        <w:rPr>
          <w:rFonts w:asciiTheme="majorBidi" w:hAnsiTheme="majorBidi" w:cstheme="majorBidi"/>
          <w:szCs w:val="24"/>
        </w:rPr>
      </w:pPr>
      <w:r w:rsidRPr="00D11D21">
        <w:rPr>
          <w:rFonts w:asciiTheme="majorBidi" w:hAnsiTheme="majorBidi" w:cstheme="majorBidi"/>
          <w:szCs w:val="24"/>
        </w:rPr>
        <w:t>Cette réforme a radicalement modifié le système de financement hospitalier en France, en évoluant d'une méthode centrée sur les ressources vers une stratégie orientée sur les performances. Dans ce contexte renouvelé, l'activité réelle des établissements est fortement liée aux ressources. Elle a soutenu une plus grande transparence, une promotion de l'efficience et un suivi rigoureux des dépenses hospitalières.</w:t>
      </w:r>
    </w:p>
    <w:p w14:paraId="21D80648" w14:textId="7A6A3CFF" w:rsidR="002210A7" w:rsidRPr="00D11D21" w:rsidRDefault="002210A7" w:rsidP="00D11D21">
      <w:pPr>
        <w:pStyle w:val="Titre3"/>
        <w:numPr>
          <w:ilvl w:val="1"/>
          <w:numId w:val="140"/>
        </w:numPr>
        <w:spacing w:line="360" w:lineRule="auto"/>
        <w:rPr>
          <w:rFonts w:asciiTheme="majorBidi" w:hAnsiTheme="majorBidi" w:cstheme="majorBidi"/>
          <w:szCs w:val="24"/>
        </w:rPr>
      </w:pPr>
      <w:bookmarkStart w:id="118" w:name="_Toc199958883"/>
      <w:r w:rsidRPr="00D11D21">
        <w:rPr>
          <w:rFonts w:asciiTheme="majorBidi" w:hAnsiTheme="majorBidi" w:cstheme="majorBidi"/>
          <w:szCs w:val="24"/>
        </w:rPr>
        <w:t>Les avantages de la T2A</w:t>
      </w:r>
      <w:bookmarkEnd w:id="118"/>
    </w:p>
    <w:p w14:paraId="7775AEA0" w14:textId="77777777" w:rsidR="002210A7" w:rsidRPr="00D11D21" w:rsidRDefault="002210A7" w:rsidP="00D11D21">
      <w:pPr>
        <w:tabs>
          <w:tab w:val="left" w:pos="7488"/>
        </w:tabs>
        <w:jc w:val="both"/>
        <w:rPr>
          <w:rFonts w:asciiTheme="majorBidi" w:hAnsiTheme="majorBidi" w:cstheme="majorBidi"/>
          <w:szCs w:val="24"/>
        </w:rPr>
      </w:pPr>
      <w:r w:rsidRPr="00D11D21">
        <w:rPr>
          <w:rFonts w:asciiTheme="majorBidi" w:hAnsiTheme="majorBidi" w:cstheme="majorBidi"/>
          <w:szCs w:val="24"/>
        </w:rPr>
        <w:t xml:space="preserve">La T2A permet : </w:t>
      </w:r>
    </w:p>
    <w:p w14:paraId="78B93259" w14:textId="77777777" w:rsidR="002210A7" w:rsidRPr="00D11D21" w:rsidRDefault="002210A7" w:rsidP="00D11D21">
      <w:pPr>
        <w:numPr>
          <w:ilvl w:val="0"/>
          <w:numId w:val="44"/>
        </w:numPr>
        <w:tabs>
          <w:tab w:val="left" w:pos="7488"/>
        </w:tabs>
        <w:jc w:val="both"/>
        <w:rPr>
          <w:rFonts w:asciiTheme="majorBidi" w:hAnsiTheme="majorBidi" w:cstheme="majorBidi"/>
          <w:szCs w:val="24"/>
        </w:rPr>
      </w:pPr>
      <w:r w:rsidRPr="00D11D21">
        <w:rPr>
          <w:rFonts w:asciiTheme="majorBidi" w:hAnsiTheme="majorBidi" w:cstheme="majorBidi"/>
          <w:szCs w:val="24"/>
        </w:rPr>
        <w:lastRenderedPageBreak/>
        <w:t xml:space="preserve">La T2A favorise la transparence : </w:t>
      </w:r>
      <w:r w:rsidR="00AB2D69" w:rsidRPr="00D11D21">
        <w:rPr>
          <w:rFonts w:asciiTheme="majorBidi" w:hAnsiTheme="majorBidi" w:cstheme="majorBidi"/>
          <w:szCs w:val="24"/>
        </w:rPr>
        <w:t xml:space="preserve">elle garantit effectivement une meilleure transparence dans le financement des soins hospitaliers en associant le financement à la production de </w:t>
      </w:r>
      <w:r w:rsidRPr="00D11D21">
        <w:rPr>
          <w:rFonts w:asciiTheme="majorBidi" w:hAnsiTheme="majorBidi" w:cstheme="majorBidi"/>
          <w:szCs w:val="24"/>
        </w:rPr>
        <w:t>soins.</w:t>
      </w:r>
    </w:p>
    <w:p w14:paraId="73CD74D8" w14:textId="77777777" w:rsidR="002210A7" w:rsidRPr="00D11D21" w:rsidRDefault="002210A7" w:rsidP="00D11D21">
      <w:pPr>
        <w:numPr>
          <w:ilvl w:val="0"/>
          <w:numId w:val="44"/>
        </w:numPr>
        <w:tabs>
          <w:tab w:val="left" w:pos="7488"/>
        </w:tabs>
        <w:jc w:val="both"/>
        <w:rPr>
          <w:rFonts w:asciiTheme="majorBidi" w:hAnsiTheme="majorBidi" w:cstheme="majorBidi"/>
          <w:szCs w:val="24"/>
        </w:rPr>
      </w:pPr>
      <w:r w:rsidRPr="00D11D21">
        <w:rPr>
          <w:rFonts w:asciiTheme="majorBidi" w:hAnsiTheme="majorBidi" w:cstheme="majorBidi"/>
          <w:szCs w:val="24"/>
        </w:rPr>
        <w:t xml:space="preserve">Elle est aussi considérée comme un mécanisme équitable dans la mesure où chacun paie le même montant pour un service identique, quel que soit le prestataire de soins. </w:t>
      </w:r>
      <w:r w:rsidR="00F642DD" w:rsidRPr="00D11D21">
        <w:rPr>
          <w:rFonts w:asciiTheme="majorBidi" w:hAnsiTheme="majorBidi" w:cstheme="majorBidi"/>
          <w:szCs w:val="24"/>
        </w:rPr>
        <w:t>Toutefois, afin d'assurer cette équité, il est essentiel que la catégorisation de l'activité en groupes tarifaires soit exacte et que les groupes soient assez homogènes. Cela évitera que les établissements attirant régulièrement des patients ayant des cas lourds ne soient pénalisés. Il est tout aussi essentiel de considérer les facteurs externes associés à l'environnement local auxquels les établissements n'ont pas de contrôle, car ceux-ci peuvent avoir un impact significatif sur les coûts.</w:t>
      </w:r>
    </w:p>
    <w:p w14:paraId="2C086DB1" w14:textId="77777777" w:rsidR="002210A7" w:rsidRPr="00D11D21" w:rsidRDefault="002210A7" w:rsidP="00D11D21">
      <w:pPr>
        <w:pStyle w:val="Paragraphedeliste"/>
        <w:numPr>
          <w:ilvl w:val="0"/>
          <w:numId w:val="44"/>
        </w:numPr>
        <w:tabs>
          <w:tab w:val="left" w:pos="7488"/>
        </w:tabs>
        <w:spacing w:after="160" w:line="360" w:lineRule="auto"/>
        <w:jc w:val="both"/>
        <w:rPr>
          <w:rFonts w:asciiTheme="majorBidi" w:hAnsiTheme="majorBidi" w:cstheme="majorBidi"/>
          <w:b/>
          <w:bCs/>
          <w:szCs w:val="24"/>
          <w:u w:val="single"/>
        </w:rPr>
      </w:pPr>
      <w:r w:rsidRPr="00D11D21">
        <w:rPr>
          <w:rFonts w:asciiTheme="majorBidi" w:hAnsiTheme="majorBidi" w:cstheme="majorBidi"/>
          <w:szCs w:val="24"/>
        </w:rPr>
        <w:t>La T2A contribue également à renforcer l'efficacité, que ce soit au niveau de chaque établissement ou sur le marché dans son ensemble : elle crée effectivement une forme de concurrence qui favorise l'efficience dans un contexte où ces tensions concurrentielles étaient absentes jusqu'ici. Cela implique néanmoins que les prix doivent correctement représenter les coûts des producteurs les plus performants et efficients.</w:t>
      </w:r>
      <w:r w:rsidRPr="00D11D21">
        <w:rPr>
          <w:rStyle w:val="Appelnotedebasdep"/>
          <w:rFonts w:asciiTheme="majorBidi" w:hAnsiTheme="majorBidi" w:cstheme="majorBidi"/>
          <w:szCs w:val="24"/>
        </w:rPr>
        <w:footnoteReference w:id="80"/>
      </w:r>
    </w:p>
    <w:p w14:paraId="6E4F3067" w14:textId="77777777" w:rsidR="001F5008" w:rsidRPr="00D11D21" w:rsidRDefault="001F5008" w:rsidP="00D11D21">
      <w:pPr>
        <w:pStyle w:val="Paragraphedeliste"/>
        <w:tabs>
          <w:tab w:val="left" w:pos="7488"/>
        </w:tabs>
        <w:spacing w:after="160" w:line="360" w:lineRule="auto"/>
        <w:ind w:left="360"/>
        <w:jc w:val="both"/>
        <w:rPr>
          <w:rFonts w:asciiTheme="majorBidi" w:hAnsiTheme="majorBidi" w:cstheme="majorBidi"/>
          <w:b/>
          <w:bCs/>
          <w:szCs w:val="24"/>
          <w:u w:val="single"/>
        </w:rPr>
      </w:pPr>
    </w:p>
    <w:p w14:paraId="6F00DA13" w14:textId="37538C9D" w:rsidR="002210A7" w:rsidRPr="00D11D21" w:rsidRDefault="002210A7" w:rsidP="00D11D21">
      <w:pPr>
        <w:pStyle w:val="Titre3"/>
        <w:numPr>
          <w:ilvl w:val="1"/>
          <w:numId w:val="141"/>
        </w:numPr>
        <w:spacing w:line="360" w:lineRule="auto"/>
        <w:rPr>
          <w:rFonts w:asciiTheme="majorBidi" w:hAnsiTheme="majorBidi" w:cstheme="majorBidi"/>
          <w:szCs w:val="24"/>
        </w:rPr>
      </w:pPr>
      <w:bookmarkStart w:id="119" w:name="_Toc199958884"/>
      <w:r w:rsidRPr="00D11D21">
        <w:rPr>
          <w:rFonts w:asciiTheme="majorBidi" w:hAnsiTheme="majorBidi" w:cstheme="majorBidi"/>
          <w:szCs w:val="24"/>
        </w:rPr>
        <w:t>Les effets pervers possibles de la T2A</w:t>
      </w:r>
      <w:bookmarkEnd w:id="119"/>
      <w:r w:rsidRPr="00D11D21">
        <w:rPr>
          <w:rFonts w:asciiTheme="majorBidi" w:hAnsiTheme="majorBidi" w:cstheme="majorBidi"/>
          <w:szCs w:val="24"/>
        </w:rPr>
        <w:t xml:space="preserve"> </w:t>
      </w:r>
    </w:p>
    <w:p w14:paraId="0EBAF215" w14:textId="77777777" w:rsidR="002210A7" w:rsidRPr="00D11D21" w:rsidRDefault="002210A7" w:rsidP="00D11D21">
      <w:pPr>
        <w:tabs>
          <w:tab w:val="left" w:pos="7488"/>
        </w:tabs>
        <w:jc w:val="both"/>
        <w:rPr>
          <w:rFonts w:asciiTheme="majorBidi" w:hAnsiTheme="majorBidi" w:cstheme="majorBidi"/>
          <w:szCs w:val="24"/>
        </w:rPr>
      </w:pPr>
      <w:r w:rsidRPr="00D11D21">
        <w:rPr>
          <w:rFonts w:asciiTheme="majorBidi" w:hAnsiTheme="majorBidi" w:cstheme="majorBidi"/>
          <w:szCs w:val="24"/>
        </w:rPr>
        <w:t>L'introduction d'une T2A peut, au départ, provoquer des effets indésirables. Dans ce contexte, il est essentiel d'observer les répercussions de la T2A sur la qualité des soins et le maîtrise des dépenses de santé :</w:t>
      </w:r>
    </w:p>
    <w:p w14:paraId="34E5C7C0" w14:textId="381923EB" w:rsidR="002210A7" w:rsidRPr="00D11D21" w:rsidRDefault="002210A7" w:rsidP="00D11D21">
      <w:pPr>
        <w:numPr>
          <w:ilvl w:val="0"/>
          <w:numId w:val="45"/>
        </w:numPr>
        <w:tabs>
          <w:tab w:val="left" w:pos="7488"/>
        </w:tabs>
        <w:jc w:val="both"/>
        <w:rPr>
          <w:rFonts w:asciiTheme="majorBidi" w:hAnsiTheme="majorBidi" w:cstheme="majorBidi"/>
          <w:szCs w:val="24"/>
        </w:rPr>
      </w:pPr>
      <w:r w:rsidRPr="00D11D21">
        <w:rPr>
          <w:rFonts w:asciiTheme="majorBidi" w:hAnsiTheme="majorBidi" w:cstheme="majorBidi"/>
          <w:szCs w:val="24"/>
        </w:rPr>
        <w:t xml:space="preserve">Qualité des soins : Le modèle du T2A ne laisse pas présager une amélioration de la qualité des services médicaux. Cette affirmation est également applicable dans un système de financement basé sur un budget global. Néanmoins, on reproche souvent à la T2A d'offrir des incitations explicites pour réduire le coût des séjours. </w:t>
      </w:r>
      <w:r w:rsidR="00F642DD" w:rsidRPr="00D11D21">
        <w:rPr>
          <w:rFonts w:asciiTheme="majorBidi" w:hAnsiTheme="majorBidi" w:cstheme="majorBidi"/>
          <w:szCs w:val="24"/>
        </w:rPr>
        <w:t xml:space="preserve">La question centrale concerne la légitimité de ces diminutions de dépenses. </w:t>
      </w:r>
      <w:r w:rsidRPr="00D11D21">
        <w:rPr>
          <w:rFonts w:asciiTheme="majorBidi" w:hAnsiTheme="majorBidi" w:cstheme="majorBidi"/>
          <w:szCs w:val="24"/>
        </w:rPr>
        <w:t xml:space="preserve">Si l’atteinte de cet objectif par une gestion plus efficace est envisageable et souhaitée, une autre approche possible serait de réduire les soins </w:t>
      </w:r>
      <w:r w:rsidRPr="00D11D21">
        <w:rPr>
          <w:rFonts w:asciiTheme="majorBidi" w:hAnsiTheme="majorBidi" w:cstheme="majorBidi"/>
          <w:szCs w:val="24"/>
        </w:rPr>
        <w:lastRenderedPageBreak/>
        <w:t xml:space="preserve">fournis aux patients, ce qui pourrait constituer un moyen </w:t>
      </w:r>
      <w:r w:rsidR="002A2096" w:rsidRPr="00D11D21">
        <w:rPr>
          <w:rFonts w:asciiTheme="majorBidi" w:hAnsiTheme="majorBidi" w:cstheme="majorBidi"/>
          <w:szCs w:val="24"/>
        </w:rPr>
        <w:t>d</w:t>
      </w:r>
      <w:proofErr w:type="gramStart"/>
      <w:r w:rsidR="002A2096" w:rsidRPr="00D11D21">
        <w:rPr>
          <w:rFonts w:asciiTheme="majorBidi" w:hAnsiTheme="majorBidi" w:cstheme="majorBidi"/>
          <w:szCs w:val="24"/>
        </w:rPr>
        <w:t>’«</w:t>
      </w:r>
      <w:proofErr w:type="gramEnd"/>
      <w:r w:rsidRPr="00D11D21">
        <w:rPr>
          <w:rFonts w:asciiTheme="majorBidi" w:hAnsiTheme="majorBidi" w:cstheme="majorBidi"/>
          <w:szCs w:val="24"/>
        </w:rPr>
        <w:t xml:space="preserve"> économiser » aux dépens de la qualité. </w:t>
      </w:r>
    </w:p>
    <w:p w14:paraId="6E2CEC76" w14:textId="77777777" w:rsidR="002210A7" w:rsidRPr="00D11D21" w:rsidRDefault="002210A7" w:rsidP="00D11D21">
      <w:pPr>
        <w:pStyle w:val="Paragraphedeliste"/>
        <w:numPr>
          <w:ilvl w:val="0"/>
          <w:numId w:val="45"/>
        </w:numPr>
        <w:tabs>
          <w:tab w:val="left" w:pos="7488"/>
        </w:tabs>
        <w:spacing w:after="160" w:line="360" w:lineRule="auto"/>
        <w:jc w:val="both"/>
        <w:rPr>
          <w:rFonts w:asciiTheme="majorBidi" w:hAnsiTheme="majorBidi" w:cstheme="majorBidi"/>
          <w:szCs w:val="24"/>
        </w:rPr>
      </w:pPr>
      <w:r w:rsidRPr="00D11D21">
        <w:rPr>
          <w:rFonts w:asciiTheme="majorBidi" w:hAnsiTheme="majorBidi" w:cstheme="majorBidi"/>
          <w:szCs w:val="24"/>
        </w:rPr>
        <w:t xml:space="preserve">Maîtrise des dépenses : </w:t>
      </w:r>
      <w:r w:rsidR="00F642DD" w:rsidRPr="00D11D21">
        <w:rPr>
          <w:rFonts w:asciiTheme="majorBidi" w:hAnsiTheme="majorBidi" w:cstheme="majorBidi"/>
          <w:szCs w:val="24"/>
        </w:rPr>
        <w:t>Le T2A stimule l'expansion des activités hospitalières.</w:t>
      </w:r>
      <w:r w:rsidRPr="00D11D21">
        <w:rPr>
          <w:rFonts w:asciiTheme="majorBidi" w:hAnsiTheme="majorBidi" w:cstheme="majorBidi"/>
          <w:szCs w:val="24"/>
        </w:rPr>
        <w:t xml:space="preserve"> Dans certaines situations, cela peut être avantageux. Toutefois, sans une planification précise et efficace de la capacité d'accueil et de traitement des patients, la T2A risque à la fois </w:t>
      </w:r>
      <w:r w:rsidR="00F642DD" w:rsidRPr="00D11D21">
        <w:rPr>
          <w:rFonts w:asciiTheme="majorBidi" w:hAnsiTheme="majorBidi" w:cstheme="majorBidi"/>
          <w:szCs w:val="24"/>
        </w:rPr>
        <w:t>d’affaiblir</w:t>
      </w:r>
      <w:r w:rsidRPr="00D11D21">
        <w:rPr>
          <w:rFonts w:asciiTheme="majorBidi" w:hAnsiTheme="majorBidi" w:cstheme="majorBidi"/>
          <w:szCs w:val="24"/>
        </w:rPr>
        <w:t xml:space="preserve"> la maîtrise des dépenses hospitaliers et de distordre le financement des soins en fonction des exigences. </w:t>
      </w:r>
    </w:p>
    <w:p w14:paraId="553F7D7D" w14:textId="3C9044CB" w:rsidR="001F5008" w:rsidRPr="00D11D21" w:rsidRDefault="002210A7" w:rsidP="00D11D21">
      <w:pPr>
        <w:pStyle w:val="Paragraphedeliste"/>
        <w:numPr>
          <w:ilvl w:val="0"/>
          <w:numId w:val="45"/>
        </w:numPr>
        <w:tabs>
          <w:tab w:val="left" w:pos="7488"/>
        </w:tabs>
        <w:spacing w:after="160" w:line="360" w:lineRule="auto"/>
        <w:jc w:val="both"/>
        <w:rPr>
          <w:rFonts w:asciiTheme="majorBidi" w:hAnsiTheme="majorBidi" w:cstheme="majorBidi"/>
          <w:szCs w:val="24"/>
        </w:rPr>
      </w:pPr>
      <w:r w:rsidRPr="00D11D21">
        <w:rPr>
          <w:rFonts w:asciiTheme="majorBidi" w:hAnsiTheme="majorBidi" w:cstheme="majorBidi"/>
          <w:szCs w:val="24"/>
        </w:rPr>
        <w:t>Les modalités de financement de la T2A : Pour aider les établissements de santé à faire face à l’hétérogénéité des patients et éviter les problèmes de comportements stratégiques associés à un système de tarification basé sur la pathologie comme MEDICARE, la Tarification à l'Activité introduit cinq modalités de financement.</w:t>
      </w:r>
      <w:r w:rsidRPr="00D11D21">
        <w:rPr>
          <w:rStyle w:val="Appelnotedebasdep"/>
          <w:rFonts w:asciiTheme="majorBidi" w:hAnsiTheme="majorBidi" w:cstheme="majorBidi"/>
          <w:szCs w:val="24"/>
        </w:rPr>
        <w:footnoteReference w:id="81"/>
      </w:r>
    </w:p>
    <w:p w14:paraId="7FBE0716" w14:textId="77777777" w:rsidR="002210A7" w:rsidRPr="00D11D21" w:rsidRDefault="002210A7" w:rsidP="00D11D21">
      <w:pPr>
        <w:pStyle w:val="Titre2"/>
        <w:rPr>
          <w:rFonts w:asciiTheme="majorBidi" w:hAnsiTheme="majorBidi"/>
          <w:szCs w:val="24"/>
        </w:rPr>
      </w:pPr>
      <w:bookmarkStart w:id="120" w:name="_Toc199958885"/>
      <w:r w:rsidRPr="00D11D21">
        <w:rPr>
          <w:rFonts w:asciiTheme="majorBidi" w:hAnsiTheme="majorBidi"/>
          <w:szCs w:val="24"/>
        </w:rPr>
        <w:t>Le Financement par Capitation :</w:t>
      </w:r>
      <w:bookmarkEnd w:id="120"/>
    </w:p>
    <w:p w14:paraId="3822DFAA" w14:textId="7F504B95" w:rsidR="002210A7" w:rsidRPr="00D11D21" w:rsidRDefault="002210A7" w:rsidP="00D11D21">
      <w:pPr>
        <w:pStyle w:val="Titre3"/>
        <w:numPr>
          <w:ilvl w:val="1"/>
          <w:numId w:val="53"/>
        </w:numPr>
        <w:spacing w:line="360" w:lineRule="auto"/>
        <w:rPr>
          <w:rFonts w:asciiTheme="majorBidi" w:hAnsiTheme="majorBidi" w:cstheme="majorBidi"/>
          <w:szCs w:val="24"/>
        </w:rPr>
      </w:pPr>
      <w:r w:rsidRPr="00D11D21">
        <w:rPr>
          <w:rFonts w:asciiTheme="majorBidi" w:hAnsiTheme="majorBidi" w:cstheme="majorBidi"/>
          <w:szCs w:val="24"/>
        </w:rPr>
        <w:t xml:space="preserve"> </w:t>
      </w:r>
      <w:bookmarkStart w:id="121" w:name="_Toc199958886"/>
      <w:r w:rsidRPr="00D11D21">
        <w:rPr>
          <w:rFonts w:asciiTheme="majorBidi" w:hAnsiTheme="majorBidi" w:cstheme="majorBidi"/>
          <w:szCs w:val="24"/>
        </w:rPr>
        <w:t>Définition</w:t>
      </w:r>
      <w:bookmarkEnd w:id="121"/>
    </w:p>
    <w:p w14:paraId="2CEB3C39" w14:textId="77777777" w:rsidR="002210A7" w:rsidRPr="00D11D21" w:rsidRDefault="00F642DD" w:rsidP="00D11D21">
      <w:pPr>
        <w:jc w:val="both"/>
        <w:rPr>
          <w:rFonts w:asciiTheme="majorBidi" w:hAnsiTheme="majorBidi" w:cstheme="majorBidi"/>
          <w:szCs w:val="24"/>
        </w:rPr>
      </w:pPr>
      <w:r w:rsidRPr="00D11D21">
        <w:rPr>
          <w:rFonts w:asciiTheme="majorBidi" w:hAnsiTheme="majorBidi" w:cstheme="majorBidi"/>
          <w:szCs w:val="24"/>
        </w:rPr>
        <w:t xml:space="preserve">Le financement constitue un système de paiement pour les établissements de santé ou les praticiens, qui se fonde sur le nombre de patients pris en charge, sans tenir compte du volume réel des soins fournis. Contrairement à une rémunération basée sur chaque acte ou service, la capitation consiste à attribuer un montant fixe par patient pour une période définie, généralement annuelle. L'entité qui verse la rétribution, souvent une assurance maladie ou un État, attribue ensuite un montant préétabli à un prestataire de soins, qu'il ait pris en charge le patient une fois, plusieurs fois, ou même pas du </w:t>
      </w:r>
      <w:r w:rsidR="002210A7" w:rsidRPr="00D11D21">
        <w:rPr>
          <w:rFonts w:asciiTheme="majorBidi" w:hAnsiTheme="majorBidi" w:cstheme="majorBidi"/>
          <w:szCs w:val="24"/>
        </w:rPr>
        <w:t xml:space="preserve">tout. </w:t>
      </w:r>
      <w:r w:rsidR="002210A7" w:rsidRPr="00D11D21">
        <w:rPr>
          <w:rStyle w:val="Appelnotedebasdep"/>
          <w:rFonts w:asciiTheme="majorBidi" w:hAnsiTheme="majorBidi" w:cstheme="majorBidi"/>
          <w:szCs w:val="24"/>
        </w:rPr>
        <w:footnoteReference w:id="82"/>
      </w:r>
    </w:p>
    <w:p w14:paraId="51DFE67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L'objectif de ce dispositif est de favoriser une approche préventive et globale de la santé publique, en encourageant les professionnels de la santé à préserver la santé de leurs patients plutôt qu'à augmenter le nombre d'interventions médicales et multiplier les actes médicaux.</w:t>
      </w:r>
    </w:p>
    <w:p w14:paraId="159A2D38" w14:textId="02B742A2" w:rsidR="002210A7" w:rsidRPr="00D11D21" w:rsidRDefault="00EE3E30" w:rsidP="00D11D21">
      <w:pPr>
        <w:pStyle w:val="Titre3"/>
        <w:numPr>
          <w:ilvl w:val="1"/>
          <w:numId w:val="53"/>
        </w:numPr>
        <w:spacing w:line="360" w:lineRule="auto"/>
        <w:rPr>
          <w:rFonts w:asciiTheme="majorBidi" w:hAnsiTheme="majorBidi" w:cstheme="majorBidi"/>
          <w:szCs w:val="24"/>
        </w:rPr>
      </w:pPr>
      <w:r w:rsidRPr="00D11D21">
        <w:rPr>
          <w:rFonts w:asciiTheme="majorBidi" w:hAnsiTheme="majorBidi" w:cstheme="majorBidi"/>
          <w:szCs w:val="24"/>
        </w:rPr>
        <w:t xml:space="preserve"> </w:t>
      </w:r>
      <w:r w:rsidR="002210A7" w:rsidRPr="00D11D21">
        <w:rPr>
          <w:rFonts w:asciiTheme="majorBidi" w:hAnsiTheme="majorBidi" w:cstheme="majorBidi"/>
          <w:szCs w:val="24"/>
        </w:rPr>
        <w:t xml:space="preserve"> </w:t>
      </w:r>
      <w:bookmarkStart w:id="122" w:name="_Toc199958887"/>
      <w:r w:rsidR="002210A7" w:rsidRPr="00D11D21">
        <w:rPr>
          <w:rFonts w:asciiTheme="majorBidi" w:hAnsiTheme="majorBidi" w:cstheme="majorBidi"/>
          <w:szCs w:val="24"/>
        </w:rPr>
        <w:t>Historique</w:t>
      </w:r>
      <w:bookmarkEnd w:id="122"/>
    </w:p>
    <w:p w14:paraId="56C56EB8" w14:textId="77777777" w:rsidR="002210A7" w:rsidRPr="00D11D21" w:rsidRDefault="00855599" w:rsidP="00D11D21">
      <w:pPr>
        <w:jc w:val="both"/>
        <w:rPr>
          <w:rFonts w:asciiTheme="majorBidi" w:hAnsiTheme="majorBidi" w:cstheme="majorBidi"/>
          <w:szCs w:val="24"/>
        </w:rPr>
      </w:pPr>
      <w:r w:rsidRPr="00D11D21">
        <w:rPr>
          <w:rFonts w:asciiTheme="majorBidi" w:hAnsiTheme="majorBidi" w:cstheme="majorBidi"/>
          <w:szCs w:val="24"/>
        </w:rPr>
        <w:lastRenderedPageBreak/>
        <w:t xml:space="preserve">Le modèle de financement par capitation trouve ses racines dans certaines méthodes de santé communautaire et de systèmes d'assurance mutuelle qui remontent au XIXe siècle. Cependant, son importance a augmenté tout au long du XXe siècle, en particulier dans les pays de tradition anglo-saxonne. Depuis les années 1970, des organisations comme les Health Maintenance </w:t>
      </w:r>
      <w:proofErr w:type="spellStart"/>
      <w:r w:rsidRPr="00D11D21">
        <w:rPr>
          <w:rFonts w:asciiTheme="majorBidi" w:hAnsiTheme="majorBidi" w:cstheme="majorBidi"/>
          <w:szCs w:val="24"/>
        </w:rPr>
        <w:t>Organizations</w:t>
      </w:r>
      <w:proofErr w:type="spellEnd"/>
      <w:r w:rsidRPr="00D11D21">
        <w:rPr>
          <w:rFonts w:asciiTheme="majorBidi" w:hAnsiTheme="majorBidi" w:cstheme="majorBidi"/>
          <w:szCs w:val="24"/>
        </w:rPr>
        <w:t xml:space="preserve"> (HMO) ont mis en place ce modèle aux États-Unis, dans l'objectif d'améliorer la gestion des coûts et de structurer la prise en charge médicale. Le Royaume-Uni a aussi adopté ce modèle pour financer une partie importante de son système de soins primaires, y compris les médecins généralistes, dans le cadre du Service National de la Santé </w:t>
      </w:r>
      <w:r w:rsidR="002210A7" w:rsidRPr="00D11D21">
        <w:rPr>
          <w:rFonts w:asciiTheme="majorBidi" w:hAnsiTheme="majorBidi" w:cstheme="majorBidi"/>
          <w:szCs w:val="24"/>
        </w:rPr>
        <w:t xml:space="preserve">(NHS).  </w:t>
      </w:r>
      <w:r w:rsidR="002210A7" w:rsidRPr="00D11D21">
        <w:rPr>
          <w:rStyle w:val="Appelnotedebasdep"/>
          <w:rFonts w:asciiTheme="majorBidi" w:hAnsiTheme="majorBidi" w:cstheme="majorBidi"/>
          <w:szCs w:val="24"/>
        </w:rPr>
        <w:footnoteReference w:id="83"/>
      </w:r>
    </w:p>
    <w:p w14:paraId="721F96D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 mode de financement est progressivement apparu comme une alternative crédible aux systèmes classiques fondés sur l’acte ou sur l’activité, notamment dans le cadre des soins primaires et de la médecine préventive.</w:t>
      </w:r>
    </w:p>
    <w:p w14:paraId="40E9BA19" w14:textId="2DE81C30"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23" w:name="_Toc199958888"/>
      <w:r w:rsidRPr="00D11D21">
        <w:rPr>
          <w:rFonts w:asciiTheme="majorBidi" w:hAnsiTheme="majorBidi" w:cstheme="majorBidi"/>
          <w:szCs w:val="24"/>
        </w:rPr>
        <w:t>Fonctionnement</w:t>
      </w:r>
      <w:bookmarkEnd w:id="123"/>
    </w:p>
    <w:p w14:paraId="619539C1" w14:textId="0B91D689" w:rsidR="002210A7" w:rsidRPr="00D11D21" w:rsidRDefault="00855599" w:rsidP="00D11D21">
      <w:pPr>
        <w:jc w:val="both"/>
        <w:rPr>
          <w:rFonts w:asciiTheme="majorBidi" w:hAnsiTheme="majorBidi" w:cstheme="majorBidi"/>
          <w:szCs w:val="24"/>
        </w:rPr>
      </w:pPr>
      <w:r w:rsidRPr="00D11D21">
        <w:rPr>
          <w:rFonts w:asciiTheme="majorBidi" w:hAnsiTheme="majorBidi" w:cstheme="majorBidi"/>
          <w:szCs w:val="24"/>
        </w:rPr>
        <w:t xml:space="preserve">Selon le modèle de financement par capitation, chaque professionnel de santé ou établissement médical se voit attribuer un montant fixe pour chaque individu inscrit ou affilié à sa structure. Ce montant peut varier selon divers facteurs, comme l'âge du patient, son historique médical, son niveau de risque ou les affections chroniques dont il souffre. Le but est de </w:t>
      </w:r>
      <w:r w:rsidR="00201164" w:rsidRPr="00D11D21">
        <w:rPr>
          <w:rFonts w:asciiTheme="majorBidi" w:hAnsiTheme="majorBidi" w:cstheme="majorBidi"/>
          <w:szCs w:val="24"/>
        </w:rPr>
        <w:t>refléter au</w:t>
      </w:r>
      <w:r w:rsidRPr="00D11D21">
        <w:rPr>
          <w:rFonts w:asciiTheme="majorBidi" w:hAnsiTheme="majorBidi" w:cstheme="majorBidi"/>
          <w:szCs w:val="24"/>
        </w:rPr>
        <w:t xml:space="preserve"> mieux les besoins véritables en matière de soins de la population assurée. Par conséquent, le professionnel est chargé de surveiller entièrement le patient sur une période déterminée. Le financement n'est pas basé sur le volume de consultations, d'interventions médicales ou d'hospitalisations, mais sur capacité du professionnel à gérer efficacement la santé des patients sous sa responsabilité. </w:t>
      </w:r>
      <w:r w:rsidR="002210A7" w:rsidRPr="00D11D21">
        <w:rPr>
          <w:rFonts w:asciiTheme="majorBidi" w:hAnsiTheme="majorBidi" w:cstheme="majorBidi"/>
          <w:szCs w:val="24"/>
        </w:rPr>
        <w:t>Certains systèmes complètent la capitation par des incitations à la performance ou des bonus liés à des indicateurs de qualité. Par conséquent, le financement par capitation favorise une approche axée sur la prévention, la continuité des soins et la responsabilité du professionnel de santé en matière de santé globale de ses patients.</w:t>
      </w:r>
    </w:p>
    <w:p w14:paraId="34D597CD" w14:textId="6464CDAF"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24" w:name="_Toc199958889"/>
      <w:r w:rsidRPr="00D11D21">
        <w:rPr>
          <w:rFonts w:asciiTheme="majorBidi" w:hAnsiTheme="majorBidi" w:cstheme="majorBidi"/>
          <w:szCs w:val="24"/>
        </w:rPr>
        <w:t>Avantages</w:t>
      </w:r>
      <w:bookmarkEnd w:id="124"/>
    </w:p>
    <w:p w14:paraId="012D6287" w14:textId="77777777" w:rsidR="002210A7" w:rsidRPr="00D11D21" w:rsidRDefault="00855599" w:rsidP="00D11D21">
      <w:pPr>
        <w:jc w:val="both"/>
        <w:rPr>
          <w:rFonts w:asciiTheme="majorBidi" w:hAnsiTheme="majorBidi" w:cstheme="majorBidi"/>
          <w:szCs w:val="24"/>
        </w:rPr>
      </w:pPr>
      <w:r w:rsidRPr="00D11D21">
        <w:rPr>
          <w:rFonts w:asciiTheme="majorBidi" w:hAnsiTheme="majorBidi" w:cstheme="majorBidi"/>
          <w:szCs w:val="24"/>
        </w:rPr>
        <w:t xml:space="preserve">Le modèle de financement basé sur la capitation offre plusieurs bénéfices significatifs dans la gestion des soins médicaux. Il encourage de privilégier la prévention et le suivi à long terme </w:t>
      </w:r>
      <w:r w:rsidRPr="00D11D21">
        <w:rPr>
          <w:rFonts w:asciiTheme="majorBidi" w:hAnsiTheme="majorBidi" w:cstheme="majorBidi"/>
          <w:szCs w:val="24"/>
        </w:rPr>
        <w:lastRenderedPageBreak/>
        <w:t xml:space="preserve">des patients, plutôt que d'opter systématiquement pour les traitements curatifs </w:t>
      </w:r>
      <w:r w:rsidR="002210A7" w:rsidRPr="00D11D21">
        <w:rPr>
          <w:rFonts w:asciiTheme="majorBidi" w:hAnsiTheme="majorBidi" w:cstheme="majorBidi"/>
          <w:szCs w:val="24"/>
        </w:rPr>
        <w:t xml:space="preserve">Face à l'absence de paiement lors de la prestation, les professionnels sont encouragés à éviter les consultations ou hospitalisations inutiles, contribuant ainsi à une meilleure maîtrise des dépenses de santé. Ce système encourage une approche plus globale et personnalisée du patient, améliorant de ce fait la qualité de la relation entre le soignant et le patient. De plus, il fournit aux professionnels une stabilité financière, indépendamment des variations de l'activité. Cela peut également diminuer les inégalités d'accès aux soins, en assurant une prise en charge continue pour tous les patients enregistrés. </w:t>
      </w:r>
      <w:r w:rsidR="002210A7" w:rsidRPr="00D11D21">
        <w:rPr>
          <w:rStyle w:val="Appelnotedebasdep"/>
          <w:rFonts w:asciiTheme="majorBidi" w:hAnsiTheme="majorBidi" w:cstheme="majorBidi"/>
          <w:szCs w:val="24"/>
        </w:rPr>
        <w:footnoteReference w:id="84"/>
      </w:r>
    </w:p>
    <w:p w14:paraId="6347E06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Enfin, le modèle de capitation peut contribuer à désengorger les établissements hospitaliers, en renforçant le rôle des soins primaires et de la médecine de proximité.</w:t>
      </w:r>
    </w:p>
    <w:p w14:paraId="5779CC6D" w14:textId="0FB55764"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25" w:name="_Toc199958890"/>
      <w:r w:rsidRPr="00D11D21">
        <w:rPr>
          <w:rFonts w:asciiTheme="majorBidi" w:hAnsiTheme="majorBidi" w:cstheme="majorBidi"/>
          <w:szCs w:val="24"/>
        </w:rPr>
        <w:t>Inconvénients</w:t>
      </w:r>
      <w:bookmarkEnd w:id="125"/>
    </w:p>
    <w:p w14:paraId="76A46416" w14:textId="19AED880" w:rsidR="002210A7" w:rsidRPr="00D11D21" w:rsidRDefault="00855599" w:rsidP="00D11D21">
      <w:pPr>
        <w:jc w:val="both"/>
        <w:rPr>
          <w:rFonts w:asciiTheme="majorBidi" w:hAnsiTheme="majorBidi" w:cstheme="majorBidi"/>
          <w:szCs w:val="24"/>
        </w:rPr>
      </w:pPr>
      <w:r w:rsidRPr="00D11D21">
        <w:rPr>
          <w:rFonts w:asciiTheme="majorBidi" w:hAnsiTheme="majorBidi" w:cstheme="majorBidi"/>
          <w:szCs w:val="24"/>
        </w:rPr>
        <w:t>En dépit de ses avantages, le financement basé sur la capitation fait face à de multiples limites et critiques. Il existe un risque important lié à la sous-consommation des soins, certains prestataires ayant tendance à restreindre les consultations ou les interventions onéreuses afin d'augmenter leurs bénéfices financiers. Cela peut provoquer une dégradation de la qualité des soins ou une sélection des patients, favorisant ceux ayant une condition médicale stable.</w:t>
      </w:r>
      <w:r w:rsidR="002210A7" w:rsidRPr="00D11D21">
        <w:rPr>
          <w:rFonts w:asciiTheme="majorBidi" w:hAnsiTheme="majorBidi" w:cstheme="majorBidi"/>
          <w:szCs w:val="24"/>
        </w:rPr>
        <w:t xml:space="preserve"> Par ailleurs, cette forme de financement peut décourager l'innovation ou l'investissement dans des matériels onéreux, puisqu'une hausse des revenus n'est pas directement liée à ces derniers. Il y a aussi un danger de rigidité dans la gestion, particulièrement si </w:t>
      </w:r>
      <w:r w:rsidR="00201164" w:rsidRPr="00D11D21">
        <w:rPr>
          <w:rFonts w:asciiTheme="majorBidi" w:hAnsiTheme="majorBidi" w:cstheme="majorBidi"/>
          <w:szCs w:val="24"/>
        </w:rPr>
        <w:t>les sommes attribuées</w:t>
      </w:r>
      <w:r w:rsidR="002210A7" w:rsidRPr="00D11D21">
        <w:rPr>
          <w:rFonts w:asciiTheme="majorBidi" w:hAnsiTheme="majorBidi" w:cstheme="majorBidi"/>
          <w:szCs w:val="24"/>
        </w:rPr>
        <w:t xml:space="preserve"> ne prennent pas assez en compte les besoins particuliers de certaines populations. </w:t>
      </w:r>
      <w:r w:rsidR="002210A7" w:rsidRPr="00D11D21">
        <w:rPr>
          <w:rStyle w:val="Appelnotedebasdep"/>
          <w:rFonts w:asciiTheme="majorBidi" w:hAnsiTheme="majorBidi" w:cstheme="majorBidi"/>
          <w:szCs w:val="24"/>
        </w:rPr>
        <w:footnoteReference w:id="85"/>
      </w:r>
    </w:p>
    <w:p w14:paraId="79938DE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Enfin, pour fonctionner correctement, le système de capitation exige une bonne organisation, des outils performants de suivi et une forte culture de la coordination des soins, ce qui peut représenter un défi dans les contextes où les systèmes d’information sont peu développés.</w:t>
      </w:r>
    </w:p>
    <w:p w14:paraId="3351E989" w14:textId="77777777" w:rsidR="00E126A2" w:rsidRPr="00D11D21" w:rsidRDefault="00E126A2" w:rsidP="00D11D21">
      <w:pPr>
        <w:jc w:val="both"/>
        <w:rPr>
          <w:rFonts w:asciiTheme="majorBidi" w:hAnsiTheme="majorBidi" w:cstheme="majorBidi"/>
          <w:b/>
          <w:bCs/>
          <w:szCs w:val="24"/>
          <w:u w:val="single"/>
        </w:rPr>
      </w:pPr>
      <w:r w:rsidRPr="00D11D21">
        <w:rPr>
          <w:rFonts w:asciiTheme="majorBidi" w:hAnsiTheme="majorBidi" w:cstheme="majorBidi"/>
          <w:b/>
          <w:bCs/>
          <w:szCs w:val="24"/>
          <w:u w:val="single"/>
        </w:rPr>
        <w:br w:type="page"/>
      </w:r>
    </w:p>
    <w:p w14:paraId="1FBA17DC" w14:textId="0F546275" w:rsidR="002210A7" w:rsidRPr="00D11D21" w:rsidRDefault="002210A7" w:rsidP="00D11D21">
      <w:pPr>
        <w:pStyle w:val="Titre1"/>
        <w:jc w:val="both"/>
        <w:rPr>
          <w:rFonts w:asciiTheme="majorBidi" w:hAnsiTheme="majorBidi"/>
          <w:sz w:val="24"/>
          <w:szCs w:val="24"/>
        </w:rPr>
      </w:pPr>
      <w:bookmarkStart w:id="126" w:name="_Toc199958891"/>
      <w:r w:rsidRPr="00D11D21">
        <w:rPr>
          <w:rFonts w:asciiTheme="majorBidi" w:hAnsiTheme="majorBidi"/>
          <w:sz w:val="24"/>
          <w:szCs w:val="24"/>
        </w:rPr>
        <w:lastRenderedPageBreak/>
        <w:t>Conclusion :</w:t>
      </w:r>
      <w:bookmarkEnd w:id="126"/>
    </w:p>
    <w:p w14:paraId="41320426"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 financement des établissements hospitaliers, qu’il soit abordé sous l’angle national ou international, révèle une grande diversité de mécanismes et de pratiques. En Algérie, le système repose essentiellement sur le budget global, les contributions de la sécurité sociale et, dans une moindre mesure, celles des ménages. Si ce modèle a permis de garantir une certaine accessibilité aux soins, il montre aujourd’hui ses limites, notamment en matière de performance, de transparence, et de rationalisation des dépenses.</w:t>
      </w:r>
    </w:p>
    <w:p w14:paraId="36D60C9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À l’international, de nombreux pays ont opté pour des modes de financement alternatifs, tels que la tarification à l’activité (T2A) ou la capitation, qui visent à mieux aligner les ressources allouées avec l’activité réelle des établissements et la qualité des soins prodigués. Ces approches introduisent une logique d’efficience, de responsabilisation et de pilotage par les résultats, en rupture avec les logiques forfaitaires traditionnelles.</w:t>
      </w:r>
    </w:p>
    <w:p w14:paraId="4CAE783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Dans ce contexte, une réflexion sur la réforme du mode de financement des hôpitaux algériens devient nécessaire. Elle pourrait s’inspirer de ces expériences étrangères tout en tenant compte des spécificités locales, des capacités institutionnelles, et du degré de maturité des systèmes d'information. La transition vers un modèle plus dynamique et plus équitable passe nécessairement par un renforcement du pilotage, une meilleure interconnexion des systèmes, et une digitalisation accrue des processus de gestion financière.</w:t>
      </w:r>
    </w:p>
    <w:p w14:paraId="7B9BDC9C" w14:textId="77777777" w:rsidR="00C52E13" w:rsidRDefault="00C52E13" w:rsidP="00B7491C">
      <w:pPr>
        <w:spacing w:before="100" w:beforeAutospacing="1" w:after="100" w:afterAutospacing="1" w:line="240" w:lineRule="auto"/>
        <w:sectPr w:rsidR="00C52E13" w:rsidSect="00236B6A">
          <w:headerReference w:type="default" r:id="rId16"/>
          <w:pgSz w:w="11906" w:h="16838"/>
          <w:pgMar w:top="1417" w:right="1417" w:bottom="1417" w:left="1417" w:header="708" w:footer="708" w:gutter="0"/>
          <w:cols w:space="708"/>
          <w:titlePg/>
          <w:docGrid w:linePitch="360"/>
        </w:sectPr>
      </w:pPr>
    </w:p>
    <w:p w14:paraId="4E967ADD" w14:textId="567EDE75" w:rsidR="002210A7" w:rsidRDefault="002210A7" w:rsidP="00B7491C">
      <w:pPr>
        <w:spacing w:before="100" w:beforeAutospacing="1" w:after="100" w:afterAutospacing="1" w:line="240" w:lineRule="auto"/>
      </w:pPr>
    </w:p>
    <w:p w14:paraId="6C8ACB34" w14:textId="77777777" w:rsidR="002210A7" w:rsidRPr="000C1F1A" w:rsidRDefault="002210A7" w:rsidP="00B7491C">
      <w:pPr>
        <w:spacing w:before="100" w:beforeAutospacing="1" w:after="100" w:afterAutospacing="1" w:line="240" w:lineRule="auto"/>
        <w:rPr>
          <w:rFonts w:cstheme="minorHAnsi"/>
          <w:b/>
          <w:bCs/>
          <w:color w:val="0070C0"/>
          <w:szCs w:val="24"/>
        </w:rPr>
      </w:pPr>
    </w:p>
    <w:p w14:paraId="572C035F" w14:textId="6A233E37" w:rsidR="002210A7" w:rsidRDefault="002210A7" w:rsidP="00433756">
      <w:pPr>
        <w:spacing w:before="100" w:beforeAutospacing="1" w:after="100" w:afterAutospacing="1" w:line="240" w:lineRule="auto"/>
        <w:rPr>
          <w:rFonts w:cstheme="minorHAnsi"/>
          <w:b/>
          <w:bCs/>
          <w:color w:val="0070C0"/>
          <w:szCs w:val="24"/>
        </w:rPr>
      </w:pPr>
    </w:p>
    <w:p w14:paraId="17D2E5B8" w14:textId="430597AE" w:rsidR="00433756" w:rsidRDefault="00433756" w:rsidP="00433756">
      <w:pPr>
        <w:spacing w:before="100" w:beforeAutospacing="1" w:after="100" w:afterAutospacing="1" w:line="240" w:lineRule="auto"/>
        <w:rPr>
          <w:rFonts w:cstheme="minorHAnsi"/>
          <w:b/>
          <w:bCs/>
          <w:color w:val="0070C0"/>
          <w:szCs w:val="24"/>
        </w:rPr>
      </w:pPr>
    </w:p>
    <w:p w14:paraId="4898B6BE" w14:textId="03793935" w:rsidR="00433756" w:rsidRDefault="00433756" w:rsidP="00433756">
      <w:pPr>
        <w:spacing w:before="100" w:beforeAutospacing="1" w:after="100" w:afterAutospacing="1" w:line="240" w:lineRule="auto"/>
        <w:rPr>
          <w:rFonts w:cstheme="minorHAnsi"/>
          <w:b/>
          <w:bCs/>
          <w:color w:val="0070C0"/>
          <w:szCs w:val="24"/>
        </w:rPr>
      </w:pPr>
    </w:p>
    <w:p w14:paraId="5C945EC0" w14:textId="6516B69E" w:rsidR="00433756" w:rsidRDefault="00D11D21" w:rsidP="00433756">
      <w:pPr>
        <w:spacing w:before="100" w:beforeAutospacing="1" w:after="100" w:afterAutospacing="1" w:line="240" w:lineRule="auto"/>
        <w:rPr>
          <w:rFonts w:cstheme="minorHAnsi"/>
          <w:b/>
          <w:bCs/>
          <w:color w:val="0070C0"/>
          <w:szCs w:val="24"/>
        </w:rPr>
      </w:pPr>
      <w:r>
        <w:rPr>
          <w:noProof/>
          <w:sz w:val="48"/>
          <w:szCs w:val="48"/>
          <w:u w:val="single"/>
          <w:lang w:eastAsia="fr-FR"/>
        </w:rPr>
        <mc:AlternateContent>
          <mc:Choice Requires="wps">
            <w:drawing>
              <wp:anchor distT="0" distB="0" distL="114300" distR="114300" simplePos="0" relativeHeight="251772928" behindDoc="1" locked="0" layoutInCell="1" allowOverlap="1" wp14:anchorId="290EF75B" wp14:editId="3368C828">
                <wp:simplePos x="0" y="0"/>
                <wp:positionH relativeFrom="margin">
                  <wp:align>right</wp:align>
                </wp:positionH>
                <wp:positionV relativeFrom="margin">
                  <wp:align>center</wp:align>
                </wp:positionV>
                <wp:extent cx="5676900" cy="5276850"/>
                <wp:effectExtent l="0" t="0" r="19050" b="19050"/>
                <wp:wrapTight wrapText="bothSides">
                  <wp:wrapPolygon edited="0">
                    <wp:start x="19860" y="0"/>
                    <wp:lineTo x="19498" y="156"/>
                    <wp:lineTo x="18918" y="936"/>
                    <wp:lineTo x="18918" y="2495"/>
                    <wp:lineTo x="0" y="2573"/>
                    <wp:lineTo x="0" y="20742"/>
                    <wp:lineTo x="145" y="21210"/>
                    <wp:lineTo x="652" y="21600"/>
                    <wp:lineTo x="725" y="21600"/>
                    <wp:lineTo x="1812" y="21600"/>
                    <wp:lineTo x="1885" y="21600"/>
                    <wp:lineTo x="2464" y="21210"/>
                    <wp:lineTo x="2682" y="19962"/>
                    <wp:lineTo x="5654" y="19962"/>
                    <wp:lineTo x="21238" y="18949"/>
                    <wp:lineTo x="21238" y="18715"/>
                    <wp:lineTo x="21600" y="18169"/>
                    <wp:lineTo x="21600" y="390"/>
                    <wp:lineTo x="20803" y="0"/>
                    <wp:lineTo x="19860" y="0"/>
                  </wp:wrapPolygon>
                </wp:wrapTight>
                <wp:docPr id="198" name="Parchemin horizontal 198"/>
                <wp:cNvGraphicFramePr/>
                <a:graphic xmlns:a="http://schemas.openxmlformats.org/drawingml/2006/main">
                  <a:graphicData uri="http://schemas.microsoft.com/office/word/2010/wordprocessingShape">
                    <wps:wsp>
                      <wps:cNvSpPr/>
                      <wps:spPr>
                        <a:xfrm>
                          <a:off x="0" y="0"/>
                          <a:ext cx="5676900" cy="5276850"/>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750F71B9" w14:textId="600F0A6B" w:rsidR="0095621A" w:rsidRPr="00EC6BD4" w:rsidRDefault="0095621A" w:rsidP="00D32199">
                            <w:pPr>
                              <w:spacing w:after="0" w:line="240" w:lineRule="auto"/>
                              <w:jc w:val="center"/>
                              <w:rPr>
                                <w:sz w:val="36"/>
                                <w:szCs w:val="32"/>
                              </w:rPr>
                            </w:pPr>
                            <w:r w:rsidRPr="00EC6BD4">
                              <w:rPr>
                                <w:rFonts w:eastAsiaTheme="majorEastAsia" w:cstheme="majorBidi"/>
                                <w:b/>
                                <w:spacing w:val="-10"/>
                                <w:kern w:val="28"/>
                                <w:sz w:val="52"/>
                                <w:szCs w:val="52"/>
                              </w:rPr>
                              <w:t>Chapitre 03 : Étude empirique sur le rôle des systèmes d'information dans le financement hospitalier : cas de l’EPH Bouzidi Lakhdar de Bordj Bou Arreridj et de la Direction Générale de la Caisse Nationale des Assurances Sociales des Travailleurs Salariés (CNAS), Alger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0EF75B" id="Parchemin horizontal 198" o:spid="_x0000_s1059" type="#_x0000_t98" style="position:absolute;margin-left:395.8pt;margin-top:0;width:447pt;height:415.5pt;z-index:-251543552;visibility:visible;mso-wrap-style:square;mso-width-percent:0;mso-height-percent:0;mso-wrap-distance-left:9pt;mso-wrap-distance-top:0;mso-wrap-distance-right:9pt;mso-wrap-distance-bottom:0;mso-position-horizontal:right;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" fillcolor="#c3c3c3 [2166]" strokecolor="#a5a5a5 [3206]" strokeweight=".5pt">
                <v:fill color2="#b6b6b6 [2614]" rotate="t" colors="0 #d2d2d2;.5 #c8c8c8;1 silver" focus="100%" type="gradient">
                  <o:fill v:ext="view" type="gradientUnscaled"/>
                </v:fill>
                <v:stroke joinstyle="miter"/>
                <v:textbox>
                  <w:txbxContent>
                    <w:p w14:paraId="750F71B9" w14:textId="600F0A6B" w:rsidR="0095621A" w:rsidRPr="00EC6BD4" w:rsidRDefault="0095621A" w:rsidP="00D32199">
                      <w:pPr>
                        <w:spacing w:after="0" w:line="240" w:lineRule="auto"/>
                        <w:jc w:val="center"/>
                        <w:rPr>
                          <w:sz w:val="36"/>
                          <w:szCs w:val="32"/>
                        </w:rPr>
                      </w:pPr>
                      <w:r w:rsidRPr="00EC6BD4">
                        <w:rPr>
                          <w:rFonts w:eastAsiaTheme="majorEastAsia" w:cstheme="majorBidi"/>
                          <w:b/>
                          <w:spacing w:val="-10"/>
                          <w:kern w:val="28"/>
                          <w:sz w:val="52"/>
                          <w:szCs w:val="52"/>
                        </w:rPr>
                        <w:t>Chapitre 03 : Étude empirique sur le rôle des systèmes d'information dans le financement hospitalier : cas de l’EPH Bouzidi Lakhdar de Bordj Bou Arreridj et de la Direction Générale de la Caisse Nationale des Assurances Sociales des Travailleurs Salariés (CNAS), Alger</w:t>
                      </w:r>
                    </w:p>
                  </w:txbxContent>
                </v:textbox>
                <w10:wrap type="tight" anchorx="margin" anchory="margin"/>
              </v:shape>
            </w:pict>
          </mc:Fallback>
        </mc:AlternateContent>
      </w:r>
    </w:p>
    <w:p w14:paraId="2E4D5349" w14:textId="0C1B2A3D" w:rsidR="00433756" w:rsidRDefault="00433756" w:rsidP="00433756">
      <w:pPr>
        <w:spacing w:before="100" w:beforeAutospacing="1" w:after="100" w:afterAutospacing="1" w:line="240" w:lineRule="auto"/>
        <w:rPr>
          <w:rFonts w:cstheme="minorHAnsi"/>
          <w:b/>
          <w:bCs/>
          <w:color w:val="0070C0"/>
          <w:szCs w:val="24"/>
        </w:rPr>
      </w:pPr>
    </w:p>
    <w:p w14:paraId="09301931" w14:textId="1CED873E" w:rsidR="00433756" w:rsidRDefault="00433756" w:rsidP="00433756">
      <w:pPr>
        <w:spacing w:before="100" w:beforeAutospacing="1" w:after="100" w:afterAutospacing="1" w:line="240" w:lineRule="auto"/>
        <w:rPr>
          <w:rFonts w:cstheme="minorHAnsi"/>
          <w:b/>
          <w:bCs/>
          <w:color w:val="0070C0"/>
          <w:szCs w:val="24"/>
        </w:rPr>
      </w:pPr>
    </w:p>
    <w:p w14:paraId="5F6A094C" w14:textId="0DEB94DA" w:rsidR="00433756" w:rsidRDefault="00433756" w:rsidP="00433756">
      <w:pPr>
        <w:spacing w:before="100" w:beforeAutospacing="1" w:after="100" w:afterAutospacing="1" w:line="240" w:lineRule="auto"/>
        <w:rPr>
          <w:rFonts w:cstheme="minorHAnsi"/>
          <w:b/>
          <w:bCs/>
          <w:color w:val="0070C0"/>
          <w:szCs w:val="24"/>
        </w:rPr>
      </w:pPr>
    </w:p>
    <w:p w14:paraId="21BA1EB4" w14:textId="07E08434" w:rsidR="00433756" w:rsidRDefault="00433756" w:rsidP="00433756">
      <w:pPr>
        <w:spacing w:before="100" w:beforeAutospacing="1" w:after="100" w:afterAutospacing="1" w:line="240" w:lineRule="auto"/>
        <w:rPr>
          <w:rFonts w:cstheme="minorHAnsi"/>
          <w:b/>
          <w:bCs/>
          <w:color w:val="0070C0"/>
          <w:szCs w:val="24"/>
        </w:rPr>
      </w:pPr>
    </w:p>
    <w:p w14:paraId="4B3C62EE" w14:textId="3FEEC70B" w:rsidR="00433756" w:rsidRDefault="00433756" w:rsidP="00433756">
      <w:pPr>
        <w:spacing w:before="100" w:beforeAutospacing="1" w:after="100" w:afterAutospacing="1" w:line="240" w:lineRule="auto"/>
        <w:rPr>
          <w:rFonts w:cstheme="minorHAnsi"/>
          <w:b/>
          <w:bCs/>
          <w:color w:val="0070C0"/>
          <w:szCs w:val="24"/>
        </w:rPr>
      </w:pPr>
    </w:p>
    <w:p w14:paraId="4656C763" w14:textId="77777777" w:rsidR="00433756" w:rsidRPr="00433756" w:rsidRDefault="00433756" w:rsidP="00433756">
      <w:pPr>
        <w:spacing w:before="100" w:beforeAutospacing="1" w:after="100" w:afterAutospacing="1" w:line="240" w:lineRule="auto"/>
        <w:rPr>
          <w:rFonts w:cstheme="minorHAnsi"/>
          <w:b/>
          <w:bCs/>
          <w:color w:val="0070C0"/>
          <w:szCs w:val="24"/>
        </w:rPr>
      </w:pPr>
    </w:p>
    <w:p w14:paraId="38E146F9" w14:textId="77777777" w:rsidR="002210A7" w:rsidRPr="00D11D21" w:rsidRDefault="002210A7" w:rsidP="00D11D21">
      <w:pPr>
        <w:pStyle w:val="Titre1"/>
        <w:jc w:val="both"/>
        <w:rPr>
          <w:rFonts w:eastAsia="Times New Roman"/>
          <w:sz w:val="24"/>
          <w:szCs w:val="24"/>
          <w:lang w:eastAsia="fr-FR"/>
        </w:rPr>
      </w:pPr>
      <w:bookmarkStart w:id="127" w:name="_Toc199958892"/>
      <w:r w:rsidRPr="00D11D21">
        <w:rPr>
          <w:rFonts w:eastAsia="Times New Roman"/>
          <w:sz w:val="24"/>
          <w:szCs w:val="24"/>
          <w:lang w:eastAsia="fr-FR"/>
        </w:rPr>
        <w:lastRenderedPageBreak/>
        <w:t>Introduction :</w:t>
      </w:r>
      <w:bookmarkEnd w:id="127"/>
    </w:p>
    <w:p w14:paraId="356C9872" w14:textId="77777777" w:rsidR="002210A7" w:rsidRPr="00D11D21" w:rsidRDefault="002210A7" w:rsidP="00D11D21">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 xml:space="preserve">Après avoir présenté le cadre théorique de notre mémoire, ce chapitre est consacré </w:t>
      </w:r>
      <w:r w:rsidR="001F5008" w:rsidRPr="00D11D21">
        <w:rPr>
          <w:rFonts w:eastAsia="Times New Roman" w:cs="Times New Roman"/>
          <w:szCs w:val="24"/>
          <w:lang w:eastAsia="fr-FR"/>
        </w:rPr>
        <w:t>à l’étude empirique</w:t>
      </w:r>
      <w:r w:rsidRPr="00D11D21">
        <w:rPr>
          <w:rFonts w:eastAsia="Times New Roman" w:cs="Times New Roman"/>
          <w:szCs w:val="24"/>
          <w:lang w:eastAsia="fr-FR"/>
        </w:rPr>
        <w:t>. Il vise à illustrer, à travers l’observation et l’enquête de terrain, la réalité du fonctionnement des systèmes d’information et du financement dans deux structures de santé en Algérie : l’hôpital public Bouzidi Lakhdar et la Caisse Nationale des Assurances Sociales (CNAS), Direction Générale à Alger.</w:t>
      </w:r>
    </w:p>
    <w:p w14:paraId="22212D06" w14:textId="77777777" w:rsidR="002210A7" w:rsidRPr="00D11D21" w:rsidRDefault="002210A7" w:rsidP="00D11D21">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Dans une première section, nous présenterons ces deux établissements, en mettant en lumière le</w:t>
      </w:r>
      <w:r w:rsidR="001F5008" w:rsidRPr="00D11D21">
        <w:rPr>
          <w:rFonts w:eastAsia="Times New Roman" w:cs="Times New Roman"/>
          <w:szCs w:val="24"/>
          <w:lang w:eastAsia="fr-FR"/>
        </w:rPr>
        <w:t>ur structure organisationnelle</w:t>
      </w:r>
      <w:r w:rsidRPr="00D11D21">
        <w:rPr>
          <w:rFonts w:eastAsia="Times New Roman" w:cs="Times New Roman"/>
          <w:szCs w:val="24"/>
          <w:lang w:eastAsia="fr-FR"/>
        </w:rPr>
        <w:t>, ainsi que les modalités actuelles de financement et de gestion de l’information. La deuxième section est consacrée au cadre méthodologique de l’enquête, comprenant le champ de l’étude, la méthode suivie, la population ciblée, les outils de collecte de données, et les techniques d’analyse statistique utilisées, notamment à l’aide du logiciel SPSS.</w:t>
      </w:r>
    </w:p>
    <w:p w14:paraId="0F0B5EEA" w14:textId="03B38C8F" w:rsidR="0059686A" w:rsidRPr="00282FFC" w:rsidRDefault="002210A7" w:rsidP="00282FFC">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Nous exposerons ensuite les résultats des deux questionnaires adressés respectivement aux responsables hospitaliers et aux cadres de la CNAS, avant d’analyser leur contribution à la validation des hypothèses formulées. Enfin, nous présenterons une proposition de modèle de financement mixte, incluant une base fixe et une part variable indexée sur l’activité réelle, et nous en évaluerons la faisabilité à travers l’analyse des données recueillies.</w:t>
      </w:r>
      <w:r w:rsidR="0059686A" w:rsidRPr="00D11D21">
        <w:rPr>
          <w:rFonts w:asciiTheme="majorBidi" w:eastAsiaTheme="minorEastAsia" w:hAnsiTheme="majorBidi" w:cstheme="majorBidi"/>
          <w:szCs w:val="24"/>
          <w:lang w:eastAsia="fr-FR"/>
        </w:rPr>
        <w:br w:type="page"/>
      </w:r>
    </w:p>
    <w:p w14:paraId="7C6B294B" w14:textId="713811AF" w:rsidR="00432038" w:rsidRPr="00D11D21" w:rsidRDefault="002210A7" w:rsidP="00D11D21">
      <w:pPr>
        <w:pStyle w:val="Titre1"/>
        <w:jc w:val="both"/>
        <w:rPr>
          <w:rFonts w:eastAsiaTheme="minorEastAsia"/>
          <w:sz w:val="24"/>
          <w:szCs w:val="24"/>
          <w:lang w:eastAsia="fr-FR"/>
        </w:rPr>
      </w:pPr>
      <w:bookmarkStart w:id="128" w:name="_Toc199958893"/>
      <w:r w:rsidRPr="00D11D21">
        <w:rPr>
          <w:rFonts w:eastAsiaTheme="minorEastAsia"/>
          <w:sz w:val="24"/>
          <w:szCs w:val="24"/>
          <w:lang w:eastAsia="fr-FR"/>
        </w:rPr>
        <w:lastRenderedPageBreak/>
        <w:t>Section 01 : Compte rendu de stage et analyse du fonctionnement actuel</w:t>
      </w:r>
      <w:bookmarkEnd w:id="128"/>
    </w:p>
    <w:p w14:paraId="361C10EB" w14:textId="77777777" w:rsidR="002210A7" w:rsidRPr="00D11D21" w:rsidRDefault="002210A7" w:rsidP="00D11D21">
      <w:pPr>
        <w:pStyle w:val="Titre5"/>
        <w:rPr>
          <w:szCs w:val="24"/>
        </w:rPr>
      </w:pPr>
      <w:r w:rsidRPr="00D11D21">
        <w:rPr>
          <w:szCs w:val="24"/>
        </w:rPr>
        <w:t>Présentation des structures étudiées :</w:t>
      </w:r>
    </w:p>
    <w:p w14:paraId="6DC1C5C9" w14:textId="77777777" w:rsidR="002210A7" w:rsidRPr="00D11D21" w:rsidRDefault="002210A7" w:rsidP="00D11D21">
      <w:pPr>
        <w:pStyle w:val="Titre2"/>
        <w:numPr>
          <w:ilvl w:val="0"/>
          <w:numId w:val="143"/>
        </w:numPr>
        <w:rPr>
          <w:szCs w:val="24"/>
        </w:rPr>
      </w:pPr>
      <w:bookmarkStart w:id="129" w:name="_Toc199958894"/>
      <w:r w:rsidRPr="00D11D21">
        <w:rPr>
          <w:szCs w:val="24"/>
        </w:rPr>
        <w:t>Présentation de l’établissement hospitalier public</w:t>
      </w:r>
      <w:bookmarkEnd w:id="129"/>
    </w:p>
    <w:p w14:paraId="3DCD959F" w14:textId="77777777" w:rsidR="002210A7" w:rsidRPr="00D11D21" w:rsidRDefault="002210A7" w:rsidP="00D11D21">
      <w:pPr>
        <w:pStyle w:val="Titre3"/>
        <w:numPr>
          <w:ilvl w:val="1"/>
          <w:numId w:val="53"/>
        </w:numPr>
        <w:spacing w:line="360" w:lineRule="auto"/>
        <w:rPr>
          <w:szCs w:val="24"/>
        </w:rPr>
      </w:pPr>
      <w:r w:rsidRPr="00D11D21">
        <w:rPr>
          <w:szCs w:val="24"/>
        </w:rPr>
        <w:t xml:space="preserve"> </w:t>
      </w:r>
      <w:bookmarkStart w:id="130" w:name="_Toc199958895"/>
      <w:r w:rsidRPr="00D11D21">
        <w:rPr>
          <w:szCs w:val="24"/>
        </w:rPr>
        <w:t>Historique de l’EPH Bouzidi Lakhdar</w:t>
      </w:r>
      <w:bookmarkEnd w:id="130"/>
    </w:p>
    <w:p w14:paraId="12F1DA4B" w14:textId="77777777" w:rsidR="002210A7" w:rsidRPr="00D11D21" w:rsidRDefault="002210A7" w:rsidP="00D11D21">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 xml:space="preserve">L’établissement public hospitalier « Bouzidi Lakhdar » de Bordj Bou </w:t>
      </w:r>
      <w:proofErr w:type="spellStart"/>
      <w:r w:rsidRPr="00D11D21">
        <w:rPr>
          <w:rFonts w:eastAsia="Times New Roman" w:cs="Times New Roman"/>
          <w:szCs w:val="24"/>
          <w:lang w:eastAsia="fr-FR"/>
        </w:rPr>
        <w:t>Arréridj</w:t>
      </w:r>
      <w:proofErr w:type="spellEnd"/>
      <w:r w:rsidRPr="00D11D21">
        <w:rPr>
          <w:rFonts w:eastAsia="Times New Roman" w:cs="Times New Roman"/>
          <w:szCs w:val="24"/>
          <w:lang w:eastAsia="fr-FR"/>
        </w:rPr>
        <w:t xml:space="preserve"> a été inauguré le 19 mai 1985 par Djamel Houhou, alors membre du comité central et de la santé publique. L’hôpital a été réalisé par le Groupe d’Entreprise I. Il dispose d’une capacité de 240 lits répartis sur plusieurs services médicaux, et emploie 557 agents répartis en corps médical, paramédical, administratif, personnel de service et contractuels.</w:t>
      </w:r>
    </w:p>
    <w:p w14:paraId="63502771" w14:textId="17BDF692" w:rsidR="002210A7" w:rsidRPr="00D11D21" w:rsidRDefault="002210A7" w:rsidP="00D11D21">
      <w:pPr>
        <w:pStyle w:val="Titre3"/>
        <w:numPr>
          <w:ilvl w:val="1"/>
          <w:numId w:val="142"/>
        </w:numPr>
        <w:spacing w:line="360" w:lineRule="auto"/>
        <w:rPr>
          <w:szCs w:val="24"/>
        </w:rPr>
      </w:pPr>
      <w:bookmarkStart w:id="131" w:name="_Toc199958896"/>
      <w:r w:rsidRPr="00D11D21">
        <w:rPr>
          <w:szCs w:val="24"/>
        </w:rPr>
        <w:t>Situation géographique</w:t>
      </w:r>
      <w:bookmarkEnd w:id="131"/>
    </w:p>
    <w:p w14:paraId="1505FCBC" w14:textId="77777777" w:rsidR="002210A7" w:rsidRPr="00D11D21" w:rsidRDefault="002210A7" w:rsidP="00D11D21">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 xml:space="preserve">L’hôpital est situé au sud-ouest de la ville de Bordj Bou </w:t>
      </w:r>
      <w:proofErr w:type="spellStart"/>
      <w:r w:rsidRPr="00D11D21">
        <w:rPr>
          <w:rFonts w:eastAsia="Times New Roman" w:cs="Times New Roman"/>
          <w:szCs w:val="24"/>
          <w:lang w:eastAsia="fr-FR"/>
        </w:rPr>
        <w:t>Arréridj</w:t>
      </w:r>
      <w:proofErr w:type="spellEnd"/>
      <w:r w:rsidRPr="00D11D21">
        <w:rPr>
          <w:rFonts w:eastAsia="Times New Roman" w:cs="Times New Roman"/>
          <w:szCs w:val="24"/>
          <w:lang w:eastAsia="fr-FR"/>
        </w:rPr>
        <w:t>, relevant de la Direction de la Santé et de la Population de la wilaya. Il occupe une superficie totale de 2 719 900 m², dont 1 406 100 m² sont bâtis (48 %), répartis sur quatre bâtiments. Le coût de réalisation s’élève à 7 milliards de dinars algériens.</w:t>
      </w:r>
    </w:p>
    <w:p w14:paraId="21BD743E" w14:textId="1DCD9FAC" w:rsidR="002210A7" w:rsidRPr="00D11D21" w:rsidRDefault="002210A7" w:rsidP="00D11D21">
      <w:pPr>
        <w:pStyle w:val="Titre3"/>
        <w:numPr>
          <w:ilvl w:val="1"/>
          <w:numId w:val="142"/>
        </w:numPr>
        <w:spacing w:line="360" w:lineRule="auto"/>
        <w:rPr>
          <w:szCs w:val="24"/>
        </w:rPr>
      </w:pPr>
      <w:bookmarkStart w:id="132" w:name="_Toc199958897"/>
      <w:r w:rsidRPr="00D11D21">
        <w:rPr>
          <w:szCs w:val="24"/>
        </w:rPr>
        <w:t>Organisation générale et services</w:t>
      </w:r>
      <w:bookmarkEnd w:id="132"/>
    </w:p>
    <w:p w14:paraId="7C212DFC" w14:textId="77777777" w:rsidR="002210A7" w:rsidRPr="00D11D21" w:rsidRDefault="002210A7" w:rsidP="00D11D21">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L’établissement se compose des structures suivantes :</w:t>
      </w:r>
    </w:p>
    <w:p w14:paraId="1FEE16FB" w14:textId="77777777" w:rsidR="002210A7" w:rsidRPr="00D11D21" w:rsidRDefault="002210A7" w:rsidP="00D11D21">
      <w:pPr>
        <w:numPr>
          <w:ilvl w:val="0"/>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b/>
          <w:bCs/>
          <w:szCs w:val="24"/>
          <w:lang w:eastAsia="fr-FR"/>
        </w:rPr>
        <w:t>A. Pavillon des urgences</w:t>
      </w:r>
      <w:r w:rsidRPr="00D11D21">
        <w:rPr>
          <w:rFonts w:eastAsia="Times New Roman" w:cs="Times New Roman"/>
          <w:szCs w:val="24"/>
          <w:lang w:eastAsia="fr-FR"/>
        </w:rPr>
        <w:t xml:space="preserve"> : soins d’urgence, consultations et mise en observation.</w:t>
      </w:r>
    </w:p>
    <w:p w14:paraId="0BF46D89" w14:textId="77777777" w:rsidR="002210A7" w:rsidRPr="00D11D21" w:rsidRDefault="002210A7" w:rsidP="00D11D21">
      <w:pPr>
        <w:numPr>
          <w:ilvl w:val="0"/>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b/>
          <w:bCs/>
          <w:szCs w:val="24"/>
          <w:lang w:eastAsia="fr-FR"/>
        </w:rPr>
        <w:t>B. Plateau technique</w:t>
      </w:r>
      <w:r w:rsidRPr="00D11D21">
        <w:rPr>
          <w:rFonts w:eastAsia="Times New Roman" w:cs="Times New Roman"/>
          <w:szCs w:val="24"/>
          <w:lang w:eastAsia="fr-FR"/>
        </w:rPr>
        <w:t xml:space="preserve"> : services de laboratoire, radiologie, bloc opératoire et réanimation.</w:t>
      </w:r>
    </w:p>
    <w:p w14:paraId="3B1AC5C9" w14:textId="77777777" w:rsidR="002210A7" w:rsidRPr="00D11D21" w:rsidRDefault="002210A7" w:rsidP="00D11D21">
      <w:pPr>
        <w:numPr>
          <w:ilvl w:val="0"/>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b/>
          <w:bCs/>
          <w:szCs w:val="24"/>
          <w:lang w:eastAsia="fr-FR"/>
        </w:rPr>
        <w:t>C. Services médicaux spécialisés</w:t>
      </w:r>
      <w:r w:rsidRPr="00D11D21">
        <w:rPr>
          <w:rFonts w:eastAsia="Times New Roman" w:cs="Times New Roman"/>
          <w:szCs w:val="24"/>
          <w:lang w:eastAsia="fr-FR"/>
        </w:rPr>
        <w:t xml:space="preserve"> : hémodialyse, orthopédie, ophtalmologie, ORL, neurochirurgie, chirurgie générale, médecine interne, oncologie, pneumologie, maladies infectieuses, cardiologie, néphrologie, etc.</w:t>
      </w:r>
    </w:p>
    <w:p w14:paraId="0D227F86" w14:textId="77777777" w:rsidR="002210A7" w:rsidRPr="00D11D21" w:rsidRDefault="002210A7" w:rsidP="00D11D21">
      <w:pPr>
        <w:numPr>
          <w:ilvl w:val="0"/>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b/>
          <w:bCs/>
          <w:szCs w:val="24"/>
          <w:lang w:eastAsia="fr-FR"/>
        </w:rPr>
        <w:t>D. Services administratifs</w:t>
      </w:r>
      <w:r w:rsidRPr="00D11D21">
        <w:rPr>
          <w:rFonts w:eastAsia="Times New Roman" w:cs="Times New Roman"/>
          <w:szCs w:val="24"/>
          <w:lang w:eastAsia="fr-FR"/>
        </w:rPr>
        <w:t xml:space="preserve"> :</w:t>
      </w:r>
    </w:p>
    <w:p w14:paraId="7F82E070" w14:textId="77777777" w:rsidR="002210A7" w:rsidRPr="00D11D21" w:rsidRDefault="002210A7" w:rsidP="00D11D21">
      <w:pPr>
        <w:numPr>
          <w:ilvl w:val="1"/>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Direction générale</w:t>
      </w:r>
    </w:p>
    <w:p w14:paraId="5AE921B2" w14:textId="77777777" w:rsidR="002210A7" w:rsidRPr="00D11D21" w:rsidRDefault="002210A7" w:rsidP="00D11D21">
      <w:pPr>
        <w:numPr>
          <w:ilvl w:val="1"/>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Sous-direction des finances et des moyens</w:t>
      </w:r>
    </w:p>
    <w:p w14:paraId="3CBE90FE" w14:textId="77777777" w:rsidR="002210A7" w:rsidRPr="00D11D21" w:rsidRDefault="002210A7" w:rsidP="00D11D21">
      <w:pPr>
        <w:numPr>
          <w:ilvl w:val="1"/>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Sous-direction des activités sanitaires</w:t>
      </w:r>
    </w:p>
    <w:p w14:paraId="75CD2641" w14:textId="77777777" w:rsidR="002210A7" w:rsidRPr="00D11D21" w:rsidRDefault="002210A7" w:rsidP="00D11D21">
      <w:pPr>
        <w:numPr>
          <w:ilvl w:val="1"/>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Sous-direction de l’administration des moyens</w:t>
      </w:r>
    </w:p>
    <w:p w14:paraId="5A417E7A" w14:textId="77777777" w:rsidR="002210A7" w:rsidRPr="00D11D21" w:rsidRDefault="002210A7" w:rsidP="00D11D21">
      <w:pPr>
        <w:numPr>
          <w:ilvl w:val="1"/>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Sous-direction de la maintenance médicale</w:t>
      </w:r>
    </w:p>
    <w:p w14:paraId="1D9DF9B2" w14:textId="77777777" w:rsidR="002210A7" w:rsidRPr="00D11D21" w:rsidRDefault="002210A7" w:rsidP="00D11D21">
      <w:pPr>
        <w:numPr>
          <w:ilvl w:val="0"/>
          <w:numId w:val="96"/>
        </w:numPr>
        <w:spacing w:before="100" w:beforeAutospacing="1" w:after="100" w:afterAutospacing="1"/>
        <w:jc w:val="both"/>
        <w:rPr>
          <w:rFonts w:eastAsia="Times New Roman" w:cs="Times New Roman"/>
          <w:szCs w:val="24"/>
          <w:lang w:eastAsia="fr-FR"/>
        </w:rPr>
      </w:pPr>
      <w:r w:rsidRPr="00D11D21">
        <w:rPr>
          <w:rFonts w:eastAsia="Times New Roman" w:cs="Times New Roman"/>
          <w:b/>
          <w:bCs/>
          <w:szCs w:val="24"/>
          <w:lang w:eastAsia="fr-FR"/>
        </w:rPr>
        <w:lastRenderedPageBreak/>
        <w:t>E. Services d’intendance</w:t>
      </w:r>
      <w:r w:rsidRPr="00D11D21">
        <w:rPr>
          <w:rFonts w:eastAsia="Times New Roman" w:cs="Times New Roman"/>
          <w:szCs w:val="24"/>
          <w:lang w:eastAsia="fr-FR"/>
        </w:rPr>
        <w:t xml:space="preserve"> : cuisine, atelier de maintenance, parc automobile, pharmacie centrale.</w:t>
      </w:r>
    </w:p>
    <w:p w14:paraId="5080E04E" w14:textId="445DF597" w:rsidR="002210A7" w:rsidRPr="00D11D21" w:rsidRDefault="002210A7" w:rsidP="00D11D21">
      <w:pPr>
        <w:pStyle w:val="Titre3"/>
        <w:numPr>
          <w:ilvl w:val="1"/>
          <w:numId w:val="142"/>
        </w:numPr>
        <w:spacing w:line="360" w:lineRule="auto"/>
        <w:rPr>
          <w:szCs w:val="24"/>
        </w:rPr>
      </w:pPr>
      <w:bookmarkStart w:id="133" w:name="_Toc199958898"/>
      <w:r w:rsidRPr="00D11D21">
        <w:rPr>
          <w:szCs w:val="24"/>
        </w:rPr>
        <w:t>Organigramme général</w:t>
      </w:r>
      <w:bookmarkEnd w:id="133"/>
    </w:p>
    <w:p w14:paraId="7B29E47A" w14:textId="77777777" w:rsidR="002210A7" w:rsidRPr="00D11D21" w:rsidRDefault="002210A7" w:rsidP="00D11D21">
      <w:pPr>
        <w:spacing w:before="100" w:beforeAutospacing="1" w:after="100" w:afterAutospacing="1"/>
        <w:jc w:val="both"/>
        <w:rPr>
          <w:rFonts w:eastAsia="Times New Roman" w:cs="Times New Roman"/>
          <w:szCs w:val="24"/>
          <w:lang w:eastAsia="fr-FR"/>
        </w:rPr>
      </w:pPr>
      <w:r w:rsidRPr="00D11D21">
        <w:rPr>
          <w:rFonts w:eastAsia="Times New Roman" w:cs="Times New Roman"/>
          <w:szCs w:val="24"/>
          <w:lang w:eastAsia="fr-FR"/>
        </w:rPr>
        <w:t>L’organigramme illustre la structure hiérarchique de l’EPH, montrant la répartition des responsabilités entre les directions et les différents services (cf. Figure 6).</w:t>
      </w:r>
    </w:p>
    <w:p w14:paraId="112F1BDA" w14:textId="77777777" w:rsidR="002210A7" w:rsidRDefault="002210A7" w:rsidP="00B7491C">
      <w:pPr>
        <w:spacing w:line="240" w:lineRule="auto"/>
        <w:ind w:left="-142"/>
        <w:rPr>
          <w:rFonts w:asciiTheme="majorBidi" w:hAnsiTheme="majorBidi" w:cstheme="majorBidi"/>
          <w:szCs w:val="24"/>
        </w:rPr>
      </w:pPr>
    </w:p>
    <w:p w14:paraId="574C33AA" w14:textId="77777777" w:rsidR="002210A7" w:rsidRDefault="002210A7" w:rsidP="00B7491C">
      <w:pPr>
        <w:spacing w:line="240" w:lineRule="auto"/>
        <w:ind w:left="-142"/>
        <w:rPr>
          <w:rFonts w:asciiTheme="majorBidi" w:hAnsiTheme="majorBidi" w:cstheme="majorBidi"/>
          <w:szCs w:val="24"/>
        </w:rPr>
      </w:pPr>
    </w:p>
    <w:p w14:paraId="03B17C2E" w14:textId="77777777" w:rsidR="002210A7" w:rsidRDefault="002210A7" w:rsidP="00D77269">
      <w:pPr>
        <w:spacing w:line="240" w:lineRule="auto"/>
        <w:rPr>
          <w:rFonts w:asciiTheme="majorBidi" w:hAnsiTheme="majorBidi" w:cstheme="majorBidi"/>
          <w:szCs w:val="24"/>
        </w:rPr>
      </w:pPr>
    </w:p>
    <w:p w14:paraId="58374A66" w14:textId="77777777" w:rsidR="002210A7" w:rsidRPr="00733F72" w:rsidRDefault="002210A7" w:rsidP="00B7491C">
      <w:pPr>
        <w:tabs>
          <w:tab w:val="left" w:pos="1725"/>
        </w:tabs>
        <w:rPr>
          <w:rFonts w:asciiTheme="majorBidi" w:hAnsiTheme="majorBidi" w:cstheme="majorBidi"/>
          <w:szCs w:val="24"/>
        </w:rPr>
        <w:sectPr w:rsidR="002210A7" w:rsidRPr="00733F72" w:rsidSect="00DC1C1D">
          <w:headerReference w:type="default" r:id="rId17"/>
          <w:pgSz w:w="11906" w:h="16838"/>
          <w:pgMar w:top="1417" w:right="1417" w:bottom="1417" w:left="1417" w:header="708" w:footer="708" w:gutter="0"/>
          <w:cols w:space="708"/>
          <w:titlePg/>
          <w:docGrid w:linePitch="360"/>
        </w:sectPr>
      </w:pPr>
    </w:p>
    <w:p w14:paraId="2E8982BA" w14:textId="39DC2676" w:rsidR="00E91AB9" w:rsidRPr="00E91AB9" w:rsidRDefault="00E91AB9" w:rsidP="00E91AB9">
      <w:pPr>
        <w:pStyle w:val="Lgende"/>
        <w:keepNext/>
        <w:rPr>
          <w:color w:val="auto"/>
          <w:sz w:val="24"/>
          <w:szCs w:val="24"/>
        </w:rPr>
      </w:pPr>
      <w:bookmarkStart w:id="134" w:name="_Toc200210072"/>
      <w:r w:rsidRPr="00E91AB9">
        <w:rPr>
          <w:color w:val="auto"/>
          <w:sz w:val="24"/>
          <w:szCs w:val="24"/>
        </w:rPr>
        <w:lastRenderedPageBreak/>
        <w:t xml:space="preserve">Figure </w:t>
      </w:r>
      <w:r w:rsidRPr="00E91AB9">
        <w:rPr>
          <w:color w:val="auto"/>
          <w:sz w:val="24"/>
          <w:szCs w:val="24"/>
        </w:rPr>
        <w:fldChar w:fldCharType="begin"/>
      </w:r>
      <w:r w:rsidRPr="00E91AB9">
        <w:rPr>
          <w:color w:val="auto"/>
          <w:sz w:val="24"/>
          <w:szCs w:val="24"/>
        </w:rPr>
        <w:instrText xml:space="preserve"> SEQ Figure \* ARABIC </w:instrText>
      </w:r>
      <w:r w:rsidRPr="00E91AB9">
        <w:rPr>
          <w:color w:val="auto"/>
          <w:sz w:val="24"/>
          <w:szCs w:val="24"/>
        </w:rPr>
        <w:fldChar w:fldCharType="separate"/>
      </w:r>
      <w:r w:rsidR="001679A8">
        <w:rPr>
          <w:noProof/>
          <w:color w:val="auto"/>
          <w:sz w:val="24"/>
          <w:szCs w:val="24"/>
        </w:rPr>
        <w:t>5</w:t>
      </w:r>
      <w:r w:rsidRPr="00E91AB9">
        <w:rPr>
          <w:color w:val="auto"/>
          <w:sz w:val="24"/>
          <w:szCs w:val="24"/>
        </w:rPr>
        <w:fldChar w:fldCharType="end"/>
      </w:r>
      <w:r w:rsidRPr="00E91AB9">
        <w:rPr>
          <w:color w:val="auto"/>
          <w:sz w:val="24"/>
          <w:szCs w:val="24"/>
        </w:rPr>
        <w:t>: Organigramme de l’établissement public hospitalier (EPH Bouzidi Lakhdar)</w:t>
      </w:r>
      <w:bookmarkEnd w:id="134"/>
    </w:p>
    <w:p w14:paraId="6D534D4A" w14:textId="77777777" w:rsidR="002210A7" w:rsidRPr="00B2791F" w:rsidRDefault="002210A7" w:rsidP="00B7491C">
      <w:pPr>
        <w:tabs>
          <w:tab w:val="left" w:pos="540"/>
          <w:tab w:val="left" w:pos="1260"/>
        </w:tabs>
        <w:rPr>
          <w:rFonts w:ascii="Andalus" w:hAnsi="Andalus" w:cs="Andalus"/>
        </w:rPr>
      </w:pPr>
      <w:r w:rsidRPr="008F6638">
        <w:rPr>
          <w:rFonts w:ascii="Andalus" w:hAnsi="Andalus" w:cs="Andalus"/>
          <w:noProof/>
          <w:sz w:val="36"/>
          <w:szCs w:val="36"/>
          <w:lang w:eastAsia="fr-FR"/>
        </w:rPr>
        <mc:AlternateContent>
          <mc:Choice Requires="wps">
            <w:drawing>
              <wp:anchor distT="0" distB="0" distL="114300" distR="114300" simplePos="0" relativeHeight="251752448" behindDoc="0" locked="0" layoutInCell="1" allowOverlap="1" wp14:anchorId="092AD89B" wp14:editId="4BC462A3">
                <wp:simplePos x="0" y="0"/>
                <wp:positionH relativeFrom="column">
                  <wp:posOffset>7286625</wp:posOffset>
                </wp:positionH>
                <wp:positionV relativeFrom="paragraph">
                  <wp:posOffset>4371975</wp:posOffset>
                </wp:positionV>
                <wp:extent cx="0" cy="224155"/>
                <wp:effectExtent l="7620" t="13970" r="11430" b="9525"/>
                <wp:wrapNone/>
                <wp:docPr id="55" name="Line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41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F748213" id="Line 173"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3.75pt,344.25pt" to="573.75pt,3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09440" behindDoc="0" locked="0" layoutInCell="1" allowOverlap="1" wp14:anchorId="4808E71F" wp14:editId="18977D49">
                <wp:simplePos x="0" y="0"/>
                <wp:positionH relativeFrom="column">
                  <wp:posOffset>3556000</wp:posOffset>
                </wp:positionH>
                <wp:positionV relativeFrom="paragraph">
                  <wp:posOffset>377190</wp:posOffset>
                </wp:positionV>
                <wp:extent cx="2992755" cy="396240"/>
                <wp:effectExtent l="10795" t="10160" r="15875" b="31750"/>
                <wp:wrapNone/>
                <wp:docPr id="54" name="AutoShap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2755" cy="396240"/>
                        </a:xfrm>
                        <a:prstGeom prst="flowChartAlternateProcess">
                          <a:avLst/>
                        </a:prstGeom>
                        <a:gradFill rotWithShape="0">
                          <a:gsLst>
                            <a:gs pos="0">
                              <a:srgbClr val="92CDDC"/>
                            </a:gs>
                            <a:gs pos="50000">
                              <a:srgbClr val="DAEEF3"/>
                            </a:gs>
                            <a:gs pos="100000">
                              <a:srgbClr val="92CDDC"/>
                            </a:gs>
                          </a:gsLst>
                          <a:lin ang="189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577F91D5" w14:textId="77777777" w:rsidR="0095621A" w:rsidRPr="00E802CA" w:rsidRDefault="0095621A" w:rsidP="00B7491C">
                            <w:pPr>
                              <w:jc w:val="center"/>
                              <w:rPr>
                                <w:rFonts w:cs="Andalus"/>
                                <w:b/>
                                <w:bCs/>
                                <w:sz w:val="36"/>
                                <w:szCs w:val="36"/>
                              </w:rPr>
                            </w:pPr>
                            <w:r w:rsidRPr="00E802CA">
                              <w:rPr>
                                <w:rFonts w:cs="Andalus"/>
                                <w:b/>
                                <w:bCs/>
                                <w:sz w:val="36"/>
                                <w:szCs w:val="36"/>
                              </w:rPr>
                              <w:t>DIRECTION</w:t>
                            </w:r>
                            <w:r>
                              <w:rPr>
                                <w:rFonts w:cs="Andalus"/>
                                <w:b/>
                                <w:bCs/>
                                <w:sz w:val="36"/>
                                <w:szCs w:val="36"/>
                              </w:rPr>
                              <w:t xml:space="preserve"> GENERALE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08E71F"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31" o:spid="_x0000_s1060" type="#_x0000_t176" style="position:absolute;margin-left:280pt;margin-top:29.7pt;width:235.65pt;height:31.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" fillcolor="#92cddc" strokecolor="#92cddc" strokeweight="1pt">
                <v:fill color2="#daeef3" angle="135" focus="50%" type="gradient"/>
                <v:shadow on="t" color="#205867" opacity=".5" offset="1pt"/>
                <v:textbox>
                  <w:txbxContent>
                    <w:p w14:paraId="577F91D5" w14:textId="77777777" w:rsidR="0095621A" w:rsidRPr="00E802CA" w:rsidRDefault="0095621A" w:rsidP="00B7491C">
                      <w:pPr>
                        <w:jc w:val="center"/>
                        <w:rPr>
                          <w:rFonts w:cs="Andalus"/>
                          <w:b/>
                          <w:bCs/>
                          <w:sz w:val="36"/>
                          <w:szCs w:val="36"/>
                        </w:rPr>
                      </w:pPr>
                      <w:r w:rsidRPr="00E802CA">
                        <w:rPr>
                          <w:rFonts w:cs="Andalus"/>
                          <w:b/>
                          <w:bCs/>
                          <w:sz w:val="36"/>
                          <w:szCs w:val="36"/>
                        </w:rPr>
                        <w:t>DIRECTION</w:t>
                      </w:r>
                      <w:r>
                        <w:rPr>
                          <w:rFonts w:cs="Andalus"/>
                          <w:b/>
                          <w:bCs/>
                          <w:sz w:val="36"/>
                          <w:szCs w:val="36"/>
                        </w:rPr>
                        <w:t xml:space="preserve"> GENERALE </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6848" behindDoc="0" locked="0" layoutInCell="1" allowOverlap="1" wp14:anchorId="06AE1803" wp14:editId="5FDBF14C">
                <wp:simplePos x="0" y="0"/>
                <wp:positionH relativeFrom="column">
                  <wp:posOffset>5078730</wp:posOffset>
                </wp:positionH>
                <wp:positionV relativeFrom="paragraph">
                  <wp:posOffset>788035</wp:posOffset>
                </wp:positionV>
                <wp:extent cx="0" cy="594995"/>
                <wp:effectExtent l="66675" t="20955" r="66675" b="31750"/>
                <wp:wrapNone/>
                <wp:docPr id="53" name="Lin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94995"/>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0E9271A" id="Line 148"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9pt,62.05pt" to="399.9pt,10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" strokeweight="2.25pt">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8896" behindDoc="0" locked="0" layoutInCell="1" allowOverlap="1" wp14:anchorId="13C4D205" wp14:editId="00B9C264">
                <wp:simplePos x="0" y="0"/>
                <wp:positionH relativeFrom="column">
                  <wp:posOffset>1057275</wp:posOffset>
                </wp:positionH>
                <wp:positionV relativeFrom="paragraph">
                  <wp:posOffset>1380490</wp:posOffset>
                </wp:positionV>
                <wp:extent cx="0" cy="243840"/>
                <wp:effectExtent l="74295" t="22860" r="68580" b="28575"/>
                <wp:wrapNone/>
                <wp:docPr id="52" name="Line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384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B1ECD5" id="Line 150"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25pt,108.7pt" to="83.25pt,1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" strokeweight="2.25pt">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8592" behindDoc="0" locked="0" layoutInCell="1" allowOverlap="1" wp14:anchorId="71632F1F" wp14:editId="0513AC55">
                <wp:simplePos x="0" y="0"/>
                <wp:positionH relativeFrom="column">
                  <wp:posOffset>3373755</wp:posOffset>
                </wp:positionH>
                <wp:positionV relativeFrom="paragraph">
                  <wp:posOffset>1380490</wp:posOffset>
                </wp:positionV>
                <wp:extent cx="0" cy="243840"/>
                <wp:effectExtent l="66675" t="22860" r="66675" b="28575"/>
                <wp:wrapNone/>
                <wp:docPr id="51" name="Line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384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331E10E" id="Line 179"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65pt,108.7pt" to="265.65pt,1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" strokeweight="2.25pt">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9920" behindDoc="0" locked="0" layoutInCell="1" allowOverlap="1" wp14:anchorId="5EC6DF77" wp14:editId="0E77C6FA">
                <wp:simplePos x="0" y="0"/>
                <wp:positionH relativeFrom="column">
                  <wp:posOffset>8627745</wp:posOffset>
                </wp:positionH>
                <wp:positionV relativeFrom="paragraph">
                  <wp:posOffset>1380490</wp:posOffset>
                </wp:positionV>
                <wp:extent cx="0" cy="243840"/>
                <wp:effectExtent l="72390" t="22860" r="70485" b="28575"/>
                <wp:wrapNone/>
                <wp:docPr id="50" name="Line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384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79C63C5" id="Line 151"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9.35pt,108.7pt" to="679.35pt,1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" strokeweight="2.25pt">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9616" behindDoc="0" locked="0" layoutInCell="1" allowOverlap="1" wp14:anchorId="24192A22" wp14:editId="74720E80">
                <wp:simplePos x="0" y="0"/>
                <wp:positionH relativeFrom="column">
                  <wp:posOffset>6286500</wp:posOffset>
                </wp:positionH>
                <wp:positionV relativeFrom="paragraph">
                  <wp:posOffset>1380490</wp:posOffset>
                </wp:positionV>
                <wp:extent cx="0" cy="234315"/>
                <wp:effectExtent l="74295" t="22860" r="68580" b="28575"/>
                <wp:wrapNone/>
                <wp:docPr id="49" name="Line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5DD51FC" id="Line 180"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108.7pt" to="495pt,1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" strokeweight="2.25pt">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7872" behindDoc="0" locked="0" layoutInCell="1" allowOverlap="1" wp14:anchorId="56A32E86" wp14:editId="4D3CA56B">
                <wp:simplePos x="0" y="0"/>
                <wp:positionH relativeFrom="column">
                  <wp:posOffset>1057275</wp:posOffset>
                </wp:positionH>
                <wp:positionV relativeFrom="paragraph">
                  <wp:posOffset>1380490</wp:posOffset>
                </wp:positionV>
                <wp:extent cx="7570470" cy="0"/>
                <wp:effectExtent l="17145" t="22860" r="22860" b="15240"/>
                <wp:wrapNone/>
                <wp:docPr id="48" name="Line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7047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FF81541" id="Line 149" o:spid="_x0000_s1026" style="position:absolute;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25pt,108.7pt" to="679.35pt,10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" strokeweight="2.25pt"/>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5520" behindDoc="0" locked="0" layoutInCell="1" allowOverlap="1" wp14:anchorId="2AA2D270" wp14:editId="436FE0FD">
                <wp:simplePos x="0" y="0"/>
                <wp:positionH relativeFrom="column">
                  <wp:posOffset>3326130</wp:posOffset>
                </wp:positionH>
                <wp:positionV relativeFrom="paragraph">
                  <wp:posOffset>4034155</wp:posOffset>
                </wp:positionV>
                <wp:extent cx="0" cy="333375"/>
                <wp:effectExtent l="9525" t="9525" r="9525" b="9525"/>
                <wp:wrapNone/>
                <wp:docPr id="56" name="Line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AAA1961" id="Line 176"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9pt,317.65pt" to="261.9pt,3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17632" behindDoc="0" locked="0" layoutInCell="1" allowOverlap="1" wp14:anchorId="36171CA2" wp14:editId="2FB23AB6">
                <wp:simplePos x="0" y="0"/>
                <wp:positionH relativeFrom="column">
                  <wp:posOffset>6707505</wp:posOffset>
                </wp:positionH>
                <wp:positionV relativeFrom="paragraph">
                  <wp:posOffset>3636645</wp:posOffset>
                </wp:positionV>
                <wp:extent cx="1143000" cy="735330"/>
                <wp:effectExtent l="9525" t="12065" r="19050" b="33655"/>
                <wp:wrapNone/>
                <wp:docPr id="57" name="AutoShap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73533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75E212DE" w14:textId="77777777" w:rsidR="0095621A" w:rsidRPr="00B673D9" w:rsidRDefault="0095621A" w:rsidP="00B7491C">
                            <w:pPr>
                              <w:spacing w:before="100" w:beforeAutospacing="1" w:after="100" w:afterAutospacing="1"/>
                              <w:jc w:val="center"/>
                            </w:pPr>
                            <w:r w:rsidRPr="00B673D9">
                              <w:t xml:space="preserve">BUREAU DES INFRATS ET DES </w:t>
                            </w:r>
                            <w:r w:rsidRPr="00531F6D">
                              <w:rPr>
                                <w:sz w:val="18"/>
                                <w:szCs w:val="18"/>
                              </w:rPr>
                              <w:t>EQUIPEMENTS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171CA2" id="AutoShape 139" o:spid="_x0000_s1061" type="#_x0000_t176" style="position:absolute;margin-left:528.15pt;margin-top:286.35pt;width:90pt;height:57.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" strokecolor="#92cddc" strokeweight="1pt">
                <v:fill color2="#b6dde8" focus="100%" type="gradient"/>
                <v:shadow on="t" color="#205867" opacity=".5" offset="1pt"/>
                <v:textbox>
                  <w:txbxContent>
                    <w:p w14:paraId="75E212DE" w14:textId="77777777" w:rsidR="0095621A" w:rsidRPr="00B673D9" w:rsidRDefault="0095621A" w:rsidP="00B7491C">
                      <w:pPr>
                        <w:spacing w:before="100" w:beforeAutospacing="1" w:after="100" w:afterAutospacing="1"/>
                        <w:jc w:val="center"/>
                      </w:pPr>
                      <w:r w:rsidRPr="00B673D9">
                        <w:t xml:space="preserve">BUREAU DES INFRATS ET DES </w:t>
                      </w:r>
                      <w:r w:rsidRPr="00531F6D">
                        <w:rPr>
                          <w:sz w:val="18"/>
                          <w:szCs w:val="18"/>
                        </w:rPr>
                        <w:t>EQUIPEMENTS</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30944" behindDoc="0" locked="0" layoutInCell="1" allowOverlap="1" wp14:anchorId="63831302" wp14:editId="367D2B17">
                <wp:simplePos x="0" y="0"/>
                <wp:positionH relativeFrom="column">
                  <wp:posOffset>7353300</wp:posOffset>
                </wp:positionH>
                <wp:positionV relativeFrom="paragraph">
                  <wp:posOffset>2451100</wp:posOffset>
                </wp:positionV>
                <wp:extent cx="1748790" cy="0"/>
                <wp:effectExtent l="7620" t="7620" r="5715" b="11430"/>
                <wp:wrapNone/>
                <wp:docPr id="143" name="Line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487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BB39F71" id="Line 152" o:spid="_x0000_s1026" style="position:absolute;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9pt,193pt" to="716.7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61664" behindDoc="0" locked="0" layoutInCell="1" allowOverlap="1" wp14:anchorId="7AEAD264" wp14:editId="1D9639A5">
                <wp:simplePos x="0" y="0"/>
                <wp:positionH relativeFrom="column">
                  <wp:posOffset>9102090</wp:posOffset>
                </wp:positionH>
                <wp:positionV relativeFrom="paragraph">
                  <wp:posOffset>2451100</wp:posOffset>
                </wp:positionV>
                <wp:extent cx="0" cy="342900"/>
                <wp:effectExtent l="60960" t="7620" r="53340" b="20955"/>
                <wp:wrapNone/>
                <wp:docPr id="144" name="Lin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F9A0FC9" id="Line 182"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6.7pt,193pt" to="716.7pt,2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PfqKwIAAE0EAAAOAAAAZHJzL2Uyb0RvYy54bWysVE2P2jAQvVfqf7B8h3xso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62688" behindDoc="0" locked="0" layoutInCell="1" allowOverlap="1" wp14:anchorId="272E3766" wp14:editId="33101055">
                <wp:simplePos x="0" y="0"/>
                <wp:positionH relativeFrom="column">
                  <wp:posOffset>3985260</wp:posOffset>
                </wp:positionH>
                <wp:positionV relativeFrom="paragraph">
                  <wp:posOffset>3373120</wp:posOffset>
                </wp:positionV>
                <wp:extent cx="1255395" cy="723900"/>
                <wp:effectExtent l="40005" t="34290" r="38100" b="32385"/>
                <wp:wrapNone/>
                <wp:docPr id="145" name="AutoShap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5395" cy="723900"/>
                        </a:xfrm>
                        <a:prstGeom prst="flowChartAlternateProcess">
                          <a:avLst/>
                        </a:prstGeom>
                        <a:solidFill>
                          <a:schemeClr val="lt1">
                            <a:lumMod val="100000"/>
                            <a:lumOff val="0"/>
                          </a:schemeClr>
                        </a:solidFill>
                        <a:ln w="63500" cmpd="thickThin">
                          <a:solidFill>
                            <a:schemeClr val="accent5">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50DD2F6" w14:textId="77777777" w:rsidR="0095621A" w:rsidRPr="005C1897" w:rsidRDefault="0095621A" w:rsidP="00B7491C">
                            <w:pPr>
                              <w:spacing w:before="120"/>
                              <w:jc w:val="center"/>
                              <w:rPr>
                                <w:bCs/>
                              </w:rPr>
                            </w:pPr>
                            <w:r w:rsidRPr="00FE14D2">
                              <w:rPr>
                                <w:bCs/>
                              </w:rPr>
                              <w:t>BUREAU DES ENTREES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2E3766" id="AutoShape 183" o:spid="_x0000_s1062" type="#_x0000_t176" style="position:absolute;margin-left:313.8pt;margin-top:265.6pt;width:98.85pt;height:57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" fillcolor="white [3201]" strokecolor="#4472c4 [3208]" strokeweight="5pt">
                <v:stroke linestyle="thickThin"/>
                <v:shadow color="#868686"/>
                <v:textbox>
                  <w:txbxContent>
                    <w:p w14:paraId="150DD2F6" w14:textId="77777777" w:rsidR="0095621A" w:rsidRPr="005C1897" w:rsidRDefault="0095621A" w:rsidP="00B7491C">
                      <w:pPr>
                        <w:spacing w:before="120"/>
                        <w:jc w:val="center"/>
                        <w:rPr>
                          <w:bCs/>
                        </w:rPr>
                      </w:pPr>
                      <w:r w:rsidRPr="00FE14D2">
                        <w:rPr>
                          <w:bCs/>
                        </w:rPr>
                        <w:t>BUREAU DES ENTREES</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16608" behindDoc="0" locked="0" layoutInCell="1" allowOverlap="1" wp14:anchorId="0A4F6346" wp14:editId="22A03877">
                <wp:simplePos x="0" y="0"/>
                <wp:positionH relativeFrom="column">
                  <wp:posOffset>5345430</wp:posOffset>
                </wp:positionH>
                <wp:positionV relativeFrom="paragraph">
                  <wp:posOffset>3338830</wp:posOffset>
                </wp:positionV>
                <wp:extent cx="1257300" cy="685800"/>
                <wp:effectExtent l="9525" t="9525" r="19050" b="28575"/>
                <wp:wrapNone/>
                <wp:docPr id="146" name="AutoShap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2F171AD3" w14:textId="77777777" w:rsidR="0095621A" w:rsidRPr="00F34EEC" w:rsidRDefault="0095621A" w:rsidP="00B7491C">
                            <w:pPr>
                              <w:spacing w:before="240"/>
                              <w:ind w:left="-170" w:right="-113"/>
                              <w:jc w:val="center"/>
                              <w:rPr>
                                <w:bCs/>
                              </w:rPr>
                            </w:pPr>
                            <w:r w:rsidRPr="00F34EEC">
                              <w:rPr>
                                <w:bCs/>
                              </w:rPr>
                              <w:t>LA PREVENTION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4F6346" id="AutoShape 138" o:spid="_x0000_s1063" type="#_x0000_t176" style="position:absolute;margin-left:420.9pt;margin-top:262.9pt;width:99pt;height:5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" strokecolor="#92cddc" strokeweight="1pt">
                <v:fill color2="#b6dde8" focus="100%" type="gradient"/>
                <v:shadow on="t" color="#205867" opacity=".5" offset="1pt"/>
                <v:textbox>
                  <w:txbxContent>
                    <w:p w14:paraId="2F171AD3" w14:textId="77777777" w:rsidR="0095621A" w:rsidRPr="00F34EEC" w:rsidRDefault="0095621A" w:rsidP="00B7491C">
                      <w:pPr>
                        <w:spacing w:before="240"/>
                        <w:ind w:left="-170" w:right="-113"/>
                        <w:jc w:val="center"/>
                        <w:rPr>
                          <w:bCs/>
                        </w:rPr>
                      </w:pPr>
                      <w:r w:rsidRPr="00F34EEC">
                        <w:rPr>
                          <w:bCs/>
                        </w:rPr>
                        <w:t>LA PREVENTION</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63712" behindDoc="0" locked="0" layoutInCell="1" allowOverlap="1" wp14:anchorId="77A3045E" wp14:editId="43EB93DE">
                <wp:simplePos x="0" y="0"/>
                <wp:positionH relativeFrom="column">
                  <wp:posOffset>8467725</wp:posOffset>
                </wp:positionH>
                <wp:positionV relativeFrom="paragraph">
                  <wp:posOffset>2794000</wp:posOffset>
                </wp:positionV>
                <wp:extent cx="1257300" cy="685800"/>
                <wp:effectExtent l="7620" t="7620" r="20955" b="30480"/>
                <wp:wrapNone/>
                <wp:docPr id="147" name="AutoShape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2943A68C" w14:textId="77777777" w:rsidR="0095621A" w:rsidRDefault="0095621A" w:rsidP="00B7491C">
                            <w:pPr>
                              <w:spacing w:after="120"/>
                              <w:jc w:val="center"/>
                            </w:pPr>
                            <w:r w:rsidRPr="00922CA4">
                              <w:t xml:space="preserve">CENTRE </w:t>
                            </w:r>
                          </w:p>
                          <w:p w14:paraId="235915F6" w14:textId="77777777" w:rsidR="0095621A" w:rsidRPr="005C1897" w:rsidRDefault="0095621A" w:rsidP="00B7491C">
                            <w:pPr>
                              <w:spacing w:after="120"/>
                              <w:jc w:val="center"/>
                            </w:pPr>
                            <w:r w:rsidRPr="00922CA4">
                              <w:t>DU CALCULE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A3045E" id="AutoShape 184" o:spid="_x0000_s1064" type="#_x0000_t176" style="position:absolute;margin-left:666.75pt;margin-top:220pt;width:99pt;height:5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" strokecolor="#92cddc" strokeweight="1pt">
                <v:fill color2="#b6dde8" focus="100%" type="gradient"/>
                <v:shadow on="t" color="#205867" opacity=".5" offset="1pt"/>
                <v:textbox>
                  <w:txbxContent>
                    <w:p w14:paraId="2943A68C" w14:textId="77777777" w:rsidR="0095621A" w:rsidRDefault="0095621A" w:rsidP="00B7491C">
                      <w:pPr>
                        <w:spacing w:after="120"/>
                        <w:jc w:val="center"/>
                      </w:pPr>
                      <w:r w:rsidRPr="00922CA4">
                        <w:t xml:space="preserve">CENTRE </w:t>
                      </w:r>
                    </w:p>
                    <w:p w14:paraId="235915F6" w14:textId="77777777" w:rsidR="0095621A" w:rsidRPr="005C1897" w:rsidRDefault="0095621A" w:rsidP="00B7491C">
                      <w:pPr>
                        <w:spacing w:after="120"/>
                        <w:jc w:val="center"/>
                      </w:pPr>
                      <w:r w:rsidRPr="00922CA4">
                        <w:t>DU CALCULE</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1728" behindDoc="0" locked="0" layoutInCell="1" allowOverlap="1" wp14:anchorId="3F948018" wp14:editId="3F02E765">
                <wp:simplePos x="0" y="0"/>
                <wp:positionH relativeFrom="column">
                  <wp:posOffset>5934075</wp:posOffset>
                </wp:positionH>
                <wp:positionV relativeFrom="paragraph">
                  <wp:posOffset>2540635</wp:posOffset>
                </wp:positionV>
                <wp:extent cx="1352550" cy="751840"/>
                <wp:effectExtent l="7620" t="11430" r="20955" b="27305"/>
                <wp:wrapNone/>
                <wp:docPr id="148" name="AutoShap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75184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76E27E9F" w14:textId="77777777" w:rsidR="0095621A" w:rsidRPr="007138CE" w:rsidRDefault="0095621A" w:rsidP="00B7491C">
                            <w:pPr>
                              <w:jc w:val="center"/>
                              <w:rPr>
                                <w:sz w:val="28"/>
                                <w:szCs w:val="28"/>
                              </w:rPr>
                            </w:pPr>
                            <w:r w:rsidRPr="007138CE">
                              <w:rPr>
                                <w:sz w:val="28"/>
                                <w:szCs w:val="28"/>
                              </w:rPr>
                              <w:t>Atelier de</w:t>
                            </w:r>
                          </w:p>
                          <w:p w14:paraId="6A20A31A" w14:textId="77777777" w:rsidR="0095621A" w:rsidRPr="007138CE" w:rsidRDefault="0095621A" w:rsidP="00B7491C">
                            <w:pPr>
                              <w:jc w:val="center"/>
                              <w:rPr>
                                <w:sz w:val="28"/>
                                <w:szCs w:val="28"/>
                              </w:rPr>
                            </w:pPr>
                            <w:r w:rsidRPr="007138CE">
                              <w:rPr>
                                <w:sz w:val="28"/>
                                <w:szCs w:val="28"/>
                              </w:rPr>
                              <w:t>Maintenance</w:t>
                            </w:r>
                          </w:p>
                          <w:p w14:paraId="011E1AB4" w14:textId="77777777" w:rsidR="0095621A" w:rsidRPr="007138CE" w:rsidRDefault="0095621A" w:rsidP="00B7491C">
                            <w:pPr>
                              <w:jc w:val="center"/>
                              <w:rPr>
                                <w:sz w:val="28"/>
                                <w:szCs w:val="28"/>
                              </w:rPr>
                            </w:pPr>
                            <w:r w:rsidRPr="007138CE">
                              <w:rPr>
                                <w:sz w:val="28"/>
                                <w:szCs w:val="28"/>
                              </w:rPr>
                              <w:t>Médicale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948018" id="AutoShape 143" o:spid="_x0000_s1065" type="#_x0000_t176" style="position:absolute;margin-left:467.25pt;margin-top:200.05pt;width:106.5pt;height:59.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" strokecolor="#92cddc" strokeweight="1pt">
                <v:fill color2="#b6dde8" focus="100%" type="gradient"/>
                <v:shadow on="t" color="#205867" opacity=".5" offset="1pt"/>
                <v:textbox>
                  <w:txbxContent>
                    <w:p w14:paraId="76E27E9F" w14:textId="77777777" w:rsidR="0095621A" w:rsidRPr="007138CE" w:rsidRDefault="0095621A" w:rsidP="00B7491C">
                      <w:pPr>
                        <w:jc w:val="center"/>
                        <w:rPr>
                          <w:sz w:val="28"/>
                          <w:szCs w:val="28"/>
                        </w:rPr>
                      </w:pPr>
                      <w:r w:rsidRPr="007138CE">
                        <w:rPr>
                          <w:sz w:val="28"/>
                          <w:szCs w:val="28"/>
                        </w:rPr>
                        <w:t>Atelier de</w:t>
                      </w:r>
                    </w:p>
                    <w:p w14:paraId="6A20A31A" w14:textId="77777777" w:rsidR="0095621A" w:rsidRPr="007138CE" w:rsidRDefault="0095621A" w:rsidP="00B7491C">
                      <w:pPr>
                        <w:jc w:val="center"/>
                        <w:rPr>
                          <w:sz w:val="28"/>
                          <w:szCs w:val="28"/>
                        </w:rPr>
                      </w:pPr>
                      <w:r w:rsidRPr="007138CE">
                        <w:rPr>
                          <w:sz w:val="28"/>
                          <w:szCs w:val="28"/>
                        </w:rPr>
                        <w:t>Maintenance</w:t>
                      </w:r>
                    </w:p>
                    <w:p w14:paraId="011E1AB4" w14:textId="77777777" w:rsidR="0095621A" w:rsidRPr="007138CE" w:rsidRDefault="0095621A" w:rsidP="00B7491C">
                      <w:pPr>
                        <w:jc w:val="center"/>
                        <w:rPr>
                          <w:sz w:val="28"/>
                          <w:szCs w:val="28"/>
                        </w:rPr>
                      </w:pPr>
                      <w:r w:rsidRPr="007138CE">
                        <w:rPr>
                          <w:sz w:val="28"/>
                          <w:szCs w:val="28"/>
                        </w:rPr>
                        <w:t>Médicale</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15584" behindDoc="0" locked="0" layoutInCell="1" allowOverlap="1" wp14:anchorId="6D73DCE3" wp14:editId="10EDF072">
                <wp:simplePos x="0" y="0"/>
                <wp:positionH relativeFrom="column">
                  <wp:posOffset>2695575</wp:posOffset>
                </wp:positionH>
                <wp:positionV relativeFrom="paragraph">
                  <wp:posOffset>3338830</wp:posOffset>
                </wp:positionV>
                <wp:extent cx="1183005" cy="685800"/>
                <wp:effectExtent l="7620" t="9525" r="19050" b="28575"/>
                <wp:wrapNone/>
                <wp:docPr id="149" name="AutoShap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3005"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7137612E" w14:textId="77777777" w:rsidR="0095621A" w:rsidRPr="007829B1" w:rsidRDefault="0095621A" w:rsidP="00B7491C">
                            <w:pPr>
                              <w:spacing w:before="120"/>
                              <w:jc w:val="center"/>
                            </w:pPr>
                            <w:r w:rsidRPr="007829B1">
                              <w:t>BUREAU DES ACTIVITES SANITAIRES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3DCE3" id="AutoShape 137" o:spid="_x0000_s1066" type="#_x0000_t176" style="position:absolute;margin-left:212.25pt;margin-top:262.9pt;width:93.15pt;height:5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" strokecolor="#92cddc" strokeweight="1pt">
                <v:fill color2="#b6dde8" focus="100%" type="gradient"/>
                <v:shadow on="t" color="#205867" opacity=".5" offset="1pt"/>
                <v:textbox>
                  <w:txbxContent>
                    <w:p w14:paraId="7137612E" w14:textId="77777777" w:rsidR="0095621A" w:rsidRPr="007829B1" w:rsidRDefault="0095621A" w:rsidP="00B7491C">
                      <w:pPr>
                        <w:spacing w:before="120"/>
                        <w:jc w:val="center"/>
                      </w:pPr>
                      <w:r w:rsidRPr="007829B1">
                        <w:t>BUREAU DES ACTIVITES SANITAIRES</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1424" behindDoc="0" locked="0" layoutInCell="1" allowOverlap="1" wp14:anchorId="132E022F" wp14:editId="67168476">
                <wp:simplePos x="0" y="0"/>
                <wp:positionH relativeFrom="column">
                  <wp:posOffset>8229600</wp:posOffset>
                </wp:positionH>
                <wp:positionV relativeFrom="paragraph">
                  <wp:posOffset>4034155</wp:posOffset>
                </wp:positionV>
                <wp:extent cx="0" cy="1143000"/>
                <wp:effectExtent l="55245" t="9525" r="59055" b="19050"/>
                <wp:wrapNone/>
                <wp:docPr id="150" name="Line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037B806" id="Line 172"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in,317.65pt" to="9in,40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0400" behindDoc="0" locked="0" layoutInCell="1" allowOverlap="1" wp14:anchorId="65E49654" wp14:editId="0D681133">
                <wp:simplePos x="0" y="0"/>
                <wp:positionH relativeFrom="column">
                  <wp:posOffset>9486900</wp:posOffset>
                </wp:positionH>
                <wp:positionV relativeFrom="paragraph">
                  <wp:posOffset>4824730</wp:posOffset>
                </wp:positionV>
                <wp:extent cx="0" cy="342900"/>
                <wp:effectExtent l="55245" t="9525" r="59055" b="19050"/>
                <wp:wrapNone/>
                <wp:docPr id="151" name="Line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9F09877" id="Line 171"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7pt,379.9pt" to="747pt,4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3472" behindDoc="0" locked="0" layoutInCell="1" allowOverlap="1" wp14:anchorId="6C688E97" wp14:editId="0233387C">
                <wp:simplePos x="0" y="0"/>
                <wp:positionH relativeFrom="column">
                  <wp:posOffset>4457700</wp:posOffset>
                </wp:positionH>
                <wp:positionV relativeFrom="paragraph">
                  <wp:posOffset>4596130</wp:posOffset>
                </wp:positionV>
                <wp:extent cx="2828925" cy="0"/>
                <wp:effectExtent l="7620" t="9525" r="11430" b="9525"/>
                <wp:wrapNone/>
                <wp:docPr id="152" name="Line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289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85DBE66" id="Line 174" o:spid="_x0000_s1026" style="position:absolute;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361.9pt" to="573.75pt,3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6544" behindDoc="0" locked="0" layoutInCell="1" allowOverlap="1" wp14:anchorId="020AA9D1" wp14:editId="6E217651">
                <wp:simplePos x="0" y="0"/>
                <wp:positionH relativeFrom="column">
                  <wp:posOffset>7938135</wp:posOffset>
                </wp:positionH>
                <wp:positionV relativeFrom="paragraph">
                  <wp:posOffset>3632200</wp:posOffset>
                </wp:positionV>
                <wp:extent cx="1163955" cy="685800"/>
                <wp:effectExtent l="11430" t="7620" r="15240" b="30480"/>
                <wp:wrapNone/>
                <wp:docPr id="153" name="AutoShap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3955"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6861BFF1" w14:textId="77777777" w:rsidR="0095621A" w:rsidRPr="00B673D9" w:rsidRDefault="0095621A" w:rsidP="00B7491C">
                            <w:pPr>
                              <w:spacing w:before="120"/>
                              <w:jc w:val="center"/>
                            </w:pPr>
                            <w:r w:rsidRPr="00B673D9">
                              <w:t>BUREAU DE L’ECONOMAT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A9D1" id="AutoShape 177" o:spid="_x0000_s1067" type="#_x0000_t176" style="position:absolute;margin-left:625.05pt;margin-top:286pt;width:91.65pt;height:5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" strokecolor="#92cddc" strokeweight="1pt">
                <v:fill color2="#b6dde8" focus="100%" type="gradient"/>
                <v:shadow on="t" color="#205867" opacity=".5" offset="1pt"/>
                <v:textbox>
                  <w:txbxContent>
                    <w:p w14:paraId="6861BFF1" w14:textId="77777777" w:rsidR="0095621A" w:rsidRPr="00B673D9" w:rsidRDefault="0095621A" w:rsidP="00B7491C">
                      <w:pPr>
                        <w:spacing w:before="120"/>
                        <w:jc w:val="center"/>
                      </w:pPr>
                      <w:r w:rsidRPr="00B673D9">
                        <w:t>BUREAU DE L’ECONOMAT</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32992" behindDoc="0" locked="0" layoutInCell="1" allowOverlap="1" wp14:anchorId="14C4E587" wp14:editId="60A631CD">
                <wp:simplePos x="0" y="0"/>
                <wp:positionH relativeFrom="column">
                  <wp:posOffset>7353300</wp:posOffset>
                </wp:positionH>
                <wp:positionV relativeFrom="paragraph">
                  <wp:posOffset>2451100</wp:posOffset>
                </wp:positionV>
                <wp:extent cx="0" cy="1181100"/>
                <wp:effectExtent l="55245" t="7620" r="59055" b="20955"/>
                <wp:wrapNone/>
                <wp:docPr id="154" name="Line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1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490B822" id="Line 154"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9pt,193pt" to="579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2208" behindDoc="0" locked="0" layoutInCell="1" allowOverlap="1" wp14:anchorId="62D1636E" wp14:editId="15E06AA0">
                <wp:simplePos x="0" y="0"/>
                <wp:positionH relativeFrom="column">
                  <wp:posOffset>1924050</wp:posOffset>
                </wp:positionH>
                <wp:positionV relativeFrom="paragraph">
                  <wp:posOffset>4367530</wp:posOffset>
                </wp:positionV>
                <wp:extent cx="1402080" cy="0"/>
                <wp:effectExtent l="7620" t="9525" r="9525" b="9525"/>
                <wp:wrapNone/>
                <wp:docPr id="155" name="Line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20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AEC0110" id="Line 163" o:spid="_x0000_s1026" style="position:absolute;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5pt,343.9pt" to="261.9pt,3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VwNHAIAADY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5280" behindDoc="0" locked="0" layoutInCell="1" allowOverlap="1" wp14:anchorId="5D6732AC" wp14:editId="5B0FD350">
                <wp:simplePos x="0" y="0"/>
                <wp:positionH relativeFrom="column">
                  <wp:posOffset>2495550</wp:posOffset>
                </wp:positionH>
                <wp:positionV relativeFrom="paragraph">
                  <wp:posOffset>4596130</wp:posOffset>
                </wp:positionV>
                <wp:extent cx="0" cy="571500"/>
                <wp:effectExtent l="55245" t="9525" r="59055" b="19050"/>
                <wp:wrapNone/>
                <wp:docPr id="156" name="Lin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D0494EC" id="Line 166"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6.5pt,361.9pt" to="196.5pt,4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1QKKwIAAE0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4256" behindDoc="0" locked="0" layoutInCell="1" allowOverlap="1" wp14:anchorId="092A944F" wp14:editId="418851EC">
                <wp:simplePos x="0" y="0"/>
                <wp:positionH relativeFrom="column">
                  <wp:posOffset>1352550</wp:posOffset>
                </wp:positionH>
                <wp:positionV relativeFrom="paragraph">
                  <wp:posOffset>4596130</wp:posOffset>
                </wp:positionV>
                <wp:extent cx="1143000" cy="0"/>
                <wp:effectExtent l="7620" t="9525" r="11430" b="9525"/>
                <wp:wrapNone/>
                <wp:docPr id="157" name="Line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7573DBB" id="Line 165" o:spid="_x0000_s1026" style="position:absolute;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5pt,361.9pt" to="196.5pt,3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3232" behindDoc="0" locked="0" layoutInCell="1" allowOverlap="1" wp14:anchorId="25BB9F8E" wp14:editId="29E4D5BE">
                <wp:simplePos x="0" y="0"/>
                <wp:positionH relativeFrom="column">
                  <wp:posOffset>1924050</wp:posOffset>
                </wp:positionH>
                <wp:positionV relativeFrom="paragraph">
                  <wp:posOffset>4367530</wp:posOffset>
                </wp:positionV>
                <wp:extent cx="0" cy="228600"/>
                <wp:effectExtent l="7620" t="9525" r="11430" b="9525"/>
                <wp:wrapNone/>
                <wp:docPr id="158" name="Lin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009F0F" id="Line 164"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5pt,343.9pt" to="151.5pt,3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6304" behindDoc="0" locked="0" layoutInCell="1" allowOverlap="1" wp14:anchorId="4AE8949E" wp14:editId="579A4CE3">
                <wp:simplePos x="0" y="0"/>
                <wp:positionH relativeFrom="column">
                  <wp:posOffset>1352550</wp:posOffset>
                </wp:positionH>
                <wp:positionV relativeFrom="paragraph">
                  <wp:posOffset>4596130</wp:posOffset>
                </wp:positionV>
                <wp:extent cx="0" cy="571500"/>
                <wp:effectExtent l="55245" t="9525" r="59055" b="19050"/>
                <wp:wrapNone/>
                <wp:docPr id="159" name="Line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EEDCF5" id="Line 167"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5pt,361.9pt" to="106.5pt,4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BAFKwIAAE0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0704" behindDoc="0" locked="0" layoutInCell="1" allowOverlap="1" wp14:anchorId="558471FC" wp14:editId="5515C25D">
                <wp:simplePos x="0" y="0"/>
                <wp:positionH relativeFrom="column">
                  <wp:posOffset>3600450</wp:posOffset>
                </wp:positionH>
                <wp:positionV relativeFrom="paragraph">
                  <wp:posOffset>5167630</wp:posOffset>
                </wp:positionV>
                <wp:extent cx="1143000" cy="685800"/>
                <wp:effectExtent l="7620" t="9525" r="20955" b="28575"/>
                <wp:wrapNone/>
                <wp:docPr id="160" name="AutoShap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2D00C584" w14:textId="77777777" w:rsidR="0095621A" w:rsidRPr="006B3722" w:rsidRDefault="0095621A" w:rsidP="00433756">
                            <w:pPr>
                              <w:spacing w:before="120" w:line="240" w:lineRule="auto"/>
                              <w:jc w:val="center"/>
                              <w:rPr>
                                <w:sz w:val="28"/>
                                <w:szCs w:val="28"/>
                              </w:rPr>
                            </w:pPr>
                            <w:r w:rsidRPr="006B3722">
                              <w:rPr>
                                <w:sz w:val="28"/>
                                <w:szCs w:val="28"/>
                              </w:rPr>
                              <w:t>Atelier de L’entretien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8471FC" id="AutoShape 142" o:spid="_x0000_s1068" type="#_x0000_t176" style="position:absolute;margin-left:283.5pt;margin-top:406.9pt;width:90pt;height:5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" strokecolor="#92cddc" strokeweight="1pt">
                <v:fill color2="#b6dde8" focus="100%" type="gradient"/>
                <v:shadow on="t" color="#205867" opacity=".5" offset="1pt"/>
                <v:textbox>
                  <w:txbxContent>
                    <w:p w14:paraId="2D00C584" w14:textId="77777777" w:rsidR="0095621A" w:rsidRPr="006B3722" w:rsidRDefault="0095621A" w:rsidP="00433756">
                      <w:pPr>
                        <w:spacing w:before="120" w:line="240" w:lineRule="auto"/>
                        <w:jc w:val="center"/>
                        <w:rPr>
                          <w:sz w:val="28"/>
                          <w:szCs w:val="28"/>
                        </w:rPr>
                      </w:pPr>
                      <w:r w:rsidRPr="006B3722">
                        <w:rPr>
                          <w:sz w:val="28"/>
                          <w:szCs w:val="28"/>
                        </w:rPr>
                        <w:t>Atelier de L’entretien</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35040" behindDoc="0" locked="0" layoutInCell="1" allowOverlap="1" wp14:anchorId="74922BD2" wp14:editId="26A7FFD1">
                <wp:simplePos x="0" y="0"/>
                <wp:positionH relativeFrom="column">
                  <wp:posOffset>3373755</wp:posOffset>
                </wp:positionH>
                <wp:positionV relativeFrom="paragraph">
                  <wp:posOffset>2767330</wp:posOffset>
                </wp:positionV>
                <wp:extent cx="2400300" cy="0"/>
                <wp:effectExtent l="9525" t="9525" r="9525" b="9525"/>
                <wp:wrapNone/>
                <wp:docPr id="164" name="Line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00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8B7DB55" id="Line 156" o:spid="_x0000_s1026" style="position:absolute;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65pt,217.9pt" to="454.65pt,2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iEDHAIAADY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"/>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37088" behindDoc="0" locked="0" layoutInCell="1" allowOverlap="1" wp14:anchorId="160DB764" wp14:editId="27412F3A">
                <wp:simplePos x="0" y="0"/>
                <wp:positionH relativeFrom="column">
                  <wp:posOffset>3373755</wp:posOffset>
                </wp:positionH>
                <wp:positionV relativeFrom="paragraph">
                  <wp:posOffset>2767330</wp:posOffset>
                </wp:positionV>
                <wp:extent cx="0" cy="571500"/>
                <wp:effectExtent l="57150" t="9525" r="57150" b="19050"/>
                <wp:wrapNone/>
                <wp:docPr id="165" name="Lin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4BB1EAD" id="Line 158"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65pt,217.9pt" to="265.65pt,2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FyLKgIAAE0EAAAOAAAAZHJzL2Uyb0RvYy54bWysVMGO2jAQvVfqP1i+QxJK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36064" behindDoc="0" locked="0" layoutInCell="1" allowOverlap="1" wp14:anchorId="0ABD8AE2" wp14:editId="2485A62B">
                <wp:simplePos x="0" y="0"/>
                <wp:positionH relativeFrom="column">
                  <wp:posOffset>5774055</wp:posOffset>
                </wp:positionH>
                <wp:positionV relativeFrom="paragraph">
                  <wp:posOffset>2767330</wp:posOffset>
                </wp:positionV>
                <wp:extent cx="0" cy="571500"/>
                <wp:effectExtent l="57150" t="9525" r="57150" b="19050"/>
                <wp:wrapNone/>
                <wp:docPr id="166" name="Line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C6B545E" id="Line 157"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65pt,217.9pt" to="454.65pt,2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OIKwIAAE0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14560" behindDoc="0" locked="0" layoutInCell="1" allowOverlap="1" wp14:anchorId="36447D96" wp14:editId="7C92C5A5">
                <wp:simplePos x="0" y="0"/>
                <wp:positionH relativeFrom="column">
                  <wp:posOffset>1466850</wp:posOffset>
                </wp:positionH>
                <wp:positionV relativeFrom="paragraph">
                  <wp:posOffset>3338830</wp:posOffset>
                </wp:positionV>
                <wp:extent cx="1143000" cy="685800"/>
                <wp:effectExtent l="7620" t="9525" r="20955" b="28575"/>
                <wp:wrapNone/>
                <wp:docPr id="167" name="AutoShap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32102CC0" w14:textId="77777777" w:rsidR="0095621A" w:rsidRPr="007829B1" w:rsidRDefault="0095621A" w:rsidP="00B7491C">
                            <w:pPr>
                              <w:spacing w:before="120"/>
                              <w:jc w:val="center"/>
                            </w:pPr>
                            <w:r w:rsidRPr="007829B1">
                              <w:t>BUREAU DE GESTION DU BUDGET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447D96" id="AutoShape 136" o:spid="_x0000_s1069" type="#_x0000_t176" style="position:absolute;margin-left:115.5pt;margin-top:262.9pt;width:90pt;height:5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" strokecolor="#92cddc" strokeweight="1pt">
                <v:fill color2="#b6dde8" focus="100%" type="gradient"/>
                <v:shadow on="t" color="#205867" opacity=".5" offset="1pt"/>
                <v:textbox>
                  <w:txbxContent>
                    <w:p w14:paraId="32102CC0" w14:textId="77777777" w:rsidR="0095621A" w:rsidRPr="007829B1" w:rsidRDefault="0095621A" w:rsidP="00B7491C">
                      <w:pPr>
                        <w:spacing w:before="120"/>
                        <w:jc w:val="center"/>
                      </w:pPr>
                      <w:r w:rsidRPr="007829B1">
                        <w:t>BUREAU DE GESTION DU BUDGET</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13536" behindDoc="0" locked="0" layoutInCell="1" allowOverlap="1" wp14:anchorId="25B54933" wp14:editId="36C5DF8D">
                <wp:simplePos x="0" y="0"/>
                <wp:positionH relativeFrom="column">
                  <wp:posOffset>114300</wp:posOffset>
                </wp:positionH>
                <wp:positionV relativeFrom="paragraph">
                  <wp:posOffset>3338830</wp:posOffset>
                </wp:positionV>
                <wp:extent cx="1257300" cy="685800"/>
                <wp:effectExtent l="7620" t="9525" r="20955" b="28575"/>
                <wp:wrapNone/>
                <wp:docPr id="168" name="AutoShap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5F74C9E2" w14:textId="77777777" w:rsidR="0095621A" w:rsidRPr="00B673D9" w:rsidRDefault="0095621A" w:rsidP="00B7491C">
                            <w:pPr>
                              <w:spacing w:before="120"/>
                              <w:jc w:val="center"/>
                              <w:rPr>
                                <w:sz w:val="20"/>
                                <w:szCs w:val="20"/>
                              </w:rPr>
                            </w:pPr>
                            <w:r w:rsidRPr="00B673D9">
                              <w:rPr>
                                <w:sz w:val="20"/>
                                <w:szCs w:val="20"/>
                              </w:rPr>
                              <w:t>BUREAU DE GESTION DES RESSOURCES 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B54933" id="AutoShape 135" o:spid="_x0000_s1070" type="#_x0000_t176" style="position:absolute;margin-left:9pt;margin-top:262.9pt;width:99pt;height:5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" strokecolor="#92cddc" strokeweight="1pt">
                <v:fill color2="#b6dde8" focus="100%" type="gradient"/>
                <v:shadow on="t" color="#205867" opacity=".5" offset="1pt"/>
                <v:textbox>
                  <w:txbxContent>
                    <w:p w14:paraId="5F74C9E2" w14:textId="77777777" w:rsidR="0095621A" w:rsidRPr="00B673D9" w:rsidRDefault="0095621A" w:rsidP="00B7491C">
                      <w:pPr>
                        <w:spacing w:before="120"/>
                        <w:jc w:val="center"/>
                        <w:rPr>
                          <w:sz w:val="20"/>
                          <w:szCs w:val="20"/>
                        </w:rPr>
                      </w:pPr>
                      <w:r w:rsidRPr="00B673D9">
                        <w:rPr>
                          <w:sz w:val="20"/>
                          <w:szCs w:val="20"/>
                        </w:rPr>
                        <w:t>BUREAU DE GESTION DES RESSOURCES H</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54496" behindDoc="0" locked="0" layoutInCell="1" allowOverlap="1" wp14:anchorId="601DFCA3" wp14:editId="7971DFF0">
                <wp:simplePos x="0" y="0"/>
                <wp:positionH relativeFrom="column">
                  <wp:posOffset>4457700</wp:posOffset>
                </wp:positionH>
                <wp:positionV relativeFrom="paragraph">
                  <wp:posOffset>4596130</wp:posOffset>
                </wp:positionV>
                <wp:extent cx="0" cy="571500"/>
                <wp:effectExtent l="55245" t="9525" r="59055" b="19050"/>
                <wp:wrapNone/>
                <wp:docPr id="169" name="Line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EC9766" id="Line 175"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361.9pt" to="351pt,4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9376" behindDoc="0" locked="0" layoutInCell="1" allowOverlap="1" wp14:anchorId="20A8FB84" wp14:editId="0DC5BE37">
                <wp:simplePos x="0" y="0"/>
                <wp:positionH relativeFrom="column">
                  <wp:posOffset>6972300</wp:posOffset>
                </wp:positionH>
                <wp:positionV relativeFrom="paragraph">
                  <wp:posOffset>4824730</wp:posOffset>
                </wp:positionV>
                <wp:extent cx="0" cy="342900"/>
                <wp:effectExtent l="55245" t="9525" r="59055" b="19050"/>
                <wp:wrapNone/>
                <wp:docPr id="170" name="Line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083D7F0" id="Line 170"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9pt,379.9pt" to="549pt,4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8352" behindDoc="0" locked="0" layoutInCell="1" allowOverlap="1" wp14:anchorId="761EED7D" wp14:editId="1B89C661">
                <wp:simplePos x="0" y="0"/>
                <wp:positionH relativeFrom="column">
                  <wp:posOffset>5715000</wp:posOffset>
                </wp:positionH>
                <wp:positionV relativeFrom="paragraph">
                  <wp:posOffset>4824730</wp:posOffset>
                </wp:positionV>
                <wp:extent cx="0" cy="342900"/>
                <wp:effectExtent l="55245" t="9525" r="59055" b="19050"/>
                <wp:wrapNone/>
                <wp:docPr id="171" name="Lin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BCB645E" id="Line 169"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379.9pt" to="450pt,4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">
                <v:stroke endarrow="block"/>
              </v:lin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47328" behindDoc="0" locked="0" layoutInCell="1" allowOverlap="1" wp14:anchorId="0F8C355B" wp14:editId="10E7ADCB">
                <wp:simplePos x="0" y="0"/>
                <wp:positionH relativeFrom="column">
                  <wp:posOffset>5715000</wp:posOffset>
                </wp:positionH>
                <wp:positionV relativeFrom="paragraph">
                  <wp:posOffset>4824730</wp:posOffset>
                </wp:positionV>
                <wp:extent cx="3771900" cy="0"/>
                <wp:effectExtent l="7620" t="9525" r="11430" b="9525"/>
                <wp:wrapNone/>
                <wp:docPr id="172" name="Lin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71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540001D" id="Line 168" o:spid="_x0000_s1026" style="position:absolute;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379.9pt" to="747pt,37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"/>
            </w:pict>
          </mc:Fallback>
        </mc:AlternateContent>
      </w:r>
      <w:r w:rsidR="001F5008" w:rsidRPr="008F6638">
        <w:rPr>
          <w:rFonts w:ascii="Andalus" w:hAnsi="Andalus" w:cs="Andalus"/>
          <w:noProof/>
          <w:sz w:val="36"/>
          <w:szCs w:val="36"/>
          <w:lang w:eastAsia="fr-FR"/>
        </w:rPr>
        <mc:AlternateContent>
          <mc:Choice Requires="wps">
            <w:drawing>
              <wp:anchor distT="0" distB="0" distL="114300" distR="114300" simplePos="0" relativeHeight="251741184" behindDoc="0" locked="0" layoutInCell="1" allowOverlap="1" wp14:anchorId="2302EE09" wp14:editId="427285F8">
                <wp:simplePos x="0" y="0"/>
                <wp:positionH relativeFrom="column">
                  <wp:posOffset>914400</wp:posOffset>
                </wp:positionH>
                <wp:positionV relativeFrom="paragraph">
                  <wp:posOffset>2767330</wp:posOffset>
                </wp:positionV>
                <wp:extent cx="0" cy="571500"/>
                <wp:effectExtent l="55245" t="9525" r="59055" b="19050"/>
                <wp:wrapNone/>
                <wp:docPr id="58" name="Lin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F219C2" id="Line 162"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217.9pt" to="1in,2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mniKgIAAEw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">
                <v:stroke endarrow="block"/>
              </v:line>
            </w:pict>
          </mc:Fallback>
        </mc:AlternateContent>
      </w:r>
      <w:r w:rsidR="001F5008" w:rsidRPr="008F6638">
        <w:rPr>
          <w:rFonts w:ascii="Andalus" w:hAnsi="Andalus" w:cs="Andalus"/>
          <w:noProof/>
          <w:sz w:val="36"/>
          <w:szCs w:val="36"/>
          <w:lang w:eastAsia="fr-FR"/>
        </w:rPr>
        <mc:AlternateContent>
          <mc:Choice Requires="wps">
            <w:drawing>
              <wp:anchor distT="0" distB="0" distL="114300" distR="114300" simplePos="0" relativeHeight="251740160" behindDoc="0" locked="0" layoutInCell="1" allowOverlap="1" wp14:anchorId="3E8A457F" wp14:editId="59990123">
                <wp:simplePos x="0" y="0"/>
                <wp:positionH relativeFrom="column">
                  <wp:posOffset>1919176</wp:posOffset>
                </wp:positionH>
                <wp:positionV relativeFrom="paragraph">
                  <wp:posOffset>97347</wp:posOffset>
                </wp:positionV>
                <wp:extent cx="0" cy="571500"/>
                <wp:effectExtent l="55245" t="9525" r="59055" b="19050"/>
                <wp:wrapNone/>
                <wp:docPr id="59" name="Line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3D6A5D6" id="Line 161"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1pt,7.65pt" to="151.1pt,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">
                <v:stroke endarrow="block"/>
              </v:line>
            </w:pict>
          </mc:Fallback>
        </mc:AlternateContent>
      </w:r>
      <w:r w:rsidRPr="00B2791F">
        <w:rPr>
          <w:rFonts w:ascii="Andalus" w:hAnsi="Andalus" w:cs="Andalus"/>
          <w:b/>
          <w:bCs/>
        </w:rPr>
        <w:t>Source : Document interne de l’EPH Bouzidi Lakhdar.</w:t>
      </w:r>
    </w:p>
    <w:p w14:paraId="1E71C197" w14:textId="77777777" w:rsidR="002210A7" w:rsidRPr="008F6638" w:rsidRDefault="002210A7" w:rsidP="00B7491C">
      <w:pPr>
        <w:tabs>
          <w:tab w:val="left" w:pos="540"/>
          <w:tab w:val="left" w:pos="1260"/>
        </w:tabs>
        <w:rPr>
          <w:rFonts w:ascii="Andalus" w:hAnsi="Andalus" w:cs="Andalus"/>
          <w:sz w:val="36"/>
          <w:szCs w:val="36"/>
        </w:rPr>
      </w:pPr>
    </w:p>
    <w:p w14:paraId="0D1C7335" w14:textId="77777777" w:rsidR="002210A7" w:rsidRDefault="002210A7" w:rsidP="00B7491C">
      <w:pPr>
        <w:spacing w:line="240" w:lineRule="auto"/>
        <w:ind w:left="-142"/>
        <w:rPr>
          <w:rFonts w:asciiTheme="majorBidi" w:hAnsiTheme="majorBidi" w:cstheme="majorBidi"/>
          <w:szCs w:val="24"/>
        </w:rPr>
      </w:pPr>
    </w:p>
    <w:p w14:paraId="177C7852" w14:textId="77777777" w:rsidR="002210A7" w:rsidRDefault="002210A7" w:rsidP="00B7491C">
      <w:pPr>
        <w:spacing w:line="240" w:lineRule="auto"/>
        <w:ind w:left="-142"/>
        <w:rPr>
          <w:rFonts w:asciiTheme="majorBidi" w:hAnsiTheme="majorBidi" w:cstheme="majorBidi"/>
          <w:szCs w:val="24"/>
        </w:rPr>
      </w:pPr>
    </w:p>
    <w:p w14:paraId="1D20A0E2" w14:textId="77777777" w:rsidR="002210A7" w:rsidRDefault="004C19B1" w:rsidP="00B7491C">
      <w:pPr>
        <w:spacing w:line="240" w:lineRule="auto"/>
        <w:ind w:left="-142"/>
        <w:rPr>
          <w:rFonts w:asciiTheme="majorBidi" w:hAnsiTheme="majorBidi" w:cstheme="majorBidi"/>
          <w:szCs w:val="24"/>
        </w:rPr>
      </w:pPr>
      <w:r>
        <w:rPr>
          <w:rFonts w:ascii="Andalus" w:hAnsi="Andalus" w:cs="Andalus"/>
          <w:b/>
          <w:bCs/>
          <w:noProof/>
          <w:sz w:val="36"/>
          <w:szCs w:val="36"/>
          <w:u w:val="single"/>
          <w:lang w:eastAsia="fr-FR"/>
        </w:rPr>
        <mc:AlternateContent>
          <mc:Choice Requires="wps">
            <w:drawing>
              <wp:anchor distT="0" distB="0" distL="114300" distR="114300" simplePos="0" relativeHeight="251757568" behindDoc="0" locked="0" layoutInCell="1" allowOverlap="1" wp14:anchorId="5DCD7A0C" wp14:editId="2ED01280">
                <wp:simplePos x="0" y="0"/>
                <wp:positionH relativeFrom="column">
                  <wp:posOffset>7748270</wp:posOffset>
                </wp:positionH>
                <wp:positionV relativeFrom="paragraph">
                  <wp:posOffset>20955</wp:posOffset>
                </wp:positionV>
                <wp:extent cx="1818005" cy="685800"/>
                <wp:effectExtent l="12065" t="9525" r="8255" b="28575"/>
                <wp:wrapNone/>
                <wp:docPr id="174" name="Rectangle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8005" cy="68580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12ADD55C" w14:textId="77777777" w:rsidR="0095621A" w:rsidRPr="0010159B" w:rsidRDefault="0095621A" w:rsidP="00B7491C">
                            <w:pPr>
                              <w:spacing w:after="0"/>
                              <w:jc w:val="center"/>
                              <w:rPr>
                                <w:b/>
                                <w:bCs/>
                                <w:szCs w:val="24"/>
                              </w:rPr>
                            </w:pPr>
                            <w:r w:rsidRPr="0010159B">
                              <w:rPr>
                                <w:b/>
                                <w:bCs/>
                                <w:szCs w:val="24"/>
                              </w:rPr>
                              <w:t xml:space="preserve">SOUS DIRECTION </w:t>
                            </w:r>
                          </w:p>
                          <w:p w14:paraId="31DEED69" w14:textId="77777777" w:rsidR="0095621A" w:rsidRPr="0010159B" w:rsidRDefault="0095621A" w:rsidP="00B7491C">
                            <w:pPr>
                              <w:spacing w:after="0"/>
                              <w:jc w:val="center"/>
                              <w:rPr>
                                <w:b/>
                                <w:bCs/>
                                <w:szCs w:val="24"/>
                              </w:rPr>
                            </w:pPr>
                            <w:r w:rsidRPr="0010159B">
                              <w:rPr>
                                <w:b/>
                                <w:bCs/>
                                <w:szCs w:val="24"/>
                              </w:rPr>
                              <w:t>DES FINANCES</w:t>
                            </w:r>
                          </w:p>
                          <w:p w14:paraId="50469775" w14:textId="77777777" w:rsidR="0095621A" w:rsidRPr="0010159B" w:rsidRDefault="0095621A" w:rsidP="00B7491C">
                            <w:pPr>
                              <w:spacing w:after="0"/>
                              <w:jc w:val="center"/>
                              <w:rPr>
                                <w:b/>
                                <w:bCs/>
                                <w:szCs w:val="24"/>
                              </w:rPr>
                            </w:pPr>
                            <w:r w:rsidRPr="0010159B">
                              <w:rPr>
                                <w:b/>
                                <w:bCs/>
                                <w:szCs w:val="24"/>
                              </w:rPr>
                              <w:t xml:space="preserve"> ET MOYENNE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D7A0C" id="Rectangle 178" o:spid="_x0000_s1071" style="position:absolute;left:0;text-align:left;margin-left:610.1pt;margin-top:1.65pt;width:143.15pt;height:5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" strokecolor="#92cddc" strokeweight="1pt">
                <v:fill color2="#b6dde8" focus="100%" type="gradient"/>
                <v:shadow on="t" color="#205867" opacity=".5" offset="1pt"/>
                <v:textbox>
                  <w:txbxContent>
                    <w:p w14:paraId="12ADD55C" w14:textId="77777777" w:rsidR="0095621A" w:rsidRPr="0010159B" w:rsidRDefault="0095621A" w:rsidP="00B7491C">
                      <w:pPr>
                        <w:spacing w:after="0"/>
                        <w:jc w:val="center"/>
                        <w:rPr>
                          <w:b/>
                          <w:bCs/>
                          <w:szCs w:val="24"/>
                        </w:rPr>
                      </w:pPr>
                      <w:r w:rsidRPr="0010159B">
                        <w:rPr>
                          <w:b/>
                          <w:bCs/>
                          <w:szCs w:val="24"/>
                        </w:rPr>
                        <w:t xml:space="preserve">SOUS DIRECTION </w:t>
                      </w:r>
                    </w:p>
                    <w:p w14:paraId="31DEED69" w14:textId="77777777" w:rsidR="0095621A" w:rsidRPr="0010159B" w:rsidRDefault="0095621A" w:rsidP="00B7491C">
                      <w:pPr>
                        <w:spacing w:after="0"/>
                        <w:jc w:val="center"/>
                        <w:rPr>
                          <w:b/>
                          <w:bCs/>
                          <w:szCs w:val="24"/>
                        </w:rPr>
                      </w:pPr>
                      <w:r w:rsidRPr="0010159B">
                        <w:rPr>
                          <w:b/>
                          <w:bCs/>
                          <w:szCs w:val="24"/>
                        </w:rPr>
                        <w:t>DES FINANCES</w:t>
                      </w:r>
                    </w:p>
                    <w:p w14:paraId="50469775" w14:textId="77777777" w:rsidR="0095621A" w:rsidRPr="0010159B" w:rsidRDefault="0095621A" w:rsidP="00B7491C">
                      <w:pPr>
                        <w:spacing w:after="0"/>
                        <w:jc w:val="center"/>
                        <w:rPr>
                          <w:b/>
                          <w:bCs/>
                          <w:szCs w:val="24"/>
                        </w:rPr>
                      </w:pPr>
                      <w:r w:rsidRPr="0010159B">
                        <w:rPr>
                          <w:b/>
                          <w:bCs/>
                          <w:szCs w:val="24"/>
                        </w:rPr>
                        <w:t xml:space="preserve"> ET MOYENNE</w:t>
                      </w:r>
                    </w:p>
                  </w:txbxContent>
                </v:textbox>
              </v:rect>
            </w:pict>
          </mc:Fallback>
        </mc:AlternateContent>
      </w:r>
      <w:r>
        <w:rPr>
          <w:rFonts w:ascii="Andalus" w:hAnsi="Andalus" w:cs="Andalus"/>
          <w:b/>
          <w:bCs/>
          <w:noProof/>
          <w:sz w:val="36"/>
          <w:szCs w:val="36"/>
          <w:u w:val="single"/>
          <w:lang w:eastAsia="fr-FR"/>
        </w:rPr>
        <mc:AlternateContent>
          <mc:Choice Requires="wps">
            <w:drawing>
              <wp:anchor distT="0" distB="0" distL="114300" distR="114300" simplePos="0" relativeHeight="251712512" behindDoc="0" locked="0" layoutInCell="1" allowOverlap="1" wp14:anchorId="7F6280CD" wp14:editId="00F4438B">
                <wp:simplePos x="0" y="0"/>
                <wp:positionH relativeFrom="column">
                  <wp:posOffset>5173980</wp:posOffset>
                </wp:positionH>
                <wp:positionV relativeFrom="paragraph">
                  <wp:posOffset>30480</wp:posOffset>
                </wp:positionV>
                <wp:extent cx="2171700" cy="685800"/>
                <wp:effectExtent l="9525" t="9525" r="9525" b="28575"/>
                <wp:wrapNone/>
                <wp:docPr id="176"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68580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1E5D26DB" w14:textId="77777777" w:rsidR="0095621A" w:rsidRPr="0010159B" w:rsidRDefault="0095621A" w:rsidP="00B7491C">
                            <w:pPr>
                              <w:spacing w:after="0"/>
                              <w:jc w:val="center"/>
                              <w:rPr>
                                <w:b/>
                                <w:bCs/>
                                <w:szCs w:val="24"/>
                              </w:rPr>
                            </w:pPr>
                            <w:r w:rsidRPr="0010159B">
                              <w:rPr>
                                <w:b/>
                                <w:bCs/>
                                <w:szCs w:val="24"/>
                              </w:rPr>
                              <w:t xml:space="preserve">SOUS DIRECTION </w:t>
                            </w:r>
                          </w:p>
                          <w:p w14:paraId="76A86491" w14:textId="77777777" w:rsidR="0095621A" w:rsidRPr="0010159B" w:rsidRDefault="0095621A" w:rsidP="00B7491C">
                            <w:pPr>
                              <w:spacing w:after="0"/>
                              <w:jc w:val="center"/>
                              <w:rPr>
                                <w:b/>
                                <w:bCs/>
                                <w:szCs w:val="24"/>
                              </w:rPr>
                            </w:pPr>
                            <w:r w:rsidRPr="0010159B">
                              <w:rPr>
                                <w:b/>
                                <w:bCs/>
                                <w:szCs w:val="24"/>
                              </w:rPr>
                              <w:t>DE MAINTENANCE</w:t>
                            </w:r>
                          </w:p>
                          <w:p w14:paraId="3526F3AE" w14:textId="77777777" w:rsidR="0095621A" w:rsidRPr="0010159B" w:rsidRDefault="0095621A" w:rsidP="00B7491C">
                            <w:pPr>
                              <w:spacing w:after="0"/>
                              <w:jc w:val="center"/>
                              <w:rPr>
                                <w:b/>
                                <w:bCs/>
                                <w:szCs w:val="24"/>
                              </w:rPr>
                            </w:pPr>
                            <w:r w:rsidRPr="0010159B">
                              <w:rPr>
                                <w:b/>
                                <w:bCs/>
                                <w:szCs w:val="24"/>
                              </w:rPr>
                              <w:t>MEDICALE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6280CD" id="Rectangle 134" o:spid="_x0000_s1072" style="position:absolute;left:0;text-align:left;margin-left:407.4pt;margin-top:2.4pt;width:171pt;height:5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" strokecolor="#92cddc" strokeweight="1pt">
                <v:fill color2="#b6dde8" focus="100%" type="gradient"/>
                <v:shadow on="t" color="#205867" opacity=".5" offset="1pt"/>
                <v:textbox>
                  <w:txbxContent>
                    <w:p w14:paraId="1E5D26DB" w14:textId="77777777" w:rsidR="0095621A" w:rsidRPr="0010159B" w:rsidRDefault="0095621A" w:rsidP="00B7491C">
                      <w:pPr>
                        <w:spacing w:after="0"/>
                        <w:jc w:val="center"/>
                        <w:rPr>
                          <w:b/>
                          <w:bCs/>
                          <w:szCs w:val="24"/>
                        </w:rPr>
                      </w:pPr>
                      <w:r w:rsidRPr="0010159B">
                        <w:rPr>
                          <w:b/>
                          <w:bCs/>
                          <w:szCs w:val="24"/>
                        </w:rPr>
                        <w:t xml:space="preserve">SOUS DIRECTION </w:t>
                      </w:r>
                    </w:p>
                    <w:p w14:paraId="76A86491" w14:textId="77777777" w:rsidR="0095621A" w:rsidRPr="0010159B" w:rsidRDefault="0095621A" w:rsidP="00B7491C">
                      <w:pPr>
                        <w:spacing w:after="0"/>
                        <w:jc w:val="center"/>
                        <w:rPr>
                          <w:b/>
                          <w:bCs/>
                          <w:szCs w:val="24"/>
                        </w:rPr>
                      </w:pPr>
                      <w:r w:rsidRPr="0010159B">
                        <w:rPr>
                          <w:b/>
                          <w:bCs/>
                          <w:szCs w:val="24"/>
                        </w:rPr>
                        <w:t>DE MAINTENANCE</w:t>
                      </w:r>
                    </w:p>
                    <w:p w14:paraId="3526F3AE" w14:textId="77777777" w:rsidR="0095621A" w:rsidRPr="0010159B" w:rsidRDefault="0095621A" w:rsidP="00B7491C">
                      <w:pPr>
                        <w:spacing w:after="0"/>
                        <w:jc w:val="center"/>
                        <w:rPr>
                          <w:b/>
                          <w:bCs/>
                          <w:szCs w:val="24"/>
                        </w:rPr>
                      </w:pPr>
                      <w:r w:rsidRPr="0010159B">
                        <w:rPr>
                          <w:b/>
                          <w:bCs/>
                          <w:szCs w:val="24"/>
                        </w:rPr>
                        <w:t>MEDICALE</w:t>
                      </w:r>
                    </w:p>
                  </w:txbxContent>
                </v:textbox>
              </v:rect>
            </w:pict>
          </mc:Fallback>
        </mc:AlternateContent>
      </w:r>
      <w:r>
        <w:rPr>
          <w:rFonts w:ascii="Andalus" w:hAnsi="Andalus" w:cs="Andalus"/>
          <w:b/>
          <w:bCs/>
          <w:noProof/>
          <w:sz w:val="36"/>
          <w:szCs w:val="36"/>
          <w:u w:val="single"/>
          <w:lang w:eastAsia="fr-FR"/>
        </w:rPr>
        <mc:AlternateContent>
          <mc:Choice Requires="wps">
            <w:drawing>
              <wp:anchor distT="0" distB="0" distL="114300" distR="114300" simplePos="0" relativeHeight="251711488" behindDoc="0" locked="0" layoutInCell="1" allowOverlap="1" wp14:anchorId="35CFE3C5" wp14:editId="0361BFDB">
                <wp:simplePos x="0" y="0"/>
                <wp:positionH relativeFrom="column">
                  <wp:posOffset>2371725</wp:posOffset>
                </wp:positionH>
                <wp:positionV relativeFrom="paragraph">
                  <wp:posOffset>20955</wp:posOffset>
                </wp:positionV>
                <wp:extent cx="2160270" cy="666115"/>
                <wp:effectExtent l="7620" t="9525" r="13335" b="29210"/>
                <wp:wrapNone/>
                <wp:docPr id="175"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0270" cy="666115"/>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05CD9465" w14:textId="77777777" w:rsidR="0095621A" w:rsidRPr="0010159B" w:rsidRDefault="0095621A" w:rsidP="00B7491C">
                            <w:pPr>
                              <w:spacing w:after="0"/>
                              <w:jc w:val="center"/>
                              <w:rPr>
                                <w:b/>
                                <w:bCs/>
                                <w:szCs w:val="24"/>
                              </w:rPr>
                            </w:pPr>
                            <w:r w:rsidRPr="0010159B">
                              <w:rPr>
                                <w:b/>
                                <w:bCs/>
                                <w:szCs w:val="24"/>
                              </w:rPr>
                              <w:t>SOUS DIRECTION</w:t>
                            </w:r>
                          </w:p>
                          <w:p w14:paraId="3AC29872" w14:textId="77777777" w:rsidR="0095621A" w:rsidRPr="0010159B" w:rsidRDefault="0095621A" w:rsidP="00B7491C">
                            <w:pPr>
                              <w:spacing w:after="0"/>
                              <w:jc w:val="center"/>
                              <w:rPr>
                                <w:b/>
                                <w:bCs/>
                                <w:szCs w:val="24"/>
                              </w:rPr>
                            </w:pPr>
                            <w:r w:rsidRPr="0010159B">
                              <w:rPr>
                                <w:b/>
                                <w:bCs/>
                                <w:szCs w:val="24"/>
                              </w:rPr>
                              <w:t xml:space="preserve"> DES ACTIVITES SANITAIRES</w:t>
                            </w:r>
                          </w:p>
                          <w:p w14:paraId="565F1844" w14:textId="77777777" w:rsidR="0095621A" w:rsidRPr="00E802CA" w:rsidRDefault="0095621A" w:rsidP="00B7491C">
                            <w:pPr>
                              <w:rPr>
                                <w:b/>
                                <w:bCs/>
                                <w:sz w:val="28"/>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CFE3C5" id="Rectangle 133" o:spid="_x0000_s1073" style="position:absolute;left:0;text-align:left;margin-left:186.75pt;margin-top:1.65pt;width:170.1pt;height:52.4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" strokecolor="#92cddc" strokeweight="1pt">
                <v:fill color2="#b6dde8" focus="100%" type="gradient"/>
                <v:shadow on="t" color="#205867" opacity=".5" offset="1pt"/>
                <v:textbox>
                  <w:txbxContent>
                    <w:p w14:paraId="05CD9465" w14:textId="77777777" w:rsidR="0095621A" w:rsidRPr="0010159B" w:rsidRDefault="0095621A" w:rsidP="00B7491C">
                      <w:pPr>
                        <w:spacing w:after="0"/>
                        <w:jc w:val="center"/>
                        <w:rPr>
                          <w:b/>
                          <w:bCs/>
                          <w:szCs w:val="24"/>
                        </w:rPr>
                      </w:pPr>
                      <w:r w:rsidRPr="0010159B">
                        <w:rPr>
                          <w:b/>
                          <w:bCs/>
                          <w:szCs w:val="24"/>
                        </w:rPr>
                        <w:t>SOUS DIRECTION</w:t>
                      </w:r>
                    </w:p>
                    <w:p w14:paraId="3AC29872" w14:textId="77777777" w:rsidR="0095621A" w:rsidRPr="0010159B" w:rsidRDefault="0095621A" w:rsidP="00B7491C">
                      <w:pPr>
                        <w:spacing w:after="0"/>
                        <w:jc w:val="center"/>
                        <w:rPr>
                          <w:b/>
                          <w:bCs/>
                          <w:szCs w:val="24"/>
                        </w:rPr>
                      </w:pPr>
                      <w:r w:rsidRPr="0010159B">
                        <w:rPr>
                          <w:b/>
                          <w:bCs/>
                          <w:szCs w:val="24"/>
                        </w:rPr>
                        <w:t xml:space="preserve"> DES ACTIVITES SANITAIRES</w:t>
                      </w:r>
                    </w:p>
                    <w:p w14:paraId="565F1844" w14:textId="77777777" w:rsidR="0095621A" w:rsidRPr="00E802CA" w:rsidRDefault="0095621A" w:rsidP="00B7491C">
                      <w:pPr>
                        <w:rPr>
                          <w:b/>
                          <w:bCs/>
                          <w:sz w:val="28"/>
                          <w:szCs w:val="32"/>
                        </w:rPr>
                      </w:pPr>
                    </w:p>
                  </w:txbxContent>
                </v:textbox>
              </v:rect>
            </w:pict>
          </mc:Fallback>
        </mc:AlternateContent>
      </w:r>
      <w:r>
        <w:rPr>
          <w:rFonts w:ascii="Andalus" w:hAnsi="Andalus" w:cs="Andalus"/>
          <w:b/>
          <w:bCs/>
          <w:noProof/>
          <w:sz w:val="36"/>
          <w:szCs w:val="36"/>
          <w:u w:val="single"/>
          <w:lang w:eastAsia="fr-FR"/>
        </w:rPr>
        <mc:AlternateContent>
          <mc:Choice Requires="wps">
            <w:drawing>
              <wp:anchor distT="0" distB="0" distL="114300" distR="114300" simplePos="0" relativeHeight="251710464" behindDoc="0" locked="0" layoutInCell="1" allowOverlap="1" wp14:anchorId="5809F7D8" wp14:editId="1175F7A8">
                <wp:simplePos x="0" y="0"/>
                <wp:positionH relativeFrom="column">
                  <wp:posOffset>19050</wp:posOffset>
                </wp:positionH>
                <wp:positionV relativeFrom="paragraph">
                  <wp:posOffset>20955</wp:posOffset>
                </wp:positionV>
                <wp:extent cx="2057400" cy="666115"/>
                <wp:effectExtent l="7620" t="9525" r="11430" b="29210"/>
                <wp:wrapNone/>
                <wp:docPr id="177"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666115"/>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2FA81F51" w14:textId="77777777" w:rsidR="0095621A" w:rsidRPr="0010159B" w:rsidRDefault="0095621A" w:rsidP="00B7491C">
                            <w:pPr>
                              <w:spacing w:after="0"/>
                              <w:jc w:val="center"/>
                              <w:rPr>
                                <w:b/>
                                <w:bCs/>
                                <w:szCs w:val="24"/>
                              </w:rPr>
                            </w:pPr>
                            <w:r w:rsidRPr="0010159B">
                              <w:rPr>
                                <w:b/>
                                <w:bCs/>
                                <w:szCs w:val="24"/>
                              </w:rPr>
                              <w:t>SOUS DIRECTION DE</w:t>
                            </w:r>
                          </w:p>
                          <w:p w14:paraId="5FC63FF7" w14:textId="77777777" w:rsidR="0095621A" w:rsidRPr="0010159B" w:rsidRDefault="0095621A" w:rsidP="00B7491C">
                            <w:pPr>
                              <w:spacing w:after="0"/>
                              <w:jc w:val="center"/>
                              <w:rPr>
                                <w:b/>
                                <w:bCs/>
                                <w:szCs w:val="24"/>
                              </w:rPr>
                            </w:pPr>
                            <w:r w:rsidRPr="0010159B">
                              <w:rPr>
                                <w:b/>
                                <w:bCs/>
                                <w:szCs w:val="24"/>
                              </w:rPr>
                              <w:t>L’ADMINISTRATION DES MOYENS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09F7D8" id="Rectangle 132" o:spid="_x0000_s1074" style="position:absolute;left:0;text-align:left;margin-left:1.5pt;margin-top:1.65pt;width:162pt;height:52.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" strokecolor="#92cddc" strokeweight="1pt">
                <v:fill color2="#b6dde8" focus="100%" type="gradient"/>
                <v:shadow on="t" color="#205867" opacity=".5" offset="1pt"/>
                <v:textbox>
                  <w:txbxContent>
                    <w:p w14:paraId="2FA81F51" w14:textId="77777777" w:rsidR="0095621A" w:rsidRPr="0010159B" w:rsidRDefault="0095621A" w:rsidP="00B7491C">
                      <w:pPr>
                        <w:spacing w:after="0"/>
                        <w:jc w:val="center"/>
                        <w:rPr>
                          <w:b/>
                          <w:bCs/>
                          <w:szCs w:val="24"/>
                        </w:rPr>
                      </w:pPr>
                      <w:r w:rsidRPr="0010159B">
                        <w:rPr>
                          <w:b/>
                          <w:bCs/>
                          <w:szCs w:val="24"/>
                        </w:rPr>
                        <w:t>SOUS DIRECTION DE</w:t>
                      </w:r>
                    </w:p>
                    <w:p w14:paraId="5FC63FF7" w14:textId="77777777" w:rsidR="0095621A" w:rsidRPr="0010159B" w:rsidRDefault="0095621A" w:rsidP="00B7491C">
                      <w:pPr>
                        <w:spacing w:after="0"/>
                        <w:jc w:val="center"/>
                        <w:rPr>
                          <w:b/>
                          <w:bCs/>
                          <w:szCs w:val="24"/>
                        </w:rPr>
                      </w:pPr>
                      <w:r w:rsidRPr="0010159B">
                        <w:rPr>
                          <w:b/>
                          <w:bCs/>
                          <w:szCs w:val="24"/>
                        </w:rPr>
                        <w:t>L’ADMINISTRATION DES MOYENS</w:t>
                      </w:r>
                    </w:p>
                  </w:txbxContent>
                </v:textbox>
              </v:rect>
            </w:pict>
          </mc:Fallback>
        </mc:AlternateContent>
      </w:r>
    </w:p>
    <w:p w14:paraId="5390C2E4" w14:textId="77777777" w:rsidR="002210A7" w:rsidRDefault="002210A7" w:rsidP="00B7491C">
      <w:pPr>
        <w:spacing w:line="240" w:lineRule="auto"/>
        <w:ind w:left="-142"/>
        <w:rPr>
          <w:rFonts w:asciiTheme="majorBidi" w:hAnsiTheme="majorBidi" w:cstheme="majorBidi"/>
          <w:szCs w:val="24"/>
        </w:rPr>
      </w:pPr>
    </w:p>
    <w:p w14:paraId="73918EB3" w14:textId="77777777" w:rsidR="002210A7" w:rsidRDefault="002210A7" w:rsidP="001F5008">
      <w:pPr>
        <w:spacing w:line="240" w:lineRule="auto"/>
        <w:rPr>
          <w:rFonts w:asciiTheme="majorBidi" w:hAnsiTheme="majorBidi" w:cstheme="majorBidi"/>
          <w:szCs w:val="24"/>
        </w:rPr>
      </w:pPr>
    </w:p>
    <w:p w14:paraId="321C5C1E" w14:textId="77777777" w:rsidR="002210A7" w:rsidRDefault="001F5008" w:rsidP="001F5008">
      <w:pPr>
        <w:spacing w:line="240" w:lineRule="auto"/>
        <w:rPr>
          <w:rFonts w:asciiTheme="majorBidi" w:hAnsiTheme="majorBidi" w:cstheme="majorBidi"/>
          <w:szCs w:val="24"/>
        </w:rPr>
      </w:pPr>
      <w:r w:rsidRPr="008F6638">
        <w:rPr>
          <w:rFonts w:ascii="Andalus" w:hAnsi="Andalus" w:cs="Andalus"/>
          <w:noProof/>
          <w:sz w:val="36"/>
          <w:szCs w:val="36"/>
          <w:lang w:eastAsia="fr-FR"/>
        </w:rPr>
        <mc:AlternateContent>
          <mc:Choice Requires="wps">
            <w:drawing>
              <wp:anchor distT="0" distB="0" distL="114300" distR="114300" simplePos="0" relativeHeight="251739136" behindDoc="0" locked="0" layoutInCell="1" allowOverlap="1" wp14:anchorId="75AAA7DE" wp14:editId="2EF6E690">
                <wp:simplePos x="0" y="0"/>
                <wp:positionH relativeFrom="column">
                  <wp:posOffset>876300</wp:posOffset>
                </wp:positionH>
                <wp:positionV relativeFrom="paragraph">
                  <wp:posOffset>49530</wp:posOffset>
                </wp:positionV>
                <wp:extent cx="1028700" cy="0"/>
                <wp:effectExtent l="7620" t="9525" r="11430" b="9525"/>
                <wp:wrapNone/>
                <wp:docPr id="173" name="Line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9A5FE10" id="Line 160" o:spid="_x0000_s1026" style="position:absolute;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pt,3.9pt" to="150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"/>
            </w:pict>
          </mc:Fallback>
        </mc:AlternateContent>
      </w:r>
      <w:r w:rsidR="002210A7">
        <w:rPr>
          <w:rFonts w:ascii="Andalus" w:hAnsi="Andalus" w:cs="Andalus"/>
          <w:b/>
          <w:bCs/>
          <w:noProof/>
          <w:sz w:val="36"/>
          <w:szCs w:val="36"/>
          <w:u w:val="single"/>
          <w:lang w:eastAsia="fr-FR"/>
        </w:rPr>
        <mc:AlternateContent>
          <mc:Choice Requires="wps">
            <w:drawing>
              <wp:anchor distT="0" distB="0" distL="114300" distR="114300" simplePos="0" relativeHeight="251731968" behindDoc="0" locked="0" layoutInCell="1" allowOverlap="1" wp14:anchorId="50F7DFFA" wp14:editId="50586677">
                <wp:simplePos x="0" y="0"/>
                <wp:positionH relativeFrom="column">
                  <wp:posOffset>8418830</wp:posOffset>
                </wp:positionH>
                <wp:positionV relativeFrom="paragraph">
                  <wp:posOffset>191770</wp:posOffset>
                </wp:positionV>
                <wp:extent cx="0" cy="1322070"/>
                <wp:effectExtent l="53975" t="11430" r="60325" b="19050"/>
                <wp:wrapNone/>
                <wp:docPr id="178" name="Line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220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BA4C961" id="Line 153"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2.9pt,15.1pt" to="662.9pt,1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">
                <v:stroke endarrow="block"/>
              </v:line>
            </w:pict>
          </mc:Fallback>
        </mc:AlternateContent>
      </w:r>
      <w:r w:rsidR="002210A7">
        <w:rPr>
          <w:rFonts w:ascii="Andalus" w:hAnsi="Andalus" w:cs="Andalus"/>
          <w:b/>
          <w:bCs/>
          <w:noProof/>
          <w:sz w:val="36"/>
          <w:szCs w:val="36"/>
          <w:u w:val="single"/>
          <w:lang w:eastAsia="fr-FR"/>
        </w:rPr>
        <mc:AlternateContent>
          <mc:Choice Requires="wps">
            <w:drawing>
              <wp:anchor distT="0" distB="0" distL="114300" distR="114300" simplePos="0" relativeHeight="251734016" behindDoc="0" locked="0" layoutInCell="1" allowOverlap="1" wp14:anchorId="6A5FCB9A" wp14:editId="7812D41E">
                <wp:simplePos x="0" y="0"/>
                <wp:positionH relativeFrom="column">
                  <wp:posOffset>4415790</wp:posOffset>
                </wp:positionH>
                <wp:positionV relativeFrom="paragraph">
                  <wp:posOffset>170815</wp:posOffset>
                </wp:positionV>
                <wp:extent cx="0" cy="1028700"/>
                <wp:effectExtent l="60960" t="9525" r="53340" b="19050"/>
                <wp:wrapNone/>
                <wp:docPr id="179" name="Lin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9EC7391" id="Line 155"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7.7pt,13.45pt" to="347.7pt,9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DDqKwIAAE4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">
                <v:stroke endarrow="block"/>
              </v:line>
            </w:pict>
          </mc:Fallback>
        </mc:AlternateContent>
      </w:r>
      <w:r w:rsidR="002210A7">
        <w:rPr>
          <w:rFonts w:ascii="Andalus" w:hAnsi="Andalus" w:cs="Andalus"/>
          <w:b/>
          <w:bCs/>
          <w:noProof/>
          <w:sz w:val="36"/>
          <w:szCs w:val="36"/>
          <w:u w:val="single"/>
          <w:lang w:eastAsia="fr-FR"/>
        </w:rPr>
        <mc:AlternateContent>
          <mc:Choice Requires="wps">
            <w:drawing>
              <wp:anchor distT="0" distB="0" distL="114300" distR="114300" simplePos="0" relativeHeight="251760640" behindDoc="0" locked="0" layoutInCell="1" allowOverlap="1" wp14:anchorId="056088CD" wp14:editId="636CC45D">
                <wp:simplePos x="0" y="0"/>
                <wp:positionH relativeFrom="column">
                  <wp:posOffset>6497320</wp:posOffset>
                </wp:positionH>
                <wp:positionV relativeFrom="paragraph">
                  <wp:posOffset>170815</wp:posOffset>
                </wp:positionV>
                <wp:extent cx="0" cy="230505"/>
                <wp:effectExtent l="56515" t="9525" r="57785" b="17145"/>
                <wp:wrapNone/>
                <wp:docPr id="180" name="Lin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05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1E7655" id="Line 181"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1.6pt,13.45pt" to="511.6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">
                <v:stroke endarrow="block"/>
              </v:line>
            </w:pict>
          </mc:Fallback>
        </mc:AlternateContent>
      </w:r>
      <w:r w:rsidR="002210A7">
        <w:rPr>
          <w:rFonts w:ascii="Andalus" w:hAnsi="Andalus" w:cs="Andalus"/>
          <w:b/>
          <w:bCs/>
          <w:noProof/>
          <w:sz w:val="36"/>
          <w:szCs w:val="36"/>
          <w:u w:val="single"/>
          <w:lang w:eastAsia="fr-FR"/>
        </w:rPr>
        <mc:AlternateContent>
          <mc:Choice Requires="wps">
            <w:drawing>
              <wp:anchor distT="0" distB="0" distL="114300" distR="114300" simplePos="0" relativeHeight="251738112" behindDoc="0" locked="0" layoutInCell="1" allowOverlap="1" wp14:anchorId="5EB5FDD9" wp14:editId="06D8546A">
                <wp:simplePos x="0" y="0"/>
                <wp:positionH relativeFrom="column">
                  <wp:posOffset>1352550</wp:posOffset>
                </wp:positionH>
                <wp:positionV relativeFrom="paragraph">
                  <wp:posOffset>151130</wp:posOffset>
                </wp:positionV>
                <wp:extent cx="0" cy="457200"/>
                <wp:effectExtent l="7620" t="8890" r="11430" b="10160"/>
                <wp:wrapNone/>
                <wp:docPr id="181" name="Line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C1A2CA3" id="Line 159" o:spid="_x0000_s1026" style="position:absolute;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5pt,11.9pt" to="106.5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"/>
            </w:pict>
          </mc:Fallback>
        </mc:AlternateContent>
      </w:r>
    </w:p>
    <w:p w14:paraId="0506C4BE" w14:textId="77777777" w:rsidR="002210A7" w:rsidRDefault="002210A7" w:rsidP="00B7491C">
      <w:pPr>
        <w:spacing w:line="240" w:lineRule="auto"/>
        <w:ind w:left="-142"/>
        <w:rPr>
          <w:rFonts w:asciiTheme="majorBidi" w:hAnsiTheme="majorBidi" w:cstheme="majorBidi"/>
          <w:szCs w:val="24"/>
        </w:rPr>
      </w:pPr>
    </w:p>
    <w:p w14:paraId="6FB65854" w14:textId="77777777" w:rsidR="002210A7" w:rsidRDefault="002210A7" w:rsidP="00B7491C">
      <w:pPr>
        <w:spacing w:line="240" w:lineRule="auto"/>
        <w:ind w:left="-142"/>
        <w:rPr>
          <w:rFonts w:asciiTheme="majorBidi" w:hAnsiTheme="majorBidi" w:cstheme="majorBidi"/>
          <w:szCs w:val="24"/>
        </w:rPr>
      </w:pPr>
    </w:p>
    <w:p w14:paraId="41678E45" w14:textId="77777777" w:rsidR="002210A7" w:rsidRDefault="002210A7" w:rsidP="00B7491C">
      <w:pPr>
        <w:spacing w:line="240" w:lineRule="auto"/>
        <w:ind w:left="-142"/>
        <w:rPr>
          <w:rFonts w:asciiTheme="majorBidi" w:hAnsiTheme="majorBidi" w:cstheme="majorBidi"/>
          <w:szCs w:val="24"/>
        </w:rPr>
      </w:pPr>
    </w:p>
    <w:p w14:paraId="3CC9BB5E" w14:textId="77777777" w:rsidR="002210A7" w:rsidRDefault="002210A7" w:rsidP="00B7491C">
      <w:pPr>
        <w:spacing w:line="240" w:lineRule="auto"/>
        <w:ind w:left="-142"/>
        <w:rPr>
          <w:rFonts w:asciiTheme="majorBidi" w:hAnsiTheme="majorBidi" w:cstheme="majorBidi"/>
          <w:szCs w:val="24"/>
        </w:rPr>
      </w:pPr>
    </w:p>
    <w:p w14:paraId="2225D7DF" w14:textId="77777777" w:rsidR="002210A7" w:rsidRDefault="002210A7" w:rsidP="00B7491C">
      <w:pPr>
        <w:spacing w:line="240" w:lineRule="auto"/>
        <w:ind w:left="-142"/>
        <w:rPr>
          <w:rFonts w:asciiTheme="majorBidi" w:hAnsiTheme="majorBidi" w:cstheme="majorBidi"/>
          <w:szCs w:val="24"/>
        </w:rPr>
      </w:pPr>
    </w:p>
    <w:p w14:paraId="20D74DDF" w14:textId="77777777" w:rsidR="002210A7" w:rsidRDefault="002210A7" w:rsidP="00B7491C">
      <w:pPr>
        <w:spacing w:line="240" w:lineRule="auto"/>
        <w:ind w:left="-142"/>
        <w:rPr>
          <w:rFonts w:asciiTheme="majorBidi" w:hAnsiTheme="majorBidi" w:cstheme="majorBidi"/>
          <w:szCs w:val="24"/>
        </w:rPr>
      </w:pPr>
    </w:p>
    <w:p w14:paraId="7ED31EE7" w14:textId="77777777" w:rsidR="002210A7" w:rsidRDefault="002210A7" w:rsidP="00B7491C">
      <w:pPr>
        <w:spacing w:line="240" w:lineRule="auto"/>
        <w:ind w:left="-142"/>
        <w:rPr>
          <w:rFonts w:asciiTheme="majorBidi" w:hAnsiTheme="majorBidi" w:cstheme="majorBidi"/>
          <w:szCs w:val="24"/>
        </w:rPr>
      </w:pPr>
    </w:p>
    <w:p w14:paraId="04557B48" w14:textId="77777777" w:rsidR="002210A7" w:rsidRDefault="002210A7" w:rsidP="00B7491C">
      <w:pPr>
        <w:spacing w:line="240" w:lineRule="auto"/>
        <w:ind w:left="-142"/>
        <w:rPr>
          <w:rFonts w:asciiTheme="majorBidi" w:hAnsiTheme="majorBidi" w:cstheme="majorBidi"/>
          <w:szCs w:val="24"/>
        </w:rPr>
      </w:pPr>
    </w:p>
    <w:p w14:paraId="5E673A44" w14:textId="77777777" w:rsidR="002210A7" w:rsidRDefault="0050779A" w:rsidP="00B7491C">
      <w:pPr>
        <w:spacing w:line="240" w:lineRule="auto"/>
        <w:ind w:left="-142"/>
        <w:rPr>
          <w:rFonts w:asciiTheme="majorBidi" w:hAnsiTheme="majorBidi" w:cstheme="majorBidi"/>
          <w:szCs w:val="24"/>
        </w:rPr>
      </w:pPr>
      <w:r w:rsidRPr="008F6638">
        <w:rPr>
          <w:rFonts w:ascii="Andalus" w:hAnsi="Andalus" w:cs="Andalus"/>
          <w:noProof/>
          <w:sz w:val="36"/>
          <w:szCs w:val="36"/>
          <w:lang w:eastAsia="fr-FR"/>
        </w:rPr>
        <mc:AlternateContent>
          <mc:Choice Requires="wps">
            <w:drawing>
              <wp:anchor distT="0" distB="0" distL="114300" distR="114300" simplePos="0" relativeHeight="251725824" behindDoc="0" locked="0" layoutInCell="1" allowOverlap="1" wp14:anchorId="7F0ECD12" wp14:editId="75DE3614">
                <wp:simplePos x="0" y="0"/>
                <wp:positionH relativeFrom="column">
                  <wp:posOffset>8656364</wp:posOffset>
                </wp:positionH>
                <wp:positionV relativeFrom="paragraph">
                  <wp:posOffset>214970</wp:posOffset>
                </wp:positionV>
                <wp:extent cx="1143000" cy="648335"/>
                <wp:effectExtent l="0" t="0" r="38100" b="56515"/>
                <wp:wrapNone/>
                <wp:docPr id="162" name="AutoShap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48335"/>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02D6AFAC" w14:textId="77777777" w:rsidR="0095621A" w:rsidRPr="006B3722" w:rsidRDefault="0095621A" w:rsidP="0050779A">
                            <w:pPr>
                              <w:rPr>
                                <w:sz w:val="28"/>
                                <w:szCs w:val="28"/>
                              </w:rPr>
                            </w:pPr>
                            <w:r w:rsidRPr="006B3722">
                              <w:rPr>
                                <w:sz w:val="28"/>
                                <w:szCs w:val="28"/>
                              </w:rPr>
                              <w:t>Pharmacie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0ECD12" id="AutoShape 147" o:spid="_x0000_s1075" type="#_x0000_t176" style="position:absolute;left:0;text-align:left;margin-left:681.6pt;margin-top:16.95pt;width:90pt;height:51.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" strokecolor="#92cddc" strokeweight="1pt">
                <v:fill color2="#b6dde8" focus="100%" type="gradient"/>
                <v:shadow on="t" color="#205867" opacity=".5" offset="1pt"/>
                <v:textbox>
                  <w:txbxContent>
                    <w:p w14:paraId="02D6AFAC" w14:textId="77777777" w:rsidR="0095621A" w:rsidRPr="006B3722" w:rsidRDefault="0095621A" w:rsidP="0050779A">
                      <w:pPr>
                        <w:rPr>
                          <w:sz w:val="28"/>
                          <w:szCs w:val="28"/>
                        </w:rPr>
                      </w:pPr>
                      <w:r w:rsidRPr="006B3722">
                        <w:rPr>
                          <w:sz w:val="28"/>
                          <w:szCs w:val="28"/>
                        </w:rPr>
                        <w:t>Pharmacie</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4800" behindDoc="0" locked="0" layoutInCell="1" allowOverlap="1" wp14:anchorId="6E318E10" wp14:editId="7E23F245">
                <wp:simplePos x="0" y="0"/>
                <wp:positionH relativeFrom="column">
                  <wp:posOffset>7401722</wp:posOffset>
                </wp:positionH>
                <wp:positionV relativeFrom="paragraph">
                  <wp:posOffset>214971</wp:posOffset>
                </wp:positionV>
                <wp:extent cx="1143000" cy="648586"/>
                <wp:effectExtent l="0" t="0" r="38100" b="56515"/>
                <wp:wrapNone/>
                <wp:docPr id="163" name="AutoShap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48586"/>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5DA18AF4" w14:textId="77777777" w:rsidR="0095621A" w:rsidRPr="006B3722" w:rsidRDefault="0095621A" w:rsidP="001F5008">
                            <w:pPr>
                              <w:rPr>
                                <w:sz w:val="28"/>
                                <w:szCs w:val="28"/>
                              </w:rPr>
                            </w:pPr>
                            <w:r w:rsidRPr="006B3722">
                              <w:rPr>
                                <w:sz w:val="28"/>
                                <w:szCs w:val="28"/>
                              </w:rPr>
                              <w:t>Cuisine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318E10" id="AutoShape 146" o:spid="_x0000_s1076" type="#_x0000_t176" style="position:absolute;left:0;text-align:left;margin-left:582.8pt;margin-top:16.95pt;width:90pt;height:51.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" strokecolor="#92cddc" strokeweight="1pt">
                <v:fill color2="#b6dde8" focus="100%" type="gradient"/>
                <v:shadow on="t" color="#205867" opacity=".5" offset="1pt"/>
                <v:textbox>
                  <w:txbxContent>
                    <w:p w14:paraId="5DA18AF4" w14:textId="77777777" w:rsidR="0095621A" w:rsidRPr="006B3722" w:rsidRDefault="0095621A" w:rsidP="001F5008">
                      <w:pPr>
                        <w:rPr>
                          <w:sz w:val="28"/>
                          <w:szCs w:val="28"/>
                        </w:rPr>
                      </w:pPr>
                      <w:r w:rsidRPr="006B3722">
                        <w:rPr>
                          <w:sz w:val="28"/>
                          <w:szCs w:val="28"/>
                        </w:rPr>
                        <w:t>Cuisine</w:t>
                      </w:r>
                    </w:p>
                  </w:txbxContent>
                </v:textbox>
              </v:shape>
            </w:pict>
          </mc:Fallback>
        </mc:AlternateContent>
      </w:r>
      <w:r w:rsidRPr="008F6638">
        <w:rPr>
          <w:rFonts w:ascii="Andalus" w:hAnsi="Andalus" w:cs="Andalus"/>
          <w:noProof/>
          <w:sz w:val="36"/>
          <w:szCs w:val="36"/>
          <w:lang w:eastAsia="fr-FR"/>
        </w:rPr>
        <mc:AlternateContent>
          <mc:Choice Requires="wps">
            <w:drawing>
              <wp:anchor distT="0" distB="0" distL="114300" distR="114300" simplePos="0" relativeHeight="251723776" behindDoc="0" locked="0" layoutInCell="1" allowOverlap="1" wp14:anchorId="36258DA1" wp14:editId="59B73294">
                <wp:simplePos x="0" y="0"/>
                <wp:positionH relativeFrom="column">
                  <wp:posOffset>6147081</wp:posOffset>
                </wp:positionH>
                <wp:positionV relativeFrom="paragraph">
                  <wp:posOffset>214970</wp:posOffset>
                </wp:positionV>
                <wp:extent cx="1143000" cy="542260"/>
                <wp:effectExtent l="0" t="0" r="38100" b="48895"/>
                <wp:wrapNone/>
                <wp:docPr id="161" name="AutoShap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42260"/>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0C588A1F" w14:textId="77777777" w:rsidR="0095621A" w:rsidRPr="006B3722" w:rsidRDefault="0095621A" w:rsidP="0050779A">
                            <w:pPr>
                              <w:rPr>
                                <w:sz w:val="28"/>
                                <w:szCs w:val="28"/>
                              </w:rPr>
                            </w:pPr>
                            <w:r w:rsidRPr="006B3722">
                              <w:rPr>
                                <w:sz w:val="28"/>
                                <w:szCs w:val="28"/>
                              </w:rPr>
                              <w:t>Parc Auto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258DA1" id="AutoShape 145" o:spid="_x0000_s1077" type="#_x0000_t176" style="position:absolute;left:0;text-align:left;margin-left:484pt;margin-top:16.95pt;width:90pt;height:42.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" strokecolor="#92cddc" strokeweight="1pt">
                <v:fill color2="#b6dde8" focus="100%" type="gradient"/>
                <v:shadow on="t" color="#205867" opacity=".5" offset="1pt"/>
                <v:textbox>
                  <w:txbxContent>
                    <w:p w14:paraId="0C588A1F" w14:textId="77777777" w:rsidR="0095621A" w:rsidRPr="006B3722" w:rsidRDefault="0095621A" w:rsidP="0050779A">
                      <w:pPr>
                        <w:rPr>
                          <w:sz w:val="28"/>
                          <w:szCs w:val="28"/>
                        </w:rPr>
                      </w:pPr>
                      <w:r w:rsidRPr="006B3722">
                        <w:rPr>
                          <w:sz w:val="28"/>
                          <w:szCs w:val="28"/>
                        </w:rPr>
                        <w:t>Parc Auto</w:t>
                      </w:r>
                    </w:p>
                  </w:txbxContent>
                </v:textbox>
              </v:shape>
            </w:pict>
          </mc:Fallback>
        </mc:AlternateContent>
      </w:r>
    </w:p>
    <w:p w14:paraId="3BB771AC" w14:textId="77777777" w:rsidR="002210A7" w:rsidRDefault="001F5008" w:rsidP="00B7491C">
      <w:pPr>
        <w:spacing w:line="240" w:lineRule="auto"/>
        <w:ind w:left="-142"/>
        <w:rPr>
          <w:rFonts w:asciiTheme="majorBidi" w:hAnsiTheme="majorBidi" w:cstheme="majorBidi"/>
          <w:szCs w:val="24"/>
        </w:rPr>
      </w:pPr>
      <w:r>
        <w:rPr>
          <w:rFonts w:ascii="Andalus" w:hAnsi="Andalus" w:cs="Andalus"/>
          <w:b/>
          <w:bCs/>
          <w:noProof/>
          <w:sz w:val="36"/>
          <w:szCs w:val="36"/>
          <w:u w:val="single"/>
          <w:lang w:eastAsia="fr-FR"/>
        </w:rPr>
        <mc:AlternateContent>
          <mc:Choice Requires="wps">
            <w:drawing>
              <wp:anchor distT="0" distB="0" distL="114300" distR="114300" simplePos="0" relativeHeight="251722752" behindDoc="0" locked="0" layoutInCell="1" allowOverlap="1" wp14:anchorId="5F21BD6D" wp14:editId="2C6CD691">
                <wp:simplePos x="0" y="0"/>
                <wp:positionH relativeFrom="column">
                  <wp:posOffset>4913704</wp:posOffset>
                </wp:positionH>
                <wp:positionV relativeFrom="paragraph">
                  <wp:posOffset>23170</wp:posOffset>
                </wp:positionV>
                <wp:extent cx="1143000" cy="882502"/>
                <wp:effectExtent l="0" t="0" r="38100" b="51435"/>
                <wp:wrapNone/>
                <wp:docPr id="184" name="AutoShap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882502"/>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4F5B60C2" w14:textId="77777777" w:rsidR="0095621A" w:rsidRPr="006B3722" w:rsidRDefault="0095621A" w:rsidP="0050779A">
                            <w:pPr>
                              <w:spacing w:before="120"/>
                              <w:rPr>
                                <w:sz w:val="28"/>
                                <w:szCs w:val="28"/>
                              </w:rPr>
                            </w:pPr>
                            <w:r w:rsidRPr="006B3722">
                              <w:rPr>
                                <w:sz w:val="28"/>
                                <w:szCs w:val="28"/>
                              </w:rPr>
                              <w:t>Magasin</w:t>
                            </w:r>
                          </w:p>
                          <w:p w14:paraId="7F9BC259" w14:textId="77777777" w:rsidR="0095621A" w:rsidRPr="006B3722" w:rsidRDefault="0095621A" w:rsidP="00B7491C">
                            <w:pPr>
                              <w:spacing w:before="120"/>
                              <w:jc w:val="center"/>
                              <w:rPr>
                                <w:sz w:val="28"/>
                                <w:szCs w:val="28"/>
                              </w:rPr>
                            </w:pPr>
                            <w:r w:rsidRPr="006B3722">
                              <w:rPr>
                                <w:sz w:val="28"/>
                                <w:szCs w:val="28"/>
                              </w:rPr>
                              <w:t>Générale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21BD6D" id="AutoShape 144" o:spid="_x0000_s1078" type="#_x0000_t176" style="position:absolute;left:0;text-align:left;margin-left:386.9pt;margin-top:1.8pt;width:90pt;height:6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" strokecolor="#92cddc" strokeweight="1pt">
                <v:fill color2="#b6dde8" focus="100%" type="gradient"/>
                <v:shadow on="t" color="#205867" opacity=".5" offset="1pt"/>
                <v:textbox>
                  <w:txbxContent>
                    <w:p w14:paraId="4F5B60C2" w14:textId="77777777" w:rsidR="0095621A" w:rsidRPr="006B3722" w:rsidRDefault="0095621A" w:rsidP="0050779A">
                      <w:pPr>
                        <w:spacing w:before="120"/>
                        <w:rPr>
                          <w:sz w:val="28"/>
                          <w:szCs w:val="28"/>
                        </w:rPr>
                      </w:pPr>
                      <w:r w:rsidRPr="006B3722">
                        <w:rPr>
                          <w:sz w:val="28"/>
                          <w:szCs w:val="28"/>
                        </w:rPr>
                        <w:t>Magasin</w:t>
                      </w:r>
                    </w:p>
                    <w:p w14:paraId="7F9BC259" w14:textId="77777777" w:rsidR="0095621A" w:rsidRPr="006B3722" w:rsidRDefault="0095621A" w:rsidP="00B7491C">
                      <w:pPr>
                        <w:spacing w:before="120"/>
                        <w:jc w:val="center"/>
                        <w:rPr>
                          <w:sz w:val="28"/>
                          <w:szCs w:val="28"/>
                        </w:rPr>
                      </w:pPr>
                      <w:r w:rsidRPr="006B3722">
                        <w:rPr>
                          <w:sz w:val="28"/>
                          <w:szCs w:val="28"/>
                        </w:rPr>
                        <w:t>Générale</w:t>
                      </w:r>
                    </w:p>
                  </w:txbxContent>
                </v:textbox>
              </v:shape>
            </w:pict>
          </mc:Fallback>
        </mc:AlternateContent>
      </w:r>
      <w:r w:rsidR="002210A7">
        <w:rPr>
          <w:rFonts w:ascii="Andalus" w:hAnsi="Andalus" w:cs="Andalus"/>
          <w:b/>
          <w:bCs/>
          <w:noProof/>
          <w:sz w:val="36"/>
          <w:szCs w:val="36"/>
          <w:u w:val="single"/>
          <w:lang w:eastAsia="fr-FR"/>
        </w:rPr>
        <mc:AlternateContent>
          <mc:Choice Requires="wps">
            <w:drawing>
              <wp:anchor distT="0" distB="0" distL="114300" distR="114300" simplePos="0" relativeHeight="251718656" behindDoc="0" locked="0" layoutInCell="1" allowOverlap="1" wp14:anchorId="2D460F90" wp14:editId="73CFC640">
                <wp:simplePos x="0" y="0"/>
                <wp:positionH relativeFrom="column">
                  <wp:posOffset>692578</wp:posOffset>
                </wp:positionH>
                <wp:positionV relativeFrom="paragraph">
                  <wp:posOffset>12538</wp:posOffset>
                </wp:positionV>
                <wp:extent cx="1143000" cy="828675"/>
                <wp:effectExtent l="0" t="0" r="38100" b="66675"/>
                <wp:wrapNone/>
                <wp:docPr id="182" name="AutoShap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828675"/>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07F7B617" w14:textId="77777777" w:rsidR="0095621A" w:rsidRPr="008F6638" w:rsidRDefault="0095621A" w:rsidP="00B7491C">
                            <w:pPr>
                              <w:spacing w:before="120"/>
                              <w:jc w:val="center"/>
                              <w:rPr>
                                <w:szCs w:val="24"/>
                              </w:rPr>
                            </w:pPr>
                            <w:r w:rsidRPr="008F6638">
                              <w:rPr>
                                <w:szCs w:val="24"/>
                              </w:rPr>
                              <w:t>Service</w:t>
                            </w:r>
                          </w:p>
                          <w:p w14:paraId="451139A4" w14:textId="77777777" w:rsidR="0095621A" w:rsidRPr="008F6638" w:rsidRDefault="0095621A" w:rsidP="00B7491C">
                            <w:pPr>
                              <w:spacing w:before="120"/>
                              <w:jc w:val="center"/>
                              <w:rPr>
                                <w:szCs w:val="24"/>
                              </w:rPr>
                            </w:pPr>
                            <w:r w:rsidRPr="008F6638">
                              <w:rPr>
                                <w:szCs w:val="24"/>
                              </w:rPr>
                              <w:t>Médicaux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460F90" id="AutoShape 140" o:spid="_x0000_s1079" type="#_x0000_t176" style="position:absolute;left:0;text-align:left;margin-left:54.55pt;margin-top:1pt;width:90pt;height:65.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" strokecolor="#92cddc" strokeweight="1pt">
                <v:fill color2="#b6dde8" focus="100%" type="gradient"/>
                <v:shadow on="t" color="#205867" opacity=".5" offset="1pt"/>
                <v:textbox>
                  <w:txbxContent>
                    <w:p w14:paraId="07F7B617" w14:textId="77777777" w:rsidR="0095621A" w:rsidRPr="008F6638" w:rsidRDefault="0095621A" w:rsidP="00B7491C">
                      <w:pPr>
                        <w:spacing w:before="120"/>
                        <w:jc w:val="center"/>
                        <w:rPr>
                          <w:szCs w:val="24"/>
                        </w:rPr>
                      </w:pPr>
                      <w:r w:rsidRPr="008F6638">
                        <w:rPr>
                          <w:szCs w:val="24"/>
                        </w:rPr>
                        <w:t>Service</w:t>
                      </w:r>
                    </w:p>
                    <w:p w14:paraId="451139A4" w14:textId="77777777" w:rsidR="0095621A" w:rsidRPr="008F6638" w:rsidRDefault="0095621A" w:rsidP="00B7491C">
                      <w:pPr>
                        <w:spacing w:before="120"/>
                        <w:jc w:val="center"/>
                        <w:rPr>
                          <w:szCs w:val="24"/>
                        </w:rPr>
                      </w:pPr>
                      <w:r w:rsidRPr="008F6638">
                        <w:rPr>
                          <w:szCs w:val="24"/>
                        </w:rPr>
                        <w:t>Médicaux</w:t>
                      </w:r>
                    </w:p>
                  </w:txbxContent>
                </v:textbox>
              </v:shape>
            </w:pict>
          </mc:Fallback>
        </mc:AlternateContent>
      </w:r>
      <w:r w:rsidR="002210A7">
        <w:rPr>
          <w:rFonts w:ascii="Andalus" w:hAnsi="Andalus" w:cs="Andalus"/>
          <w:b/>
          <w:bCs/>
          <w:noProof/>
          <w:sz w:val="36"/>
          <w:szCs w:val="36"/>
          <w:u w:val="single"/>
          <w:lang w:eastAsia="fr-FR"/>
        </w:rPr>
        <mc:AlternateContent>
          <mc:Choice Requires="wps">
            <w:drawing>
              <wp:anchor distT="0" distB="0" distL="114300" distR="114300" simplePos="0" relativeHeight="251719680" behindDoc="0" locked="0" layoutInCell="1" allowOverlap="1" wp14:anchorId="04F57546" wp14:editId="57A0A0D2">
                <wp:simplePos x="0" y="0"/>
                <wp:positionH relativeFrom="column">
                  <wp:posOffset>1945005</wp:posOffset>
                </wp:positionH>
                <wp:positionV relativeFrom="paragraph">
                  <wp:posOffset>13970</wp:posOffset>
                </wp:positionV>
                <wp:extent cx="1143000" cy="828675"/>
                <wp:effectExtent l="0" t="0" r="38100" b="66675"/>
                <wp:wrapNone/>
                <wp:docPr id="183" name="AutoShap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828675"/>
                        </a:xfrm>
                        <a:prstGeom prst="flowChartAlternateProcess">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50865B2F" w14:textId="77777777" w:rsidR="0095621A" w:rsidRPr="006B3722" w:rsidRDefault="0095621A" w:rsidP="00B7491C">
                            <w:pPr>
                              <w:spacing w:before="120"/>
                              <w:jc w:val="center"/>
                              <w:rPr>
                                <w:sz w:val="28"/>
                                <w:szCs w:val="28"/>
                              </w:rPr>
                            </w:pPr>
                            <w:r w:rsidRPr="006B3722">
                              <w:rPr>
                                <w:sz w:val="28"/>
                                <w:szCs w:val="28"/>
                              </w:rPr>
                              <w:t>Plateau</w:t>
                            </w:r>
                          </w:p>
                          <w:p w14:paraId="4D64F869" w14:textId="77777777" w:rsidR="0095621A" w:rsidRPr="006B3722" w:rsidRDefault="0095621A" w:rsidP="00B7491C">
                            <w:pPr>
                              <w:spacing w:before="120"/>
                              <w:jc w:val="center"/>
                              <w:rPr>
                                <w:sz w:val="28"/>
                                <w:szCs w:val="28"/>
                              </w:rPr>
                            </w:pPr>
                            <w:r w:rsidRPr="006B3722">
                              <w:rPr>
                                <w:sz w:val="28"/>
                                <w:szCs w:val="28"/>
                              </w:rPr>
                              <w:t>Technique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F57546" id="AutoShape 141" o:spid="_x0000_s1080" type="#_x0000_t176" style="position:absolute;left:0;text-align:left;margin-left:153.15pt;margin-top:1.1pt;width:90pt;height:65.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" strokecolor="#92cddc" strokeweight="1pt">
                <v:fill color2="#b6dde8" focus="100%" type="gradient"/>
                <v:shadow on="t" color="#205867" opacity=".5" offset="1pt"/>
                <v:textbox>
                  <w:txbxContent>
                    <w:p w14:paraId="50865B2F" w14:textId="77777777" w:rsidR="0095621A" w:rsidRPr="006B3722" w:rsidRDefault="0095621A" w:rsidP="00B7491C">
                      <w:pPr>
                        <w:spacing w:before="120"/>
                        <w:jc w:val="center"/>
                        <w:rPr>
                          <w:sz w:val="28"/>
                          <w:szCs w:val="28"/>
                        </w:rPr>
                      </w:pPr>
                      <w:r w:rsidRPr="006B3722">
                        <w:rPr>
                          <w:sz w:val="28"/>
                          <w:szCs w:val="28"/>
                        </w:rPr>
                        <w:t>Plateau</w:t>
                      </w:r>
                    </w:p>
                    <w:p w14:paraId="4D64F869" w14:textId="77777777" w:rsidR="0095621A" w:rsidRPr="006B3722" w:rsidRDefault="0095621A" w:rsidP="00B7491C">
                      <w:pPr>
                        <w:spacing w:before="120"/>
                        <w:jc w:val="center"/>
                        <w:rPr>
                          <w:sz w:val="28"/>
                          <w:szCs w:val="28"/>
                        </w:rPr>
                      </w:pPr>
                      <w:r w:rsidRPr="006B3722">
                        <w:rPr>
                          <w:sz w:val="28"/>
                          <w:szCs w:val="28"/>
                        </w:rPr>
                        <w:t>Technique</w:t>
                      </w:r>
                    </w:p>
                  </w:txbxContent>
                </v:textbox>
              </v:shape>
            </w:pict>
          </mc:Fallback>
        </mc:AlternateContent>
      </w:r>
    </w:p>
    <w:p w14:paraId="359AA1EC" w14:textId="77777777" w:rsidR="002210A7" w:rsidRDefault="002210A7" w:rsidP="00B7491C">
      <w:pPr>
        <w:spacing w:line="240" w:lineRule="auto"/>
        <w:rPr>
          <w:rFonts w:asciiTheme="majorBidi" w:hAnsiTheme="majorBidi" w:cstheme="majorBidi"/>
          <w:szCs w:val="24"/>
        </w:rPr>
        <w:sectPr w:rsidR="002210A7" w:rsidSect="002860FC">
          <w:pgSz w:w="16838" w:h="11906" w:orient="landscape"/>
          <w:pgMar w:top="1134" w:right="567" w:bottom="851" w:left="567" w:header="340" w:footer="567" w:gutter="0"/>
          <w:cols w:space="708"/>
          <w:docGrid w:linePitch="360"/>
        </w:sectPr>
      </w:pPr>
    </w:p>
    <w:p w14:paraId="0842A30B" w14:textId="74ED5D5C" w:rsidR="00D42DC8" w:rsidRPr="00D11D21" w:rsidRDefault="002210A7" w:rsidP="00D11D21">
      <w:pPr>
        <w:pStyle w:val="Titre3"/>
        <w:numPr>
          <w:ilvl w:val="1"/>
          <w:numId w:val="142"/>
        </w:numPr>
        <w:spacing w:line="360" w:lineRule="auto"/>
        <w:rPr>
          <w:rFonts w:asciiTheme="majorBidi" w:hAnsiTheme="majorBidi" w:cstheme="majorBidi"/>
          <w:szCs w:val="24"/>
        </w:rPr>
      </w:pPr>
      <w:bookmarkStart w:id="135" w:name="_Toc199958899"/>
      <w:r w:rsidRPr="00D11D21">
        <w:rPr>
          <w:rFonts w:asciiTheme="majorBidi" w:hAnsiTheme="majorBidi" w:cstheme="majorBidi"/>
          <w:szCs w:val="24"/>
        </w:rPr>
        <w:lastRenderedPageBreak/>
        <w:t>Missions et organisation administrative</w:t>
      </w:r>
      <w:bookmarkEnd w:id="135"/>
    </w:p>
    <w:p w14:paraId="7F759B55" w14:textId="77777777" w:rsidR="002210A7" w:rsidRPr="00D11D21" w:rsidRDefault="002210A7" w:rsidP="00D11D21">
      <w:pPr>
        <w:pStyle w:val="Paragraphedeliste"/>
        <w:numPr>
          <w:ilvl w:val="0"/>
          <w:numId w:val="151"/>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Direction générale</w:t>
      </w:r>
    </w:p>
    <w:p w14:paraId="5DD510E0"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Elle assure la gestion globale de l’hôpital. Le directeur représente l’établissement, en justice comme dans les actes de la vie civile. Il est responsable du budget, propose les projets prévisionnels, émet des recommandations sur l’organisation des ressources humaines et donne son avis sur les créations ou suppressions de structures.</w:t>
      </w:r>
    </w:p>
    <w:p w14:paraId="51F54B19" w14:textId="77777777" w:rsidR="002210A7" w:rsidRPr="00D11D21" w:rsidRDefault="002210A7" w:rsidP="00D11D21">
      <w:pPr>
        <w:pStyle w:val="Paragraphedeliste"/>
        <w:numPr>
          <w:ilvl w:val="0"/>
          <w:numId w:val="152"/>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Sous-direction des finances et des moyens</w:t>
      </w:r>
    </w:p>
    <w:p w14:paraId="4A4EE33C" w14:textId="77777777" w:rsidR="002210A7" w:rsidRPr="00D11D21" w:rsidRDefault="002210A7" w:rsidP="00D11D21">
      <w:pPr>
        <w:numPr>
          <w:ilvl w:val="0"/>
          <w:numId w:val="97"/>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Missions</w:t>
      </w:r>
      <w:r w:rsidRPr="00D11D21">
        <w:rPr>
          <w:rFonts w:asciiTheme="majorBidi" w:eastAsia="Times New Roman" w:hAnsiTheme="majorBidi" w:cstheme="majorBidi"/>
          <w:szCs w:val="24"/>
          <w:lang w:eastAsia="fr-FR"/>
        </w:rPr>
        <w:t xml:space="preserve"> : gestion du matériel, prévisions, commandes, emmagasinage.</w:t>
      </w:r>
    </w:p>
    <w:p w14:paraId="4F7056E1" w14:textId="77777777" w:rsidR="002210A7" w:rsidRPr="00D11D21" w:rsidRDefault="002210A7" w:rsidP="00D11D21">
      <w:pPr>
        <w:numPr>
          <w:ilvl w:val="0"/>
          <w:numId w:val="97"/>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Structures internes</w:t>
      </w:r>
      <w:r w:rsidRPr="00D11D21">
        <w:rPr>
          <w:rFonts w:asciiTheme="majorBidi" w:eastAsia="Times New Roman" w:hAnsiTheme="majorBidi" w:cstheme="majorBidi"/>
          <w:szCs w:val="24"/>
          <w:lang w:eastAsia="fr-FR"/>
        </w:rPr>
        <w:t xml:space="preserve"> :</w:t>
      </w:r>
    </w:p>
    <w:p w14:paraId="23C1C6AA" w14:textId="77777777" w:rsidR="002210A7" w:rsidRPr="00D11D21" w:rsidRDefault="002210A7" w:rsidP="00D11D21">
      <w:pPr>
        <w:numPr>
          <w:ilvl w:val="1"/>
          <w:numId w:val="97"/>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Bureau des infrastructures et équipements</w:t>
      </w:r>
      <w:r w:rsidRPr="00D11D21">
        <w:rPr>
          <w:rFonts w:asciiTheme="majorBidi" w:eastAsia="Times New Roman" w:hAnsiTheme="majorBidi" w:cstheme="majorBidi"/>
          <w:szCs w:val="24"/>
          <w:lang w:eastAsia="fr-FR"/>
        </w:rPr>
        <w:t xml:space="preserve"> : assure la gestion des structures sanitaires, le suivi du patrimoine, la vérification des registres de consommation.</w:t>
      </w:r>
    </w:p>
    <w:p w14:paraId="5BEF21D3" w14:textId="77777777" w:rsidR="002210A7" w:rsidRPr="00D11D21" w:rsidRDefault="002210A7" w:rsidP="00D11D21">
      <w:pPr>
        <w:numPr>
          <w:ilvl w:val="1"/>
          <w:numId w:val="97"/>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Bureau de l’économat</w:t>
      </w:r>
      <w:r w:rsidRPr="00D11D21">
        <w:rPr>
          <w:rFonts w:asciiTheme="majorBidi" w:eastAsia="Times New Roman" w:hAnsiTheme="majorBidi" w:cstheme="majorBidi"/>
          <w:szCs w:val="24"/>
          <w:lang w:eastAsia="fr-FR"/>
        </w:rPr>
        <w:t xml:space="preserve"> : responsable du magasin général, pharmacie, parc-auto, cuisine. Il gère les approvisionnements, l’achat de matériel, les coûts, les documents comptables.</w:t>
      </w:r>
    </w:p>
    <w:p w14:paraId="7FF19316" w14:textId="77777777" w:rsidR="002210A7" w:rsidRPr="00D11D21" w:rsidRDefault="002210A7" w:rsidP="00D11D21">
      <w:pPr>
        <w:numPr>
          <w:ilvl w:val="1"/>
          <w:numId w:val="97"/>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Centre de calcul (3COH)</w:t>
      </w:r>
      <w:r w:rsidRPr="00D11D21">
        <w:rPr>
          <w:rFonts w:asciiTheme="majorBidi" w:eastAsia="Times New Roman" w:hAnsiTheme="majorBidi" w:cstheme="majorBidi"/>
          <w:szCs w:val="24"/>
          <w:lang w:eastAsia="fr-FR"/>
        </w:rPr>
        <w:t xml:space="preserve"> : système informatisé de comptabilité hospitalière, assurant le traitement automatique des commandes, réceptions, stocks, etc.</w:t>
      </w:r>
    </w:p>
    <w:p w14:paraId="71A4A15C" w14:textId="77777777" w:rsidR="002210A7" w:rsidRPr="00D11D21" w:rsidRDefault="002210A7" w:rsidP="00D11D21">
      <w:pPr>
        <w:pStyle w:val="Paragraphedeliste"/>
        <w:numPr>
          <w:ilvl w:val="0"/>
          <w:numId w:val="153"/>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Sous-direction des activités sanitaires</w:t>
      </w:r>
    </w:p>
    <w:p w14:paraId="53CF35B1" w14:textId="77777777" w:rsidR="002210A7" w:rsidRPr="00D11D21" w:rsidRDefault="002210A7" w:rsidP="00D11D21">
      <w:pPr>
        <w:numPr>
          <w:ilvl w:val="0"/>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Objectif</w:t>
      </w:r>
      <w:r w:rsidRPr="00D11D21">
        <w:rPr>
          <w:rFonts w:asciiTheme="majorBidi" w:eastAsia="Times New Roman" w:hAnsiTheme="majorBidi" w:cstheme="majorBidi"/>
          <w:szCs w:val="24"/>
          <w:lang w:eastAsia="fr-FR"/>
        </w:rPr>
        <w:t xml:space="preserve"> : garantir l’accès aux soins pour tous les patients à travers une bonne coordination des ressources matérielles, humaines et médicamenteuses.</w:t>
      </w:r>
    </w:p>
    <w:p w14:paraId="4F4B9719" w14:textId="77777777" w:rsidR="002210A7" w:rsidRPr="00D11D21" w:rsidRDefault="002210A7" w:rsidP="00D11D21">
      <w:pPr>
        <w:numPr>
          <w:ilvl w:val="0"/>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Bureaux</w:t>
      </w:r>
      <w:r w:rsidRPr="00D11D21">
        <w:rPr>
          <w:rFonts w:asciiTheme="majorBidi" w:eastAsia="Times New Roman" w:hAnsiTheme="majorBidi" w:cstheme="majorBidi"/>
          <w:szCs w:val="24"/>
          <w:lang w:eastAsia="fr-FR"/>
        </w:rPr>
        <w:t xml:space="preserve"> :</w:t>
      </w:r>
    </w:p>
    <w:p w14:paraId="21F08515" w14:textId="77777777" w:rsidR="002210A7" w:rsidRPr="00D11D21" w:rsidRDefault="002210A7" w:rsidP="00D11D21">
      <w:pPr>
        <w:numPr>
          <w:ilvl w:val="1"/>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Prévention</w:t>
      </w:r>
      <w:r w:rsidRPr="00D11D21">
        <w:rPr>
          <w:rFonts w:asciiTheme="majorBidi" w:eastAsia="Times New Roman" w:hAnsiTheme="majorBidi" w:cstheme="majorBidi"/>
          <w:szCs w:val="24"/>
          <w:lang w:eastAsia="fr-FR"/>
        </w:rPr>
        <w:t xml:space="preserve"> : vaccination, épidémiologie, éducation sanitaire, hygiène.</w:t>
      </w:r>
    </w:p>
    <w:p w14:paraId="232E38CB" w14:textId="77777777" w:rsidR="002210A7" w:rsidRPr="00D11D21" w:rsidRDefault="002210A7" w:rsidP="00D11D21">
      <w:pPr>
        <w:numPr>
          <w:ilvl w:val="1"/>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Activités sanitaires</w:t>
      </w:r>
      <w:r w:rsidRPr="00D11D21">
        <w:rPr>
          <w:rFonts w:asciiTheme="majorBidi" w:eastAsia="Times New Roman" w:hAnsiTheme="majorBidi" w:cstheme="majorBidi"/>
          <w:szCs w:val="24"/>
          <w:lang w:eastAsia="fr-FR"/>
        </w:rPr>
        <w:t xml:space="preserve"> :</w:t>
      </w:r>
    </w:p>
    <w:p w14:paraId="3F458622" w14:textId="77777777" w:rsidR="002210A7" w:rsidRPr="00D11D21" w:rsidRDefault="002210A7" w:rsidP="00D11D21">
      <w:pPr>
        <w:numPr>
          <w:ilvl w:val="2"/>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Services médicaux</w:t>
      </w:r>
      <w:r w:rsidRPr="00D11D21">
        <w:rPr>
          <w:rFonts w:asciiTheme="majorBidi" w:eastAsia="Times New Roman" w:hAnsiTheme="majorBidi" w:cstheme="majorBidi"/>
          <w:szCs w:val="24"/>
          <w:lang w:eastAsia="fr-FR"/>
        </w:rPr>
        <w:t xml:space="preserve"> : hémodialyse, néphrologie, réanimation, orthopédie, ophtalmologie, ORL, neurochirurgie, chirurgie générale, médecine interne, pneumologie, maladies infectieuses, oncologie, cardiologie.</w:t>
      </w:r>
    </w:p>
    <w:p w14:paraId="69379DA4" w14:textId="77777777" w:rsidR="002210A7" w:rsidRPr="00D11D21" w:rsidRDefault="002210A7" w:rsidP="00D11D21">
      <w:pPr>
        <w:numPr>
          <w:ilvl w:val="2"/>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Plateau technique</w:t>
      </w:r>
      <w:r w:rsidRPr="00D11D21">
        <w:rPr>
          <w:rFonts w:asciiTheme="majorBidi" w:eastAsia="Times New Roman" w:hAnsiTheme="majorBidi" w:cstheme="majorBidi"/>
          <w:szCs w:val="24"/>
          <w:lang w:eastAsia="fr-FR"/>
        </w:rPr>
        <w:t xml:space="preserve"> : radiologie, laboratoire, pharmacie, urgences médico-chirurgicales.</w:t>
      </w:r>
    </w:p>
    <w:p w14:paraId="15A78DDF" w14:textId="77777777" w:rsidR="002210A7" w:rsidRPr="00D11D21" w:rsidRDefault="002210A7" w:rsidP="00D11D21">
      <w:pPr>
        <w:numPr>
          <w:ilvl w:val="2"/>
          <w:numId w:val="98"/>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Missions</w:t>
      </w:r>
      <w:r w:rsidRPr="00D11D21">
        <w:rPr>
          <w:rFonts w:asciiTheme="majorBidi" w:eastAsia="Times New Roman" w:hAnsiTheme="majorBidi" w:cstheme="majorBidi"/>
          <w:szCs w:val="24"/>
          <w:lang w:eastAsia="fr-FR"/>
        </w:rPr>
        <w:t xml:space="preserve"> : organisation des consultations, accueil, prise en charge du patient.</w:t>
      </w:r>
    </w:p>
    <w:p w14:paraId="57FA7010" w14:textId="77777777" w:rsidR="002210A7" w:rsidRPr="00D11D21" w:rsidRDefault="002210A7" w:rsidP="00D11D21">
      <w:pPr>
        <w:pStyle w:val="Paragraphedeliste"/>
        <w:numPr>
          <w:ilvl w:val="0"/>
          <w:numId w:val="154"/>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Sous-direction de l’administration des moyens (SDAM)</w:t>
      </w:r>
    </w:p>
    <w:p w14:paraId="3DA9FDAA" w14:textId="77777777" w:rsidR="002210A7" w:rsidRPr="00D11D21" w:rsidRDefault="002210A7" w:rsidP="00D11D21">
      <w:pPr>
        <w:numPr>
          <w:ilvl w:val="0"/>
          <w:numId w:val="99"/>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Rôle</w:t>
      </w:r>
      <w:r w:rsidRPr="00D11D21">
        <w:rPr>
          <w:rFonts w:asciiTheme="majorBidi" w:eastAsia="Times New Roman" w:hAnsiTheme="majorBidi" w:cstheme="majorBidi"/>
          <w:szCs w:val="24"/>
          <w:lang w:eastAsia="fr-FR"/>
        </w:rPr>
        <w:t xml:space="preserve"> : gestion des ressources humaines et financières.</w:t>
      </w:r>
    </w:p>
    <w:p w14:paraId="3D753328" w14:textId="77777777" w:rsidR="002210A7" w:rsidRPr="00D11D21" w:rsidRDefault="002210A7" w:rsidP="00D11D21">
      <w:pPr>
        <w:numPr>
          <w:ilvl w:val="0"/>
          <w:numId w:val="99"/>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lastRenderedPageBreak/>
        <w:t>Bureaux</w:t>
      </w:r>
      <w:r w:rsidRPr="00D11D21">
        <w:rPr>
          <w:rFonts w:asciiTheme="majorBidi" w:eastAsia="Times New Roman" w:hAnsiTheme="majorBidi" w:cstheme="majorBidi"/>
          <w:szCs w:val="24"/>
          <w:lang w:eastAsia="fr-FR"/>
        </w:rPr>
        <w:t xml:space="preserve"> :</w:t>
      </w:r>
    </w:p>
    <w:p w14:paraId="54385B8C" w14:textId="77777777" w:rsidR="002210A7" w:rsidRPr="00D11D21" w:rsidRDefault="002210A7" w:rsidP="00D11D21">
      <w:pPr>
        <w:numPr>
          <w:ilvl w:val="1"/>
          <w:numId w:val="99"/>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Gestion du budget</w:t>
      </w:r>
      <w:r w:rsidRPr="00D11D21">
        <w:rPr>
          <w:rFonts w:asciiTheme="majorBidi" w:eastAsia="Times New Roman" w:hAnsiTheme="majorBidi" w:cstheme="majorBidi"/>
          <w:szCs w:val="24"/>
          <w:lang w:eastAsia="fr-FR"/>
        </w:rPr>
        <w:t xml:space="preserve"> : élaboration et exécution budgétaire, tenue comptable, analyse des coûts.</w:t>
      </w:r>
    </w:p>
    <w:p w14:paraId="111CF7C8" w14:textId="77777777" w:rsidR="002210A7" w:rsidRPr="00D11D21" w:rsidRDefault="002210A7" w:rsidP="00D11D21">
      <w:pPr>
        <w:numPr>
          <w:ilvl w:val="1"/>
          <w:numId w:val="99"/>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Gestion des ressources humaines</w:t>
      </w:r>
      <w:r w:rsidRPr="00D11D21">
        <w:rPr>
          <w:rFonts w:asciiTheme="majorBidi" w:eastAsia="Times New Roman" w:hAnsiTheme="majorBidi" w:cstheme="majorBidi"/>
          <w:szCs w:val="24"/>
          <w:lang w:eastAsia="fr-FR"/>
        </w:rPr>
        <w:t xml:space="preserve"> : gestion des carrières, mouvement du personnel, suivi des effectifs, traitement et salaires, formation continue.</w:t>
      </w:r>
    </w:p>
    <w:p w14:paraId="1F5A790B" w14:textId="77777777" w:rsidR="002210A7" w:rsidRPr="00D11D21" w:rsidRDefault="002210A7" w:rsidP="00D11D21">
      <w:pPr>
        <w:pStyle w:val="Paragraphedeliste"/>
        <w:numPr>
          <w:ilvl w:val="0"/>
          <w:numId w:val="155"/>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Sous-direction de la maintenance médicale</w:t>
      </w:r>
    </w:p>
    <w:p w14:paraId="6CE2561D" w14:textId="77777777" w:rsidR="00D42DC8" w:rsidRPr="00D11D21" w:rsidRDefault="002210A7" w:rsidP="00D11D21">
      <w:pPr>
        <w:numPr>
          <w:ilvl w:val="0"/>
          <w:numId w:val="100"/>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Responsabilités</w:t>
      </w:r>
      <w:r w:rsidRPr="00D11D21">
        <w:rPr>
          <w:rFonts w:asciiTheme="majorBidi" w:eastAsia="Times New Roman" w:hAnsiTheme="majorBidi" w:cstheme="majorBidi"/>
          <w:szCs w:val="24"/>
          <w:lang w:eastAsia="fr-FR"/>
        </w:rPr>
        <w:t xml:space="preserve"> : entretien et réparation du matériel médical, approvisionnement en équipements, gestion des factures, installation et maintenance des dispositifs médicaux.</w:t>
      </w:r>
    </w:p>
    <w:p w14:paraId="420E7C70" w14:textId="77777777" w:rsidR="00D42DC8" w:rsidRPr="00D11D21" w:rsidRDefault="002210A7" w:rsidP="00D11D21">
      <w:pPr>
        <w:pStyle w:val="Titre2"/>
        <w:rPr>
          <w:rFonts w:asciiTheme="majorBidi" w:eastAsia="Times New Roman" w:hAnsiTheme="majorBidi"/>
          <w:szCs w:val="24"/>
        </w:rPr>
      </w:pPr>
      <w:bookmarkStart w:id="136" w:name="_Toc199958900"/>
      <w:r w:rsidRPr="00D11D21">
        <w:rPr>
          <w:rFonts w:asciiTheme="majorBidi" w:hAnsiTheme="majorBidi"/>
          <w:szCs w:val="24"/>
        </w:rPr>
        <w:t>Présentation de la caisse de sécurité sociale (CNAS) – Direction Générale :</w:t>
      </w:r>
      <w:bookmarkEnd w:id="136"/>
    </w:p>
    <w:p w14:paraId="40C8AFBA" w14:textId="5C2638FB"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37" w:name="_Toc199958901"/>
      <w:r w:rsidRPr="00D11D21">
        <w:rPr>
          <w:rFonts w:asciiTheme="majorBidi" w:hAnsiTheme="majorBidi" w:cstheme="majorBidi"/>
          <w:szCs w:val="24"/>
        </w:rPr>
        <w:t>Historique et cadre juridique</w:t>
      </w:r>
      <w:bookmarkEnd w:id="137"/>
    </w:p>
    <w:p w14:paraId="6E0A40A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Caisse Nationale des Assurances Sociales des Travailleurs Salariés (CNAS) est un établissement public à gestion spécifique, doté de la personnalité morale et de l’autonomie financière, créée officiellement en 1988 conformément à la loi n°88-01 du 12 janvier 1988. Elle relève de la tutelle du Ministère du Travail, de l’Emploi et de la Sécurité Sociale.</w:t>
      </w:r>
    </w:p>
    <w:p w14:paraId="1A5EDE2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CNAS résulte d’un processus de modernisation du système de sécurité sociale algérien engagé dès 1983 avec la promulgation de la loi n°83-11 relative aux assurances sociales. Depuis 1992, elle fonctionne en toute autonomie administrative et financière, tout en jouant un rôle central dans le financement du système national de santé.</w:t>
      </w:r>
    </w:p>
    <w:p w14:paraId="447C1F8E" w14:textId="6127BD69"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38" w:name="_Toc199958902"/>
      <w:r w:rsidRPr="00D11D21">
        <w:rPr>
          <w:rFonts w:asciiTheme="majorBidi" w:hAnsiTheme="majorBidi" w:cstheme="majorBidi"/>
          <w:szCs w:val="24"/>
        </w:rPr>
        <w:t>Missions et objectifs</w:t>
      </w:r>
      <w:bookmarkEnd w:id="138"/>
    </w:p>
    <w:p w14:paraId="68D371A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CNAS a pour mission principale de protéger les travailleurs salariés contre les risques sociaux (maladie, maternité, invalidité, accidents de travail, maladies professionnelles) à travers :</w:t>
      </w:r>
    </w:p>
    <w:p w14:paraId="12BD4462" w14:textId="77777777" w:rsidR="002210A7" w:rsidRPr="00D11D21" w:rsidRDefault="002210A7" w:rsidP="00D11D21">
      <w:pPr>
        <w:numPr>
          <w:ilvl w:val="0"/>
          <w:numId w:val="101"/>
        </w:numPr>
        <w:jc w:val="both"/>
        <w:rPr>
          <w:rFonts w:asciiTheme="majorBidi" w:hAnsiTheme="majorBidi" w:cstheme="majorBidi"/>
          <w:szCs w:val="24"/>
        </w:rPr>
      </w:pPr>
      <w:r w:rsidRPr="00D11D21">
        <w:rPr>
          <w:rFonts w:asciiTheme="majorBidi" w:hAnsiTheme="majorBidi" w:cstheme="majorBidi"/>
          <w:szCs w:val="24"/>
        </w:rPr>
        <w:t>La couverture des soins et remboursement des frais médicaux,</w:t>
      </w:r>
    </w:p>
    <w:p w14:paraId="01F5161B" w14:textId="77777777" w:rsidR="002210A7" w:rsidRPr="00D11D21" w:rsidRDefault="002210A7" w:rsidP="00D11D21">
      <w:pPr>
        <w:numPr>
          <w:ilvl w:val="0"/>
          <w:numId w:val="101"/>
        </w:numPr>
        <w:jc w:val="both"/>
        <w:rPr>
          <w:rFonts w:asciiTheme="majorBidi" w:hAnsiTheme="majorBidi" w:cstheme="majorBidi"/>
          <w:szCs w:val="24"/>
        </w:rPr>
      </w:pPr>
      <w:r w:rsidRPr="00D11D21">
        <w:rPr>
          <w:rFonts w:asciiTheme="majorBidi" w:hAnsiTheme="majorBidi" w:cstheme="majorBidi"/>
          <w:szCs w:val="24"/>
        </w:rPr>
        <w:t>Le versement d’allocations (familiales, journalières, pensions),</w:t>
      </w:r>
    </w:p>
    <w:p w14:paraId="325DCD9F" w14:textId="77777777" w:rsidR="002210A7" w:rsidRPr="00D11D21" w:rsidRDefault="002210A7" w:rsidP="00D11D21">
      <w:pPr>
        <w:numPr>
          <w:ilvl w:val="0"/>
          <w:numId w:val="101"/>
        </w:numPr>
        <w:jc w:val="both"/>
        <w:rPr>
          <w:rFonts w:asciiTheme="majorBidi" w:hAnsiTheme="majorBidi" w:cstheme="majorBidi"/>
          <w:szCs w:val="24"/>
        </w:rPr>
      </w:pPr>
      <w:r w:rsidRPr="00D11D21">
        <w:rPr>
          <w:rFonts w:asciiTheme="majorBidi" w:hAnsiTheme="majorBidi" w:cstheme="majorBidi"/>
          <w:szCs w:val="24"/>
        </w:rPr>
        <w:t>Le recouvrement des cotisations sociales,</w:t>
      </w:r>
    </w:p>
    <w:p w14:paraId="53A60F00" w14:textId="77777777" w:rsidR="002210A7" w:rsidRPr="00D11D21" w:rsidRDefault="002210A7" w:rsidP="00D11D21">
      <w:pPr>
        <w:numPr>
          <w:ilvl w:val="0"/>
          <w:numId w:val="101"/>
        </w:numPr>
        <w:jc w:val="both"/>
        <w:rPr>
          <w:rFonts w:asciiTheme="majorBidi" w:hAnsiTheme="majorBidi" w:cstheme="majorBidi"/>
          <w:szCs w:val="24"/>
        </w:rPr>
      </w:pPr>
      <w:r w:rsidRPr="00D11D21">
        <w:rPr>
          <w:rFonts w:asciiTheme="majorBidi" w:hAnsiTheme="majorBidi" w:cstheme="majorBidi"/>
          <w:szCs w:val="24"/>
        </w:rPr>
        <w:t>Le financement direct du système de santé via la contractualisation avec les établissements de santé publics,</w:t>
      </w:r>
    </w:p>
    <w:p w14:paraId="249A535C" w14:textId="77777777" w:rsidR="002210A7" w:rsidRPr="00D11D21" w:rsidRDefault="002210A7" w:rsidP="00D11D21">
      <w:pPr>
        <w:numPr>
          <w:ilvl w:val="0"/>
          <w:numId w:val="101"/>
        </w:numPr>
        <w:jc w:val="both"/>
        <w:rPr>
          <w:rFonts w:asciiTheme="majorBidi" w:hAnsiTheme="majorBidi" w:cstheme="majorBidi"/>
          <w:szCs w:val="24"/>
        </w:rPr>
      </w:pPr>
      <w:r w:rsidRPr="00D11D21">
        <w:rPr>
          <w:rFonts w:asciiTheme="majorBidi" w:hAnsiTheme="majorBidi" w:cstheme="majorBidi"/>
          <w:szCs w:val="24"/>
        </w:rPr>
        <w:t>La modernisation de la gestion par l’usage d’outils numériques, notamment la carte électronique « CHIFA »,</w:t>
      </w:r>
    </w:p>
    <w:p w14:paraId="4F7CBA86" w14:textId="77777777" w:rsidR="002210A7" w:rsidRPr="00D11D21" w:rsidRDefault="002210A7" w:rsidP="00D11D21">
      <w:pPr>
        <w:numPr>
          <w:ilvl w:val="0"/>
          <w:numId w:val="101"/>
        </w:numPr>
        <w:jc w:val="both"/>
        <w:rPr>
          <w:rFonts w:asciiTheme="majorBidi" w:hAnsiTheme="majorBidi" w:cstheme="majorBidi"/>
          <w:szCs w:val="24"/>
        </w:rPr>
      </w:pPr>
      <w:r w:rsidRPr="00D11D21">
        <w:rPr>
          <w:rFonts w:asciiTheme="majorBidi" w:hAnsiTheme="majorBidi" w:cstheme="majorBidi"/>
          <w:szCs w:val="24"/>
        </w:rPr>
        <w:lastRenderedPageBreak/>
        <w:t>La garantie de l’équité d’accès aux prestations sociales.</w:t>
      </w:r>
    </w:p>
    <w:p w14:paraId="7F0C992B" w14:textId="72019F3A"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39" w:name="_Toc199958903"/>
      <w:r w:rsidRPr="00D11D21">
        <w:rPr>
          <w:rFonts w:asciiTheme="majorBidi" w:hAnsiTheme="majorBidi" w:cstheme="majorBidi"/>
          <w:szCs w:val="24"/>
        </w:rPr>
        <w:t>Organisation territoriale</w:t>
      </w:r>
      <w:bookmarkEnd w:id="139"/>
    </w:p>
    <w:p w14:paraId="215CF57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Pour assurer la proximité et l'efficacité de ses services, la CNAS dispose :</w:t>
      </w:r>
    </w:p>
    <w:p w14:paraId="0640BC68" w14:textId="77777777" w:rsidR="002210A7" w:rsidRPr="00D11D21" w:rsidRDefault="002210A7" w:rsidP="00D11D21">
      <w:pPr>
        <w:numPr>
          <w:ilvl w:val="0"/>
          <w:numId w:val="102"/>
        </w:numPr>
        <w:jc w:val="both"/>
        <w:rPr>
          <w:rFonts w:asciiTheme="majorBidi" w:hAnsiTheme="majorBidi" w:cstheme="majorBidi"/>
          <w:szCs w:val="24"/>
        </w:rPr>
      </w:pPr>
      <w:r w:rsidRPr="00D11D21">
        <w:rPr>
          <w:rFonts w:asciiTheme="majorBidi" w:hAnsiTheme="majorBidi" w:cstheme="majorBidi"/>
          <w:szCs w:val="24"/>
        </w:rPr>
        <w:t xml:space="preserve">D’un siège national à Ben </w:t>
      </w:r>
      <w:proofErr w:type="spellStart"/>
      <w:r w:rsidRPr="00D11D21">
        <w:rPr>
          <w:rFonts w:asciiTheme="majorBidi" w:hAnsiTheme="majorBidi" w:cstheme="majorBidi"/>
          <w:szCs w:val="24"/>
        </w:rPr>
        <w:t>Aknoun</w:t>
      </w:r>
      <w:proofErr w:type="spellEnd"/>
      <w:r w:rsidRPr="00D11D21">
        <w:rPr>
          <w:rFonts w:asciiTheme="majorBidi" w:hAnsiTheme="majorBidi" w:cstheme="majorBidi"/>
          <w:szCs w:val="24"/>
        </w:rPr>
        <w:t xml:space="preserve"> (Alger),</w:t>
      </w:r>
    </w:p>
    <w:p w14:paraId="7C8898C6" w14:textId="77777777" w:rsidR="002210A7" w:rsidRPr="00D11D21" w:rsidRDefault="002210A7" w:rsidP="00D11D21">
      <w:pPr>
        <w:numPr>
          <w:ilvl w:val="0"/>
          <w:numId w:val="102"/>
        </w:numPr>
        <w:jc w:val="both"/>
        <w:rPr>
          <w:rFonts w:asciiTheme="majorBidi" w:hAnsiTheme="majorBidi" w:cstheme="majorBidi"/>
          <w:szCs w:val="24"/>
        </w:rPr>
      </w:pPr>
      <w:r w:rsidRPr="00D11D21">
        <w:rPr>
          <w:rFonts w:asciiTheme="majorBidi" w:hAnsiTheme="majorBidi" w:cstheme="majorBidi"/>
          <w:szCs w:val="24"/>
        </w:rPr>
        <w:t xml:space="preserve">De </w:t>
      </w:r>
      <w:r w:rsidRPr="00D11D21">
        <w:rPr>
          <w:rFonts w:asciiTheme="majorBidi" w:hAnsiTheme="majorBidi" w:cstheme="majorBidi"/>
          <w:b/>
          <w:bCs/>
          <w:szCs w:val="24"/>
        </w:rPr>
        <w:t>48 agences de wilaya</w:t>
      </w:r>
      <w:r w:rsidRPr="00D11D21">
        <w:rPr>
          <w:rFonts w:asciiTheme="majorBidi" w:hAnsiTheme="majorBidi" w:cstheme="majorBidi"/>
          <w:szCs w:val="24"/>
        </w:rPr>
        <w:t xml:space="preserve"> couvrant l’ensemble du territoire national,</w:t>
      </w:r>
    </w:p>
    <w:p w14:paraId="1F59F093" w14:textId="77777777" w:rsidR="002210A7" w:rsidRPr="00D11D21" w:rsidRDefault="002210A7" w:rsidP="00D11D21">
      <w:pPr>
        <w:numPr>
          <w:ilvl w:val="0"/>
          <w:numId w:val="102"/>
        </w:numPr>
        <w:jc w:val="both"/>
        <w:rPr>
          <w:rFonts w:asciiTheme="majorBidi" w:hAnsiTheme="majorBidi" w:cstheme="majorBidi"/>
          <w:szCs w:val="24"/>
        </w:rPr>
      </w:pPr>
      <w:r w:rsidRPr="00D11D21">
        <w:rPr>
          <w:rFonts w:asciiTheme="majorBidi" w:hAnsiTheme="majorBidi" w:cstheme="majorBidi"/>
          <w:szCs w:val="24"/>
        </w:rPr>
        <w:t xml:space="preserve">De </w:t>
      </w:r>
      <w:r w:rsidRPr="00D11D21">
        <w:rPr>
          <w:rFonts w:asciiTheme="majorBidi" w:hAnsiTheme="majorBidi" w:cstheme="majorBidi"/>
          <w:b/>
          <w:bCs/>
          <w:szCs w:val="24"/>
        </w:rPr>
        <w:t>839 structures de paiement</w:t>
      </w:r>
      <w:r w:rsidRPr="00D11D21">
        <w:rPr>
          <w:rFonts w:asciiTheme="majorBidi" w:hAnsiTheme="majorBidi" w:cstheme="majorBidi"/>
          <w:szCs w:val="24"/>
        </w:rPr>
        <w:t xml:space="preserve"> (centres principaux et annexes),</w:t>
      </w:r>
    </w:p>
    <w:p w14:paraId="586EE8A1" w14:textId="77777777" w:rsidR="002210A7" w:rsidRPr="00D11D21" w:rsidRDefault="002210A7" w:rsidP="00D11D21">
      <w:pPr>
        <w:numPr>
          <w:ilvl w:val="0"/>
          <w:numId w:val="102"/>
        </w:numPr>
        <w:jc w:val="both"/>
        <w:rPr>
          <w:rFonts w:asciiTheme="majorBidi" w:hAnsiTheme="majorBidi" w:cstheme="majorBidi"/>
          <w:szCs w:val="24"/>
        </w:rPr>
      </w:pPr>
      <w:r w:rsidRPr="00D11D21">
        <w:rPr>
          <w:rFonts w:asciiTheme="majorBidi" w:hAnsiTheme="majorBidi" w:cstheme="majorBidi"/>
          <w:szCs w:val="24"/>
        </w:rPr>
        <w:t>D’antennes spécifiques pour les grandes entreprises,</w:t>
      </w:r>
    </w:p>
    <w:p w14:paraId="31DF4F4B" w14:textId="77777777" w:rsidR="002210A7" w:rsidRPr="00D11D21" w:rsidRDefault="002210A7" w:rsidP="00D11D21">
      <w:pPr>
        <w:numPr>
          <w:ilvl w:val="0"/>
          <w:numId w:val="102"/>
        </w:numPr>
        <w:jc w:val="both"/>
        <w:rPr>
          <w:rFonts w:asciiTheme="majorBidi" w:hAnsiTheme="majorBidi" w:cstheme="majorBidi"/>
          <w:szCs w:val="24"/>
        </w:rPr>
      </w:pPr>
      <w:r w:rsidRPr="00D11D21">
        <w:rPr>
          <w:rFonts w:asciiTheme="majorBidi" w:hAnsiTheme="majorBidi" w:cstheme="majorBidi"/>
          <w:szCs w:val="24"/>
        </w:rPr>
        <w:t>De structures sanitaires affiliées (cliniques, centres de diagnostic, pharmacies sociales…).</w:t>
      </w:r>
    </w:p>
    <w:p w14:paraId="5EF1ABD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Cette organisation permet à la CNAS de remplir efficacement ses missions, en assurant l’accessibilité et l’équité pour tous les assurés sociaux.</w:t>
      </w:r>
    </w:p>
    <w:p w14:paraId="45105DCF" w14:textId="4DAB1B91" w:rsidR="00E91AB9" w:rsidRPr="00D11D21" w:rsidRDefault="00E91AB9" w:rsidP="00D11D21">
      <w:pPr>
        <w:pStyle w:val="Lgende"/>
        <w:keepNext/>
        <w:spacing w:line="360" w:lineRule="auto"/>
        <w:jc w:val="both"/>
        <w:rPr>
          <w:rFonts w:asciiTheme="majorBidi" w:hAnsiTheme="majorBidi" w:cstheme="majorBidi"/>
          <w:color w:val="auto"/>
          <w:sz w:val="24"/>
          <w:szCs w:val="24"/>
        </w:rPr>
      </w:pPr>
      <w:bookmarkStart w:id="140" w:name="_Toc200210073"/>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Organigramme de la Direction Générale de la CNAS</w:t>
      </w:r>
      <w:bookmarkEnd w:id="140"/>
    </w:p>
    <w:p w14:paraId="7A7ACC2F"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noProof/>
          <w:szCs w:val="24"/>
          <w:lang w:eastAsia="fr-FR"/>
        </w:rPr>
        <w:drawing>
          <wp:inline distT="0" distB="0" distL="0" distR="0" wp14:anchorId="6465528E" wp14:editId="1E1D0607">
            <wp:extent cx="6421120" cy="3771900"/>
            <wp:effectExtent l="0" t="0" r="0" b="0"/>
            <wp:docPr id="129" name="Imag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21120" cy="3771900"/>
                    </a:xfrm>
                    <a:prstGeom prst="rect">
                      <a:avLst/>
                    </a:prstGeom>
                    <a:noFill/>
                  </pic:spPr>
                </pic:pic>
              </a:graphicData>
            </a:graphic>
          </wp:inline>
        </w:drawing>
      </w:r>
    </w:p>
    <w:p w14:paraId="53F82374" w14:textId="77777777" w:rsidR="002210A7" w:rsidRPr="00D11D21" w:rsidRDefault="002210A7" w:rsidP="00D11D21">
      <w:pPr>
        <w:jc w:val="both"/>
        <w:rPr>
          <w:rFonts w:asciiTheme="majorBidi" w:hAnsiTheme="majorBidi" w:cstheme="majorBidi"/>
          <w:b/>
          <w:bCs/>
          <w:szCs w:val="24"/>
        </w:rPr>
      </w:pPr>
    </w:p>
    <w:p w14:paraId="7175070F"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w:t>
      </w:r>
      <w:r w:rsidRPr="00D11D21">
        <w:rPr>
          <w:rFonts w:asciiTheme="majorBidi" w:hAnsiTheme="majorBidi" w:cstheme="majorBidi"/>
          <w:b/>
          <w:bCs/>
          <w:szCs w:val="24"/>
        </w:rPr>
        <w:t xml:space="preserve">Caisse nationale des assurances sociales (CNAS), site officiel : </w:t>
      </w:r>
      <w:hyperlink r:id="rId19" w:tgtFrame="_new" w:history="1">
        <w:r w:rsidRPr="00D11D21">
          <w:rPr>
            <w:rStyle w:val="Lienhypertexte"/>
            <w:rFonts w:asciiTheme="majorBidi" w:hAnsiTheme="majorBidi" w:cstheme="majorBidi"/>
            <w:szCs w:val="24"/>
          </w:rPr>
          <w:t>https://www.cnas.dz/</w:t>
        </w:r>
      </w:hyperlink>
    </w:p>
    <w:p w14:paraId="319CB633" w14:textId="1CA6AD23"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41" w:name="_Toc199958904"/>
      <w:r w:rsidRPr="00D11D21">
        <w:rPr>
          <w:rFonts w:asciiTheme="majorBidi" w:hAnsiTheme="majorBidi" w:cstheme="majorBidi"/>
          <w:szCs w:val="24"/>
        </w:rPr>
        <w:t>Organisation structurelle de la Direction Générale</w:t>
      </w:r>
      <w:bookmarkEnd w:id="141"/>
    </w:p>
    <w:p w14:paraId="64067DCB"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lastRenderedPageBreak/>
        <w:t>La CNAS est administrée par un Conseil d’Administration et dirigée par une Direction Générale regroupant plusieurs directions fonctionnelles clés :</w:t>
      </w:r>
    </w:p>
    <w:p w14:paraId="6814C895"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des Prestations</w:t>
      </w:r>
      <w:r w:rsidRPr="00D11D21">
        <w:rPr>
          <w:rFonts w:asciiTheme="majorBidi" w:eastAsia="Times New Roman" w:hAnsiTheme="majorBidi" w:cstheme="majorBidi"/>
          <w:szCs w:val="24"/>
          <w:lang w:eastAsia="fr-FR"/>
        </w:rPr>
        <w:t xml:space="preserve"> : gestion des remboursements, indemnités, conventions avec établissements de soins.</w:t>
      </w:r>
    </w:p>
    <w:p w14:paraId="005FF54B"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du Recouvrement et du Contentieux</w:t>
      </w:r>
      <w:r w:rsidRPr="00D11D21">
        <w:rPr>
          <w:rFonts w:asciiTheme="majorBidi" w:eastAsia="Times New Roman" w:hAnsiTheme="majorBidi" w:cstheme="majorBidi"/>
          <w:szCs w:val="24"/>
          <w:lang w:eastAsia="fr-FR"/>
        </w:rPr>
        <w:t xml:space="preserve"> : collecte des cotisations, gestion des litiges liés au recouvrement.</w:t>
      </w:r>
    </w:p>
    <w:p w14:paraId="7C51E6B4"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du Contrôle Médical</w:t>
      </w:r>
      <w:r w:rsidRPr="00D11D21">
        <w:rPr>
          <w:rFonts w:asciiTheme="majorBidi" w:eastAsia="Times New Roman" w:hAnsiTheme="majorBidi" w:cstheme="majorBidi"/>
          <w:szCs w:val="24"/>
          <w:lang w:eastAsia="fr-FR"/>
        </w:rPr>
        <w:t xml:space="preserve"> : contrôle des arrêts maladie, validation des prestations médicales, évaluation des incapacités.</w:t>
      </w:r>
    </w:p>
    <w:p w14:paraId="6D0C8AE4"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des Opérations Financières</w:t>
      </w:r>
      <w:r w:rsidRPr="00D11D21">
        <w:rPr>
          <w:rFonts w:asciiTheme="majorBidi" w:eastAsia="Times New Roman" w:hAnsiTheme="majorBidi" w:cstheme="majorBidi"/>
          <w:szCs w:val="24"/>
          <w:lang w:eastAsia="fr-FR"/>
        </w:rPr>
        <w:t xml:space="preserve"> : préparation et exécution du budget, gestion de la comptabilité générale.</w:t>
      </w:r>
    </w:p>
    <w:p w14:paraId="15392CAA"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des Ressources Humaines</w:t>
      </w:r>
      <w:r w:rsidRPr="00D11D21">
        <w:rPr>
          <w:rFonts w:asciiTheme="majorBidi" w:eastAsia="Times New Roman" w:hAnsiTheme="majorBidi" w:cstheme="majorBidi"/>
          <w:szCs w:val="24"/>
          <w:lang w:eastAsia="fr-FR"/>
        </w:rPr>
        <w:t xml:space="preserve"> : gestion des carrières, formation, œuvres sociales.</w:t>
      </w:r>
    </w:p>
    <w:p w14:paraId="4D733585"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 la Modernisation et des Systèmes d’Information</w:t>
      </w:r>
      <w:r w:rsidRPr="00D11D21">
        <w:rPr>
          <w:rFonts w:asciiTheme="majorBidi" w:eastAsia="Times New Roman" w:hAnsiTheme="majorBidi" w:cstheme="majorBidi"/>
          <w:szCs w:val="24"/>
          <w:lang w:eastAsia="fr-FR"/>
        </w:rPr>
        <w:t xml:space="preserve"> : développement et sécurisation des systèmes numériques (dont la carte CHIFA).</w:t>
      </w:r>
    </w:p>
    <w:p w14:paraId="57D91F42"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 l’Action Sanitaire et Sociale</w:t>
      </w:r>
      <w:r w:rsidRPr="00D11D21">
        <w:rPr>
          <w:rFonts w:asciiTheme="majorBidi" w:eastAsia="Times New Roman" w:hAnsiTheme="majorBidi" w:cstheme="majorBidi"/>
          <w:szCs w:val="24"/>
          <w:lang w:eastAsia="fr-FR"/>
        </w:rPr>
        <w:t xml:space="preserve"> : actions de prévention, prise en charge du handicap, accompagnement social.</w:t>
      </w:r>
    </w:p>
    <w:p w14:paraId="3F910F0D"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des Études, Statistiques et Organisation</w:t>
      </w:r>
      <w:r w:rsidRPr="00D11D21">
        <w:rPr>
          <w:rFonts w:asciiTheme="majorBidi" w:eastAsia="Times New Roman" w:hAnsiTheme="majorBidi" w:cstheme="majorBidi"/>
          <w:szCs w:val="24"/>
          <w:lang w:eastAsia="fr-FR"/>
        </w:rPr>
        <w:t xml:space="preserve"> : analyses actuarielles, production des indicateurs, suivi des performances.</w:t>
      </w:r>
    </w:p>
    <w:p w14:paraId="3AFB4B07"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 la Prévention des AT/MP</w:t>
      </w:r>
      <w:r w:rsidRPr="00D11D21">
        <w:rPr>
          <w:rFonts w:asciiTheme="majorBidi" w:eastAsia="Times New Roman" w:hAnsiTheme="majorBidi" w:cstheme="majorBidi"/>
          <w:szCs w:val="24"/>
          <w:lang w:eastAsia="fr-FR"/>
        </w:rPr>
        <w:t xml:space="preserve"> : prévention des risques professionnels, analyse des données des accidents.</w:t>
      </w:r>
    </w:p>
    <w:p w14:paraId="557A1532"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des Réalisations et Moyens Généraux</w:t>
      </w:r>
      <w:r w:rsidRPr="00D11D21">
        <w:rPr>
          <w:rFonts w:asciiTheme="majorBidi" w:eastAsia="Times New Roman" w:hAnsiTheme="majorBidi" w:cstheme="majorBidi"/>
          <w:szCs w:val="24"/>
          <w:lang w:eastAsia="fr-FR"/>
        </w:rPr>
        <w:t xml:space="preserve"> : gestion des équipements, infrastructures, et marchés publics.</w:t>
      </w:r>
    </w:p>
    <w:p w14:paraId="478C0E35" w14:textId="77777777" w:rsidR="002210A7" w:rsidRPr="00D11D21" w:rsidRDefault="002210A7" w:rsidP="00D11D21">
      <w:pPr>
        <w:numPr>
          <w:ilvl w:val="0"/>
          <w:numId w:val="103"/>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Direction de l’Inspection Générale</w:t>
      </w:r>
      <w:r w:rsidRPr="00D11D21">
        <w:rPr>
          <w:rFonts w:asciiTheme="majorBidi" w:eastAsia="Times New Roman" w:hAnsiTheme="majorBidi" w:cstheme="majorBidi"/>
          <w:szCs w:val="24"/>
          <w:lang w:eastAsia="fr-FR"/>
        </w:rPr>
        <w:t xml:space="preserve"> : audit interne, contrôle de conformité, évaluation régulière des agences.</w:t>
      </w:r>
    </w:p>
    <w:p w14:paraId="6309E86F" w14:textId="77777777" w:rsidR="002210A7" w:rsidRPr="00D11D21" w:rsidRDefault="002210A7" w:rsidP="00D11D21">
      <w:pPr>
        <w:pStyle w:val="Paragraphedeliste"/>
        <w:numPr>
          <w:ilvl w:val="0"/>
          <w:numId w:val="50"/>
        </w:numPr>
        <w:spacing w:before="100" w:beforeAutospacing="1" w:after="100" w:afterAutospacing="1" w:line="360" w:lineRule="auto"/>
        <w:jc w:val="both"/>
        <w:outlineLvl w:val="3"/>
        <w:rPr>
          <w:rFonts w:asciiTheme="majorBidi" w:eastAsia="Times New Roman" w:hAnsiTheme="majorBidi" w:cstheme="majorBidi"/>
          <w:b/>
          <w:bCs/>
          <w:szCs w:val="24"/>
        </w:rPr>
      </w:pPr>
      <w:r w:rsidRPr="00D11D21">
        <w:rPr>
          <w:rFonts w:asciiTheme="majorBidi" w:eastAsia="Times New Roman" w:hAnsiTheme="majorBidi" w:cstheme="majorBidi"/>
          <w:b/>
          <w:bCs/>
          <w:szCs w:val="24"/>
        </w:rPr>
        <w:t>Cellules rattachées à la Direction Générale</w:t>
      </w:r>
    </w:p>
    <w:p w14:paraId="0E26DAB8"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Outre les directions centrales, la CNAS dispose de cellules spécialisées qui appuient la stratégie nationale :</w:t>
      </w:r>
    </w:p>
    <w:p w14:paraId="03A18A02"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Cellule du Conventionnement</w:t>
      </w:r>
    </w:p>
    <w:p w14:paraId="673814F0"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Cellule de l’Écoute sociale et de la communication</w:t>
      </w:r>
    </w:p>
    <w:p w14:paraId="6D882D73"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Cellule du Contentieux et des Affaires Juridiques</w:t>
      </w:r>
    </w:p>
    <w:p w14:paraId="1C44950F"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Cellule d’Audit et de Contrôle de gestion</w:t>
      </w:r>
    </w:p>
    <w:p w14:paraId="0E1712BB"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Cellule de Veille Stratégique</w:t>
      </w:r>
    </w:p>
    <w:p w14:paraId="26363ED7"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Cellule de Sûreté Interne</w:t>
      </w:r>
    </w:p>
    <w:p w14:paraId="0A158CB5"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lastRenderedPageBreak/>
        <w:t>Secrétariat du Conseil d’Administration</w:t>
      </w:r>
    </w:p>
    <w:p w14:paraId="77C3C3FB" w14:textId="77777777" w:rsidR="002210A7" w:rsidRPr="00D11D21" w:rsidRDefault="002210A7" w:rsidP="00D11D21">
      <w:pPr>
        <w:numPr>
          <w:ilvl w:val="0"/>
          <w:numId w:val="104"/>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Secrétariat de la Commission Nationale de Recours Préalable</w:t>
      </w:r>
    </w:p>
    <w:p w14:paraId="2C427849" w14:textId="17B43E18"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42" w:name="_Toc199958905"/>
      <w:r w:rsidRPr="00D11D21">
        <w:rPr>
          <w:rFonts w:asciiTheme="majorBidi" w:hAnsiTheme="majorBidi" w:cstheme="majorBidi"/>
          <w:szCs w:val="24"/>
        </w:rPr>
        <w:t>Contribution au financement du système de santé</w:t>
      </w:r>
      <w:bookmarkEnd w:id="142"/>
    </w:p>
    <w:p w14:paraId="0D0D44FD"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La CNAS est un acteur majeur du financement hospitalier public, par :</w:t>
      </w:r>
    </w:p>
    <w:p w14:paraId="511C67CA" w14:textId="77777777" w:rsidR="002210A7" w:rsidRPr="00D11D21" w:rsidRDefault="002210A7" w:rsidP="00D11D21">
      <w:pPr>
        <w:numPr>
          <w:ilvl w:val="0"/>
          <w:numId w:val="105"/>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Le paiement du </w:t>
      </w:r>
      <w:r w:rsidRPr="00D11D21">
        <w:rPr>
          <w:rFonts w:asciiTheme="majorBidi" w:eastAsia="Times New Roman" w:hAnsiTheme="majorBidi" w:cstheme="majorBidi"/>
          <w:b/>
          <w:bCs/>
          <w:szCs w:val="24"/>
          <w:lang w:eastAsia="fr-FR"/>
        </w:rPr>
        <w:t>forfait hospitalier</w:t>
      </w:r>
      <w:r w:rsidRPr="00D11D21">
        <w:rPr>
          <w:rFonts w:asciiTheme="majorBidi" w:eastAsia="Times New Roman" w:hAnsiTheme="majorBidi" w:cstheme="majorBidi"/>
          <w:szCs w:val="24"/>
          <w:lang w:eastAsia="fr-FR"/>
        </w:rPr>
        <w:t xml:space="preserve"> pour les soins prodigués aux assurés sociaux,</w:t>
      </w:r>
    </w:p>
    <w:p w14:paraId="49C68DF8" w14:textId="77777777" w:rsidR="002210A7" w:rsidRPr="00D11D21" w:rsidRDefault="002210A7" w:rsidP="00D11D21">
      <w:pPr>
        <w:numPr>
          <w:ilvl w:val="0"/>
          <w:numId w:val="105"/>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La </w:t>
      </w:r>
      <w:r w:rsidRPr="00D11D21">
        <w:rPr>
          <w:rFonts w:asciiTheme="majorBidi" w:eastAsia="Times New Roman" w:hAnsiTheme="majorBidi" w:cstheme="majorBidi"/>
          <w:b/>
          <w:bCs/>
          <w:szCs w:val="24"/>
          <w:lang w:eastAsia="fr-FR"/>
        </w:rPr>
        <w:t>signature de conventions</w:t>
      </w:r>
      <w:r w:rsidRPr="00D11D21">
        <w:rPr>
          <w:rFonts w:asciiTheme="majorBidi" w:eastAsia="Times New Roman" w:hAnsiTheme="majorBidi" w:cstheme="majorBidi"/>
          <w:szCs w:val="24"/>
          <w:lang w:eastAsia="fr-FR"/>
        </w:rPr>
        <w:t xml:space="preserve"> avec les hôpitaux,</w:t>
      </w:r>
    </w:p>
    <w:p w14:paraId="614137E9" w14:textId="77777777" w:rsidR="002210A7" w:rsidRPr="00D11D21" w:rsidRDefault="002210A7" w:rsidP="00D11D21">
      <w:pPr>
        <w:numPr>
          <w:ilvl w:val="0"/>
          <w:numId w:val="105"/>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Le </w:t>
      </w:r>
      <w:r w:rsidRPr="00D11D21">
        <w:rPr>
          <w:rFonts w:asciiTheme="majorBidi" w:eastAsia="Times New Roman" w:hAnsiTheme="majorBidi" w:cstheme="majorBidi"/>
          <w:b/>
          <w:bCs/>
          <w:szCs w:val="24"/>
          <w:lang w:eastAsia="fr-FR"/>
        </w:rPr>
        <w:t>suivi des dépenses de santé</w:t>
      </w:r>
      <w:r w:rsidRPr="00D11D21">
        <w:rPr>
          <w:rFonts w:asciiTheme="majorBidi" w:eastAsia="Times New Roman" w:hAnsiTheme="majorBidi" w:cstheme="majorBidi"/>
          <w:szCs w:val="24"/>
          <w:lang w:eastAsia="fr-FR"/>
        </w:rPr>
        <w:t xml:space="preserve"> à travers les systèmes d’information,</w:t>
      </w:r>
    </w:p>
    <w:p w14:paraId="1E0AD72A" w14:textId="77777777" w:rsidR="002210A7" w:rsidRPr="00D11D21" w:rsidRDefault="002210A7" w:rsidP="00D11D21">
      <w:pPr>
        <w:numPr>
          <w:ilvl w:val="0"/>
          <w:numId w:val="105"/>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Le </w:t>
      </w:r>
      <w:r w:rsidRPr="00D11D21">
        <w:rPr>
          <w:rFonts w:asciiTheme="majorBidi" w:eastAsia="Times New Roman" w:hAnsiTheme="majorBidi" w:cstheme="majorBidi"/>
          <w:b/>
          <w:bCs/>
          <w:szCs w:val="24"/>
          <w:lang w:eastAsia="fr-FR"/>
        </w:rPr>
        <w:t>contrôle médical</w:t>
      </w:r>
      <w:r w:rsidRPr="00D11D21">
        <w:rPr>
          <w:rFonts w:asciiTheme="majorBidi" w:eastAsia="Times New Roman" w:hAnsiTheme="majorBidi" w:cstheme="majorBidi"/>
          <w:szCs w:val="24"/>
          <w:lang w:eastAsia="fr-FR"/>
        </w:rPr>
        <w:t xml:space="preserve"> et la validation des prises en charge.</w:t>
      </w:r>
    </w:p>
    <w:p w14:paraId="20ED20DB" w14:textId="77777777" w:rsidR="002210A7" w:rsidRPr="00D11D21" w:rsidRDefault="002210A7" w:rsidP="00D11D21">
      <w:pPr>
        <w:pStyle w:val="Titre5"/>
        <w:rPr>
          <w:rFonts w:asciiTheme="majorBidi" w:hAnsiTheme="majorBidi"/>
          <w:szCs w:val="24"/>
        </w:rPr>
      </w:pPr>
      <w:r w:rsidRPr="00D11D21">
        <w:rPr>
          <w:rFonts w:asciiTheme="majorBidi" w:hAnsiTheme="majorBidi"/>
          <w:szCs w:val="24"/>
        </w:rPr>
        <w:t>Fonctionnement du financement dans les structures observées :</w:t>
      </w:r>
    </w:p>
    <w:p w14:paraId="441226AF" w14:textId="77777777" w:rsidR="002210A7" w:rsidRPr="00D11D21" w:rsidRDefault="002210A7" w:rsidP="00D11D21">
      <w:pPr>
        <w:pStyle w:val="Titre2"/>
        <w:numPr>
          <w:ilvl w:val="0"/>
          <w:numId w:val="144"/>
        </w:numPr>
        <w:rPr>
          <w:rFonts w:asciiTheme="majorBidi" w:hAnsiTheme="majorBidi"/>
          <w:szCs w:val="24"/>
        </w:rPr>
      </w:pPr>
      <w:bookmarkStart w:id="143" w:name="_Toc199958906"/>
      <w:r w:rsidRPr="00D11D21">
        <w:rPr>
          <w:rFonts w:asciiTheme="majorBidi" w:hAnsiTheme="majorBidi"/>
          <w:szCs w:val="24"/>
        </w:rPr>
        <w:t>Mécanisme de financement actuel :</w:t>
      </w:r>
      <w:bookmarkEnd w:id="143"/>
    </w:p>
    <w:p w14:paraId="0762D91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 financement de l’établissement hospitalier Bouzidi Lakhdar repose principalement sur le budget global, alloué annuellement par l’État. Ce processus se déroule en plusieurs étapes bien définies.</w:t>
      </w:r>
    </w:p>
    <w:p w14:paraId="762F5F8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Arrêté ministériel : Le budget est d’abord déterminé par un arrêté du ministère de la Santé, qui fixe les montants à attribuer aux établissements sanitaires.</w:t>
      </w:r>
    </w:p>
    <w:p w14:paraId="1270E13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 Transmission à la Direction de la Santé (DSP) : Ce budget est ensuite transféré à la Direction de la Santé Publique de chaque wilaya, chargée de sa répartition entre les différentes structures de santé de son territoire (EHS, EPH, EPSP, etc.).</w:t>
      </w:r>
    </w:p>
    <w:p w14:paraId="0F7DAC5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 Répartition par chapitres : La DSP transmet à chaque établissement un budget ventilé selon les chapitres de la nomenclature budgétaire (fonctionnement, équipement, etc.), sans aller jusqu’aux articles.</w:t>
      </w:r>
    </w:p>
    <w:p w14:paraId="63485A0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4. Réunion interne de répartition : Une fois le budget reçu, l’économe, la sous-direction des finances et le bureau des marchés se réunissent pour élaborer une répartition interne plus détaillée, en articles, selon les besoins spécifiques de l’établissement.</w:t>
      </w:r>
    </w:p>
    <w:p w14:paraId="69B24D4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5. Saisie et diffusion : Le bureau des finances saisit cette répartition et la diffuse en plusieurs exemplaires (généralement six) à destination des membres du conseil d’administration.</w:t>
      </w:r>
    </w:p>
    <w:p w14:paraId="784C7AD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6. Validation en conseil d’administration : Le conseil d’administration se réunit pour examiner, ajuster si besoin, puis approuver officiellement cette répartition budgétaire.</w:t>
      </w:r>
    </w:p>
    <w:p w14:paraId="2912156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7. Transmission au contrôleur financier (CF) : Le projet de budget ainsi validé est envoyé au contrôleur financier pour évaluation, contrôle de conformité et approbation définitive.</w:t>
      </w:r>
    </w:p>
    <w:p w14:paraId="35CADA6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8. Validation finale par la DSP : Une fois validé par le CF, le budget est renvoyé à la DSP, qui donne son accord final avant de le retourner à l’établissement hospitalier pour exécution.</w:t>
      </w:r>
    </w:p>
    <w:p w14:paraId="422A0CD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Ce mécanisme, bien que rigoureux, vise à garantir une gestion transparente et contrôlée des ressources financières publiques. Il permet également de s’assurer que les crédits alloués soient utilisés selon des règles précises, en fonction des priorités sanitaires identifiées</w:t>
      </w:r>
    </w:p>
    <w:p w14:paraId="623B895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Parallèlement au budget alloué par le ministère de la Santé, les établissements hospitaliers publics bénéficient également d’un financement complémentaire appelé </w:t>
      </w:r>
      <w:r w:rsidRPr="00D11D21">
        <w:rPr>
          <w:rFonts w:asciiTheme="majorBidi" w:hAnsiTheme="majorBidi" w:cstheme="majorBidi"/>
          <w:b/>
          <w:bCs/>
          <w:szCs w:val="24"/>
        </w:rPr>
        <w:t>forfait hospitalier</w:t>
      </w:r>
      <w:r w:rsidRPr="00D11D21">
        <w:rPr>
          <w:rFonts w:asciiTheme="majorBidi" w:hAnsiTheme="majorBidi" w:cstheme="majorBidi"/>
          <w:szCs w:val="24"/>
        </w:rPr>
        <w:t xml:space="preserve">, versé par la </w:t>
      </w:r>
      <w:r w:rsidRPr="00D11D21">
        <w:rPr>
          <w:rFonts w:asciiTheme="majorBidi" w:hAnsiTheme="majorBidi" w:cstheme="majorBidi"/>
          <w:b/>
          <w:bCs/>
          <w:szCs w:val="24"/>
        </w:rPr>
        <w:t>Caisse Nationale des Assurances Sociales (CNAS)</w:t>
      </w:r>
      <w:r w:rsidRPr="00D11D21">
        <w:rPr>
          <w:rFonts w:asciiTheme="majorBidi" w:hAnsiTheme="majorBidi" w:cstheme="majorBidi"/>
          <w:szCs w:val="24"/>
        </w:rPr>
        <w:t>. Ce mécanisme financier représente la participation de la sécurité sociale aux dépenses engagées par les hôpitaux pour la prise en charge des assurés sociaux. Il s’inscrit dans le cadre du principe de gratuité des soins institué en Algérie depuis 1974, et a été instauré pour compenser les prestations servies aux affiliés de la sécurité sociale et à leurs ayants droit.</w:t>
      </w:r>
    </w:p>
    <w:p w14:paraId="2111BF4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Chaque année, le </w:t>
      </w:r>
      <w:r w:rsidRPr="00D11D21">
        <w:rPr>
          <w:rFonts w:asciiTheme="majorBidi" w:hAnsiTheme="majorBidi" w:cstheme="majorBidi"/>
          <w:b/>
          <w:bCs/>
          <w:szCs w:val="24"/>
        </w:rPr>
        <w:t>montant total du forfait hospitalier</w:t>
      </w:r>
      <w:r w:rsidRPr="00D11D21">
        <w:rPr>
          <w:rFonts w:asciiTheme="majorBidi" w:hAnsiTheme="majorBidi" w:cstheme="majorBidi"/>
          <w:szCs w:val="24"/>
        </w:rPr>
        <w:t xml:space="preserve"> est fixé par la </w:t>
      </w:r>
      <w:r w:rsidRPr="00D11D21">
        <w:rPr>
          <w:rFonts w:asciiTheme="majorBidi" w:hAnsiTheme="majorBidi" w:cstheme="majorBidi"/>
          <w:b/>
          <w:bCs/>
          <w:szCs w:val="24"/>
        </w:rPr>
        <w:t>Loi de finances</w:t>
      </w:r>
      <w:r w:rsidRPr="00D11D21">
        <w:rPr>
          <w:rFonts w:asciiTheme="majorBidi" w:hAnsiTheme="majorBidi" w:cstheme="majorBidi"/>
          <w:szCs w:val="24"/>
        </w:rPr>
        <w:t xml:space="preserve">. En coordination avec les autorités sanitaires et sociales. Une fois ce montant approuvé au niveau national, il est transféré à la </w:t>
      </w:r>
      <w:r w:rsidRPr="00D11D21">
        <w:rPr>
          <w:rFonts w:asciiTheme="majorBidi" w:hAnsiTheme="majorBidi" w:cstheme="majorBidi"/>
          <w:b/>
          <w:bCs/>
          <w:szCs w:val="24"/>
        </w:rPr>
        <w:t>Direction Générale (DG) de la CNAS</w:t>
      </w:r>
      <w:r w:rsidRPr="00D11D21">
        <w:rPr>
          <w:rFonts w:asciiTheme="majorBidi" w:hAnsiTheme="majorBidi" w:cstheme="majorBidi"/>
          <w:szCs w:val="24"/>
        </w:rPr>
        <w:t>, qui est chargée d’en assurer la gestion.</w:t>
      </w:r>
    </w:p>
    <w:p w14:paraId="40E2EDD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La Direction Générale (DG) de la CNAS, en tenant compte de l’évolution du nombre d’assurés sociaux, établit le montant global du forfait hospitalier selon une formule indicative : nombre total d’assurés × 8 880 DA. Elle procède ensuite à la répartition des enveloppes financières vers les directions locales (agences de wilaya), en se basant sur plusieurs critères, notamment le nombre d’assurés par région, les besoins sanitaires locaux, ainsi que la capacité d’accueil des établissements de santé.</w:t>
      </w:r>
    </w:p>
    <w:p w14:paraId="5CCC1B8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Les </w:t>
      </w:r>
      <w:r w:rsidRPr="00D11D21">
        <w:rPr>
          <w:rFonts w:asciiTheme="majorBidi" w:hAnsiTheme="majorBidi" w:cstheme="majorBidi"/>
          <w:b/>
          <w:bCs/>
          <w:szCs w:val="24"/>
        </w:rPr>
        <w:t>directions locales</w:t>
      </w:r>
      <w:r w:rsidRPr="00D11D21">
        <w:rPr>
          <w:rFonts w:asciiTheme="majorBidi" w:hAnsiTheme="majorBidi" w:cstheme="majorBidi"/>
          <w:szCs w:val="24"/>
        </w:rPr>
        <w:t xml:space="preserve"> enregistrent ce transfert à travers une </w:t>
      </w:r>
      <w:r w:rsidRPr="00D11D21">
        <w:rPr>
          <w:rFonts w:asciiTheme="majorBidi" w:hAnsiTheme="majorBidi" w:cstheme="majorBidi"/>
          <w:b/>
          <w:bCs/>
          <w:szCs w:val="24"/>
        </w:rPr>
        <w:t>opération comptable</w:t>
      </w:r>
      <w:r w:rsidRPr="00D11D21">
        <w:rPr>
          <w:rFonts w:asciiTheme="majorBidi" w:hAnsiTheme="majorBidi" w:cstheme="majorBidi"/>
          <w:szCs w:val="24"/>
        </w:rPr>
        <w:t xml:space="preserve"> et procèdent à leur tour à la distribution du montant aux établissements publics de santé relevant de leur compétence : établissements publics hospitaliers (EPH), établissements hospitaliers spécialisés (EHS), établissements publics de santé de proximité (EPSP), etc.</w:t>
      </w:r>
    </w:p>
    <w:p w14:paraId="1D49585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Enfin, chaque hôpital </w:t>
      </w:r>
      <w:r w:rsidRPr="00D11D21">
        <w:rPr>
          <w:rFonts w:asciiTheme="majorBidi" w:hAnsiTheme="majorBidi" w:cstheme="majorBidi"/>
          <w:b/>
          <w:bCs/>
          <w:szCs w:val="24"/>
        </w:rPr>
        <w:t>intègre ce forfait dans son budget annuel</w:t>
      </w:r>
      <w:r w:rsidRPr="00D11D21">
        <w:rPr>
          <w:rFonts w:asciiTheme="majorBidi" w:hAnsiTheme="majorBidi" w:cstheme="majorBidi"/>
          <w:szCs w:val="24"/>
        </w:rPr>
        <w:t xml:space="preserve">, au niveau de la </w:t>
      </w:r>
      <w:r w:rsidRPr="00D11D21">
        <w:rPr>
          <w:rFonts w:asciiTheme="majorBidi" w:hAnsiTheme="majorBidi" w:cstheme="majorBidi"/>
          <w:b/>
          <w:bCs/>
          <w:szCs w:val="24"/>
        </w:rPr>
        <w:t>section des recettes</w:t>
      </w:r>
      <w:r w:rsidRPr="00D11D21">
        <w:rPr>
          <w:rFonts w:asciiTheme="majorBidi" w:hAnsiTheme="majorBidi" w:cstheme="majorBidi"/>
          <w:szCs w:val="24"/>
        </w:rPr>
        <w:t xml:space="preserve">, plus précisément sous les lignes budgétaires relatives à la </w:t>
      </w:r>
      <w:r w:rsidRPr="00D11D21">
        <w:rPr>
          <w:rFonts w:asciiTheme="majorBidi" w:hAnsiTheme="majorBidi" w:cstheme="majorBidi"/>
          <w:b/>
          <w:bCs/>
          <w:szCs w:val="24"/>
        </w:rPr>
        <w:t>contribution des caisses de sécurité sociale</w:t>
      </w:r>
      <w:r w:rsidRPr="00D11D21">
        <w:rPr>
          <w:rFonts w:asciiTheme="majorBidi" w:hAnsiTheme="majorBidi" w:cstheme="majorBidi"/>
          <w:szCs w:val="24"/>
        </w:rPr>
        <w:t>. Ce montant complète ainsi les ressources financières de l’établissement, aux côtés du budget principal octroyé par le ministère de la Santé.</w:t>
      </w:r>
    </w:p>
    <w:p w14:paraId="21CE1DC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Afin d’illustrer concrètement le mécanisme de financement de l’établissement hospitalier Bouzidi Lakhdar, deux documents budgétaires sont présentés ci-dessous.</w:t>
      </w:r>
    </w:p>
    <w:p w14:paraId="7B5A1D6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 premier tableau détaille les recettes annuelles de l’hôpital, réparties par sources de financement (État, CNAS, ressources propres…).</w:t>
      </w:r>
    </w:p>
    <w:p w14:paraId="64F879BC" w14:textId="2FFEFCF7" w:rsidR="00E91AB9" w:rsidRPr="00D11D21" w:rsidRDefault="00E91AB9" w:rsidP="00D11D21">
      <w:pPr>
        <w:pStyle w:val="Lgende"/>
        <w:keepNext/>
        <w:spacing w:line="360" w:lineRule="auto"/>
        <w:jc w:val="both"/>
        <w:rPr>
          <w:rFonts w:asciiTheme="majorBidi" w:hAnsiTheme="majorBidi" w:cstheme="majorBidi"/>
          <w:color w:val="auto"/>
          <w:sz w:val="24"/>
          <w:szCs w:val="24"/>
        </w:rPr>
      </w:pPr>
      <w:bookmarkStart w:id="144" w:name="_Toc200210113"/>
      <w:r w:rsidRPr="00D11D21">
        <w:rPr>
          <w:rFonts w:asciiTheme="majorBidi" w:hAnsiTheme="majorBidi" w:cstheme="majorBidi"/>
          <w:color w:val="auto"/>
          <w:sz w:val="24"/>
          <w:szCs w:val="24"/>
        </w:rPr>
        <w:lastRenderedPageBreak/>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5</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Recettes annuelles de l’hôpital Bouzidi Lakhdar – Exercice 2025</w:t>
      </w:r>
      <w:bookmarkEnd w:id="144"/>
    </w:p>
    <w:tbl>
      <w:tblPr>
        <w:tblStyle w:val="Grilledutableau"/>
        <w:tblW w:w="0" w:type="auto"/>
        <w:tblLook w:val="04A0" w:firstRow="1" w:lastRow="0" w:firstColumn="1" w:lastColumn="0" w:noHBand="0" w:noVBand="1"/>
      </w:tblPr>
      <w:tblGrid>
        <w:gridCol w:w="7083"/>
        <w:gridCol w:w="2828"/>
      </w:tblGrid>
      <w:tr w:rsidR="002210A7" w:rsidRPr="00D11D21" w14:paraId="3E062D20" w14:textId="77777777" w:rsidTr="00B7491C">
        <w:tc>
          <w:tcPr>
            <w:tcW w:w="7083" w:type="dxa"/>
          </w:tcPr>
          <w:p w14:paraId="3621A3C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Libellé</w:t>
            </w:r>
            <w:r w:rsidRPr="00D11D21">
              <w:rPr>
                <w:rFonts w:asciiTheme="majorBidi" w:hAnsiTheme="majorBidi" w:cstheme="majorBidi"/>
                <w:szCs w:val="24"/>
              </w:rPr>
              <w:tab/>
            </w:r>
          </w:p>
        </w:tc>
        <w:tc>
          <w:tcPr>
            <w:tcW w:w="2828" w:type="dxa"/>
          </w:tcPr>
          <w:p w14:paraId="4394C99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Montant (DA)</w:t>
            </w:r>
          </w:p>
        </w:tc>
      </w:tr>
      <w:tr w:rsidR="002210A7" w:rsidRPr="00D11D21" w14:paraId="57E41462" w14:textId="77777777" w:rsidTr="00B7491C">
        <w:tc>
          <w:tcPr>
            <w:tcW w:w="7083" w:type="dxa"/>
          </w:tcPr>
          <w:p w14:paraId="0DFDEFD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01 : Contribution de l'État</w:t>
            </w:r>
            <w:r w:rsidRPr="00D11D21">
              <w:rPr>
                <w:rFonts w:asciiTheme="majorBidi" w:hAnsiTheme="majorBidi" w:cstheme="majorBidi"/>
                <w:szCs w:val="24"/>
              </w:rPr>
              <w:tab/>
            </w:r>
          </w:p>
          <w:p w14:paraId="61E7661E" w14:textId="77777777" w:rsidR="002210A7" w:rsidRPr="00D11D21" w:rsidRDefault="002210A7" w:rsidP="00D11D21">
            <w:pPr>
              <w:jc w:val="both"/>
              <w:rPr>
                <w:rFonts w:asciiTheme="majorBidi" w:hAnsiTheme="majorBidi" w:cstheme="majorBidi"/>
                <w:szCs w:val="24"/>
              </w:rPr>
            </w:pPr>
          </w:p>
        </w:tc>
        <w:tc>
          <w:tcPr>
            <w:tcW w:w="2828" w:type="dxa"/>
          </w:tcPr>
          <w:p w14:paraId="05458AA2"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1 223 010 000,00</w:t>
            </w:r>
          </w:p>
        </w:tc>
      </w:tr>
      <w:tr w:rsidR="002210A7" w:rsidRPr="00D11D21" w14:paraId="7EDC0E29" w14:textId="77777777" w:rsidTr="00B7491C">
        <w:tc>
          <w:tcPr>
            <w:tcW w:w="7083" w:type="dxa"/>
          </w:tcPr>
          <w:p w14:paraId="63EEE1E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02 : Contribution des organismes de sécurité sociale</w:t>
            </w:r>
            <w:r w:rsidRPr="00D11D21">
              <w:rPr>
                <w:rFonts w:asciiTheme="majorBidi" w:hAnsiTheme="majorBidi" w:cstheme="majorBidi"/>
                <w:szCs w:val="24"/>
              </w:rPr>
              <w:tab/>
            </w:r>
          </w:p>
          <w:p w14:paraId="5E5CF66A" w14:textId="77777777" w:rsidR="002210A7" w:rsidRPr="00D11D21" w:rsidRDefault="002210A7" w:rsidP="00D11D21">
            <w:pPr>
              <w:jc w:val="both"/>
              <w:rPr>
                <w:rFonts w:asciiTheme="majorBidi" w:hAnsiTheme="majorBidi" w:cstheme="majorBidi"/>
                <w:szCs w:val="24"/>
              </w:rPr>
            </w:pPr>
          </w:p>
        </w:tc>
        <w:tc>
          <w:tcPr>
            <w:tcW w:w="2828" w:type="dxa"/>
          </w:tcPr>
          <w:p w14:paraId="2F6633C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130 000 000,00</w:t>
            </w:r>
          </w:p>
        </w:tc>
      </w:tr>
      <w:tr w:rsidR="002210A7" w:rsidRPr="00D11D21" w14:paraId="1B244EAF" w14:textId="77777777" w:rsidTr="00B7491C">
        <w:tc>
          <w:tcPr>
            <w:tcW w:w="7083" w:type="dxa"/>
          </w:tcPr>
          <w:p w14:paraId="5B182AB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03 : Contribution des établissements et revenus propres</w:t>
            </w:r>
            <w:r w:rsidRPr="00D11D21">
              <w:rPr>
                <w:rFonts w:asciiTheme="majorBidi" w:hAnsiTheme="majorBidi" w:cstheme="majorBidi"/>
                <w:szCs w:val="24"/>
              </w:rPr>
              <w:tab/>
            </w:r>
          </w:p>
          <w:p w14:paraId="492A7C13" w14:textId="77777777" w:rsidR="002210A7" w:rsidRPr="00D11D21" w:rsidRDefault="002210A7" w:rsidP="00D11D21">
            <w:pPr>
              <w:jc w:val="both"/>
              <w:rPr>
                <w:rFonts w:asciiTheme="majorBidi" w:hAnsiTheme="majorBidi" w:cstheme="majorBidi"/>
                <w:szCs w:val="24"/>
              </w:rPr>
            </w:pPr>
          </w:p>
        </w:tc>
        <w:tc>
          <w:tcPr>
            <w:tcW w:w="2828" w:type="dxa"/>
          </w:tcPr>
          <w:p w14:paraId="7DE6D272" w14:textId="1899413F"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r w:rsidR="00201164" w:rsidRPr="00D11D21">
              <w:rPr>
                <w:rFonts w:asciiTheme="majorBidi" w:hAnsiTheme="majorBidi" w:cstheme="majorBidi"/>
                <w:szCs w:val="24"/>
              </w:rPr>
              <w:t>Non</w:t>
            </w:r>
            <w:r w:rsidRPr="00D11D21">
              <w:rPr>
                <w:rFonts w:asciiTheme="majorBidi" w:hAnsiTheme="majorBidi" w:cstheme="majorBidi"/>
                <w:szCs w:val="24"/>
              </w:rPr>
              <w:t xml:space="preserve"> rempli)</w:t>
            </w:r>
          </w:p>
        </w:tc>
      </w:tr>
      <w:tr w:rsidR="002210A7" w:rsidRPr="00D11D21" w14:paraId="278D1F80" w14:textId="77777777" w:rsidTr="00B7491C">
        <w:tc>
          <w:tcPr>
            <w:tcW w:w="7083" w:type="dxa"/>
          </w:tcPr>
          <w:p w14:paraId="5AEB5F5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04 : Revenus provenant de l’activité de l’établissement</w:t>
            </w:r>
            <w:r w:rsidRPr="00D11D21">
              <w:rPr>
                <w:rFonts w:asciiTheme="majorBidi" w:hAnsiTheme="majorBidi" w:cstheme="majorBidi"/>
                <w:szCs w:val="24"/>
              </w:rPr>
              <w:tab/>
            </w:r>
          </w:p>
          <w:p w14:paraId="12B6AA83" w14:textId="77777777" w:rsidR="002210A7" w:rsidRPr="00D11D21" w:rsidRDefault="002210A7" w:rsidP="00D11D21">
            <w:pPr>
              <w:jc w:val="both"/>
              <w:rPr>
                <w:rFonts w:asciiTheme="majorBidi" w:hAnsiTheme="majorBidi" w:cstheme="majorBidi"/>
                <w:szCs w:val="24"/>
              </w:rPr>
            </w:pPr>
          </w:p>
        </w:tc>
        <w:tc>
          <w:tcPr>
            <w:tcW w:w="2828" w:type="dxa"/>
          </w:tcPr>
          <w:p w14:paraId="04B825C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3 000 000,00</w:t>
            </w:r>
          </w:p>
        </w:tc>
      </w:tr>
      <w:tr w:rsidR="002210A7" w:rsidRPr="00D11D21" w14:paraId="59930567" w14:textId="77777777" w:rsidTr="00B7491C">
        <w:tc>
          <w:tcPr>
            <w:tcW w:w="7083" w:type="dxa"/>
          </w:tcPr>
          <w:p w14:paraId="6BFE48CA"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05 : Autres ressources</w:t>
            </w:r>
            <w:r w:rsidRPr="00D11D21">
              <w:rPr>
                <w:rFonts w:asciiTheme="majorBidi" w:hAnsiTheme="majorBidi" w:cstheme="majorBidi"/>
                <w:szCs w:val="24"/>
              </w:rPr>
              <w:tab/>
            </w:r>
          </w:p>
          <w:p w14:paraId="153B5EAD" w14:textId="77777777" w:rsidR="002210A7" w:rsidRPr="00D11D21" w:rsidRDefault="002210A7" w:rsidP="00D11D21">
            <w:pPr>
              <w:jc w:val="both"/>
              <w:rPr>
                <w:rFonts w:asciiTheme="majorBidi" w:hAnsiTheme="majorBidi" w:cstheme="majorBidi"/>
                <w:szCs w:val="24"/>
              </w:rPr>
            </w:pPr>
          </w:p>
        </w:tc>
        <w:tc>
          <w:tcPr>
            <w:tcW w:w="2828" w:type="dxa"/>
          </w:tcPr>
          <w:p w14:paraId="21ABDEE7" w14:textId="3067379B"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r w:rsidR="00201164" w:rsidRPr="00D11D21">
              <w:rPr>
                <w:rFonts w:asciiTheme="majorBidi" w:hAnsiTheme="majorBidi" w:cstheme="majorBidi"/>
                <w:szCs w:val="24"/>
              </w:rPr>
              <w:t>Non</w:t>
            </w:r>
            <w:r w:rsidRPr="00D11D21">
              <w:rPr>
                <w:rFonts w:asciiTheme="majorBidi" w:hAnsiTheme="majorBidi" w:cstheme="majorBidi"/>
                <w:szCs w:val="24"/>
              </w:rPr>
              <w:t xml:space="preserve"> rempli)</w:t>
            </w:r>
          </w:p>
        </w:tc>
      </w:tr>
      <w:tr w:rsidR="002210A7" w:rsidRPr="00D11D21" w14:paraId="51773D28" w14:textId="77777777" w:rsidTr="00B7491C">
        <w:tc>
          <w:tcPr>
            <w:tcW w:w="7083" w:type="dxa"/>
          </w:tcPr>
          <w:p w14:paraId="7843372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06 : Reste des années précédentes</w:t>
            </w:r>
            <w:r w:rsidRPr="00D11D21">
              <w:rPr>
                <w:rFonts w:asciiTheme="majorBidi" w:hAnsiTheme="majorBidi" w:cstheme="majorBidi"/>
                <w:szCs w:val="24"/>
              </w:rPr>
              <w:tab/>
            </w:r>
          </w:p>
          <w:p w14:paraId="45A8B5BB" w14:textId="77777777" w:rsidR="002210A7" w:rsidRPr="00D11D21" w:rsidRDefault="002210A7" w:rsidP="00D11D21">
            <w:pPr>
              <w:jc w:val="both"/>
              <w:rPr>
                <w:rFonts w:asciiTheme="majorBidi" w:hAnsiTheme="majorBidi" w:cstheme="majorBidi"/>
                <w:szCs w:val="24"/>
              </w:rPr>
            </w:pPr>
          </w:p>
        </w:tc>
        <w:tc>
          <w:tcPr>
            <w:tcW w:w="2828" w:type="dxa"/>
          </w:tcPr>
          <w:p w14:paraId="74508E7D" w14:textId="0BBD452B"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r w:rsidR="00201164" w:rsidRPr="00D11D21">
              <w:rPr>
                <w:rFonts w:asciiTheme="majorBidi" w:hAnsiTheme="majorBidi" w:cstheme="majorBidi"/>
                <w:szCs w:val="24"/>
              </w:rPr>
              <w:t>Non</w:t>
            </w:r>
            <w:r w:rsidRPr="00D11D21">
              <w:rPr>
                <w:rFonts w:asciiTheme="majorBidi" w:hAnsiTheme="majorBidi" w:cstheme="majorBidi"/>
                <w:szCs w:val="24"/>
              </w:rPr>
              <w:t xml:space="preserve"> rempli)</w:t>
            </w:r>
          </w:p>
        </w:tc>
      </w:tr>
      <w:tr w:rsidR="002210A7" w:rsidRPr="00D11D21" w14:paraId="53C70F8B" w14:textId="77777777" w:rsidTr="00B7491C">
        <w:tc>
          <w:tcPr>
            <w:tcW w:w="7083" w:type="dxa"/>
          </w:tcPr>
          <w:p w14:paraId="6672092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07 : Financement par le ministère de l'Enseignement Supérieur et de la Recherche Scientifique</w:t>
            </w:r>
            <w:r w:rsidRPr="00D11D21">
              <w:rPr>
                <w:rFonts w:asciiTheme="majorBidi" w:hAnsiTheme="majorBidi" w:cstheme="majorBidi"/>
                <w:szCs w:val="24"/>
              </w:rPr>
              <w:tab/>
            </w:r>
          </w:p>
          <w:p w14:paraId="3FD65DBC" w14:textId="77777777" w:rsidR="002210A7" w:rsidRPr="00D11D21" w:rsidRDefault="002210A7" w:rsidP="00D11D21">
            <w:pPr>
              <w:jc w:val="both"/>
              <w:rPr>
                <w:rFonts w:asciiTheme="majorBidi" w:hAnsiTheme="majorBidi" w:cstheme="majorBidi"/>
                <w:szCs w:val="24"/>
              </w:rPr>
            </w:pPr>
          </w:p>
        </w:tc>
        <w:tc>
          <w:tcPr>
            <w:tcW w:w="2828" w:type="dxa"/>
          </w:tcPr>
          <w:p w14:paraId="1DD6C818" w14:textId="35B93523"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r w:rsidR="00201164" w:rsidRPr="00D11D21">
              <w:rPr>
                <w:rFonts w:asciiTheme="majorBidi" w:hAnsiTheme="majorBidi" w:cstheme="majorBidi"/>
                <w:szCs w:val="24"/>
              </w:rPr>
              <w:t>Non</w:t>
            </w:r>
            <w:r w:rsidRPr="00D11D21">
              <w:rPr>
                <w:rFonts w:asciiTheme="majorBidi" w:hAnsiTheme="majorBidi" w:cstheme="majorBidi"/>
                <w:szCs w:val="24"/>
              </w:rPr>
              <w:t xml:space="preserve"> rempli)</w:t>
            </w:r>
          </w:p>
        </w:tc>
      </w:tr>
      <w:tr w:rsidR="002210A7" w:rsidRPr="00D11D21" w14:paraId="5494DB33" w14:textId="77777777" w:rsidTr="00B7491C">
        <w:tc>
          <w:tcPr>
            <w:tcW w:w="7083" w:type="dxa"/>
          </w:tcPr>
          <w:p w14:paraId="16AC24A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Chapitre 08 : Revenus issus des comptes d’affectation spéciale n°138-302 (Fonds de lutte contre le cancer)</w:t>
            </w:r>
            <w:r w:rsidRPr="00D11D21">
              <w:rPr>
                <w:rFonts w:asciiTheme="majorBidi" w:hAnsiTheme="majorBidi" w:cstheme="majorBidi"/>
                <w:szCs w:val="24"/>
              </w:rPr>
              <w:tab/>
            </w:r>
          </w:p>
          <w:p w14:paraId="65062C39" w14:textId="77777777" w:rsidR="002210A7" w:rsidRPr="00D11D21" w:rsidRDefault="002210A7" w:rsidP="00D11D21">
            <w:pPr>
              <w:jc w:val="both"/>
              <w:rPr>
                <w:rFonts w:asciiTheme="majorBidi" w:hAnsiTheme="majorBidi" w:cstheme="majorBidi"/>
                <w:szCs w:val="24"/>
              </w:rPr>
            </w:pPr>
          </w:p>
        </w:tc>
        <w:tc>
          <w:tcPr>
            <w:tcW w:w="2828" w:type="dxa"/>
          </w:tcPr>
          <w:p w14:paraId="38DB6A96" w14:textId="169F64F3"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r w:rsidR="00201164" w:rsidRPr="00D11D21">
              <w:rPr>
                <w:rFonts w:asciiTheme="majorBidi" w:hAnsiTheme="majorBidi" w:cstheme="majorBidi"/>
                <w:szCs w:val="24"/>
              </w:rPr>
              <w:t>Non</w:t>
            </w:r>
            <w:r w:rsidRPr="00D11D21">
              <w:rPr>
                <w:rFonts w:asciiTheme="majorBidi" w:hAnsiTheme="majorBidi" w:cstheme="majorBidi"/>
                <w:szCs w:val="24"/>
              </w:rPr>
              <w:t xml:space="preserve"> rempli)</w:t>
            </w:r>
          </w:p>
        </w:tc>
      </w:tr>
      <w:tr w:rsidR="002210A7" w:rsidRPr="00D11D21" w14:paraId="2C0FEBD2" w14:textId="77777777" w:rsidTr="00B7491C">
        <w:trPr>
          <w:trHeight w:val="250"/>
        </w:trPr>
        <w:tc>
          <w:tcPr>
            <w:tcW w:w="7083" w:type="dxa"/>
          </w:tcPr>
          <w:p w14:paraId="6DAA242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Total général des recettes</w:t>
            </w:r>
          </w:p>
          <w:p w14:paraId="33397982" w14:textId="77777777" w:rsidR="002210A7" w:rsidRPr="00D11D21" w:rsidRDefault="002210A7" w:rsidP="00D11D21">
            <w:pPr>
              <w:jc w:val="both"/>
              <w:rPr>
                <w:rFonts w:asciiTheme="majorBidi" w:hAnsiTheme="majorBidi" w:cstheme="majorBidi"/>
                <w:szCs w:val="24"/>
              </w:rPr>
            </w:pPr>
          </w:p>
        </w:tc>
        <w:tc>
          <w:tcPr>
            <w:tcW w:w="2828" w:type="dxa"/>
          </w:tcPr>
          <w:p w14:paraId="3EF7309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1 356 010 000,00 DA</w:t>
            </w:r>
          </w:p>
        </w:tc>
      </w:tr>
    </w:tbl>
    <w:p w14:paraId="398770FE" w14:textId="21F02C65" w:rsidR="002210A7" w:rsidRPr="00D11D21" w:rsidRDefault="002210A7" w:rsidP="00D11D21">
      <w:pPr>
        <w:jc w:val="both"/>
        <w:rPr>
          <w:rFonts w:asciiTheme="majorBidi" w:hAnsiTheme="majorBidi" w:cstheme="majorBidi"/>
          <w:szCs w:val="24"/>
        </w:rPr>
      </w:pPr>
      <w:r w:rsidRPr="00D11D21">
        <w:rPr>
          <w:rFonts w:asciiTheme="majorBidi" w:hAnsiTheme="majorBidi" w:cstheme="majorBidi"/>
          <w:b/>
          <w:bCs/>
          <w:szCs w:val="24"/>
        </w:rPr>
        <w:t>Source : Document interne de l’EPH Bouzidi Lakhdar.</w:t>
      </w:r>
    </w:p>
    <w:p w14:paraId="1C06941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Le deuxième tableau présente les dépenses prévues, ventilées en dépenses des usagers, dépenses de fonctionnement, et dépenses d’investissement.</w:t>
      </w:r>
    </w:p>
    <w:p w14:paraId="436D268E" w14:textId="3F988D7E" w:rsidR="002210A7" w:rsidRPr="00D11D21" w:rsidRDefault="00E91AB9" w:rsidP="00D11D21">
      <w:pPr>
        <w:pStyle w:val="Lgende"/>
        <w:keepNext/>
        <w:spacing w:line="360" w:lineRule="auto"/>
        <w:jc w:val="both"/>
        <w:rPr>
          <w:rFonts w:asciiTheme="majorBidi" w:hAnsiTheme="majorBidi" w:cstheme="majorBidi"/>
          <w:color w:val="auto"/>
          <w:sz w:val="24"/>
          <w:szCs w:val="24"/>
        </w:rPr>
      </w:pPr>
      <w:bookmarkStart w:id="145" w:name="_Toc200210114"/>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Répartition des dépenses de l’hôpital Bouzidi Lakhdar – Exercice 2025</w:t>
      </w:r>
      <w:bookmarkEnd w:id="145"/>
    </w:p>
    <w:tbl>
      <w:tblPr>
        <w:tblStyle w:val="Grilledutableau"/>
        <w:tblW w:w="0" w:type="auto"/>
        <w:tblLook w:val="04A0" w:firstRow="1" w:lastRow="0" w:firstColumn="1" w:lastColumn="0" w:noHBand="0" w:noVBand="1"/>
      </w:tblPr>
      <w:tblGrid>
        <w:gridCol w:w="2828"/>
        <w:gridCol w:w="2829"/>
        <w:gridCol w:w="2829"/>
      </w:tblGrid>
      <w:tr w:rsidR="002210A7" w:rsidRPr="00D11D21" w14:paraId="25670557" w14:textId="77777777" w:rsidTr="00480CC0">
        <w:trPr>
          <w:trHeight w:val="769"/>
        </w:trPr>
        <w:tc>
          <w:tcPr>
            <w:tcW w:w="2828" w:type="dxa"/>
          </w:tcPr>
          <w:p w14:paraId="4D6CDF6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Intitulé</w:t>
            </w:r>
            <w:r w:rsidRPr="00D11D21">
              <w:rPr>
                <w:rFonts w:asciiTheme="majorBidi" w:hAnsiTheme="majorBidi" w:cstheme="majorBidi"/>
                <w:szCs w:val="24"/>
              </w:rPr>
              <w:tab/>
            </w:r>
          </w:p>
        </w:tc>
        <w:tc>
          <w:tcPr>
            <w:tcW w:w="2829" w:type="dxa"/>
          </w:tcPr>
          <w:p w14:paraId="64C2D5F1"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Crédit de Paiement (CP)</w:t>
            </w:r>
            <w:r w:rsidRPr="00D11D21">
              <w:rPr>
                <w:rFonts w:asciiTheme="majorBidi" w:hAnsiTheme="majorBidi" w:cstheme="majorBidi"/>
                <w:szCs w:val="24"/>
              </w:rPr>
              <w:tab/>
            </w:r>
          </w:p>
        </w:tc>
        <w:tc>
          <w:tcPr>
            <w:tcW w:w="2829" w:type="dxa"/>
          </w:tcPr>
          <w:p w14:paraId="21967DDB"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Autorisation d’Engagement (AE)</w:t>
            </w:r>
          </w:p>
        </w:tc>
      </w:tr>
      <w:tr w:rsidR="002210A7" w:rsidRPr="00D11D21" w14:paraId="3F70710D" w14:textId="77777777" w:rsidTr="00480CC0">
        <w:trPr>
          <w:trHeight w:val="1147"/>
        </w:trPr>
        <w:tc>
          <w:tcPr>
            <w:tcW w:w="2828" w:type="dxa"/>
          </w:tcPr>
          <w:p w14:paraId="7C4498B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Article 01 : Dépenses des usagers</w:t>
            </w:r>
            <w:r w:rsidRPr="00D11D21">
              <w:rPr>
                <w:rFonts w:asciiTheme="majorBidi" w:hAnsiTheme="majorBidi" w:cstheme="majorBidi"/>
                <w:szCs w:val="24"/>
              </w:rPr>
              <w:tab/>
            </w:r>
          </w:p>
          <w:p w14:paraId="6EA3BAEF" w14:textId="77777777" w:rsidR="002210A7" w:rsidRPr="00D11D21" w:rsidRDefault="002210A7" w:rsidP="00D11D21">
            <w:pPr>
              <w:jc w:val="both"/>
              <w:rPr>
                <w:rFonts w:asciiTheme="majorBidi" w:hAnsiTheme="majorBidi" w:cstheme="majorBidi"/>
                <w:szCs w:val="24"/>
              </w:rPr>
            </w:pPr>
          </w:p>
        </w:tc>
        <w:tc>
          <w:tcPr>
            <w:tcW w:w="2829" w:type="dxa"/>
          </w:tcPr>
          <w:p w14:paraId="1A4758D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1 066 700 000,00</w:t>
            </w:r>
            <w:r w:rsidRPr="00D11D21">
              <w:rPr>
                <w:rFonts w:asciiTheme="majorBidi" w:hAnsiTheme="majorBidi" w:cstheme="majorBidi"/>
                <w:szCs w:val="24"/>
              </w:rPr>
              <w:tab/>
            </w:r>
          </w:p>
          <w:p w14:paraId="3E27E6E1" w14:textId="77777777" w:rsidR="002210A7" w:rsidRPr="00D11D21" w:rsidRDefault="002210A7" w:rsidP="00D11D21">
            <w:pPr>
              <w:jc w:val="both"/>
              <w:rPr>
                <w:rFonts w:asciiTheme="majorBidi" w:hAnsiTheme="majorBidi" w:cstheme="majorBidi"/>
                <w:szCs w:val="24"/>
              </w:rPr>
            </w:pPr>
          </w:p>
        </w:tc>
        <w:tc>
          <w:tcPr>
            <w:tcW w:w="2829" w:type="dxa"/>
          </w:tcPr>
          <w:p w14:paraId="1BD1171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1 066 700 000,00</w:t>
            </w:r>
            <w:r w:rsidRPr="00D11D21">
              <w:rPr>
                <w:rFonts w:asciiTheme="majorBidi" w:hAnsiTheme="majorBidi" w:cstheme="majorBidi"/>
                <w:szCs w:val="24"/>
              </w:rPr>
              <w:tab/>
            </w:r>
          </w:p>
        </w:tc>
      </w:tr>
      <w:tr w:rsidR="002210A7" w:rsidRPr="00D11D21" w14:paraId="50A28C3F" w14:textId="77777777" w:rsidTr="00480CC0">
        <w:trPr>
          <w:trHeight w:val="1161"/>
        </w:trPr>
        <w:tc>
          <w:tcPr>
            <w:tcW w:w="2828" w:type="dxa"/>
          </w:tcPr>
          <w:p w14:paraId="57ADDE6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Article 02 : Dépenses de fonctionnement</w:t>
            </w:r>
            <w:r w:rsidRPr="00D11D21">
              <w:rPr>
                <w:rFonts w:asciiTheme="majorBidi" w:hAnsiTheme="majorBidi" w:cstheme="majorBidi"/>
                <w:szCs w:val="24"/>
              </w:rPr>
              <w:tab/>
            </w:r>
          </w:p>
          <w:p w14:paraId="443B1294" w14:textId="77777777" w:rsidR="002210A7" w:rsidRPr="00D11D21" w:rsidRDefault="002210A7" w:rsidP="00D11D21">
            <w:pPr>
              <w:jc w:val="both"/>
              <w:rPr>
                <w:rFonts w:asciiTheme="majorBidi" w:hAnsiTheme="majorBidi" w:cstheme="majorBidi"/>
                <w:szCs w:val="24"/>
              </w:rPr>
            </w:pPr>
          </w:p>
        </w:tc>
        <w:tc>
          <w:tcPr>
            <w:tcW w:w="2829" w:type="dxa"/>
          </w:tcPr>
          <w:p w14:paraId="294491D5"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289 310 000,00</w:t>
            </w:r>
            <w:r w:rsidRPr="00D11D21">
              <w:rPr>
                <w:rFonts w:asciiTheme="majorBidi" w:hAnsiTheme="majorBidi" w:cstheme="majorBidi"/>
                <w:szCs w:val="24"/>
              </w:rPr>
              <w:tab/>
            </w:r>
          </w:p>
        </w:tc>
        <w:tc>
          <w:tcPr>
            <w:tcW w:w="2829" w:type="dxa"/>
          </w:tcPr>
          <w:p w14:paraId="469B589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289 310 000,00</w:t>
            </w:r>
            <w:r w:rsidRPr="00D11D21">
              <w:rPr>
                <w:rFonts w:asciiTheme="majorBidi" w:hAnsiTheme="majorBidi" w:cstheme="majorBidi"/>
                <w:szCs w:val="24"/>
              </w:rPr>
              <w:tab/>
            </w:r>
          </w:p>
        </w:tc>
      </w:tr>
      <w:tr w:rsidR="002210A7" w:rsidRPr="00D11D21" w14:paraId="672DFAE3" w14:textId="77777777" w:rsidTr="00480CC0">
        <w:trPr>
          <w:trHeight w:val="1147"/>
        </w:trPr>
        <w:tc>
          <w:tcPr>
            <w:tcW w:w="2828" w:type="dxa"/>
          </w:tcPr>
          <w:p w14:paraId="06EB1C3D"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Article 03 : Dépenses d’investissement</w:t>
            </w:r>
            <w:r w:rsidRPr="00D11D21">
              <w:rPr>
                <w:rFonts w:asciiTheme="majorBidi" w:hAnsiTheme="majorBidi" w:cstheme="majorBidi"/>
                <w:szCs w:val="24"/>
              </w:rPr>
              <w:tab/>
            </w:r>
          </w:p>
          <w:p w14:paraId="04A7115A" w14:textId="77777777" w:rsidR="002210A7" w:rsidRPr="00D11D21" w:rsidRDefault="002210A7" w:rsidP="00D11D21">
            <w:pPr>
              <w:jc w:val="both"/>
              <w:rPr>
                <w:rFonts w:asciiTheme="majorBidi" w:hAnsiTheme="majorBidi" w:cstheme="majorBidi"/>
                <w:szCs w:val="24"/>
              </w:rPr>
            </w:pPr>
          </w:p>
        </w:tc>
        <w:tc>
          <w:tcPr>
            <w:tcW w:w="2829" w:type="dxa"/>
          </w:tcPr>
          <w:p w14:paraId="18515E3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0,00</w:t>
            </w:r>
            <w:r w:rsidRPr="00D11D21">
              <w:rPr>
                <w:rFonts w:asciiTheme="majorBidi" w:hAnsiTheme="majorBidi" w:cstheme="majorBidi"/>
                <w:szCs w:val="24"/>
              </w:rPr>
              <w:tab/>
            </w:r>
          </w:p>
        </w:tc>
        <w:tc>
          <w:tcPr>
            <w:tcW w:w="2829" w:type="dxa"/>
          </w:tcPr>
          <w:p w14:paraId="049870D9"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0,00</w:t>
            </w:r>
            <w:r w:rsidRPr="00D11D21">
              <w:rPr>
                <w:rFonts w:asciiTheme="majorBidi" w:hAnsiTheme="majorBidi" w:cstheme="majorBidi"/>
                <w:szCs w:val="24"/>
              </w:rPr>
              <w:tab/>
            </w:r>
          </w:p>
        </w:tc>
      </w:tr>
      <w:tr w:rsidR="002210A7" w:rsidRPr="00D11D21" w14:paraId="3138DAF1" w14:textId="77777777" w:rsidTr="00480CC0">
        <w:trPr>
          <w:trHeight w:val="1147"/>
        </w:trPr>
        <w:tc>
          <w:tcPr>
            <w:tcW w:w="2828" w:type="dxa"/>
          </w:tcPr>
          <w:p w14:paraId="69FED04C"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Article 04 : Dépenses de transfert</w:t>
            </w:r>
          </w:p>
          <w:p w14:paraId="6F89DAC8"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ab/>
            </w:r>
          </w:p>
        </w:tc>
        <w:tc>
          <w:tcPr>
            <w:tcW w:w="2829" w:type="dxa"/>
          </w:tcPr>
          <w:p w14:paraId="169B2F6F"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p>
        </w:tc>
        <w:tc>
          <w:tcPr>
            <w:tcW w:w="2829" w:type="dxa"/>
          </w:tcPr>
          <w:p w14:paraId="5A7763B4"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w:t>
            </w:r>
          </w:p>
        </w:tc>
      </w:tr>
      <w:tr w:rsidR="002210A7" w:rsidRPr="00D11D21" w14:paraId="23A0D54E" w14:textId="77777777" w:rsidTr="00480CC0">
        <w:trPr>
          <w:trHeight w:val="769"/>
        </w:trPr>
        <w:tc>
          <w:tcPr>
            <w:tcW w:w="2828" w:type="dxa"/>
          </w:tcPr>
          <w:p w14:paraId="6D340E4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Total général des dépenses</w:t>
            </w:r>
          </w:p>
          <w:p w14:paraId="011421D2" w14:textId="77777777" w:rsidR="002210A7" w:rsidRPr="00D11D21" w:rsidRDefault="002210A7" w:rsidP="00D11D21">
            <w:pPr>
              <w:jc w:val="both"/>
              <w:rPr>
                <w:rFonts w:asciiTheme="majorBidi" w:hAnsiTheme="majorBidi" w:cstheme="majorBidi"/>
                <w:szCs w:val="24"/>
              </w:rPr>
            </w:pPr>
          </w:p>
        </w:tc>
        <w:tc>
          <w:tcPr>
            <w:tcW w:w="2829" w:type="dxa"/>
          </w:tcPr>
          <w:p w14:paraId="7C6223F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1 356 010 000,00 DA</w:t>
            </w:r>
          </w:p>
        </w:tc>
        <w:tc>
          <w:tcPr>
            <w:tcW w:w="2829" w:type="dxa"/>
          </w:tcPr>
          <w:p w14:paraId="5C0AC127"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1 356 010 000,00 DA</w:t>
            </w:r>
          </w:p>
        </w:tc>
      </w:tr>
    </w:tbl>
    <w:p w14:paraId="33844E43" w14:textId="73474089"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Source : Document interne de l’EPH Bouzidi Lakhdar.</w:t>
      </w:r>
    </w:p>
    <w:p w14:paraId="75BB27BE" w14:textId="77777777" w:rsidR="002210A7" w:rsidRPr="00D11D21" w:rsidRDefault="002210A7" w:rsidP="00D11D21">
      <w:pPr>
        <w:pStyle w:val="Titre2"/>
        <w:rPr>
          <w:rFonts w:asciiTheme="majorBidi" w:hAnsiTheme="majorBidi"/>
          <w:szCs w:val="24"/>
        </w:rPr>
      </w:pPr>
      <w:bookmarkStart w:id="146" w:name="_Toc199956020"/>
      <w:bookmarkStart w:id="147" w:name="_Toc199958907"/>
      <w:r w:rsidRPr="00D11D21">
        <w:rPr>
          <w:rFonts w:asciiTheme="majorBidi" w:hAnsiTheme="majorBidi"/>
          <w:szCs w:val="24"/>
        </w:rPr>
        <w:t>Analyse des points forts et des limites du financement dans les structures étudiées :</w:t>
      </w:r>
      <w:bookmarkEnd w:id="146"/>
      <w:bookmarkEnd w:id="147"/>
    </w:p>
    <w:p w14:paraId="27F0A833"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L’observation du fonctionnement financier au sein de l’établissement hospitalier et de la CNAS a permis d’identifier plusieurs éléments positifs, mais aussi des limites qui entravent l’efficacité globale du financement. Cette analyse s’appuie sur les procédures constatées sur le terrain et les interactions entre les différentes structures concernées. </w:t>
      </w:r>
    </w:p>
    <w:p w14:paraId="56716FE3"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Points forts : </w:t>
      </w:r>
    </w:p>
    <w:p w14:paraId="58DE3C9E"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Une organisation administrative bien structurée, avec un processus de répartition budgétaire formalisé au sein de l’établissement hospitalier. </w:t>
      </w:r>
    </w:p>
    <w:p w14:paraId="60C85B7A"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L’implication du conseil d’administration et du contrôleur financier, garantissant une validation rigoureuse du budget. </w:t>
      </w:r>
    </w:p>
    <w:p w14:paraId="016A4E9C"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Le soutien de la CNAS via les forfaits hospitaliers qui permet une prise en charge partielle des dépenses liées aux soins des assurés sociaux. </w:t>
      </w:r>
    </w:p>
    <w:p w14:paraId="665670BD"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Une répartition budgétaire encadrée par des textes officiels, assurant un cadre réglementaire stable. </w:t>
      </w:r>
    </w:p>
    <w:p w14:paraId="1D2FFA19"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Une coordination entre les établissements de santé, la Direction de la Santé Publique (DSP) et la CNAS, assurant une certaine cohérence dans la circulation des fonds. </w:t>
      </w:r>
    </w:p>
    <w:p w14:paraId="549A648D"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Garantie de continuité de service public : Le mode de financement par budget global assure une disponibilité minimale des ressources permettant de maintenir l’activité hospitalière, même en cas de crise économique. </w:t>
      </w:r>
    </w:p>
    <w:p w14:paraId="42105C66"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Gratuité des soins pour les patients : Grâce à la contribution de la CNAS via les forfaits hospitaliers, les soins restent gratuits pour les assurés sociaux. </w:t>
      </w:r>
    </w:p>
    <w:p w14:paraId="08B59378"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lastRenderedPageBreak/>
        <w:t xml:space="preserve">Uniformité de traitement : Tous les hôpitaux bénéficient d’un cadre financier similaire, ce qui permet une certaine équité territoriale. </w:t>
      </w:r>
    </w:p>
    <w:p w14:paraId="38E710FA" w14:textId="77777777" w:rsidR="002210A7" w:rsidRPr="00D11D21" w:rsidRDefault="002210A7" w:rsidP="00D11D21">
      <w:pPr>
        <w:pStyle w:val="Paragraphedeliste"/>
        <w:numPr>
          <w:ilvl w:val="0"/>
          <w:numId w:val="93"/>
        </w:numPr>
        <w:spacing w:line="360" w:lineRule="auto"/>
        <w:jc w:val="both"/>
        <w:rPr>
          <w:rFonts w:asciiTheme="majorBidi" w:hAnsiTheme="majorBidi" w:cstheme="majorBidi"/>
          <w:szCs w:val="24"/>
        </w:rPr>
      </w:pPr>
      <w:r w:rsidRPr="00D11D21">
        <w:rPr>
          <w:rFonts w:asciiTheme="majorBidi" w:hAnsiTheme="majorBidi" w:cstheme="majorBidi"/>
          <w:szCs w:val="24"/>
        </w:rPr>
        <w:t xml:space="preserve">Présence de normes budgétaires claires : L’utilisation d’une nomenclature budgétaire facilite le contrôle et la lecture des dépenses. </w:t>
      </w:r>
    </w:p>
    <w:p w14:paraId="13830B02"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Faiblesses et problèmes identifiés : </w:t>
      </w:r>
    </w:p>
    <w:p w14:paraId="254A0A72"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Au cours de la recherche, plusieurs faiblesses ont été identifié à travers des observations et dont fait face le système algérien tels que : </w:t>
      </w:r>
    </w:p>
    <w:p w14:paraId="247F6C2A"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Des délais parfois longs dans la validation et le transfert des budgets, notamment à cause des nombreuses étapes administratives. </w:t>
      </w:r>
    </w:p>
    <w:p w14:paraId="47655C4D"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L’absence d’un système d’information intégré entre les hôpitaux et la CNAS, limitant la traçabilité et la fiabilité des données. </w:t>
      </w:r>
    </w:p>
    <w:p w14:paraId="1692D609"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Absence de système qui relie et connecte les différents services administratifs. </w:t>
      </w:r>
    </w:p>
    <w:p w14:paraId="1A29C581"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Absence de système de gestion financière qui réponde au besoin réel en matière de tâches effectuées par les administrations de l'hôpital. </w:t>
      </w:r>
    </w:p>
    <w:p w14:paraId="4F8A9C1C"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Présence de systèmes informatiques obsolète dont les fonctions ne répondent pas au besoin </w:t>
      </w:r>
    </w:p>
    <w:p w14:paraId="1393CB7F"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Une mauvaise exploitation des données d’activité hospitalière, qui ne sont pas utilisées pour adapter ou réviser le financement. </w:t>
      </w:r>
    </w:p>
    <w:p w14:paraId="27F27B24"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L’absence de contractualisation réelle entre la CNAS et les hôpitaux concernant les prestations financées via le forfait hospitalier. </w:t>
      </w:r>
    </w:p>
    <w:p w14:paraId="1C6AC9CE"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Une dépendance totale au budget global, ne permettant pas aux établissements d’ajuster leurs ressources en fonction des besoins réels. </w:t>
      </w:r>
    </w:p>
    <w:p w14:paraId="47CCA061"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Des écarts dans la répartition des fonds entre établissements, parfois dus à un manque de critères d’allocation transparents </w:t>
      </w:r>
    </w:p>
    <w:p w14:paraId="10317A17"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Faible incitation à la performance : Le budget n’est pas lié aux résultats ni à l’activité réelle, ce qui peut décourager les efforts d’efficience ou d’innovation. </w:t>
      </w:r>
    </w:p>
    <w:p w14:paraId="55257775"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Manque de transparence dans l’utilisation des ressources : Sans système de suivi automatisé, il est difficile de vérifier si les fonds sont utilisés de manière optimale. </w:t>
      </w:r>
    </w:p>
    <w:p w14:paraId="196498B3"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Peu de marge de manœuvre pour les hôpitaux : Les établissements n’ont pas toujours la liberté de réallouer les fonds selon les urgences ou priorités locales. </w:t>
      </w:r>
    </w:p>
    <w:p w14:paraId="4342D2A9" w14:textId="77777777" w:rsidR="002210A7" w:rsidRPr="00D11D21" w:rsidRDefault="002210A7" w:rsidP="00D11D21">
      <w:pPr>
        <w:pStyle w:val="Paragraphedeliste"/>
        <w:numPr>
          <w:ilvl w:val="0"/>
          <w:numId w:val="94"/>
        </w:numPr>
        <w:spacing w:line="360" w:lineRule="auto"/>
        <w:jc w:val="both"/>
        <w:rPr>
          <w:rFonts w:asciiTheme="majorBidi" w:hAnsiTheme="majorBidi" w:cstheme="majorBidi"/>
          <w:szCs w:val="24"/>
        </w:rPr>
      </w:pPr>
      <w:r w:rsidRPr="00D11D21">
        <w:rPr>
          <w:rFonts w:asciiTheme="majorBidi" w:hAnsiTheme="majorBidi" w:cstheme="majorBidi"/>
          <w:szCs w:val="24"/>
        </w:rPr>
        <w:t xml:space="preserve">Processus décisionnel trop centralisé : Le rôle dominant de la tutelle (ministère, DSP) limite parfois l’autonomie de gestion des établissements. </w:t>
      </w:r>
    </w:p>
    <w:p w14:paraId="759869BE"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lastRenderedPageBreak/>
        <w:t xml:space="preserve">Enfin, les contraintes budgétaires et la rigidité de l’organisation publique hospitalière limitent fortement la marge de manœuvre des gestionnaires. Le budget alloué ne dépend pas de l’activité, et les possibilités d’ajustement sont faibles, ce qui engendre frustration, sous-performance, et parfois gaspillage de ressources. </w:t>
      </w:r>
    </w:p>
    <w:p w14:paraId="731DA1BF" w14:textId="77777777" w:rsidR="00AE3204" w:rsidRPr="00D11D21" w:rsidRDefault="002210A7" w:rsidP="00D11D21">
      <w:pPr>
        <w:pStyle w:val="Titre5"/>
        <w:rPr>
          <w:rFonts w:asciiTheme="majorBidi" w:hAnsiTheme="majorBidi"/>
          <w:szCs w:val="24"/>
        </w:rPr>
      </w:pPr>
      <w:r w:rsidRPr="00D11D21">
        <w:rPr>
          <w:rFonts w:asciiTheme="majorBidi" w:hAnsiTheme="majorBidi"/>
          <w:szCs w:val="24"/>
        </w:rPr>
        <w:t>Présentation et analyse des questionnaires</w:t>
      </w:r>
    </w:p>
    <w:p w14:paraId="52D302D0" w14:textId="77777777" w:rsidR="002210A7" w:rsidRPr="00D11D21" w:rsidRDefault="002210A7" w:rsidP="00D11D21">
      <w:pPr>
        <w:pStyle w:val="Titre2"/>
        <w:numPr>
          <w:ilvl w:val="0"/>
          <w:numId w:val="145"/>
        </w:numPr>
        <w:rPr>
          <w:rFonts w:asciiTheme="majorBidi" w:hAnsiTheme="majorBidi"/>
          <w:szCs w:val="24"/>
        </w:rPr>
      </w:pPr>
      <w:bookmarkStart w:id="148" w:name="_Toc199956021"/>
      <w:bookmarkStart w:id="149" w:name="_Toc199958908"/>
      <w:r w:rsidRPr="00D11D21">
        <w:rPr>
          <w:rFonts w:asciiTheme="majorBidi" w:hAnsiTheme="majorBidi"/>
          <w:szCs w:val="24"/>
        </w:rPr>
        <w:t>Cadre méthodologique de l'étude :</w:t>
      </w:r>
      <w:bookmarkEnd w:id="148"/>
      <w:bookmarkEnd w:id="149"/>
    </w:p>
    <w:p w14:paraId="041FCB18" w14:textId="77777777" w:rsidR="002210A7" w:rsidRPr="00D11D21" w:rsidRDefault="002210A7" w:rsidP="00D11D21">
      <w:pPr>
        <w:pStyle w:val="Paragraphedeliste"/>
        <w:numPr>
          <w:ilvl w:val="0"/>
          <w:numId w:val="156"/>
        </w:numPr>
        <w:spacing w:line="360" w:lineRule="auto"/>
        <w:jc w:val="both"/>
        <w:rPr>
          <w:rFonts w:asciiTheme="majorBidi" w:hAnsiTheme="majorBidi" w:cstheme="majorBidi"/>
          <w:b/>
          <w:bCs/>
          <w:szCs w:val="24"/>
        </w:rPr>
      </w:pPr>
      <w:r w:rsidRPr="00D11D21">
        <w:rPr>
          <w:rStyle w:val="lev"/>
          <w:rFonts w:asciiTheme="majorBidi" w:hAnsiTheme="majorBidi" w:cstheme="majorBidi"/>
          <w:b w:val="0"/>
          <w:bCs w:val="0"/>
          <w:sz w:val="24"/>
          <w:szCs w:val="24"/>
        </w:rPr>
        <w:t>Champ de l’étude :</w:t>
      </w:r>
    </w:p>
    <w:p w14:paraId="52BF0FEA"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Dans le cadre de cette recherche, le </w:t>
      </w:r>
      <w:r w:rsidRPr="00D11D21">
        <w:rPr>
          <w:rStyle w:val="lev"/>
          <w:rFonts w:asciiTheme="majorBidi" w:hAnsiTheme="majorBidi" w:cstheme="majorBidi"/>
          <w:sz w:val="24"/>
        </w:rPr>
        <w:t>champ d’étude</w:t>
      </w:r>
      <w:r w:rsidRPr="00D11D21">
        <w:rPr>
          <w:rFonts w:asciiTheme="majorBidi" w:hAnsiTheme="majorBidi" w:cstheme="majorBidi"/>
        </w:rPr>
        <w:t xml:space="preserve"> définit les contours de l’investigation à travers trois dimensions :</w:t>
      </w:r>
    </w:p>
    <w:p w14:paraId="06D266B1" w14:textId="77777777" w:rsidR="002210A7" w:rsidRPr="00D11D21" w:rsidRDefault="002210A7" w:rsidP="00D11D21">
      <w:pPr>
        <w:pStyle w:val="NormalWeb"/>
        <w:numPr>
          <w:ilvl w:val="0"/>
          <w:numId w:val="87"/>
        </w:numPr>
        <w:spacing w:line="360" w:lineRule="auto"/>
        <w:jc w:val="both"/>
        <w:rPr>
          <w:rFonts w:asciiTheme="majorBidi" w:hAnsiTheme="majorBidi" w:cstheme="majorBidi"/>
        </w:rPr>
      </w:pPr>
      <w:r w:rsidRPr="00D11D21">
        <w:rPr>
          <w:rStyle w:val="lev"/>
          <w:rFonts w:asciiTheme="majorBidi" w:hAnsiTheme="majorBidi" w:cstheme="majorBidi"/>
          <w:sz w:val="24"/>
        </w:rPr>
        <w:t>Champ thématique</w:t>
      </w:r>
      <w:r w:rsidRPr="00D11D21">
        <w:rPr>
          <w:rFonts w:asciiTheme="majorBidi" w:hAnsiTheme="majorBidi" w:cstheme="majorBidi"/>
        </w:rPr>
        <w:t xml:space="preserve"> : L’étude se concentre sur le rôle des systèmes d’information de santé dans la restructuration des modes de financement des établissements hospitaliers, avec une attention particulière portée à la faisabilité d’un </w:t>
      </w:r>
      <w:r w:rsidRPr="00D11D21">
        <w:rPr>
          <w:rStyle w:val="lev"/>
          <w:rFonts w:asciiTheme="majorBidi" w:hAnsiTheme="majorBidi" w:cstheme="majorBidi"/>
          <w:sz w:val="24"/>
        </w:rPr>
        <w:t>modèle mixte</w:t>
      </w:r>
      <w:r w:rsidRPr="00D11D21">
        <w:rPr>
          <w:rFonts w:asciiTheme="majorBidi" w:hAnsiTheme="majorBidi" w:cstheme="majorBidi"/>
        </w:rPr>
        <w:t xml:space="preserve"> combinant une base fixe et une part variable liée à l’activité réelle.</w:t>
      </w:r>
    </w:p>
    <w:p w14:paraId="50BA503E" w14:textId="77777777" w:rsidR="002210A7" w:rsidRPr="00D11D21" w:rsidRDefault="002210A7" w:rsidP="00D11D21">
      <w:pPr>
        <w:pStyle w:val="NormalWeb"/>
        <w:numPr>
          <w:ilvl w:val="0"/>
          <w:numId w:val="87"/>
        </w:numPr>
        <w:spacing w:line="360" w:lineRule="auto"/>
        <w:jc w:val="both"/>
        <w:rPr>
          <w:rFonts w:asciiTheme="majorBidi" w:hAnsiTheme="majorBidi" w:cstheme="majorBidi"/>
        </w:rPr>
      </w:pPr>
      <w:r w:rsidRPr="00D11D21">
        <w:rPr>
          <w:rStyle w:val="lev"/>
          <w:rFonts w:asciiTheme="majorBidi" w:hAnsiTheme="majorBidi" w:cstheme="majorBidi"/>
          <w:sz w:val="24"/>
        </w:rPr>
        <w:t>Champ géographique</w:t>
      </w:r>
      <w:r w:rsidRPr="00D11D21">
        <w:rPr>
          <w:rFonts w:asciiTheme="majorBidi" w:hAnsiTheme="majorBidi" w:cstheme="majorBidi"/>
        </w:rPr>
        <w:t xml:space="preserve"> : L’enquête a été réalisée auprès de </w:t>
      </w:r>
      <w:r w:rsidRPr="00D11D21">
        <w:rPr>
          <w:rStyle w:val="lev"/>
          <w:rFonts w:asciiTheme="majorBidi" w:hAnsiTheme="majorBidi" w:cstheme="majorBidi"/>
          <w:sz w:val="24"/>
        </w:rPr>
        <w:t>responsables d’hôpitaux publics</w:t>
      </w:r>
      <w:r w:rsidRPr="00D11D21">
        <w:rPr>
          <w:rFonts w:asciiTheme="majorBidi" w:hAnsiTheme="majorBidi" w:cstheme="majorBidi"/>
        </w:rPr>
        <w:t xml:space="preserve"> et de la </w:t>
      </w:r>
      <w:r w:rsidRPr="00D11D21">
        <w:rPr>
          <w:rStyle w:val="lev"/>
          <w:rFonts w:asciiTheme="majorBidi" w:hAnsiTheme="majorBidi" w:cstheme="majorBidi"/>
          <w:sz w:val="24"/>
        </w:rPr>
        <w:t>CNAS (Caisse Nationale des Assurances Sociales)</w:t>
      </w:r>
      <w:r w:rsidRPr="00D11D21">
        <w:rPr>
          <w:rFonts w:asciiTheme="majorBidi" w:hAnsiTheme="majorBidi" w:cstheme="majorBidi"/>
        </w:rPr>
        <w:t xml:space="preserve"> situés dans les wilayas d’</w:t>
      </w:r>
      <w:r w:rsidRPr="00D11D21">
        <w:rPr>
          <w:rStyle w:val="lev"/>
          <w:rFonts w:asciiTheme="majorBidi" w:hAnsiTheme="majorBidi" w:cstheme="majorBidi"/>
          <w:sz w:val="24"/>
        </w:rPr>
        <w:t>Alger</w:t>
      </w:r>
      <w:r w:rsidRPr="00D11D21">
        <w:rPr>
          <w:rFonts w:asciiTheme="majorBidi" w:hAnsiTheme="majorBidi" w:cstheme="majorBidi"/>
        </w:rPr>
        <w:t xml:space="preserve"> et de </w:t>
      </w:r>
      <w:r w:rsidRPr="00D11D21">
        <w:rPr>
          <w:rStyle w:val="lev"/>
          <w:rFonts w:asciiTheme="majorBidi" w:hAnsiTheme="majorBidi" w:cstheme="majorBidi"/>
          <w:sz w:val="24"/>
        </w:rPr>
        <w:t>Bordj Bou Arreridj</w:t>
      </w:r>
      <w:r w:rsidRPr="00D11D21">
        <w:rPr>
          <w:rFonts w:asciiTheme="majorBidi" w:hAnsiTheme="majorBidi" w:cstheme="majorBidi"/>
        </w:rPr>
        <w:t>.</w:t>
      </w:r>
    </w:p>
    <w:p w14:paraId="16A5405B" w14:textId="77777777" w:rsidR="002210A7" w:rsidRPr="00D11D21" w:rsidRDefault="002210A7" w:rsidP="00D11D21">
      <w:pPr>
        <w:pStyle w:val="NormalWeb"/>
        <w:numPr>
          <w:ilvl w:val="0"/>
          <w:numId w:val="87"/>
        </w:numPr>
        <w:spacing w:line="360" w:lineRule="auto"/>
        <w:jc w:val="both"/>
        <w:rPr>
          <w:rFonts w:asciiTheme="majorBidi" w:hAnsiTheme="majorBidi" w:cstheme="majorBidi"/>
        </w:rPr>
      </w:pPr>
      <w:r w:rsidRPr="00D11D21">
        <w:rPr>
          <w:rStyle w:val="lev"/>
          <w:rFonts w:asciiTheme="majorBidi" w:hAnsiTheme="majorBidi" w:cstheme="majorBidi"/>
          <w:sz w:val="24"/>
        </w:rPr>
        <w:t>Champ temporel</w:t>
      </w:r>
      <w:r w:rsidRPr="00D11D21">
        <w:rPr>
          <w:rFonts w:asciiTheme="majorBidi" w:hAnsiTheme="majorBidi" w:cstheme="majorBidi"/>
        </w:rPr>
        <w:t xml:space="preserve"> : Les données ont été recueillies entre</w:t>
      </w:r>
      <w:r w:rsidR="0050779A" w:rsidRPr="00D11D21">
        <w:rPr>
          <w:rFonts w:asciiTheme="majorBidi" w:hAnsiTheme="majorBidi" w:cstheme="majorBidi"/>
        </w:rPr>
        <w:t xml:space="preserve"> le mois de</w:t>
      </w:r>
      <w:r w:rsidRPr="00D11D21">
        <w:rPr>
          <w:rFonts w:asciiTheme="majorBidi" w:hAnsiTheme="majorBidi" w:cstheme="majorBidi"/>
        </w:rPr>
        <w:t xml:space="preserve"> </w:t>
      </w:r>
      <w:r w:rsidRPr="00D11D21">
        <w:rPr>
          <w:rStyle w:val="lev"/>
          <w:rFonts w:asciiTheme="majorBidi" w:hAnsiTheme="majorBidi" w:cstheme="majorBidi"/>
          <w:sz w:val="24"/>
        </w:rPr>
        <w:t>mars et avril 2025</w:t>
      </w:r>
      <w:r w:rsidRPr="00D11D21">
        <w:rPr>
          <w:rFonts w:asciiTheme="majorBidi" w:hAnsiTheme="majorBidi" w:cstheme="majorBidi"/>
        </w:rPr>
        <w:t xml:space="preserve">, dans le cadre de l’année universitaire </w:t>
      </w:r>
      <w:r w:rsidRPr="00D11D21">
        <w:rPr>
          <w:rStyle w:val="lev"/>
          <w:rFonts w:asciiTheme="majorBidi" w:hAnsiTheme="majorBidi" w:cstheme="majorBidi"/>
          <w:sz w:val="24"/>
        </w:rPr>
        <w:t>2024–2025</w:t>
      </w:r>
      <w:r w:rsidRPr="00D11D21">
        <w:rPr>
          <w:rFonts w:asciiTheme="majorBidi" w:hAnsiTheme="majorBidi" w:cstheme="majorBidi"/>
        </w:rPr>
        <w:t>.</w:t>
      </w:r>
    </w:p>
    <w:p w14:paraId="5CA290C3" w14:textId="77777777" w:rsidR="002210A7" w:rsidRPr="00D11D21" w:rsidRDefault="002210A7" w:rsidP="00D11D21">
      <w:pPr>
        <w:pStyle w:val="Paragraphedeliste"/>
        <w:numPr>
          <w:ilvl w:val="0"/>
          <w:numId w:val="157"/>
        </w:numPr>
        <w:spacing w:line="360" w:lineRule="auto"/>
        <w:jc w:val="both"/>
        <w:rPr>
          <w:rFonts w:asciiTheme="majorBidi" w:hAnsiTheme="majorBidi" w:cstheme="majorBidi"/>
          <w:b/>
          <w:bCs/>
          <w:szCs w:val="24"/>
        </w:rPr>
      </w:pPr>
      <w:r w:rsidRPr="00D11D21">
        <w:rPr>
          <w:rStyle w:val="lev"/>
          <w:rFonts w:asciiTheme="majorBidi" w:hAnsiTheme="majorBidi" w:cstheme="majorBidi"/>
          <w:b w:val="0"/>
          <w:bCs w:val="0"/>
          <w:sz w:val="24"/>
          <w:szCs w:val="24"/>
        </w:rPr>
        <w:t>Méthodologie de recherche</w:t>
      </w:r>
    </w:p>
    <w:p w14:paraId="6398816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Cette étude adopte une méthodologie mixte articulée autour de deux approches complémentaires :</w:t>
      </w:r>
    </w:p>
    <w:p w14:paraId="6CA909DB" w14:textId="77777777" w:rsidR="002210A7" w:rsidRPr="00D11D21" w:rsidRDefault="002210A7" w:rsidP="00D11D21">
      <w:pPr>
        <w:pStyle w:val="NormalWeb"/>
        <w:numPr>
          <w:ilvl w:val="0"/>
          <w:numId w:val="88"/>
        </w:numPr>
        <w:spacing w:line="360" w:lineRule="auto"/>
        <w:jc w:val="both"/>
        <w:rPr>
          <w:rFonts w:asciiTheme="majorBidi" w:hAnsiTheme="majorBidi" w:cstheme="majorBidi"/>
        </w:rPr>
      </w:pPr>
      <w:r w:rsidRPr="00D11D21">
        <w:rPr>
          <w:rStyle w:val="lev"/>
          <w:rFonts w:asciiTheme="majorBidi" w:hAnsiTheme="majorBidi" w:cstheme="majorBidi"/>
          <w:sz w:val="24"/>
        </w:rPr>
        <w:t>Une approche descriptive</w:t>
      </w:r>
      <w:r w:rsidRPr="00D11D21">
        <w:rPr>
          <w:rFonts w:asciiTheme="majorBidi" w:hAnsiTheme="majorBidi" w:cstheme="majorBidi"/>
        </w:rPr>
        <w:t>, mobilisée dans la partie théorique pour présenter les concepts, les systèmes d’information, les modes de financement hospitaliers en Algérie et à l’international.</w:t>
      </w:r>
    </w:p>
    <w:p w14:paraId="2BEC14AA" w14:textId="77777777" w:rsidR="002210A7" w:rsidRPr="00D11D21" w:rsidRDefault="002210A7" w:rsidP="00D11D21">
      <w:pPr>
        <w:pStyle w:val="NormalWeb"/>
        <w:numPr>
          <w:ilvl w:val="0"/>
          <w:numId w:val="88"/>
        </w:numPr>
        <w:spacing w:line="360" w:lineRule="auto"/>
        <w:jc w:val="both"/>
        <w:rPr>
          <w:rFonts w:asciiTheme="majorBidi" w:hAnsiTheme="majorBidi" w:cstheme="majorBidi"/>
        </w:rPr>
      </w:pPr>
      <w:r w:rsidRPr="00D11D21">
        <w:rPr>
          <w:rFonts w:asciiTheme="majorBidi" w:hAnsiTheme="majorBidi" w:cstheme="majorBidi"/>
          <w:b/>
          <w:bCs/>
        </w:rPr>
        <w:t>Une approche analytique,</w:t>
      </w:r>
      <w:r w:rsidRPr="00D11D21">
        <w:rPr>
          <w:rFonts w:asciiTheme="majorBidi" w:hAnsiTheme="majorBidi" w:cstheme="majorBidi"/>
        </w:rPr>
        <w:t xml:space="preserve"> mobilisée dans la partie pratique, vise à étudier la réalité du financement hospitalier en Algérie et le rôle des systèmes d’information dans ce processus. Cette approche repose sur l’exploitation de deux questionnaires (hôpital et </w:t>
      </w:r>
      <w:r w:rsidR="0050779A" w:rsidRPr="00D11D21">
        <w:rPr>
          <w:rFonts w:asciiTheme="majorBidi" w:hAnsiTheme="majorBidi" w:cstheme="majorBidi"/>
        </w:rPr>
        <w:t>Caisse Nationale des Assurances Sociales</w:t>
      </w:r>
      <w:r w:rsidRPr="00D11D21">
        <w:rPr>
          <w:rFonts w:asciiTheme="majorBidi" w:hAnsiTheme="majorBidi" w:cstheme="majorBidi"/>
        </w:rPr>
        <w:t>), analysés statistiquement à l’aide du logiciel SPSS pour tester les hypothèses émises. L’analyse est enrichie par des documents internes institutionnels et des observations de terrain, afin de recueillir un maximum d’éléments empiriques utiles à la validation du modèle mixte proposé.</w:t>
      </w:r>
    </w:p>
    <w:p w14:paraId="1AE18C36" w14:textId="77777777" w:rsidR="002210A7" w:rsidRPr="00D11D21" w:rsidRDefault="002210A7" w:rsidP="00D11D21">
      <w:pPr>
        <w:pStyle w:val="Titre2"/>
        <w:rPr>
          <w:rFonts w:asciiTheme="majorBidi" w:hAnsiTheme="majorBidi"/>
          <w:szCs w:val="24"/>
        </w:rPr>
      </w:pPr>
      <w:r w:rsidRPr="00D11D21">
        <w:rPr>
          <w:rFonts w:asciiTheme="majorBidi" w:hAnsiTheme="majorBidi"/>
          <w:szCs w:val="24"/>
        </w:rPr>
        <w:lastRenderedPageBreak/>
        <w:t xml:space="preserve"> </w:t>
      </w:r>
      <w:bookmarkStart w:id="150" w:name="_Toc199958909"/>
      <w:r w:rsidRPr="00D11D21">
        <w:rPr>
          <w:rFonts w:asciiTheme="majorBidi" w:hAnsiTheme="majorBidi"/>
          <w:szCs w:val="24"/>
        </w:rPr>
        <w:t>Population et échantillon de l’étude</w:t>
      </w:r>
      <w:bookmarkEnd w:id="150"/>
    </w:p>
    <w:p w14:paraId="59CCADE9" w14:textId="77777777" w:rsidR="002210A7" w:rsidRPr="00D11D21" w:rsidRDefault="002210A7" w:rsidP="00D11D21">
      <w:pPr>
        <w:pStyle w:val="Paragraphedeliste"/>
        <w:numPr>
          <w:ilvl w:val="0"/>
          <w:numId w:val="158"/>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Population de l’étude</w:t>
      </w:r>
    </w:p>
    <w:p w14:paraId="1C38A9A0"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La population cible de cette recherche est constituée de </w:t>
      </w:r>
      <w:r w:rsidRPr="00D11D21">
        <w:rPr>
          <w:rFonts w:asciiTheme="majorBidi" w:eastAsia="Times New Roman" w:hAnsiTheme="majorBidi" w:cstheme="majorBidi"/>
          <w:b/>
          <w:bCs/>
          <w:szCs w:val="24"/>
          <w:lang w:eastAsia="fr-FR"/>
        </w:rPr>
        <w:t>l’ensemble des acteurs directement impliqués dans le financement et la gestion des systèmes d’information au sein des établissements de santé publics et des caisses de sécurité sociale (CNAS)</w:t>
      </w:r>
      <w:r w:rsidRPr="00D11D21">
        <w:rPr>
          <w:rFonts w:asciiTheme="majorBidi" w:eastAsia="Times New Roman" w:hAnsiTheme="majorBidi" w:cstheme="majorBidi"/>
          <w:szCs w:val="24"/>
          <w:lang w:eastAsia="fr-FR"/>
        </w:rPr>
        <w:t xml:space="preserve">. Il s’agit notamment des </w:t>
      </w:r>
      <w:r w:rsidRPr="00D11D21">
        <w:rPr>
          <w:rFonts w:asciiTheme="majorBidi" w:eastAsia="Times New Roman" w:hAnsiTheme="majorBidi" w:cstheme="majorBidi"/>
          <w:b/>
          <w:bCs/>
          <w:szCs w:val="24"/>
          <w:lang w:eastAsia="fr-FR"/>
        </w:rPr>
        <w:t>responsables hospitaliers (direction, administration, service financier, etc.)</w:t>
      </w:r>
      <w:r w:rsidRPr="00D11D21">
        <w:rPr>
          <w:rFonts w:asciiTheme="majorBidi" w:eastAsia="Times New Roman" w:hAnsiTheme="majorBidi" w:cstheme="majorBidi"/>
          <w:szCs w:val="24"/>
          <w:lang w:eastAsia="fr-FR"/>
        </w:rPr>
        <w:t xml:space="preserve"> et des </w:t>
      </w:r>
      <w:r w:rsidRPr="00D11D21">
        <w:rPr>
          <w:rFonts w:asciiTheme="majorBidi" w:eastAsia="Times New Roman" w:hAnsiTheme="majorBidi" w:cstheme="majorBidi"/>
          <w:b/>
          <w:bCs/>
          <w:szCs w:val="24"/>
          <w:lang w:eastAsia="fr-FR"/>
        </w:rPr>
        <w:t>cadres de la CNAS</w:t>
      </w:r>
      <w:r w:rsidRPr="00D11D21">
        <w:rPr>
          <w:rFonts w:asciiTheme="majorBidi" w:eastAsia="Times New Roman" w:hAnsiTheme="majorBidi" w:cstheme="majorBidi"/>
          <w:szCs w:val="24"/>
          <w:lang w:eastAsia="fr-FR"/>
        </w:rPr>
        <w:t xml:space="preserve"> intervenant dans le suivi budgétaire, la contractualisation ou le remboursement des prestations hospitalières.</w:t>
      </w:r>
    </w:p>
    <w:p w14:paraId="44D01AC5" w14:textId="77777777" w:rsidR="002210A7" w:rsidRPr="00D11D21" w:rsidRDefault="002210A7" w:rsidP="00D11D21">
      <w:pPr>
        <w:pStyle w:val="Paragraphedeliste"/>
        <w:numPr>
          <w:ilvl w:val="0"/>
          <w:numId w:val="158"/>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Échantillon de l’étude</w:t>
      </w:r>
    </w:p>
    <w:p w14:paraId="7E9FC184"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L’échantillon a été constitué de manière </w:t>
      </w:r>
      <w:r w:rsidRPr="00D11D21">
        <w:rPr>
          <w:rFonts w:asciiTheme="majorBidi" w:eastAsia="Times New Roman" w:hAnsiTheme="majorBidi" w:cstheme="majorBidi"/>
          <w:b/>
          <w:bCs/>
          <w:szCs w:val="24"/>
          <w:lang w:eastAsia="fr-FR"/>
        </w:rPr>
        <w:t>aléatoire raisonnée</w:t>
      </w:r>
      <w:r w:rsidRPr="00D11D21">
        <w:rPr>
          <w:rFonts w:asciiTheme="majorBidi" w:eastAsia="Times New Roman" w:hAnsiTheme="majorBidi" w:cstheme="majorBidi"/>
          <w:szCs w:val="24"/>
          <w:lang w:eastAsia="fr-FR"/>
        </w:rPr>
        <w:t>, dans le but de garantir une représentativité minimale tout en tenant compte des contraintes d’accès aux structures ciblées. Deux questionnaires distincts ont été administrés à deux catégories d’acteurs :</w:t>
      </w:r>
    </w:p>
    <w:p w14:paraId="51CFEFDF" w14:textId="77777777" w:rsidR="002210A7" w:rsidRPr="00D11D21" w:rsidRDefault="002210A7" w:rsidP="00D11D21">
      <w:pPr>
        <w:numPr>
          <w:ilvl w:val="0"/>
          <w:numId w:val="89"/>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Les responsables d’hôpitaux publics</w:t>
      </w:r>
    </w:p>
    <w:p w14:paraId="31320EDC" w14:textId="77777777" w:rsidR="002210A7" w:rsidRPr="00D11D21" w:rsidRDefault="002210A7" w:rsidP="00D11D21">
      <w:pPr>
        <w:numPr>
          <w:ilvl w:val="0"/>
          <w:numId w:val="89"/>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Les responsables des agences de la CNAS</w:t>
      </w:r>
    </w:p>
    <w:p w14:paraId="6870E762" w14:textId="281B3B2D"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Un total de </w:t>
      </w:r>
      <w:r w:rsidRPr="00D11D21">
        <w:rPr>
          <w:rFonts w:asciiTheme="majorBidi" w:eastAsia="Times New Roman" w:hAnsiTheme="majorBidi" w:cstheme="majorBidi"/>
          <w:b/>
          <w:bCs/>
          <w:szCs w:val="24"/>
          <w:lang w:eastAsia="fr-FR"/>
        </w:rPr>
        <w:t xml:space="preserve">87 questionnaires </w:t>
      </w:r>
      <w:r w:rsidR="00A156CC" w:rsidRPr="00D11D21">
        <w:rPr>
          <w:rFonts w:asciiTheme="majorBidi" w:eastAsia="Times New Roman" w:hAnsiTheme="majorBidi" w:cstheme="majorBidi"/>
          <w:b/>
          <w:bCs/>
          <w:szCs w:val="24"/>
          <w:lang w:eastAsia="fr-FR"/>
        </w:rPr>
        <w:t>a</w:t>
      </w:r>
      <w:r w:rsidRPr="00D11D21">
        <w:rPr>
          <w:rFonts w:asciiTheme="majorBidi" w:eastAsia="Times New Roman" w:hAnsiTheme="majorBidi" w:cstheme="majorBidi"/>
          <w:b/>
          <w:bCs/>
          <w:szCs w:val="24"/>
          <w:lang w:eastAsia="fr-FR"/>
        </w:rPr>
        <w:t xml:space="preserve"> été distribués</w:t>
      </w:r>
      <w:r w:rsidRPr="00D11D21">
        <w:rPr>
          <w:rFonts w:asciiTheme="majorBidi" w:eastAsia="Times New Roman" w:hAnsiTheme="majorBidi" w:cstheme="majorBidi"/>
          <w:szCs w:val="24"/>
          <w:lang w:eastAsia="fr-FR"/>
        </w:rPr>
        <w:t xml:space="preserve">, dont </w:t>
      </w:r>
      <w:r w:rsidRPr="00D11D21">
        <w:rPr>
          <w:rFonts w:asciiTheme="majorBidi" w:eastAsia="Times New Roman" w:hAnsiTheme="majorBidi" w:cstheme="majorBidi"/>
          <w:b/>
          <w:bCs/>
          <w:szCs w:val="24"/>
          <w:lang w:eastAsia="fr-FR"/>
        </w:rPr>
        <w:t>75 ont été récupérés</w:t>
      </w:r>
      <w:r w:rsidRPr="00D11D21">
        <w:rPr>
          <w:rFonts w:asciiTheme="majorBidi" w:eastAsia="Times New Roman" w:hAnsiTheme="majorBidi" w:cstheme="majorBidi"/>
          <w:szCs w:val="24"/>
          <w:lang w:eastAsia="fr-FR"/>
        </w:rPr>
        <w:t xml:space="preserve">, soit un taux de réponse de </w:t>
      </w:r>
      <w:r w:rsidRPr="00D11D21">
        <w:rPr>
          <w:rFonts w:asciiTheme="majorBidi" w:eastAsia="Times New Roman" w:hAnsiTheme="majorBidi" w:cstheme="majorBidi"/>
          <w:b/>
          <w:bCs/>
          <w:szCs w:val="24"/>
          <w:lang w:eastAsia="fr-FR"/>
        </w:rPr>
        <w:t>86,2 %</w:t>
      </w:r>
      <w:r w:rsidRPr="00D11D21">
        <w:rPr>
          <w:rFonts w:asciiTheme="majorBidi" w:eastAsia="Times New Roman" w:hAnsiTheme="majorBidi" w:cstheme="majorBidi"/>
          <w:szCs w:val="24"/>
          <w:lang w:eastAsia="fr-FR"/>
        </w:rPr>
        <w:t>, comme indiqué dans le tableau ci-dessous :</w:t>
      </w:r>
    </w:p>
    <w:p w14:paraId="1D2A2EE4" w14:textId="3E8BF549" w:rsidR="007607FA" w:rsidRPr="00D11D21" w:rsidRDefault="007607FA" w:rsidP="00D11D21">
      <w:pPr>
        <w:pStyle w:val="Lgende"/>
        <w:keepNext/>
        <w:spacing w:line="360" w:lineRule="auto"/>
        <w:jc w:val="both"/>
        <w:rPr>
          <w:rFonts w:asciiTheme="majorBidi" w:hAnsiTheme="majorBidi" w:cstheme="majorBidi"/>
          <w:color w:val="auto"/>
          <w:sz w:val="24"/>
          <w:szCs w:val="24"/>
        </w:rPr>
      </w:pPr>
      <w:bookmarkStart w:id="151" w:name="_Toc200210115"/>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Représentation des questionnaires</w:t>
      </w:r>
      <w:bookmarkEnd w:id="151"/>
    </w:p>
    <w:tbl>
      <w:tblPr>
        <w:tblW w:w="7013" w:type="dxa"/>
        <w:tblCellSpacing w:w="15" w:type="dxa"/>
        <w:tblInd w:w="1258" w:type="dxa"/>
        <w:tblCellMar>
          <w:top w:w="15" w:type="dxa"/>
          <w:left w:w="15" w:type="dxa"/>
          <w:bottom w:w="15" w:type="dxa"/>
          <w:right w:w="15" w:type="dxa"/>
        </w:tblCellMar>
        <w:tblLook w:val="04A0" w:firstRow="1" w:lastRow="0" w:firstColumn="1" w:lastColumn="0" w:noHBand="0" w:noVBand="1"/>
      </w:tblPr>
      <w:tblGrid>
        <w:gridCol w:w="4518"/>
        <w:gridCol w:w="996"/>
        <w:gridCol w:w="1499"/>
      </w:tblGrid>
      <w:tr w:rsidR="002210A7" w:rsidRPr="00D11D21" w14:paraId="527CC50D" w14:textId="77777777" w:rsidTr="00282FFC">
        <w:trPr>
          <w:trHeight w:val="215"/>
          <w:tblHeader/>
          <w:tblCellSpacing w:w="15" w:type="dxa"/>
        </w:trPr>
        <w:tc>
          <w:tcPr>
            <w:tcW w:w="0" w:type="auto"/>
            <w:vAlign w:val="center"/>
            <w:hideMark/>
          </w:tcPr>
          <w:p w14:paraId="4E699628" w14:textId="77777777" w:rsidR="002210A7" w:rsidRPr="00D11D21" w:rsidRDefault="002210A7" w:rsidP="00D11D21">
            <w:pPr>
              <w:spacing w:after="0"/>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Donnée</w:t>
            </w:r>
          </w:p>
        </w:tc>
        <w:tc>
          <w:tcPr>
            <w:tcW w:w="0" w:type="auto"/>
            <w:vAlign w:val="center"/>
            <w:hideMark/>
          </w:tcPr>
          <w:p w14:paraId="43B26A87" w14:textId="77777777" w:rsidR="002210A7" w:rsidRPr="00D11D21" w:rsidRDefault="002210A7" w:rsidP="00D11D21">
            <w:pPr>
              <w:spacing w:after="0"/>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Nombre</w:t>
            </w:r>
          </w:p>
        </w:tc>
        <w:tc>
          <w:tcPr>
            <w:tcW w:w="0" w:type="auto"/>
            <w:vAlign w:val="center"/>
            <w:hideMark/>
          </w:tcPr>
          <w:p w14:paraId="2EAD8965" w14:textId="77777777" w:rsidR="002210A7" w:rsidRPr="00D11D21" w:rsidRDefault="002210A7" w:rsidP="00D11D21">
            <w:pPr>
              <w:spacing w:after="0"/>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Pourcentage</w:t>
            </w:r>
          </w:p>
        </w:tc>
      </w:tr>
      <w:tr w:rsidR="002210A7" w:rsidRPr="00D11D21" w14:paraId="16939113" w14:textId="77777777" w:rsidTr="00282FFC">
        <w:trPr>
          <w:trHeight w:val="215"/>
          <w:tblCellSpacing w:w="15" w:type="dxa"/>
        </w:trPr>
        <w:tc>
          <w:tcPr>
            <w:tcW w:w="0" w:type="auto"/>
            <w:vAlign w:val="center"/>
            <w:hideMark/>
          </w:tcPr>
          <w:p w14:paraId="17A06A01" w14:textId="77777777" w:rsidR="002210A7" w:rsidRPr="00D11D21" w:rsidRDefault="002210A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Nombre total de questionnaires distribués</w:t>
            </w:r>
          </w:p>
        </w:tc>
        <w:tc>
          <w:tcPr>
            <w:tcW w:w="0" w:type="auto"/>
            <w:vAlign w:val="center"/>
            <w:hideMark/>
          </w:tcPr>
          <w:p w14:paraId="000F5985" w14:textId="77777777" w:rsidR="002210A7" w:rsidRPr="00D11D21" w:rsidRDefault="005D6E0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78</w:t>
            </w:r>
          </w:p>
        </w:tc>
        <w:tc>
          <w:tcPr>
            <w:tcW w:w="0" w:type="auto"/>
            <w:vAlign w:val="center"/>
            <w:hideMark/>
          </w:tcPr>
          <w:p w14:paraId="67E9FCC9" w14:textId="77777777" w:rsidR="002210A7" w:rsidRPr="00D11D21" w:rsidRDefault="002210A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100 %</w:t>
            </w:r>
          </w:p>
        </w:tc>
      </w:tr>
      <w:tr w:rsidR="002210A7" w:rsidRPr="00D11D21" w14:paraId="2362705C" w14:textId="77777777" w:rsidTr="00282FFC">
        <w:trPr>
          <w:trHeight w:val="215"/>
          <w:tblCellSpacing w:w="15" w:type="dxa"/>
        </w:trPr>
        <w:tc>
          <w:tcPr>
            <w:tcW w:w="0" w:type="auto"/>
            <w:vAlign w:val="center"/>
            <w:hideMark/>
          </w:tcPr>
          <w:p w14:paraId="36315627" w14:textId="77777777" w:rsidR="002210A7" w:rsidRPr="00D11D21" w:rsidRDefault="002210A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Nombre de questionnaires récupérés</w:t>
            </w:r>
          </w:p>
        </w:tc>
        <w:tc>
          <w:tcPr>
            <w:tcW w:w="0" w:type="auto"/>
            <w:vAlign w:val="center"/>
            <w:hideMark/>
          </w:tcPr>
          <w:p w14:paraId="1DC2DE40" w14:textId="77777777" w:rsidR="002210A7" w:rsidRPr="00D11D21" w:rsidRDefault="005D6E0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66</w:t>
            </w:r>
          </w:p>
        </w:tc>
        <w:tc>
          <w:tcPr>
            <w:tcW w:w="0" w:type="auto"/>
            <w:vAlign w:val="center"/>
            <w:hideMark/>
          </w:tcPr>
          <w:p w14:paraId="57D50D0C" w14:textId="77777777" w:rsidR="002210A7" w:rsidRPr="00D11D21" w:rsidRDefault="005D6E0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84,6</w:t>
            </w:r>
            <w:r w:rsidR="002210A7" w:rsidRPr="00D11D21">
              <w:rPr>
                <w:rFonts w:asciiTheme="majorBidi" w:eastAsia="Times New Roman" w:hAnsiTheme="majorBidi" w:cstheme="majorBidi"/>
                <w:szCs w:val="24"/>
                <w:lang w:eastAsia="fr-FR"/>
              </w:rPr>
              <w:t xml:space="preserve"> %</w:t>
            </w:r>
          </w:p>
        </w:tc>
      </w:tr>
      <w:tr w:rsidR="002210A7" w:rsidRPr="00D11D21" w14:paraId="4DB233D6" w14:textId="77777777" w:rsidTr="00282FFC">
        <w:trPr>
          <w:trHeight w:val="215"/>
          <w:tblCellSpacing w:w="15" w:type="dxa"/>
        </w:trPr>
        <w:tc>
          <w:tcPr>
            <w:tcW w:w="0" w:type="auto"/>
            <w:vAlign w:val="center"/>
            <w:hideMark/>
          </w:tcPr>
          <w:p w14:paraId="127D3B96" w14:textId="77777777" w:rsidR="002210A7" w:rsidRPr="00D11D21" w:rsidRDefault="002210A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Nombre de questionnaires non récupérés</w:t>
            </w:r>
          </w:p>
        </w:tc>
        <w:tc>
          <w:tcPr>
            <w:tcW w:w="0" w:type="auto"/>
            <w:vAlign w:val="center"/>
            <w:hideMark/>
          </w:tcPr>
          <w:p w14:paraId="6963ABE0" w14:textId="77777777" w:rsidR="002210A7" w:rsidRPr="00D11D21" w:rsidRDefault="002210A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12</w:t>
            </w:r>
          </w:p>
        </w:tc>
        <w:tc>
          <w:tcPr>
            <w:tcW w:w="0" w:type="auto"/>
            <w:vAlign w:val="center"/>
            <w:hideMark/>
          </w:tcPr>
          <w:p w14:paraId="2FC5AE08" w14:textId="77777777" w:rsidR="002210A7" w:rsidRPr="00D11D21" w:rsidRDefault="005D6E07" w:rsidP="00D11D21">
            <w:pPr>
              <w:spacing w:after="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15,4</w:t>
            </w:r>
            <w:r w:rsidR="002210A7" w:rsidRPr="00D11D21">
              <w:rPr>
                <w:rFonts w:asciiTheme="majorBidi" w:eastAsia="Times New Roman" w:hAnsiTheme="majorBidi" w:cstheme="majorBidi"/>
                <w:szCs w:val="24"/>
                <w:lang w:eastAsia="fr-FR"/>
              </w:rPr>
              <w:t xml:space="preserve"> %</w:t>
            </w:r>
          </w:p>
        </w:tc>
      </w:tr>
    </w:tbl>
    <w:p w14:paraId="487B64CB" w14:textId="77777777" w:rsidR="002210A7" w:rsidRPr="00D11D21" w:rsidRDefault="002210A7" w:rsidP="00D11D21">
      <w:pPr>
        <w:spacing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i/>
          <w:iCs/>
          <w:szCs w:val="24"/>
          <w:lang w:eastAsia="fr-FR"/>
        </w:rPr>
        <w:t>Source : Données collectées par l’auteure</w:t>
      </w:r>
    </w:p>
    <w:p w14:paraId="40D6A799"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Cette taille d’échantillon a été jugée suffisante pour permettre l’analyse des variables étudiées et pour tester les hypothèses dans le cadre de l’approche quantitative de la recherche.</w:t>
      </w:r>
    </w:p>
    <w:p w14:paraId="05E868FC" w14:textId="77777777" w:rsidR="002210A7" w:rsidRPr="00D11D21" w:rsidRDefault="002210A7" w:rsidP="00D11D21">
      <w:pPr>
        <w:pStyle w:val="Titre2"/>
        <w:rPr>
          <w:rFonts w:asciiTheme="majorBidi" w:eastAsia="Times New Roman" w:hAnsiTheme="majorBidi"/>
          <w:szCs w:val="24"/>
        </w:rPr>
      </w:pPr>
      <w:bookmarkStart w:id="152" w:name="_Toc199958910"/>
      <w:r w:rsidRPr="00D11D21">
        <w:rPr>
          <w:rFonts w:asciiTheme="majorBidi" w:eastAsia="Times New Roman" w:hAnsiTheme="majorBidi"/>
          <w:szCs w:val="24"/>
        </w:rPr>
        <w:t>Techniques de collecte des données</w:t>
      </w:r>
      <w:bookmarkEnd w:id="152"/>
    </w:p>
    <w:p w14:paraId="40103B34" w14:textId="2C0C1472"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Afin de garantir la </w:t>
      </w:r>
      <w:r w:rsidRPr="00D11D21">
        <w:rPr>
          <w:rFonts w:asciiTheme="majorBidi" w:eastAsia="Times New Roman" w:hAnsiTheme="majorBidi" w:cstheme="majorBidi"/>
          <w:b/>
          <w:bCs/>
          <w:szCs w:val="24"/>
          <w:lang w:eastAsia="fr-FR"/>
        </w:rPr>
        <w:t>validité</w:t>
      </w:r>
      <w:r w:rsidRPr="00D11D21">
        <w:rPr>
          <w:rFonts w:asciiTheme="majorBidi" w:eastAsia="Times New Roman" w:hAnsiTheme="majorBidi" w:cstheme="majorBidi"/>
          <w:szCs w:val="24"/>
          <w:lang w:eastAsia="fr-FR"/>
        </w:rPr>
        <w:t xml:space="preserve"> et la </w:t>
      </w:r>
      <w:r w:rsidRPr="00D11D21">
        <w:rPr>
          <w:rFonts w:asciiTheme="majorBidi" w:eastAsia="Times New Roman" w:hAnsiTheme="majorBidi" w:cstheme="majorBidi"/>
          <w:b/>
          <w:bCs/>
          <w:szCs w:val="24"/>
          <w:lang w:eastAsia="fr-FR"/>
        </w:rPr>
        <w:t>fiabilité</w:t>
      </w:r>
      <w:r w:rsidRPr="00D11D21">
        <w:rPr>
          <w:rFonts w:asciiTheme="majorBidi" w:eastAsia="Times New Roman" w:hAnsiTheme="majorBidi" w:cstheme="majorBidi"/>
          <w:szCs w:val="24"/>
          <w:lang w:eastAsia="fr-FR"/>
        </w:rPr>
        <w:t xml:space="preserve"> des données utilisées dans le cadre de cette étude, plusieurs techniques de collecte ont été mobilisées, chacune répondant à un object</w:t>
      </w:r>
      <w:r w:rsidR="005C3BEE">
        <w:rPr>
          <w:rFonts w:asciiTheme="majorBidi" w:eastAsia="Times New Roman" w:hAnsiTheme="majorBidi" w:cstheme="majorBidi"/>
          <w:szCs w:val="24"/>
          <w:lang w:eastAsia="fr-FR"/>
        </w:rPr>
        <w:t xml:space="preserve">if spécifique et </w:t>
      </w:r>
      <w:proofErr w:type="gramStart"/>
      <w:r w:rsidR="005C3BEE">
        <w:rPr>
          <w:rFonts w:asciiTheme="majorBidi" w:eastAsia="Times New Roman" w:hAnsiTheme="majorBidi" w:cstheme="majorBidi"/>
          <w:szCs w:val="24"/>
          <w:lang w:eastAsia="fr-FR"/>
        </w:rPr>
        <w:t>complémentaire</w:t>
      </w:r>
      <w:r w:rsidRPr="00D11D21">
        <w:rPr>
          <w:rFonts w:asciiTheme="majorBidi" w:eastAsia="Times New Roman" w:hAnsiTheme="majorBidi" w:cstheme="majorBidi"/>
          <w:szCs w:val="24"/>
          <w:lang w:eastAsia="fr-FR"/>
        </w:rPr>
        <w:t>:</w:t>
      </w:r>
      <w:proofErr w:type="gramEnd"/>
    </w:p>
    <w:p w14:paraId="49BC0172" w14:textId="77777777" w:rsidR="002210A7" w:rsidRPr="00D11D21" w:rsidRDefault="002210A7" w:rsidP="00D11D21">
      <w:pPr>
        <w:pStyle w:val="Paragraphedeliste"/>
        <w:numPr>
          <w:ilvl w:val="0"/>
          <w:numId w:val="112"/>
        </w:numPr>
        <w:spacing w:before="100" w:beforeAutospacing="1" w:after="100" w:afterAutospacing="1" w:line="360" w:lineRule="auto"/>
        <w:jc w:val="both"/>
        <w:rPr>
          <w:rFonts w:asciiTheme="majorBidi" w:eastAsia="Times New Roman" w:hAnsiTheme="majorBidi" w:cstheme="majorBidi"/>
          <w:szCs w:val="24"/>
        </w:rPr>
      </w:pPr>
      <w:r w:rsidRPr="00D11D21">
        <w:rPr>
          <w:rFonts w:asciiTheme="majorBidi" w:eastAsia="Times New Roman" w:hAnsiTheme="majorBidi" w:cstheme="majorBidi"/>
          <w:b/>
          <w:bCs/>
          <w:szCs w:val="24"/>
        </w:rPr>
        <w:lastRenderedPageBreak/>
        <w:t>Le questionnaire</w:t>
      </w:r>
    </w:p>
    <w:p w14:paraId="4C905E29"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Le </w:t>
      </w:r>
      <w:r w:rsidRPr="00D11D21">
        <w:rPr>
          <w:rFonts w:asciiTheme="majorBidi" w:eastAsia="Times New Roman" w:hAnsiTheme="majorBidi" w:cstheme="majorBidi"/>
          <w:b/>
          <w:bCs/>
          <w:szCs w:val="24"/>
          <w:lang w:eastAsia="fr-FR"/>
        </w:rPr>
        <w:t>questionnaire</w:t>
      </w:r>
      <w:r w:rsidRPr="00D11D21">
        <w:rPr>
          <w:rFonts w:asciiTheme="majorBidi" w:eastAsia="Times New Roman" w:hAnsiTheme="majorBidi" w:cstheme="majorBidi"/>
          <w:szCs w:val="24"/>
          <w:lang w:eastAsia="fr-FR"/>
        </w:rPr>
        <w:t xml:space="preserve"> constitue l’outil principal de collecte des données dans cette étude. Il se présente sous la forme d’un ensemble structuré de questions, conçu pour recueillir des informations précises auprès des personnes ciblées. Cette méthode permet d’évaluer les perceptions, les pratiques et les représentations des répondants concernant les systèmes d’information et les modes de financement hospitalier.</w:t>
      </w:r>
    </w:p>
    <w:p w14:paraId="59792C60" w14:textId="77777777" w:rsidR="002210A7" w:rsidRPr="00D11D21" w:rsidRDefault="002210A7" w:rsidP="00D11D21">
      <w:pPr>
        <w:spacing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Deux questionnaires distincts ont été élaborés :</w:t>
      </w:r>
    </w:p>
    <w:p w14:paraId="18A844C8" w14:textId="77777777" w:rsidR="002210A7" w:rsidRPr="00D11D21" w:rsidRDefault="002210A7" w:rsidP="00D11D21">
      <w:pPr>
        <w:numPr>
          <w:ilvl w:val="0"/>
          <w:numId w:val="90"/>
        </w:numPr>
        <w:tabs>
          <w:tab w:val="num" w:pos="720"/>
        </w:tabs>
        <w:spacing w:before="100" w:beforeAutospacing="1" w:after="100" w:afterAutospacing="1"/>
        <w:ind w:left="144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L’un destiné aux </w:t>
      </w:r>
      <w:r w:rsidRPr="00D11D21">
        <w:rPr>
          <w:rFonts w:asciiTheme="majorBidi" w:eastAsia="Times New Roman" w:hAnsiTheme="majorBidi" w:cstheme="majorBidi"/>
          <w:b/>
          <w:bCs/>
          <w:szCs w:val="24"/>
          <w:lang w:eastAsia="fr-FR"/>
        </w:rPr>
        <w:t>responsables d’établissements hospitaliers publics</w:t>
      </w:r>
      <w:r w:rsidRPr="00D11D21">
        <w:rPr>
          <w:rFonts w:asciiTheme="majorBidi" w:eastAsia="Times New Roman" w:hAnsiTheme="majorBidi" w:cstheme="majorBidi"/>
          <w:szCs w:val="24"/>
          <w:lang w:eastAsia="fr-FR"/>
        </w:rPr>
        <w:t>.</w:t>
      </w:r>
    </w:p>
    <w:p w14:paraId="0A636156" w14:textId="77777777" w:rsidR="002210A7" w:rsidRPr="00D11D21" w:rsidRDefault="002210A7" w:rsidP="00D11D21">
      <w:pPr>
        <w:numPr>
          <w:ilvl w:val="0"/>
          <w:numId w:val="90"/>
        </w:numPr>
        <w:tabs>
          <w:tab w:val="num" w:pos="720"/>
        </w:tabs>
        <w:spacing w:before="100" w:beforeAutospacing="1" w:after="100" w:afterAutospacing="1"/>
        <w:ind w:left="1440"/>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L’autre aux </w:t>
      </w:r>
      <w:r w:rsidRPr="00D11D21">
        <w:rPr>
          <w:rFonts w:asciiTheme="majorBidi" w:eastAsia="Times New Roman" w:hAnsiTheme="majorBidi" w:cstheme="majorBidi"/>
          <w:b/>
          <w:bCs/>
          <w:szCs w:val="24"/>
          <w:lang w:eastAsia="fr-FR"/>
        </w:rPr>
        <w:t xml:space="preserve">cadres des agences de la </w:t>
      </w:r>
      <w:r w:rsidR="0050779A" w:rsidRPr="00D11D21">
        <w:rPr>
          <w:rFonts w:asciiTheme="majorBidi" w:eastAsia="Times New Roman" w:hAnsiTheme="majorBidi" w:cstheme="majorBidi"/>
          <w:b/>
          <w:bCs/>
          <w:szCs w:val="24"/>
          <w:lang w:eastAsia="fr-FR"/>
        </w:rPr>
        <w:t>Caisse Nationale des Assurances Sociales CNAS</w:t>
      </w:r>
    </w:p>
    <w:p w14:paraId="2199C7F5"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La version papier du questionnaire a été privilégiée pour garantir un meilleur taux de réponse et s’adapter au contexte institutionnel.</w:t>
      </w:r>
    </w:p>
    <w:p w14:paraId="2398BFD2" w14:textId="77777777" w:rsidR="002210A7" w:rsidRPr="00D11D21" w:rsidRDefault="002210A7" w:rsidP="00D11D21">
      <w:pPr>
        <w:pStyle w:val="Paragraphedeliste"/>
        <w:numPr>
          <w:ilvl w:val="0"/>
          <w:numId w:val="112"/>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L’observation</w:t>
      </w:r>
    </w:p>
    <w:p w14:paraId="3603AF82"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L’</w:t>
      </w:r>
      <w:r w:rsidRPr="00D11D21">
        <w:rPr>
          <w:rFonts w:asciiTheme="majorBidi" w:eastAsia="Times New Roman" w:hAnsiTheme="majorBidi" w:cstheme="majorBidi"/>
          <w:b/>
          <w:bCs/>
          <w:szCs w:val="24"/>
          <w:lang w:eastAsia="fr-FR"/>
        </w:rPr>
        <w:t>observation directe</w:t>
      </w:r>
      <w:r w:rsidRPr="00D11D21">
        <w:rPr>
          <w:rFonts w:asciiTheme="majorBidi" w:eastAsia="Times New Roman" w:hAnsiTheme="majorBidi" w:cstheme="majorBidi"/>
          <w:szCs w:val="24"/>
          <w:lang w:eastAsia="fr-FR"/>
        </w:rPr>
        <w:t xml:space="preserve"> a été utilisée comme technique complémentaire dans le but de mieux comprendre les pratiques de terrain en lien avec l’usage des systèmes d’information et les logiques de gestion budgétaire. Cette observation a permis de relever, de manière systématique, certains comportements et procédés de gestion, notamment dans les hôpitaux visités, afin d’identifier les écarts éventuels entre discours déclaratif et réalité.</w:t>
      </w:r>
    </w:p>
    <w:p w14:paraId="4670EE5C" w14:textId="77777777" w:rsidR="002210A7" w:rsidRPr="00D11D21" w:rsidRDefault="002210A7" w:rsidP="00D11D21">
      <w:pPr>
        <w:pStyle w:val="Paragraphedeliste"/>
        <w:numPr>
          <w:ilvl w:val="0"/>
          <w:numId w:val="112"/>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L’entretien (ou interview semi-directif)</w:t>
      </w:r>
    </w:p>
    <w:p w14:paraId="75751AFB"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Des </w:t>
      </w:r>
      <w:r w:rsidRPr="00D11D21">
        <w:rPr>
          <w:rFonts w:asciiTheme="majorBidi" w:eastAsia="Times New Roman" w:hAnsiTheme="majorBidi" w:cstheme="majorBidi"/>
          <w:b/>
          <w:bCs/>
          <w:szCs w:val="24"/>
          <w:lang w:eastAsia="fr-FR"/>
        </w:rPr>
        <w:t>entretiens qualitatifs</w:t>
      </w:r>
      <w:r w:rsidRPr="00D11D21">
        <w:rPr>
          <w:rFonts w:asciiTheme="majorBidi" w:eastAsia="Times New Roman" w:hAnsiTheme="majorBidi" w:cstheme="majorBidi"/>
          <w:szCs w:val="24"/>
          <w:lang w:eastAsia="fr-FR"/>
        </w:rPr>
        <w:t xml:space="preserve"> ont été menés auprès de certains responsables administratifs, gestionnaires, cadres des services financiers et informatiqu</w:t>
      </w:r>
      <w:r w:rsidR="0050779A" w:rsidRPr="00D11D21">
        <w:rPr>
          <w:rFonts w:asciiTheme="majorBidi" w:eastAsia="Times New Roman" w:hAnsiTheme="majorBidi" w:cstheme="majorBidi"/>
          <w:szCs w:val="24"/>
          <w:lang w:eastAsia="fr-FR"/>
        </w:rPr>
        <w:t xml:space="preserve">es </w:t>
      </w:r>
      <w:r w:rsidRPr="00D11D21">
        <w:rPr>
          <w:rFonts w:asciiTheme="majorBidi" w:eastAsia="Times New Roman" w:hAnsiTheme="majorBidi" w:cstheme="majorBidi"/>
          <w:szCs w:val="24"/>
          <w:lang w:eastAsia="fr-FR"/>
        </w:rPr>
        <w:t xml:space="preserve">de la </w:t>
      </w:r>
      <w:r w:rsidR="0050779A" w:rsidRPr="00D11D21">
        <w:rPr>
          <w:rFonts w:asciiTheme="majorBidi" w:eastAsia="Times New Roman" w:hAnsiTheme="majorBidi" w:cstheme="majorBidi"/>
          <w:szCs w:val="24"/>
          <w:lang w:eastAsia="fr-FR"/>
        </w:rPr>
        <w:t>Caisse Nationale des Assurances Sociales.</w:t>
      </w:r>
      <w:r w:rsidRPr="00D11D21">
        <w:rPr>
          <w:rFonts w:asciiTheme="majorBidi" w:eastAsia="Times New Roman" w:hAnsiTheme="majorBidi" w:cstheme="majorBidi"/>
          <w:szCs w:val="24"/>
          <w:lang w:eastAsia="fr-FR"/>
        </w:rPr>
        <w:t xml:space="preserve"> </w:t>
      </w:r>
      <w:r w:rsidR="00F524F8" w:rsidRPr="00D11D21">
        <w:rPr>
          <w:rFonts w:asciiTheme="majorBidi" w:eastAsia="Times New Roman" w:hAnsiTheme="majorBidi" w:cstheme="majorBidi"/>
          <w:szCs w:val="24"/>
          <w:lang w:eastAsia="fr-FR"/>
        </w:rPr>
        <w:t xml:space="preserve">Ainsi au niveau de l’hôpital. </w:t>
      </w:r>
      <w:r w:rsidRPr="00D11D21">
        <w:rPr>
          <w:rFonts w:asciiTheme="majorBidi" w:eastAsia="Times New Roman" w:hAnsiTheme="majorBidi" w:cstheme="majorBidi"/>
          <w:szCs w:val="24"/>
          <w:lang w:eastAsia="fr-FR"/>
        </w:rPr>
        <w:t>Ces entretiens ont visé à approfondir certains éléments du questionnaire, à recueillir des précisions sur le fonctionnement réel des systèmes d’information en place, et à évaluer la faisabilité d’un mode de financement mixte dans le contexte actuel.</w:t>
      </w:r>
    </w:p>
    <w:p w14:paraId="28990E0A" w14:textId="77777777" w:rsidR="002210A7" w:rsidRPr="00D11D21" w:rsidRDefault="002210A7" w:rsidP="00D11D21">
      <w:pPr>
        <w:pStyle w:val="Paragraphedeliste"/>
        <w:numPr>
          <w:ilvl w:val="0"/>
          <w:numId w:val="112"/>
        </w:numPr>
        <w:spacing w:line="360" w:lineRule="auto"/>
        <w:jc w:val="both"/>
        <w:rPr>
          <w:rFonts w:asciiTheme="majorBidi" w:eastAsia="Times New Roman" w:hAnsiTheme="majorBidi" w:cstheme="majorBidi"/>
          <w:b/>
          <w:bCs/>
          <w:szCs w:val="24"/>
        </w:rPr>
      </w:pPr>
      <w:r w:rsidRPr="00D11D21">
        <w:rPr>
          <w:rFonts w:asciiTheme="majorBidi" w:eastAsia="Times New Roman" w:hAnsiTheme="majorBidi" w:cstheme="majorBidi"/>
          <w:b/>
          <w:bCs/>
          <w:szCs w:val="24"/>
        </w:rPr>
        <w:t>L’analyse documentaire</w:t>
      </w:r>
    </w:p>
    <w:p w14:paraId="12BC5D0B"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Enfin, l’étude s’est appuyée sur un ensemble de </w:t>
      </w:r>
      <w:r w:rsidRPr="00D11D21">
        <w:rPr>
          <w:rFonts w:asciiTheme="majorBidi" w:eastAsia="Times New Roman" w:hAnsiTheme="majorBidi" w:cstheme="majorBidi"/>
          <w:b/>
          <w:bCs/>
          <w:szCs w:val="24"/>
          <w:lang w:eastAsia="fr-FR"/>
        </w:rPr>
        <w:t>documents administratifs</w:t>
      </w:r>
      <w:r w:rsidRPr="00D11D21">
        <w:rPr>
          <w:rFonts w:asciiTheme="majorBidi" w:eastAsia="Times New Roman" w:hAnsiTheme="majorBidi" w:cstheme="majorBidi"/>
          <w:szCs w:val="24"/>
          <w:lang w:eastAsia="fr-FR"/>
        </w:rPr>
        <w:t xml:space="preserve"> et techniques fournis par les établissements hospitaliers et les agences de la sécurité sociale (CNAS), tels que :</w:t>
      </w:r>
    </w:p>
    <w:p w14:paraId="5F4A2671" w14:textId="77777777" w:rsidR="002210A7" w:rsidRPr="00D11D21" w:rsidRDefault="00F524F8" w:rsidP="00D11D21">
      <w:pPr>
        <w:numPr>
          <w:ilvl w:val="0"/>
          <w:numId w:val="91"/>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Rapports d’activités</w:t>
      </w:r>
    </w:p>
    <w:p w14:paraId="3AB1A6C6" w14:textId="77777777" w:rsidR="002210A7" w:rsidRPr="00D11D21" w:rsidRDefault="00F524F8" w:rsidP="00D11D21">
      <w:pPr>
        <w:numPr>
          <w:ilvl w:val="0"/>
          <w:numId w:val="91"/>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lastRenderedPageBreak/>
        <w:t>Schémas organisationnels</w:t>
      </w:r>
    </w:p>
    <w:p w14:paraId="4C57DF15" w14:textId="77777777" w:rsidR="002210A7" w:rsidRPr="00D11D21" w:rsidRDefault="00F524F8" w:rsidP="00D11D21">
      <w:pPr>
        <w:numPr>
          <w:ilvl w:val="0"/>
          <w:numId w:val="91"/>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Documents budgétaires</w:t>
      </w:r>
    </w:p>
    <w:p w14:paraId="62160AB5" w14:textId="77777777" w:rsidR="002210A7" w:rsidRPr="00D11D21" w:rsidRDefault="00F524F8" w:rsidP="00D11D21">
      <w:pPr>
        <w:numPr>
          <w:ilvl w:val="0"/>
          <w:numId w:val="91"/>
        </w:num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Guides</w:t>
      </w:r>
      <w:r w:rsidR="002210A7" w:rsidRPr="00D11D21">
        <w:rPr>
          <w:rFonts w:asciiTheme="majorBidi" w:eastAsia="Times New Roman" w:hAnsiTheme="majorBidi" w:cstheme="majorBidi"/>
          <w:szCs w:val="24"/>
          <w:lang w:eastAsia="fr-FR"/>
        </w:rPr>
        <w:t xml:space="preserve"> de gestion </w:t>
      </w:r>
      <w:r w:rsidRPr="00D11D21">
        <w:rPr>
          <w:rFonts w:asciiTheme="majorBidi" w:eastAsia="Times New Roman" w:hAnsiTheme="majorBidi" w:cstheme="majorBidi"/>
          <w:szCs w:val="24"/>
          <w:lang w:eastAsia="fr-FR"/>
        </w:rPr>
        <w:t>ou manuels d’utilisation des SI</w:t>
      </w:r>
    </w:p>
    <w:p w14:paraId="02A5B90B"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Ces documents ont permis d’appuyer les données collectées et d’offrir une vision globale et factuelle du fonctionnement institutionnel, tout en enrichissant l’analyse du terrain par des éléments objectifs.</w:t>
      </w:r>
    </w:p>
    <w:p w14:paraId="2AB89511" w14:textId="0221F82A" w:rsidR="002210A7" w:rsidRPr="00D11D21" w:rsidRDefault="002210A7" w:rsidP="00353DE4">
      <w:pPr>
        <w:pStyle w:val="Titre2"/>
        <w:rPr>
          <w:rFonts w:asciiTheme="majorBidi" w:eastAsia="Times New Roman" w:hAnsiTheme="majorBidi"/>
          <w:szCs w:val="24"/>
        </w:rPr>
      </w:pPr>
      <w:bookmarkStart w:id="153" w:name="_Toc199958911"/>
      <w:r w:rsidRPr="00D11D21">
        <w:rPr>
          <w:rFonts w:asciiTheme="majorBidi" w:eastAsia="Times New Roman" w:hAnsiTheme="majorBidi"/>
          <w:szCs w:val="24"/>
        </w:rPr>
        <w:t xml:space="preserve">Conception du </w:t>
      </w:r>
      <w:proofErr w:type="gramStart"/>
      <w:r w:rsidRPr="00D11D21">
        <w:rPr>
          <w:rFonts w:asciiTheme="majorBidi" w:eastAsia="Times New Roman" w:hAnsiTheme="majorBidi"/>
          <w:szCs w:val="24"/>
        </w:rPr>
        <w:t>questionnaire</w:t>
      </w:r>
      <w:r w:rsidR="007A04FA" w:rsidRPr="00D11D21">
        <w:rPr>
          <w:rFonts w:asciiTheme="majorBidi" w:eastAsia="Times New Roman" w:hAnsiTheme="majorBidi"/>
          <w:szCs w:val="24"/>
        </w:rPr>
        <w:t>:</w:t>
      </w:r>
      <w:bookmarkEnd w:id="153"/>
      <w:proofErr w:type="gramEnd"/>
    </w:p>
    <w:p w14:paraId="063B7E41" w14:textId="77777777" w:rsidR="00E55959" w:rsidRPr="00D11D21" w:rsidRDefault="00E55959" w:rsidP="00D11D21">
      <w:pPr>
        <w:jc w:val="both"/>
        <w:rPr>
          <w:rFonts w:asciiTheme="majorBidi" w:hAnsiTheme="majorBidi" w:cstheme="majorBidi"/>
          <w:szCs w:val="24"/>
          <w:lang w:eastAsia="fr-FR"/>
        </w:rPr>
      </w:pPr>
      <w:bookmarkStart w:id="154" w:name="_Toc199956025"/>
      <w:r w:rsidRPr="00D11D21">
        <w:rPr>
          <w:rFonts w:asciiTheme="majorBidi" w:hAnsiTheme="majorBidi" w:cstheme="majorBidi"/>
          <w:szCs w:val="24"/>
          <w:lang w:eastAsia="fr-FR"/>
        </w:rPr>
        <w:t>Dans le cadre de ce mémoire, deux questionnaires distincts ont été conçus afin de recueillir des données pertinentes auprès des deux principaux acteurs impliqués dans le financement et la gestion des établissements de santé en Algérie : les responsables des établissements hospitaliers publics et les cadres de la CNAS.</w:t>
      </w:r>
      <w:bookmarkEnd w:id="154"/>
    </w:p>
    <w:p w14:paraId="33673C43" w14:textId="77777777" w:rsidR="00E55959" w:rsidRPr="00D11D21" w:rsidRDefault="00E55959" w:rsidP="00D11D21">
      <w:pPr>
        <w:pStyle w:val="Paragraphedeliste"/>
        <w:numPr>
          <w:ilvl w:val="0"/>
          <w:numId w:val="112"/>
        </w:numPr>
        <w:spacing w:line="360" w:lineRule="auto"/>
        <w:jc w:val="both"/>
        <w:rPr>
          <w:rFonts w:asciiTheme="majorBidi" w:eastAsia="Times New Roman" w:hAnsiTheme="majorBidi" w:cstheme="majorBidi"/>
          <w:b/>
          <w:bCs/>
          <w:szCs w:val="24"/>
        </w:rPr>
      </w:pPr>
      <w:bookmarkStart w:id="155" w:name="_Toc199956026"/>
      <w:r w:rsidRPr="00D11D21">
        <w:rPr>
          <w:rFonts w:asciiTheme="majorBidi" w:eastAsia="Times New Roman" w:hAnsiTheme="majorBidi" w:cstheme="majorBidi"/>
          <w:b/>
          <w:bCs/>
          <w:szCs w:val="24"/>
        </w:rPr>
        <w:t>Présentation générale</w:t>
      </w:r>
      <w:bookmarkEnd w:id="155"/>
    </w:p>
    <w:p w14:paraId="1A7F961B" w14:textId="77777777" w:rsidR="00E55959" w:rsidRPr="00D11D21" w:rsidRDefault="00E55959" w:rsidP="00D11D21">
      <w:pPr>
        <w:jc w:val="both"/>
        <w:rPr>
          <w:rFonts w:asciiTheme="majorBidi" w:hAnsiTheme="majorBidi" w:cstheme="majorBidi"/>
          <w:szCs w:val="24"/>
          <w:lang w:eastAsia="fr-FR"/>
        </w:rPr>
      </w:pPr>
      <w:bookmarkStart w:id="156" w:name="_Toc199956027"/>
      <w:r w:rsidRPr="00D11D21">
        <w:rPr>
          <w:rFonts w:asciiTheme="majorBidi" w:hAnsiTheme="majorBidi" w:cstheme="majorBidi"/>
          <w:szCs w:val="24"/>
          <w:lang w:eastAsia="fr-FR"/>
        </w:rPr>
        <w:t>Les deux questionnaires visent à évaluer à la fois le fonctionnement du financement hospitalier actuel et le rôle potentiel des systèmes d'information dans l'évolution vers un modèle mixte intégrant une part d’activité (type T2A). Ils ont été élaborés à partir des concepts abordés dans la revue de littérature, en s’appuyant sur des échelles fermées (choix multiples), des questions semi-ouvertes et quelques zones libres de commentaire. Les réponses ont été traitées de manière anonyme.</w:t>
      </w:r>
      <w:bookmarkEnd w:id="156"/>
    </w:p>
    <w:p w14:paraId="2BAE5364" w14:textId="77777777" w:rsidR="00E55959" w:rsidRPr="00D11D21" w:rsidRDefault="00E55959" w:rsidP="00D11D21">
      <w:pPr>
        <w:pStyle w:val="Paragraphedeliste"/>
        <w:numPr>
          <w:ilvl w:val="0"/>
          <w:numId w:val="159"/>
        </w:numPr>
        <w:spacing w:line="360" w:lineRule="auto"/>
        <w:jc w:val="both"/>
        <w:rPr>
          <w:rFonts w:asciiTheme="majorBidi" w:eastAsia="Times New Roman" w:hAnsiTheme="majorBidi" w:cstheme="majorBidi"/>
          <w:b/>
          <w:bCs/>
          <w:szCs w:val="24"/>
        </w:rPr>
      </w:pPr>
      <w:bookmarkStart w:id="157" w:name="_Toc199956028"/>
      <w:r w:rsidRPr="00D11D21">
        <w:rPr>
          <w:rFonts w:asciiTheme="majorBidi" w:eastAsia="Times New Roman" w:hAnsiTheme="majorBidi" w:cstheme="majorBidi"/>
          <w:b/>
          <w:bCs/>
          <w:szCs w:val="24"/>
        </w:rPr>
        <w:t>Structure des questionnaires</w:t>
      </w:r>
      <w:bookmarkEnd w:id="157"/>
    </w:p>
    <w:p w14:paraId="59C1E50A" w14:textId="77777777" w:rsidR="00E55959" w:rsidRPr="00D11D21" w:rsidRDefault="00E55959" w:rsidP="00D11D21">
      <w:pPr>
        <w:pStyle w:val="Paragraphedeliste"/>
        <w:numPr>
          <w:ilvl w:val="0"/>
          <w:numId w:val="41"/>
        </w:numPr>
        <w:spacing w:line="360" w:lineRule="auto"/>
        <w:jc w:val="both"/>
        <w:rPr>
          <w:rFonts w:asciiTheme="majorBidi" w:eastAsia="Times New Roman" w:hAnsiTheme="majorBidi" w:cstheme="majorBidi"/>
          <w:szCs w:val="24"/>
        </w:rPr>
      </w:pPr>
      <w:bookmarkStart w:id="158" w:name="_Toc199956029"/>
      <w:r w:rsidRPr="00D11D21">
        <w:rPr>
          <w:rFonts w:asciiTheme="majorBidi" w:eastAsia="Times New Roman" w:hAnsiTheme="majorBidi" w:cstheme="majorBidi"/>
          <w:szCs w:val="24"/>
        </w:rPr>
        <w:t>Questionnaire destiné aux responsables des hôpitaux publics :</w:t>
      </w:r>
      <w:bookmarkEnd w:id="158"/>
    </w:p>
    <w:p w14:paraId="7E7C95EF"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59" w:name="_Toc199956030"/>
      <w:r w:rsidRPr="00D11D21">
        <w:rPr>
          <w:rFonts w:asciiTheme="majorBidi" w:eastAsia="Times New Roman" w:hAnsiTheme="majorBidi" w:cstheme="majorBidi"/>
          <w:szCs w:val="24"/>
        </w:rPr>
        <w:t>Section 1 : Informations générales (nom et type d’établissement, fonction du répondant).</w:t>
      </w:r>
      <w:bookmarkEnd w:id="159"/>
    </w:p>
    <w:p w14:paraId="0C90E1D8"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60" w:name="_Toc199956031"/>
      <w:r w:rsidRPr="00D11D21">
        <w:rPr>
          <w:rFonts w:asciiTheme="majorBidi" w:eastAsia="Times New Roman" w:hAnsiTheme="majorBidi" w:cstheme="majorBidi"/>
          <w:szCs w:val="24"/>
        </w:rPr>
        <w:t>Section 2 : Situation actuelle du financement (mode principal de financement, transparence, couverture budgétaire, défis rencontrés).</w:t>
      </w:r>
      <w:bookmarkEnd w:id="160"/>
    </w:p>
    <w:p w14:paraId="2D34E43A"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61" w:name="_Toc199956032"/>
      <w:r w:rsidRPr="00D11D21">
        <w:rPr>
          <w:rFonts w:asciiTheme="majorBidi" w:eastAsia="Times New Roman" w:hAnsiTheme="majorBidi" w:cstheme="majorBidi"/>
          <w:szCs w:val="24"/>
        </w:rPr>
        <w:t>Section 3 : Évaluation du système actuel (avantages/inconvénients du budget global).</w:t>
      </w:r>
      <w:bookmarkEnd w:id="161"/>
    </w:p>
    <w:p w14:paraId="612446DB"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62" w:name="_Toc199956033"/>
      <w:r w:rsidRPr="00D11D21">
        <w:rPr>
          <w:rFonts w:asciiTheme="majorBidi" w:eastAsia="Times New Roman" w:hAnsiTheme="majorBidi" w:cstheme="majorBidi"/>
          <w:szCs w:val="24"/>
        </w:rPr>
        <w:t>Section 4 : Digitalisation et systèmes d’information (existence d’un SI, interconnexion, apports attendus).</w:t>
      </w:r>
      <w:bookmarkEnd w:id="162"/>
    </w:p>
    <w:p w14:paraId="47BF2BD4"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63" w:name="_Toc199956034"/>
      <w:r w:rsidRPr="00D11D21">
        <w:rPr>
          <w:rFonts w:asciiTheme="majorBidi" w:eastAsia="Times New Roman" w:hAnsiTheme="majorBidi" w:cstheme="majorBidi"/>
          <w:szCs w:val="24"/>
        </w:rPr>
        <w:t>Section 5 : Ouverture à la réforme (perception des avantages/risques d’un financement à l’activité).</w:t>
      </w:r>
      <w:bookmarkEnd w:id="163"/>
    </w:p>
    <w:p w14:paraId="0C014FEA"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64" w:name="_Toc199956035"/>
      <w:r w:rsidRPr="00D11D21">
        <w:rPr>
          <w:rFonts w:asciiTheme="majorBidi" w:eastAsia="Times New Roman" w:hAnsiTheme="majorBidi" w:cstheme="majorBidi"/>
          <w:szCs w:val="24"/>
        </w:rPr>
        <w:t>Section 6 : Faisabilité d’un modèle mixte (conditions de réussite, obstacles, facteurs facilitateurs, éléments à intégrer dans une future réforme).</w:t>
      </w:r>
      <w:bookmarkEnd w:id="164"/>
    </w:p>
    <w:p w14:paraId="29638D11" w14:textId="77777777" w:rsidR="00E55959" w:rsidRPr="00D11D21" w:rsidRDefault="00E55959" w:rsidP="00D11D21">
      <w:pPr>
        <w:pStyle w:val="Paragraphedeliste"/>
        <w:numPr>
          <w:ilvl w:val="0"/>
          <w:numId w:val="160"/>
        </w:numPr>
        <w:spacing w:line="360" w:lineRule="auto"/>
        <w:jc w:val="both"/>
        <w:rPr>
          <w:rFonts w:asciiTheme="majorBidi" w:eastAsia="Times New Roman" w:hAnsiTheme="majorBidi" w:cstheme="majorBidi"/>
          <w:szCs w:val="24"/>
        </w:rPr>
      </w:pPr>
      <w:bookmarkStart w:id="165" w:name="_Toc199956036"/>
      <w:r w:rsidRPr="00D11D21">
        <w:rPr>
          <w:rFonts w:asciiTheme="majorBidi" w:eastAsia="Times New Roman" w:hAnsiTheme="majorBidi" w:cstheme="majorBidi"/>
          <w:szCs w:val="24"/>
        </w:rPr>
        <w:t>Section 7 : Recommandations pour améliorer l’efficacité du financement.</w:t>
      </w:r>
      <w:bookmarkEnd w:id="165"/>
    </w:p>
    <w:p w14:paraId="6B277C78" w14:textId="77777777" w:rsidR="00E55959" w:rsidRPr="00D11D21" w:rsidRDefault="00E55959" w:rsidP="00D11D21">
      <w:pPr>
        <w:pStyle w:val="Paragraphedeliste"/>
        <w:numPr>
          <w:ilvl w:val="0"/>
          <w:numId w:val="161"/>
        </w:numPr>
        <w:spacing w:line="360" w:lineRule="auto"/>
        <w:jc w:val="both"/>
        <w:rPr>
          <w:rFonts w:asciiTheme="majorBidi" w:eastAsia="Times New Roman" w:hAnsiTheme="majorBidi" w:cstheme="majorBidi"/>
          <w:szCs w:val="24"/>
        </w:rPr>
      </w:pPr>
      <w:bookmarkStart w:id="166" w:name="_Toc199956037"/>
      <w:r w:rsidRPr="00D11D21">
        <w:rPr>
          <w:rFonts w:asciiTheme="majorBidi" w:eastAsia="Times New Roman" w:hAnsiTheme="majorBidi" w:cstheme="majorBidi"/>
          <w:szCs w:val="24"/>
        </w:rPr>
        <w:t>Questionnaire destiné aux responsables de la CNAS :</w:t>
      </w:r>
      <w:bookmarkEnd w:id="166"/>
    </w:p>
    <w:p w14:paraId="64DF09BE" w14:textId="77777777" w:rsidR="00E55959" w:rsidRPr="00D11D21" w:rsidRDefault="00E55959" w:rsidP="00D11D21">
      <w:pPr>
        <w:pStyle w:val="Paragraphedeliste"/>
        <w:numPr>
          <w:ilvl w:val="0"/>
          <w:numId w:val="162"/>
        </w:numPr>
        <w:spacing w:line="360" w:lineRule="auto"/>
        <w:jc w:val="both"/>
        <w:rPr>
          <w:rFonts w:asciiTheme="majorBidi" w:eastAsia="Times New Roman" w:hAnsiTheme="majorBidi" w:cstheme="majorBidi"/>
          <w:szCs w:val="24"/>
        </w:rPr>
      </w:pPr>
      <w:bookmarkStart w:id="167" w:name="_Toc199956038"/>
      <w:r w:rsidRPr="00D11D21">
        <w:rPr>
          <w:rFonts w:asciiTheme="majorBidi" w:eastAsia="Times New Roman" w:hAnsiTheme="majorBidi" w:cstheme="majorBidi"/>
          <w:szCs w:val="24"/>
        </w:rPr>
        <w:t>Section 1 : Informations générales (poste, service, wilaya).</w:t>
      </w:r>
      <w:bookmarkEnd w:id="167"/>
    </w:p>
    <w:p w14:paraId="5B85AB7E" w14:textId="77777777" w:rsidR="00E55959" w:rsidRPr="00D11D21" w:rsidRDefault="00E55959" w:rsidP="00D11D21">
      <w:pPr>
        <w:pStyle w:val="Paragraphedeliste"/>
        <w:numPr>
          <w:ilvl w:val="0"/>
          <w:numId w:val="162"/>
        </w:numPr>
        <w:spacing w:line="360" w:lineRule="auto"/>
        <w:jc w:val="both"/>
        <w:rPr>
          <w:rFonts w:asciiTheme="majorBidi" w:eastAsia="Times New Roman" w:hAnsiTheme="majorBidi" w:cstheme="majorBidi"/>
          <w:szCs w:val="24"/>
        </w:rPr>
      </w:pPr>
      <w:bookmarkStart w:id="168" w:name="_Toc199956039"/>
      <w:r w:rsidRPr="00D11D21">
        <w:rPr>
          <w:rFonts w:asciiTheme="majorBidi" w:eastAsia="Times New Roman" w:hAnsiTheme="majorBidi" w:cstheme="majorBidi"/>
          <w:szCs w:val="24"/>
        </w:rPr>
        <w:lastRenderedPageBreak/>
        <w:t>Section 2 : Évaluation du financement actuel (appréciation du budget global, avantages et limites).</w:t>
      </w:r>
      <w:bookmarkEnd w:id="168"/>
    </w:p>
    <w:p w14:paraId="3210E913" w14:textId="77777777" w:rsidR="00E55959" w:rsidRPr="00D11D21" w:rsidRDefault="00E55959" w:rsidP="00D11D21">
      <w:pPr>
        <w:pStyle w:val="Paragraphedeliste"/>
        <w:numPr>
          <w:ilvl w:val="0"/>
          <w:numId w:val="162"/>
        </w:numPr>
        <w:spacing w:line="360" w:lineRule="auto"/>
        <w:jc w:val="both"/>
        <w:rPr>
          <w:rFonts w:asciiTheme="majorBidi" w:eastAsia="Times New Roman" w:hAnsiTheme="majorBidi" w:cstheme="majorBidi"/>
          <w:szCs w:val="24"/>
        </w:rPr>
      </w:pPr>
      <w:bookmarkStart w:id="169" w:name="_Toc199956040"/>
      <w:r w:rsidRPr="00D11D21">
        <w:rPr>
          <w:rFonts w:asciiTheme="majorBidi" w:eastAsia="Times New Roman" w:hAnsiTheme="majorBidi" w:cstheme="majorBidi"/>
          <w:szCs w:val="24"/>
        </w:rPr>
        <w:t>Section 3 : Digitalisation et systèmes d’information (existence d’un SI, niveau d’interconnexion, capacité d’analyse et de contrôle, connaissance du PMSI/DRG).</w:t>
      </w:r>
      <w:bookmarkEnd w:id="169"/>
    </w:p>
    <w:p w14:paraId="4DCA51BF" w14:textId="77777777" w:rsidR="00E55959" w:rsidRPr="00D11D21" w:rsidRDefault="00E55959" w:rsidP="00D11D21">
      <w:pPr>
        <w:pStyle w:val="Paragraphedeliste"/>
        <w:numPr>
          <w:ilvl w:val="0"/>
          <w:numId w:val="162"/>
        </w:numPr>
        <w:spacing w:line="360" w:lineRule="auto"/>
        <w:jc w:val="both"/>
        <w:rPr>
          <w:rFonts w:asciiTheme="majorBidi" w:eastAsia="Times New Roman" w:hAnsiTheme="majorBidi" w:cstheme="majorBidi"/>
          <w:szCs w:val="24"/>
        </w:rPr>
      </w:pPr>
      <w:bookmarkStart w:id="170" w:name="_Toc199956041"/>
      <w:r w:rsidRPr="00D11D21">
        <w:rPr>
          <w:rFonts w:asciiTheme="majorBidi" w:eastAsia="Times New Roman" w:hAnsiTheme="majorBidi" w:cstheme="majorBidi"/>
          <w:szCs w:val="24"/>
        </w:rPr>
        <w:t>Section 4 : Réflexion sur un nouveau modèle de financement (adhésion au financement mixte, freins et facilitateurs identifiés).</w:t>
      </w:r>
      <w:bookmarkEnd w:id="170"/>
    </w:p>
    <w:p w14:paraId="65AEF00A" w14:textId="77777777" w:rsidR="00E55959" w:rsidRPr="00D11D21" w:rsidRDefault="00E55959" w:rsidP="00D11D21">
      <w:pPr>
        <w:pStyle w:val="Paragraphedeliste"/>
        <w:numPr>
          <w:ilvl w:val="0"/>
          <w:numId w:val="162"/>
        </w:numPr>
        <w:spacing w:line="360" w:lineRule="auto"/>
        <w:jc w:val="both"/>
        <w:rPr>
          <w:rFonts w:asciiTheme="majorBidi" w:eastAsia="Times New Roman" w:hAnsiTheme="majorBidi" w:cstheme="majorBidi"/>
          <w:szCs w:val="24"/>
        </w:rPr>
      </w:pPr>
      <w:bookmarkStart w:id="171" w:name="_Toc199956042"/>
      <w:r w:rsidRPr="00D11D21">
        <w:rPr>
          <w:rFonts w:asciiTheme="majorBidi" w:eastAsia="Times New Roman" w:hAnsiTheme="majorBidi" w:cstheme="majorBidi"/>
          <w:szCs w:val="24"/>
        </w:rPr>
        <w:t>Section 5 : Suggestions et recommandations pour améliorer le système.</w:t>
      </w:r>
      <w:bookmarkEnd w:id="171"/>
    </w:p>
    <w:p w14:paraId="663FCD73" w14:textId="7891CC1C" w:rsidR="002210A7" w:rsidRPr="00D11D21" w:rsidRDefault="002210A7" w:rsidP="00D11D21">
      <w:pPr>
        <w:pStyle w:val="Titre2"/>
        <w:rPr>
          <w:rFonts w:asciiTheme="majorBidi" w:eastAsia="Times New Roman" w:hAnsiTheme="majorBidi"/>
          <w:szCs w:val="24"/>
          <w:lang w:eastAsia="fr-FR"/>
        </w:rPr>
      </w:pPr>
      <w:bookmarkStart w:id="172" w:name="_Toc199958912"/>
      <w:r w:rsidRPr="00D11D21">
        <w:rPr>
          <w:rFonts w:asciiTheme="majorBidi" w:eastAsia="Times New Roman" w:hAnsiTheme="majorBidi"/>
          <w:szCs w:val="24"/>
          <w:lang w:eastAsia="fr-FR"/>
        </w:rPr>
        <w:t>Outils statistiques utilisés pour l’analyse des données et vérification de la validité du questionnaire</w:t>
      </w:r>
      <w:bookmarkEnd w:id="172"/>
    </w:p>
    <w:p w14:paraId="38B9936A" w14:textId="77777777" w:rsidR="002210A7" w:rsidRPr="00D11D21" w:rsidRDefault="002210A7" w:rsidP="00D11D21">
      <w:pPr>
        <w:spacing w:before="100" w:beforeAutospacing="1" w:after="100" w:afterAutospacing="1"/>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a. Outils statistiques utilisés dans l’analyse</w:t>
      </w:r>
    </w:p>
    <w:p w14:paraId="42590CCB"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Pour le traitement et l’analyse des données issues des questionnaires adressés aux responsables d’hôpitaux publics et aux cadres des caisses de sécurité sociale, nous avons utilisé le logiciel SPSS (</w:t>
      </w:r>
      <w:proofErr w:type="spellStart"/>
      <w:r w:rsidRPr="00D11D21">
        <w:rPr>
          <w:rFonts w:asciiTheme="majorBidi" w:eastAsia="Times New Roman" w:hAnsiTheme="majorBidi" w:cstheme="majorBidi"/>
          <w:szCs w:val="24"/>
          <w:lang w:eastAsia="fr-FR"/>
        </w:rPr>
        <w:t>Statistical</w:t>
      </w:r>
      <w:proofErr w:type="spellEnd"/>
      <w:r w:rsidRPr="00D11D21">
        <w:rPr>
          <w:rFonts w:asciiTheme="majorBidi" w:eastAsia="Times New Roman" w:hAnsiTheme="majorBidi" w:cstheme="majorBidi"/>
          <w:szCs w:val="24"/>
          <w:lang w:eastAsia="fr-FR"/>
        </w:rPr>
        <w:t xml:space="preserve"> Package for the Social Sciences).</w:t>
      </w:r>
    </w:p>
    <w:p w14:paraId="6D4CA5EE"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Ce logiciel nous a permis d’analyser les résultats et de tester nos hypothèses à l’aide des outils statistiques suivants :</w:t>
      </w:r>
    </w:p>
    <w:p w14:paraId="308681AA"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Les fréquences et pourcentages :</w:t>
      </w:r>
      <w:r w:rsidRPr="00D11D21">
        <w:rPr>
          <w:rFonts w:asciiTheme="majorBidi" w:eastAsia="Times New Roman" w:hAnsiTheme="majorBidi" w:cstheme="majorBidi"/>
          <w:szCs w:val="24"/>
          <w:lang w:eastAsia="fr-FR"/>
        </w:rPr>
        <w:t xml:space="preserve"> utilisés pour décrire les caractéristiques générales des répondants et identifier les tendances dominantes dans les réponses. Cette étape a permis de dresser un profil global des structures concernées et de mieux comprendre la répartition des réponses selon les questions posées.</w:t>
      </w:r>
    </w:p>
    <w:p w14:paraId="3329274F"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 xml:space="preserve">Les </w:t>
      </w:r>
      <w:proofErr w:type="spellStart"/>
      <w:r w:rsidRPr="00D11D21">
        <w:rPr>
          <w:rFonts w:asciiTheme="majorBidi" w:eastAsia="Times New Roman" w:hAnsiTheme="majorBidi" w:cstheme="majorBidi"/>
          <w:b/>
          <w:bCs/>
          <w:szCs w:val="24"/>
          <w:lang w:eastAsia="fr-FR"/>
        </w:rPr>
        <w:t>tris</w:t>
      </w:r>
      <w:proofErr w:type="spellEnd"/>
      <w:r w:rsidRPr="00D11D21">
        <w:rPr>
          <w:rFonts w:asciiTheme="majorBidi" w:eastAsia="Times New Roman" w:hAnsiTheme="majorBidi" w:cstheme="majorBidi"/>
          <w:b/>
          <w:bCs/>
          <w:szCs w:val="24"/>
          <w:lang w:eastAsia="fr-FR"/>
        </w:rPr>
        <w:t xml:space="preserve"> croisés :</w:t>
      </w:r>
      <w:r w:rsidRPr="00D11D21">
        <w:rPr>
          <w:rFonts w:asciiTheme="majorBidi" w:eastAsia="Times New Roman" w:hAnsiTheme="majorBidi" w:cstheme="majorBidi"/>
          <w:szCs w:val="24"/>
          <w:lang w:eastAsia="fr-FR"/>
        </w:rPr>
        <w:t xml:space="preserve"> utilisés pour explorer les relations entre deux variables qualitatives (ex. : type de système d'information utilisé et appréciation du financement). Ces analyses ont permis de mettre en évidence certaines correspondances ou divergences entre les réponses selon les profils des répondants.</w:t>
      </w:r>
    </w:p>
    <w:p w14:paraId="4CD5BF4A"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b/>
          <w:bCs/>
          <w:szCs w:val="24"/>
          <w:lang w:eastAsia="fr-FR"/>
        </w:rPr>
        <w:t>Le test du Khi² (Chi-square test) :</w:t>
      </w:r>
      <w:r w:rsidRPr="00D11D21">
        <w:rPr>
          <w:rFonts w:asciiTheme="majorBidi" w:eastAsia="Times New Roman" w:hAnsiTheme="majorBidi" w:cstheme="majorBidi"/>
          <w:szCs w:val="24"/>
          <w:lang w:eastAsia="fr-FR"/>
        </w:rPr>
        <w:t xml:space="preserve"> utilisé pour tester la significativité des relations observées entre deux variables. Il a permis de déterminer si les écarts observés entre les réponses étaient dus au hasard ou à une relation statistiquement significative. Ce test a été central dans la vérification de certaines hypothèses, notamment en lien avec la perception de l'efficacité du financement et l'existence ou non de systèmes d'information intégrés.</w:t>
      </w:r>
    </w:p>
    <w:p w14:paraId="3F185F90" w14:textId="77777777" w:rsidR="002210A7" w:rsidRPr="00D11D21" w:rsidRDefault="002210A7" w:rsidP="00D11D21">
      <w:pPr>
        <w:spacing w:before="100" w:beforeAutospacing="1" w:after="100" w:afterAutospacing="1"/>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b. Validité et fiabilité du questionnaire</w:t>
      </w:r>
    </w:p>
    <w:p w14:paraId="2516DD73"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lastRenderedPageBreak/>
        <w:t>Le questionnaire constitue l’outil principal de la recherche de terrain. Afin d’assurer la pertinence scientifique des données collectées, il a été nécessaire de vérifier deux critères fondamentaux : la validité (le questionnaire mesure bien ce qu’il est censé mesurer) et la fiabilité (les réponses sont stables et cohérentes).</w:t>
      </w:r>
    </w:p>
    <w:p w14:paraId="793A38D9" w14:textId="77777777" w:rsidR="002210A7" w:rsidRPr="00D11D21" w:rsidRDefault="002210A7" w:rsidP="00D11D21">
      <w:pPr>
        <w:spacing w:before="100" w:beforeAutospacing="1" w:after="100" w:afterAutospacing="1"/>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Validité de contenu :</w:t>
      </w:r>
    </w:p>
    <w:p w14:paraId="49A3E640"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Avant diffusion, le questionnaire a été soumis à l’évaluation de l’encadrante universitaire. Ses remarques ont permis d’améliorer la formulation de certaines questions, de clarifier le vocabulaire utilisé, et d’adapter le contenu au contexte de la recherche. Cette relecture critique a renforcé la validité du questionnaire en assurant sa clarté, sa pertinence et sa cohérence par rapport aux objectifs de l’étude.</w:t>
      </w:r>
    </w:p>
    <w:p w14:paraId="2FC5042F" w14:textId="77777777" w:rsidR="002210A7" w:rsidRPr="00D11D21" w:rsidRDefault="002210A7" w:rsidP="00D11D21">
      <w:pPr>
        <w:spacing w:before="100" w:beforeAutospacing="1" w:after="100" w:afterAutospacing="1"/>
        <w:jc w:val="both"/>
        <w:rPr>
          <w:rFonts w:asciiTheme="majorBidi" w:eastAsia="Times New Roman" w:hAnsiTheme="majorBidi" w:cstheme="majorBidi"/>
          <w:b/>
          <w:bCs/>
          <w:szCs w:val="24"/>
          <w:lang w:eastAsia="fr-FR"/>
        </w:rPr>
      </w:pPr>
      <w:r w:rsidRPr="00D11D21">
        <w:rPr>
          <w:rFonts w:asciiTheme="majorBidi" w:eastAsia="Times New Roman" w:hAnsiTheme="majorBidi" w:cstheme="majorBidi"/>
          <w:b/>
          <w:bCs/>
          <w:szCs w:val="24"/>
          <w:lang w:eastAsia="fr-FR"/>
        </w:rPr>
        <w:t>Fiabilité du questionnaire :</w:t>
      </w:r>
    </w:p>
    <w:p w14:paraId="343E5E3C"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 xml:space="preserve">Le questionnaire étant composé majoritairement de questions fermées catégorielles (oui/non, choix multiples), il ne s’agissait pas d’évaluer une seule dimension psychométrique ou une échelle de mesure continue. De ce fait, le coefficient Alpha de </w:t>
      </w:r>
      <w:proofErr w:type="spellStart"/>
      <w:r w:rsidRPr="00D11D21">
        <w:rPr>
          <w:rFonts w:asciiTheme="majorBidi" w:eastAsia="Times New Roman" w:hAnsiTheme="majorBidi" w:cstheme="majorBidi"/>
          <w:szCs w:val="24"/>
          <w:lang w:eastAsia="fr-FR"/>
        </w:rPr>
        <w:t>Cronbach</w:t>
      </w:r>
      <w:proofErr w:type="spellEnd"/>
      <w:r w:rsidRPr="00D11D21">
        <w:rPr>
          <w:rFonts w:asciiTheme="majorBidi" w:eastAsia="Times New Roman" w:hAnsiTheme="majorBidi" w:cstheme="majorBidi"/>
          <w:szCs w:val="24"/>
          <w:lang w:eastAsia="fr-FR"/>
        </w:rPr>
        <w:t>, généralement utilisé pour évaluer la cohérence interne d’items de type Likert, n’a pas été mobilisé dans cette étude, car il n’était pas adapté à la nature des données.</w:t>
      </w:r>
    </w:p>
    <w:p w14:paraId="57B1F17F" w14:textId="77777777" w:rsidR="002210A7" w:rsidRPr="00D11D21" w:rsidRDefault="002210A7" w:rsidP="00D11D21">
      <w:pPr>
        <w:spacing w:before="100" w:beforeAutospacing="1" w:after="100" w:afterAutospacing="1"/>
        <w:jc w:val="both"/>
        <w:rPr>
          <w:rFonts w:asciiTheme="majorBidi" w:eastAsia="Times New Roman" w:hAnsiTheme="majorBidi" w:cstheme="majorBidi"/>
          <w:szCs w:val="24"/>
          <w:lang w:eastAsia="fr-FR"/>
        </w:rPr>
      </w:pPr>
      <w:r w:rsidRPr="00D11D21">
        <w:rPr>
          <w:rFonts w:asciiTheme="majorBidi" w:eastAsia="Times New Roman" w:hAnsiTheme="majorBidi" w:cstheme="majorBidi"/>
          <w:szCs w:val="24"/>
          <w:lang w:eastAsia="fr-FR"/>
        </w:rPr>
        <w:t>En revanche, la cohérence logique des réponses a été évaluée à travers des analyses croisées et des tests du Khi², qui ont permis de vérifier la stabilité des relations entre certaines variables et de confirmer certaines hypothèses de recherche. Cela a permis de juger de la fiabilité globale du questio</w:t>
      </w:r>
      <w:r w:rsidR="004C19B1" w:rsidRPr="00D11D21">
        <w:rPr>
          <w:rFonts w:asciiTheme="majorBidi" w:eastAsia="Times New Roman" w:hAnsiTheme="majorBidi" w:cstheme="majorBidi"/>
          <w:szCs w:val="24"/>
          <w:lang w:eastAsia="fr-FR"/>
        </w:rPr>
        <w:t>nnaire sur le plan statistique.</w:t>
      </w:r>
    </w:p>
    <w:p w14:paraId="608A7CD6" w14:textId="77777777" w:rsidR="002210A7" w:rsidRPr="00D11D21" w:rsidRDefault="002C4138" w:rsidP="00D11D21">
      <w:pPr>
        <w:pStyle w:val="Titre5"/>
        <w:rPr>
          <w:rFonts w:asciiTheme="majorBidi" w:hAnsiTheme="majorBidi"/>
          <w:szCs w:val="24"/>
        </w:rPr>
      </w:pPr>
      <w:r w:rsidRPr="00D11D21">
        <w:rPr>
          <w:rFonts w:asciiTheme="majorBidi" w:hAnsiTheme="majorBidi"/>
          <w:szCs w:val="24"/>
        </w:rPr>
        <w:t>Analyse SPSS :</w:t>
      </w:r>
    </w:p>
    <w:p w14:paraId="3BE40691" w14:textId="77777777" w:rsidR="002210A7" w:rsidRPr="00D11D21" w:rsidRDefault="002210A7" w:rsidP="00D11D21">
      <w:pPr>
        <w:pStyle w:val="Paragraphedeliste"/>
        <w:numPr>
          <w:ilvl w:val="0"/>
          <w:numId w:val="113"/>
        </w:numPr>
        <w:spacing w:line="360" w:lineRule="auto"/>
        <w:jc w:val="both"/>
        <w:rPr>
          <w:rFonts w:asciiTheme="majorBidi" w:hAnsiTheme="majorBidi" w:cstheme="majorBidi"/>
          <w:b/>
          <w:bCs/>
          <w:szCs w:val="24"/>
        </w:rPr>
      </w:pPr>
      <w:bookmarkStart w:id="173" w:name="_Toc198065752"/>
      <w:r w:rsidRPr="00D11D21">
        <w:rPr>
          <w:rFonts w:asciiTheme="majorBidi" w:hAnsiTheme="majorBidi" w:cstheme="majorBidi"/>
          <w:b/>
          <w:bCs/>
          <w:szCs w:val="24"/>
        </w:rPr>
        <w:t>Méthodes d’analyse des résultats :</w:t>
      </w:r>
      <w:bookmarkEnd w:id="173"/>
    </w:p>
    <w:p w14:paraId="35DCC6F0" w14:textId="77777777" w:rsidR="002210A7" w:rsidRPr="00D11D21" w:rsidRDefault="002210A7" w:rsidP="00D11D21">
      <w:pPr>
        <w:ind w:firstLine="284"/>
        <w:jc w:val="both"/>
        <w:rPr>
          <w:rFonts w:asciiTheme="majorBidi" w:hAnsiTheme="majorBidi" w:cstheme="majorBidi"/>
          <w:szCs w:val="24"/>
        </w:rPr>
      </w:pPr>
      <w:r w:rsidRPr="00D11D21">
        <w:rPr>
          <w:rFonts w:asciiTheme="majorBidi" w:hAnsiTheme="majorBidi" w:cstheme="majorBidi"/>
          <w:szCs w:val="24"/>
        </w:rPr>
        <w:t xml:space="preserve">Le traitement et l’analyse des données collectées à travers notre questionnaire ont été réalisés à l’aide du </w:t>
      </w:r>
      <w:r w:rsidRPr="00D11D21">
        <w:rPr>
          <w:rFonts w:asciiTheme="majorBidi" w:hAnsiTheme="majorBidi" w:cstheme="majorBidi"/>
          <w:b/>
          <w:bCs/>
          <w:szCs w:val="24"/>
        </w:rPr>
        <w:t xml:space="preserve">logiciel IBM SPSS </w:t>
      </w:r>
      <w:proofErr w:type="spellStart"/>
      <w:r w:rsidRPr="00D11D21">
        <w:rPr>
          <w:rFonts w:asciiTheme="majorBidi" w:hAnsiTheme="majorBidi" w:cstheme="majorBidi"/>
          <w:b/>
          <w:bCs/>
          <w:szCs w:val="24"/>
        </w:rPr>
        <w:t>Statistics</w:t>
      </w:r>
      <w:proofErr w:type="spellEnd"/>
      <w:r w:rsidRPr="00D11D21">
        <w:rPr>
          <w:rFonts w:asciiTheme="majorBidi" w:hAnsiTheme="majorBidi" w:cstheme="majorBidi"/>
          <w:b/>
          <w:bCs/>
          <w:szCs w:val="24"/>
        </w:rPr>
        <w:t xml:space="preserve"> 26</w:t>
      </w:r>
      <w:r w:rsidRPr="00D11D21">
        <w:rPr>
          <w:rFonts w:asciiTheme="majorBidi" w:hAnsiTheme="majorBidi" w:cstheme="majorBidi"/>
          <w:szCs w:val="24"/>
        </w:rPr>
        <w:t>. Nous avons opté pour une méthode de traitement basée sur deux types de tris :</w:t>
      </w:r>
    </w:p>
    <w:p w14:paraId="71C8ABFE" w14:textId="77777777" w:rsidR="002210A7" w:rsidRPr="00D11D21" w:rsidRDefault="002210A7" w:rsidP="00D11D21">
      <w:pPr>
        <w:numPr>
          <w:ilvl w:val="0"/>
          <w:numId w:val="82"/>
        </w:numPr>
        <w:jc w:val="both"/>
        <w:rPr>
          <w:rFonts w:asciiTheme="majorBidi" w:hAnsiTheme="majorBidi" w:cstheme="majorBidi"/>
          <w:szCs w:val="24"/>
        </w:rPr>
      </w:pPr>
      <w:r w:rsidRPr="00D11D21">
        <w:rPr>
          <w:rFonts w:asciiTheme="majorBidi" w:hAnsiTheme="majorBidi" w:cstheme="majorBidi"/>
          <w:b/>
          <w:bCs/>
          <w:szCs w:val="24"/>
        </w:rPr>
        <w:t>Le tri à plat :</w:t>
      </w:r>
      <w:r w:rsidRPr="00D11D21">
        <w:rPr>
          <w:rFonts w:asciiTheme="majorBidi" w:hAnsiTheme="majorBidi" w:cstheme="majorBidi"/>
          <w:szCs w:val="24"/>
        </w:rPr>
        <w:t xml:space="preserve"> il permet de présenter la distribution des différentes réponses obtenues à une question unique du questionnaire.</w:t>
      </w:r>
      <w:r w:rsidRPr="00D11D21">
        <w:rPr>
          <w:rFonts w:asciiTheme="majorBidi" w:hAnsiTheme="majorBidi" w:cstheme="majorBidi"/>
          <w:szCs w:val="24"/>
          <w:vertAlign w:val="superscript"/>
        </w:rPr>
        <w:footnoteReference w:id="86"/>
      </w:r>
    </w:p>
    <w:p w14:paraId="20D6A425" w14:textId="77777777" w:rsidR="002210A7" w:rsidRPr="00D11D21" w:rsidRDefault="002210A7" w:rsidP="00D11D21">
      <w:pPr>
        <w:numPr>
          <w:ilvl w:val="0"/>
          <w:numId w:val="82"/>
        </w:numPr>
        <w:jc w:val="both"/>
        <w:rPr>
          <w:rFonts w:asciiTheme="majorBidi" w:hAnsiTheme="majorBidi" w:cstheme="majorBidi"/>
          <w:szCs w:val="24"/>
        </w:rPr>
      </w:pPr>
      <w:r w:rsidRPr="00D11D21">
        <w:rPr>
          <w:rFonts w:asciiTheme="majorBidi" w:hAnsiTheme="majorBidi" w:cstheme="majorBidi"/>
          <w:b/>
          <w:bCs/>
          <w:szCs w:val="24"/>
        </w:rPr>
        <w:lastRenderedPageBreak/>
        <w:t>Le tri croisé</w:t>
      </w:r>
      <w:r w:rsidRPr="00D11D21">
        <w:rPr>
          <w:rFonts w:asciiTheme="majorBidi" w:hAnsiTheme="majorBidi" w:cstheme="majorBidi"/>
          <w:szCs w:val="24"/>
        </w:rPr>
        <w:t xml:space="preserve"> : il consiste à croiser les résultats de deux questions afin de mettre en évidence des différences de comportement entre les sous-populations étudiées, ainsi que d’identifier d’éventuelles variables explicatives ou corrélations entre deux variables.</w:t>
      </w:r>
      <w:r w:rsidRPr="00D11D21">
        <w:rPr>
          <w:rFonts w:asciiTheme="majorBidi" w:hAnsiTheme="majorBidi" w:cstheme="majorBidi"/>
          <w:szCs w:val="24"/>
          <w:vertAlign w:val="superscript"/>
        </w:rPr>
        <w:footnoteReference w:id="87"/>
      </w:r>
    </w:p>
    <w:p w14:paraId="42DE64B0" w14:textId="77777777" w:rsidR="002210A7" w:rsidRPr="00D11D21" w:rsidRDefault="002210A7" w:rsidP="00D11D21">
      <w:pPr>
        <w:jc w:val="both"/>
        <w:rPr>
          <w:rFonts w:asciiTheme="majorBidi" w:hAnsiTheme="majorBidi" w:cstheme="majorBidi"/>
          <w:szCs w:val="24"/>
        </w:rPr>
      </w:pPr>
      <w:r w:rsidRPr="00D11D21">
        <w:rPr>
          <w:rFonts w:asciiTheme="majorBidi" w:hAnsiTheme="majorBidi" w:cstheme="majorBidi"/>
          <w:szCs w:val="24"/>
        </w:rPr>
        <w:t xml:space="preserve">Pour tester si ces variables sont liées, on utilise le </w:t>
      </w:r>
      <w:r w:rsidRPr="00D11D21">
        <w:rPr>
          <w:rFonts w:asciiTheme="majorBidi" w:hAnsiTheme="majorBidi" w:cstheme="majorBidi"/>
          <w:b/>
          <w:bCs/>
          <w:szCs w:val="24"/>
        </w:rPr>
        <w:t>test khi²</w:t>
      </w:r>
      <w:r w:rsidRPr="00D11D21">
        <w:rPr>
          <w:rFonts w:asciiTheme="majorBidi" w:hAnsiTheme="majorBidi" w:cstheme="majorBidi"/>
          <w:szCs w:val="24"/>
        </w:rPr>
        <w:t>.</w:t>
      </w:r>
    </w:p>
    <w:p w14:paraId="68C9903F" w14:textId="77777777" w:rsidR="002210A7" w:rsidRPr="00D11D21" w:rsidRDefault="002210A7" w:rsidP="00D11D21">
      <w:pPr>
        <w:pStyle w:val="Paragraphedeliste"/>
        <w:numPr>
          <w:ilvl w:val="0"/>
          <w:numId w:val="113"/>
        </w:numPr>
        <w:spacing w:line="360" w:lineRule="auto"/>
        <w:jc w:val="both"/>
        <w:rPr>
          <w:rFonts w:asciiTheme="majorBidi" w:hAnsiTheme="majorBidi" w:cstheme="majorBidi"/>
          <w:szCs w:val="24"/>
        </w:rPr>
      </w:pPr>
      <w:r w:rsidRPr="00D11D21">
        <w:rPr>
          <w:rFonts w:asciiTheme="majorBidi" w:hAnsiTheme="majorBidi" w:cstheme="majorBidi"/>
          <w:b/>
          <w:bCs/>
          <w:szCs w:val="24"/>
        </w:rPr>
        <w:t>Hypothèses :</w:t>
      </w:r>
    </w:p>
    <w:p w14:paraId="17AFB8B3" w14:textId="77777777" w:rsidR="002210A7" w:rsidRPr="00D11D21" w:rsidRDefault="002210A7" w:rsidP="00D11D21">
      <w:pPr>
        <w:numPr>
          <w:ilvl w:val="0"/>
          <w:numId w:val="82"/>
        </w:numPr>
        <w:jc w:val="both"/>
        <w:rPr>
          <w:rFonts w:asciiTheme="majorBidi" w:hAnsiTheme="majorBidi" w:cstheme="majorBidi"/>
          <w:szCs w:val="24"/>
        </w:rPr>
      </w:pPr>
      <w:r w:rsidRPr="00D11D21">
        <w:rPr>
          <w:rFonts w:asciiTheme="majorBidi" w:hAnsiTheme="majorBidi" w:cstheme="majorBidi"/>
          <w:b/>
          <w:bCs/>
          <w:szCs w:val="24"/>
        </w:rPr>
        <w:t>H₀</w:t>
      </w:r>
      <w:r w:rsidRPr="00D11D21">
        <w:rPr>
          <w:rFonts w:asciiTheme="majorBidi" w:hAnsiTheme="majorBidi" w:cstheme="majorBidi"/>
          <w:szCs w:val="24"/>
        </w:rPr>
        <w:t xml:space="preserve"> : les variables sont indépendantes.</w:t>
      </w:r>
    </w:p>
    <w:p w14:paraId="4B4D6F83" w14:textId="77777777" w:rsidR="002210A7" w:rsidRPr="00D11D21" w:rsidRDefault="002210A7" w:rsidP="00D11D21">
      <w:pPr>
        <w:numPr>
          <w:ilvl w:val="0"/>
          <w:numId w:val="82"/>
        </w:numPr>
        <w:jc w:val="both"/>
        <w:rPr>
          <w:rFonts w:asciiTheme="majorBidi" w:hAnsiTheme="majorBidi" w:cstheme="majorBidi"/>
          <w:szCs w:val="24"/>
        </w:rPr>
      </w:pPr>
      <w:r w:rsidRPr="00D11D21">
        <w:rPr>
          <w:rFonts w:asciiTheme="majorBidi" w:hAnsiTheme="majorBidi" w:cstheme="majorBidi"/>
          <w:b/>
          <w:bCs/>
          <w:szCs w:val="24"/>
        </w:rPr>
        <w:t>H₁</w:t>
      </w:r>
      <w:r w:rsidRPr="00D11D21">
        <w:rPr>
          <w:rFonts w:asciiTheme="majorBidi" w:hAnsiTheme="majorBidi" w:cstheme="majorBidi"/>
          <w:szCs w:val="24"/>
        </w:rPr>
        <w:t xml:space="preserve"> : les variables sont liées.</w:t>
      </w:r>
    </w:p>
    <w:p w14:paraId="74BBCF2D"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Résultat :</w:t>
      </w:r>
    </w:p>
    <w:p w14:paraId="6407E256" w14:textId="77777777" w:rsidR="002210A7" w:rsidRPr="00D11D21" w:rsidRDefault="002210A7" w:rsidP="00D11D21">
      <w:pPr>
        <w:numPr>
          <w:ilvl w:val="0"/>
          <w:numId w:val="83"/>
        </w:numPr>
        <w:jc w:val="both"/>
        <w:rPr>
          <w:rFonts w:asciiTheme="majorBidi" w:hAnsiTheme="majorBidi" w:cstheme="majorBidi"/>
          <w:szCs w:val="24"/>
        </w:rPr>
      </w:pPr>
      <w:r w:rsidRPr="00D11D21">
        <w:rPr>
          <w:rFonts w:asciiTheme="majorBidi" w:hAnsiTheme="majorBidi" w:cstheme="majorBidi"/>
          <w:szCs w:val="24"/>
        </w:rPr>
        <w:t xml:space="preserve">Si </w:t>
      </w:r>
      <w:r w:rsidRPr="00D11D21">
        <w:rPr>
          <w:rFonts w:asciiTheme="majorBidi" w:hAnsiTheme="majorBidi" w:cstheme="majorBidi"/>
          <w:b/>
          <w:bCs/>
          <w:szCs w:val="24"/>
        </w:rPr>
        <w:t>p ≤ 0,05</w:t>
      </w:r>
      <w:r w:rsidRPr="00D11D21">
        <w:rPr>
          <w:rFonts w:asciiTheme="majorBidi" w:hAnsiTheme="majorBidi" w:cstheme="majorBidi"/>
          <w:szCs w:val="24"/>
        </w:rPr>
        <w:t xml:space="preserve"> → H₀ rejetée : relation significative</w:t>
      </w:r>
    </w:p>
    <w:p w14:paraId="1D82FA26" w14:textId="77777777" w:rsidR="002210A7" w:rsidRPr="00D11D21" w:rsidRDefault="002210A7" w:rsidP="00D11D21">
      <w:pPr>
        <w:numPr>
          <w:ilvl w:val="0"/>
          <w:numId w:val="83"/>
        </w:numPr>
        <w:jc w:val="both"/>
        <w:rPr>
          <w:rFonts w:asciiTheme="majorBidi" w:hAnsiTheme="majorBidi" w:cstheme="majorBidi"/>
          <w:szCs w:val="24"/>
        </w:rPr>
      </w:pPr>
      <w:r w:rsidRPr="00D11D21">
        <w:rPr>
          <w:rFonts w:asciiTheme="majorBidi" w:hAnsiTheme="majorBidi" w:cstheme="majorBidi"/>
          <w:szCs w:val="24"/>
        </w:rPr>
        <w:t xml:space="preserve">Si </w:t>
      </w:r>
      <w:r w:rsidRPr="00D11D21">
        <w:rPr>
          <w:rFonts w:asciiTheme="majorBidi" w:hAnsiTheme="majorBidi" w:cstheme="majorBidi"/>
          <w:b/>
          <w:bCs/>
          <w:szCs w:val="24"/>
        </w:rPr>
        <w:t>p &gt; 0,05</w:t>
      </w:r>
      <w:r w:rsidRPr="00D11D21">
        <w:rPr>
          <w:rFonts w:asciiTheme="majorBidi" w:hAnsiTheme="majorBidi" w:cstheme="majorBidi"/>
          <w:szCs w:val="24"/>
        </w:rPr>
        <w:t xml:space="preserve"> → H₀ non rejetée : pas de relation</w:t>
      </w:r>
    </w:p>
    <w:p w14:paraId="14BE8232" w14:textId="77777777" w:rsidR="002210A7" w:rsidRPr="00D11D21" w:rsidRDefault="002210A7" w:rsidP="00D11D21">
      <w:pPr>
        <w:pStyle w:val="Titre2"/>
        <w:numPr>
          <w:ilvl w:val="0"/>
          <w:numId w:val="146"/>
        </w:numPr>
        <w:rPr>
          <w:rFonts w:asciiTheme="majorBidi" w:hAnsiTheme="majorBidi"/>
          <w:szCs w:val="24"/>
        </w:rPr>
      </w:pPr>
      <w:bookmarkStart w:id="174" w:name="_Toc199958913"/>
      <w:r w:rsidRPr="00D11D21">
        <w:rPr>
          <w:rFonts w:asciiTheme="majorBidi" w:hAnsiTheme="majorBidi"/>
          <w:szCs w:val="24"/>
        </w:rPr>
        <w:t>Questionnaire Caisse de sécurité sociale :</w:t>
      </w:r>
      <w:bookmarkEnd w:id="174"/>
      <w:r w:rsidRPr="00D11D21">
        <w:rPr>
          <w:rFonts w:asciiTheme="majorBidi" w:hAnsiTheme="majorBidi"/>
          <w:szCs w:val="24"/>
        </w:rPr>
        <w:t xml:space="preserve"> </w:t>
      </w:r>
    </w:p>
    <w:p w14:paraId="6B9575E7" w14:textId="77777777"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175" w:name="_Toc199958914"/>
      <w:r w:rsidRPr="00D11D21">
        <w:rPr>
          <w:rFonts w:asciiTheme="majorBidi" w:hAnsiTheme="majorBidi" w:cstheme="majorBidi"/>
          <w:szCs w:val="24"/>
        </w:rPr>
        <w:t>Tri à plat :</w:t>
      </w:r>
      <w:bookmarkEnd w:id="175"/>
      <w:r w:rsidRPr="00D11D21">
        <w:rPr>
          <w:rFonts w:asciiTheme="majorBidi" w:hAnsiTheme="majorBidi" w:cstheme="majorBidi"/>
          <w:szCs w:val="24"/>
        </w:rPr>
        <w:t xml:space="preserve"> </w:t>
      </w:r>
    </w:p>
    <w:p w14:paraId="5FD91288" w14:textId="77777777" w:rsidR="002210A7" w:rsidRPr="00D11D21" w:rsidRDefault="002210A7" w:rsidP="00D11D21">
      <w:pPr>
        <w:pStyle w:val="Paragraphedeliste"/>
        <w:numPr>
          <w:ilvl w:val="3"/>
          <w:numId w:val="12"/>
        </w:numPr>
        <w:shd w:val="clear" w:color="auto" w:fill="FFFFFF" w:themeFill="background1"/>
        <w:spacing w:line="360" w:lineRule="auto"/>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Poste actuel</w:t>
      </w:r>
      <w:r w:rsidR="002C4138" w:rsidRPr="00D11D21">
        <w:rPr>
          <w:rFonts w:asciiTheme="majorBidi" w:hAnsiTheme="majorBidi" w:cstheme="majorBidi"/>
          <w:b/>
          <w:bCs/>
          <w:color w:val="000000" w:themeColor="text1"/>
          <w:szCs w:val="24"/>
        </w:rPr>
        <w:t> :</w:t>
      </w:r>
      <w:r w:rsidRPr="00D11D21">
        <w:rPr>
          <w:rFonts w:asciiTheme="majorBidi" w:hAnsiTheme="majorBidi" w:cstheme="majorBidi"/>
          <w:b/>
          <w:bCs/>
          <w:color w:val="000000" w:themeColor="text1"/>
          <w:szCs w:val="24"/>
        </w:rPr>
        <w:t> </w:t>
      </w:r>
    </w:p>
    <w:p w14:paraId="25A8CFBD"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58364174" w14:textId="77777777" w:rsidR="002210A7" w:rsidRPr="00D11D21" w:rsidRDefault="002210A7" w:rsidP="00D11D21">
      <w:pPr>
        <w:shd w:val="clear" w:color="auto" w:fill="FFFFFF" w:themeFill="background1"/>
        <w:ind w:firstLine="70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 panel est constitué de 33 répondants, chacun occupant un poste différent. Cela montre une grande diversité des fonctions représentées, allant de la gestion financière (ex. : Directeur des Opérations Financières, Sous-direction du budget) à la gestion des systèmes d'information (ex. : Directeur des Systèmes d’Information, Sous-direction du système d'information), en passant par les ressources humaines, la communication, et le contrôle médical.</w:t>
      </w:r>
    </w:p>
    <w:p w14:paraId="3479D708" w14:textId="77777777" w:rsidR="002210A7" w:rsidRPr="00D11D21" w:rsidRDefault="002210A7" w:rsidP="00D11D21">
      <w:pPr>
        <w:shd w:val="clear" w:color="auto" w:fill="FFFFFF" w:themeFill="background1"/>
        <w:ind w:firstLine="70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Cette diversité des postes reflète une représentation équilibrée des différents départements impliqués dans la gestion hospitalière et le financement.</w:t>
      </w:r>
    </w:p>
    <w:p w14:paraId="413B2A38" w14:textId="77777777" w:rsidR="002C4138" w:rsidRPr="00D11D21" w:rsidRDefault="002C4138" w:rsidP="00D11D21">
      <w:pPr>
        <w:pStyle w:val="Paragraphedeliste"/>
        <w:numPr>
          <w:ilvl w:val="2"/>
          <w:numId w:val="12"/>
        </w:numPr>
        <w:shd w:val="clear" w:color="auto" w:fill="FFFFFF" w:themeFill="background1"/>
        <w:spacing w:line="360" w:lineRule="auto"/>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Département / Service :</w:t>
      </w:r>
    </w:p>
    <w:p w14:paraId="53336B3B" w14:textId="19A8BF8B" w:rsidR="002210A7" w:rsidRPr="00D11D21" w:rsidRDefault="00882B77" w:rsidP="00D11D21">
      <w:pPr>
        <w:pStyle w:val="Lgende"/>
        <w:keepNext/>
        <w:spacing w:line="360" w:lineRule="auto"/>
        <w:jc w:val="both"/>
        <w:rPr>
          <w:rFonts w:asciiTheme="majorBidi" w:hAnsiTheme="majorBidi" w:cstheme="majorBidi"/>
          <w:color w:val="auto"/>
          <w:sz w:val="24"/>
          <w:szCs w:val="24"/>
        </w:rPr>
      </w:pPr>
      <w:bookmarkStart w:id="176" w:name="_Toc200210117"/>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9</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répondants par département/service</w:t>
      </w:r>
      <w:bookmarkEnd w:id="176"/>
    </w:p>
    <w:tbl>
      <w:tblPr>
        <w:tblW w:w="93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1"/>
        <w:gridCol w:w="2777"/>
        <w:gridCol w:w="1319"/>
        <w:gridCol w:w="1161"/>
        <w:gridCol w:w="1578"/>
        <w:gridCol w:w="1665"/>
      </w:tblGrid>
      <w:tr w:rsidR="002210A7" w:rsidRPr="00D11D21" w14:paraId="74288ADF" w14:textId="77777777" w:rsidTr="005C3BEE">
        <w:trPr>
          <w:cantSplit/>
          <w:trHeight w:val="755"/>
          <w:jc w:val="center"/>
        </w:trPr>
        <w:tc>
          <w:tcPr>
            <w:tcW w:w="3608" w:type="dxa"/>
            <w:gridSpan w:val="2"/>
            <w:tcBorders>
              <w:top w:val="single" w:sz="4" w:space="0" w:color="auto"/>
              <w:left w:val="single" w:sz="4" w:space="0" w:color="auto"/>
              <w:bottom w:val="single" w:sz="8" w:space="0" w:color="152935"/>
              <w:right w:val="nil"/>
            </w:tcBorders>
            <w:shd w:val="clear" w:color="auto" w:fill="FFFFFF"/>
            <w:vAlign w:val="bottom"/>
          </w:tcPr>
          <w:p w14:paraId="76A5910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19" w:type="dxa"/>
            <w:tcBorders>
              <w:top w:val="single" w:sz="4" w:space="0" w:color="auto"/>
              <w:left w:val="nil"/>
              <w:bottom w:val="single" w:sz="8" w:space="0" w:color="152935"/>
              <w:right w:val="single" w:sz="8" w:space="0" w:color="E0E0E0"/>
            </w:tcBorders>
            <w:shd w:val="clear" w:color="auto" w:fill="FFFFFF"/>
            <w:vAlign w:val="bottom"/>
          </w:tcPr>
          <w:p w14:paraId="48B95DC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16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0A50A4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57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2CCDE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665" w:type="dxa"/>
            <w:tcBorders>
              <w:top w:val="single" w:sz="4" w:space="0" w:color="auto"/>
              <w:left w:val="single" w:sz="8" w:space="0" w:color="E0E0E0"/>
              <w:bottom w:val="single" w:sz="8" w:space="0" w:color="152935"/>
              <w:right w:val="single" w:sz="4" w:space="0" w:color="auto"/>
            </w:tcBorders>
            <w:shd w:val="clear" w:color="auto" w:fill="FFFFFF"/>
            <w:vAlign w:val="bottom"/>
          </w:tcPr>
          <w:p w14:paraId="1893AB8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25554C0F" w14:textId="77777777" w:rsidTr="005C3BEE">
        <w:trPr>
          <w:cantSplit/>
          <w:trHeight w:val="769"/>
          <w:jc w:val="center"/>
        </w:trPr>
        <w:tc>
          <w:tcPr>
            <w:tcW w:w="831" w:type="dxa"/>
            <w:vMerge w:val="restart"/>
            <w:tcBorders>
              <w:top w:val="single" w:sz="8" w:space="0" w:color="152935"/>
              <w:left w:val="single" w:sz="4" w:space="0" w:color="auto"/>
              <w:bottom w:val="single" w:sz="8" w:space="0" w:color="152935"/>
              <w:right w:val="nil"/>
            </w:tcBorders>
            <w:shd w:val="clear" w:color="auto" w:fill="E0E0E0"/>
          </w:tcPr>
          <w:p w14:paraId="526480A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lastRenderedPageBreak/>
              <w:t>Valid</w:t>
            </w:r>
            <w:proofErr w:type="spellEnd"/>
          </w:p>
        </w:tc>
        <w:tc>
          <w:tcPr>
            <w:tcW w:w="2776" w:type="dxa"/>
            <w:tcBorders>
              <w:top w:val="single" w:sz="8" w:space="0" w:color="152935"/>
              <w:left w:val="nil"/>
              <w:bottom w:val="single" w:sz="8" w:space="0" w:color="AEAEAE"/>
              <w:right w:val="nil"/>
            </w:tcBorders>
            <w:shd w:val="clear" w:color="auto" w:fill="E0E0E0"/>
          </w:tcPr>
          <w:p w14:paraId="74A75E7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 Direction des Ressources Humaines</w:t>
            </w:r>
          </w:p>
        </w:tc>
        <w:tc>
          <w:tcPr>
            <w:tcW w:w="1319" w:type="dxa"/>
            <w:tcBorders>
              <w:top w:val="single" w:sz="8" w:space="0" w:color="152935"/>
              <w:left w:val="nil"/>
              <w:bottom w:val="single" w:sz="8" w:space="0" w:color="AEAEAE"/>
              <w:right w:val="single" w:sz="8" w:space="0" w:color="E0E0E0"/>
            </w:tcBorders>
            <w:shd w:val="clear" w:color="auto" w:fill="FFFFFF"/>
          </w:tcPr>
          <w:p w14:paraId="53DF6A4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152935"/>
              <w:left w:val="single" w:sz="8" w:space="0" w:color="E0E0E0"/>
              <w:bottom w:val="single" w:sz="8" w:space="0" w:color="AEAEAE"/>
              <w:right w:val="single" w:sz="8" w:space="0" w:color="E0E0E0"/>
            </w:tcBorders>
            <w:shd w:val="clear" w:color="auto" w:fill="FFFFFF"/>
          </w:tcPr>
          <w:p w14:paraId="3CFDBDA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152935"/>
              <w:left w:val="single" w:sz="8" w:space="0" w:color="E0E0E0"/>
              <w:bottom w:val="single" w:sz="8" w:space="0" w:color="AEAEAE"/>
              <w:right w:val="single" w:sz="8" w:space="0" w:color="E0E0E0"/>
            </w:tcBorders>
            <w:shd w:val="clear" w:color="auto" w:fill="FFFFFF"/>
          </w:tcPr>
          <w:p w14:paraId="6D61738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152935"/>
              <w:left w:val="single" w:sz="8" w:space="0" w:color="E0E0E0"/>
              <w:bottom w:val="single" w:sz="8" w:space="0" w:color="AEAEAE"/>
              <w:right w:val="single" w:sz="4" w:space="0" w:color="auto"/>
            </w:tcBorders>
            <w:shd w:val="clear" w:color="auto" w:fill="FFFFFF"/>
          </w:tcPr>
          <w:p w14:paraId="4E9AD7C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r>
      <w:tr w:rsidR="002210A7" w:rsidRPr="00D11D21" w14:paraId="3CF84EC8"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54538F9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24B8CA9C" w14:textId="7373D37B"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 </w:t>
            </w:r>
            <w:r w:rsidR="00A156CC" w:rsidRPr="00D11D21">
              <w:rPr>
                <w:rFonts w:asciiTheme="majorBidi" w:hAnsiTheme="majorBidi" w:cstheme="majorBidi"/>
                <w:color w:val="264A60"/>
                <w:szCs w:val="24"/>
              </w:rPr>
              <w:t>Informatique</w:t>
            </w:r>
          </w:p>
        </w:tc>
        <w:tc>
          <w:tcPr>
            <w:tcW w:w="1319" w:type="dxa"/>
            <w:tcBorders>
              <w:top w:val="single" w:sz="8" w:space="0" w:color="AEAEAE"/>
              <w:left w:val="nil"/>
              <w:bottom w:val="single" w:sz="8" w:space="0" w:color="AEAEAE"/>
              <w:right w:val="single" w:sz="8" w:space="0" w:color="E0E0E0"/>
            </w:tcBorders>
            <w:shd w:val="clear" w:color="auto" w:fill="FFFFFF"/>
          </w:tcPr>
          <w:p w14:paraId="604176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4A7E000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ED4EB8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295BAC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r>
      <w:tr w:rsidR="002210A7" w:rsidRPr="00D11D21" w14:paraId="75477733"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1CF31E2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35D8B3A8" w14:textId="35D654F0" w:rsidR="002210A7" w:rsidRPr="00D11D21" w:rsidRDefault="00A156CC"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Agence</w:t>
            </w:r>
            <w:r w:rsidR="002210A7" w:rsidRPr="00D11D21">
              <w:rPr>
                <w:rFonts w:asciiTheme="majorBidi" w:hAnsiTheme="majorBidi" w:cstheme="majorBidi"/>
                <w:color w:val="264A60"/>
                <w:szCs w:val="24"/>
              </w:rPr>
              <w:t xml:space="preserve"> de BBA</w:t>
            </w:r>
          </w:p>
        </w:tc>
        <w:tc>
          <w:tcPr>
            <w:tcW w:w="1319" w:type="dxa"/>
            <w:tcBorders>
              <w:top w:val="single" w:sz="8" w:space="0" w:color="AEAEAE"/>
              <w:left w:val="nil"/>
              <w:bottom w:val="single" w:sz="8" w:space="0" w:color="AEAEAE"/>
              <w:right w:val="single" w:sz="8" w:space="0" w:color="E0E0E0"/>
            </w:tcBorders>
            <w:shd w:val="clear" w:color="auto" w:fill="FFFFFF"/>
          </w:tcPr>
          <w:p w14:paraId="557106A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6C1A02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3CCF5E7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7A67A5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9,1</w:t>
            </w:r>
          </w:p>
        </w:tc>
      </w:tr>
      <w:tr w:rsidR="002210A7" w:rsidRPr="00D11D21" w14:paraId="38B61BD4"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51B4E35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2381D47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l’Action Sanitaire et Sociale</w:t>
            </w:r>
          </w:p>
        </w:tc>
        <w:tc>
          <w:tcPr>
            <w:tcW w:w="1319" w:type="dxa"/>
            <w:tcBorders>
              <w:top w:val="single" w:sz="8" w:space="0" w:color="AEAEAE"/>
              <w:left w:val="nil"/>
              <w:bottom w:val="single" w:sz="8" w:space="0" w:color="AEAEAE"/>
              <w:right w:val="single" w:sz="8" w:space="0" w:color="E0E0E0"/>
            </w:tcBorders>
            <w:shd w:val="clear" w:color="auto" w:fill="FFFFFF"/>
          </w:tcPr>
          <w:p w14:paraId="46C100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753625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3957E54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7C03CC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12,1</w:t>
            </w:r>
          </w:p>
        </w:tc>
      </w:tr>
      <w:tr w:rsidR="002210A7" w:rsidRPr="00D11D21" w14:paraId="206FA95E"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3D56695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3714C3F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l’Audit</w:t>
            </w:r>
          </w:p>
        </w:tc>
        <w:tc>
          <w:tcPr>
            <w:tcW w:w="1319" w:type="dxa"/>
            <w:tcBorders>
              <w:top w:val="single" w:sz="8" w:space="0" w:color="AEAEAE"/>
              <w:left w:val="nil"/>
              <w:bottom w:val="single" w:sz="8" w:space="0" w:color="AEAEAE"/>
              <w:right w:val="single" w:sz="8" w:space="0" w:color="E0E0E0"/>
            </w:tcBorders>
            <w:shd w:val="clear" w:color="auto" w:fill="FFFFFF"/>
          </w:tcPr>
          <w:p w14:paraId="32AFAB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184EAC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1D44A15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6CEECE5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r>
      <w:tr w:rsidR="002210A7" w:rsidRPr="00D11D21" w14:paraId="01B185E5"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76C13E0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6E76A72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l’Information et de la Communication</w:t>
            </w:r>
          </w:p>
        </w:tc>
        <w:tc>
          <w:tcPr>
            <w:tcW w:w="1319" w:type="dxa"/>
            <w:tcBorders>
              <w:top w:val="single" w:sz="8" w:space="0" w:color="AEAEAE"/>
              <w:left w:val="nil"/>
              <w:bottom w:val="single" w:sz="8" w:space="0" w:color="AEAEAE"/>
              <w:right w:val="single" w:sz="8" w:space="0" w:color="E0E0E0"/>
            </w:tcBorders>
            <w:shd w:val="clear" w:color="auto" w:fill="FFFFFF"/>
          </w:tcPr>
          <w:p w14:paraId="58F77DF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29A8AE9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473DED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2DC1DFC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r>
      <w:tr w:rsidR="002210A7" w:rsidRPr="00D11D21" w14:paraId="6F9DAD86"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126A5E1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15A7445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l’Inspection Médicale</w:t>
            </w:r>
          </w:p>
        </w:tc>
        <w:tc>
          <w:tcPr>
            <w:tcW w:w="1319" w:type="dxa"/>
            <w:tcBorders>
              <w:top w:val="single" w:sz="8" w:space="0" w:color="AEAEAE"/>
              <w:left w:val="nil"/>
              <w:bottom w:val="single" w:sz="8" w:space="0" w:color="AEAEAE"/>
              <w:right w:val="single" w:sz="8" w:space="0" w:color="E0E0E0"/>
            </w:tcBorders>
            <w:shd w:val="clear" w:color="auto" w:fill="FFFFFF"/>
          </w:tcPr>
          <w:p w14:paraId="4CF479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59F50EF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294B421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47324C1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r>
      <w:tr w:rsidR="002210A7" w:rsidRPr="00D11D21" w14:paraId="1198A408"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0F16DD1A"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7B2CE5D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la Modernisation et des Systèmes d’Information</w:t>
            </w:r>
          </w:p>
        </w:tc>
        <w:tc>
          <w:tcPr>
            <w:tcW w:w="1319" w:type="dxa"/>
            <w:tcBorders>
              <w:top w:val="single" w:sz="8" w:space="0" w:color="AEAEAE"/>
              <w:left w:val="nil"/>
              <w:bottom w:val="single" w:sz="8" w:space="0" w:color="AEAEAE"/>
              <w:right w:val="single" w:sz="8" w:space="0" w:color="E0E0E0"/>
            </w:tcBorders>
            <w:shd w:val="clear" w:color="auto" w:fill="FFFFFF"/>
          </w:tcPr>
          <w:p w14:paraId="047965A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403EADA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3F980F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4797475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27,3</w:t>
            </w:r>
          </w:p>
        </w:tc>
      </w:tr>
      <w:tr w:rsidR="002210A7" w:rsidRPr="00D11D21" w14:paraId="22C8C699"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27D98F1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60522F9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la Prévention des Risques Professionnels</w:t>
            </w:r>
          </w:p>
        </w:tc>
        <w:tc>
          <w:tcPr>
            <w:tcW w:w="1319" w:type="dxa"/>
            <w:tcBorders>
              <w:top w:val="single" w:sz="8" w:space="0" w:color="AEAEAE"/>
              <w:left w:val="nil"/>
              <w:bottom w:val="single" w:sz="8" w:space="0" w:color="AEAEAE"/>
              <w:right w:val="single" w:sz="8" w:space="0" w:color="E0E0E0"/>
            </w:tcBorders>
            <w:shd w:val="clear" w:color="auto" w:fill="FFFFFF"/>
          </w:tcPr>
          <w:p w14:paraId="4BF827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0A15A77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7BC6D88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166E5BE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30,3</w:t>
            </w:r>
          </w:p>
        </w:tc>
      </w:tr>
      <w:tr w:rsidR="002210A7" w:rsidRPr="00D11D21" w14:paraId="59249BCD"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0B77A3F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07DA000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 la Réglementation et de l’Organisation</w:t>
            </w:r>
          </w:p>
        </w:tc>
        <w:tc>
          <w:tcPr>
            <w:tcW w:w="1319" w:type="dxa"/>
            <w:tcBorders>
              <w:top w:val="single" w:sz="8" w:space="0" w:color="AEAEAE"/>
              <w:left w:val="nil"/>
              <w:bottom w:val="single" w:sz="8" w:space="0" w:color="AEAEAE"/>
              <w:right w:val="single" w:sz="8" w:space="0" w:color="E0E0E0"/>
            </w:tcBorders>
            <w:shd w:val="clear" w:color="auto" w:fill="FFFFFF"/>
          </w:tcPr>
          <w:p w14:paraId="51405A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2CCF27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2229DAE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3ABF54C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r>
      <w:tr w:rsidR="002210A7" w:rsidRPr="00D11D21" w14:paraId="3C04D74E"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6C7A002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1F65D67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des Finances</w:t>
            </w:r>
          </w:p>
        </w:tc>
        <w:tc>
          <w:tcPr>
            <w:tcW w:w="1319" w:type="dxa"/>
            <w:tcBorders>
              <w:top w:val="single" w:sz="8" w:space="0" w:color="AEAEAE"/>
              <w:left w:val="nil"/>
              <w:bottom w:val="single" w:sz="8" w:space="0" w:color="AEAEAE"/>
              <w:right w:val="single" w:sz="8" w:space="0" w:color="E0E0E0"/>
            </w:tcBorders>
            <w:shd w:val="clear" w:color="auto" w:fill="FFFFFF"/>
          </w:tcPr>
          <w:p w14:paraId="20E0EFC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705BF57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12E3E0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4B349A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r>
      <w:tr w:rsidR="002210A7" w:rsidRPr="00D11D21" w14:paraId="781A9846"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20C494F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30949CF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des Prestations</w:t>
            </w:r>
          </w:p>
        </w:tc>
        <w:tc>
          <w:tcPr>
            <w:tcW w:w="1319" w:type="dxa"/>
            <w:tcBorders>
              <w:top w:val="single" w:sz="8" w:space="0" w:color="AEAEAE"/>
              <w:left w:val="nil"/>
              <w:bottom w:val="single" w:sz="8" w:space="0" w:color="AEAEAE"/>
              <w:right w:val="single" w:sz="8" w:space="0" w:color="E0E0E0"/>
            </w:tcBorders>
            <w:shd w:val="clear" w:color="auto" w:fill="FFFFFF"/>
          </w:tcPr>
          <w:p w14:paraId="50561D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12C2F1A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BBE8BB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380377E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39,4</w:t>
            </w:r>
          </w:p>
        </w:tc>
      </w:tr>
      <w:tr w:rsidR="002210A7" w:rsidRPr="00D11D21" w14:paraId="4E87254B"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2F50B5B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4657B9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du Recouvrement et des Conventions de Recouvrement (DG)</w:t>
            </w:r>
          </w:p>
        </w:tc>
        <w:tc>
          <w:tcPr>
            <w:tcW w:w="1319" w:type="dxa"/>
            <w:tcBorders>
              <w:top w:val="single" w:sz="8" w:space="0" w:color="AEAEAE"/>
              <w:left w:val="nil"/>
              <w:bottom w:val="single" w:sz="8" w:space="0" w:color="AEAEAE"/>
              <w:right w:val="single" w:sz="8" w:space="0" w:color="E0E0E0"/>
            </w:tcBorders>
            <w:shd w:val="clear" w:color="auto" w:fill="FFFFFF"/>
          </w:tcPr>
          <w:p w14:paraId="2E702CF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2079A7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762D9D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4EF956E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42,4</w:t>
            </w:r>
          </w:p>
        </w:tc>
      </w:tr>
      <w:tr w:rsidR="002210A7" w:rsidRPr="00D11D21" w14:paraId="3F610A78"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31AE9E7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1302FF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 local</w:t>
            </w:r>
          </w:p>
        </w:tc>
        <w:tc>
          <w:tcPr>
            <w:tcW w:w="1319" w:type="dxa"/>
            <w:tcBorders>
              <w:top w:val="single" w:sz="8" w:space="0" w:color="AEAEAE"/>
              <w:left w:val="nil"/>
              <w:bottom w:val="single" w:sz="8" w:space="0" w:color="AEAEAE"/>
              <w:right w:val="single" w:sz="8" w:space="0" w:color="E0E0E0"/>
            </w:tcBorders>
            <w:shd w:val="clear" w:color="auto" w:fill="FFFFFF"/>
          </w:tcPr>
          <w:p w14:paraId="74FD517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352AC0A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442DCE1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2C471E4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45,5</w:t>
            </w:r>
          </w:p>
        </w:tc>
      </w:tr>
      <w:tr w:rsidR="002210A7" w:rsidRPr="00D11D21" w14:paraId="72CE8533"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08DB696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6468272E" w14:textId="690A547B" w:rsidR="002210A7" w:rsidRPr="00D11D21" w:rsidRDefault="00A156CC"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Finance</w:t>
            </w:r>
            <w:r w:rsidR="002210A7" w:rsidRPr="00D11D21">
              <w:rPr>
                <w:rFonts w:asciiTheme="majorBidi" w:hAnsiTheme="majorBidi" w:cstheme="majorBidi"/>
                <w:color w:val="264A60"/>
                <w:szCs w:val="24"/>
              </w:rPr>
              <w:t xml:space="preserve"> et comptabilité</w:t>
            </w:r>
          </w:p>
        </w:tc>
        <w:tc>
          <w:tcPr>
            <w:tcW w:w="1319" w:type="dxa"/>
            <w:tcBorders>
              <w:top w:val="single" w:sz="8" w:space="0" w:color="AEAEAE"/>
              <w:left w:val="nil"/>
              <w:bottom w:val="single" w:sz="8" w:space="0" w:color="AEAEAE"/>
              <w:right w:val="single" w:sz="8" w:space="0" w:color="E0E0E0"/>
            </w:tcBorders>
            <w:shd w:val="clear" w:color="auto" w:fill="FFFFFF"/>
          </w:tcPr>
          <w:p w14:paraId="0AB3EC7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3383B2D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E71275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35FE2B4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48,5</w:t>
            </w:r>
          </w:p>
        </w:tc>
      </w:tr>
      <w:tr w:rsidR="002210A7" w:rsidRPr="00D11D21" w14:paraId="2E0A7961"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77D8E9E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5791AD1D" w14:textId="5FBB3D6F" w:rsidR="002210A7" w:rsidRPr="00D11D21" w:rsidRDefault="00A156CC"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Opérations</w:t>
            </w:r>
            <w:r w:rsidR="002210A7" w:rsidRPr="00D11D21">
              <w:rPr>
                <w:rFonts w:asciiTheme="majorBidi" w:hAnsiTheme="majorBidi" w:cstheme="majorBidi"/>
                <w:color w:val="264A60"/>
                <w:szCs w:val="24"/>
              </w:rPr>
              <w:t xml:space="preserve"> financières</w:t>
            </w:r>
          </w:p>
        </w:tc>
        <w:tc>
          <w:tcPr>
            <w:tcW w:w="1319" w:type="dxa"/>
            <w:tcBorders>
              <w:top w:val="single" w:sz="8" w:space="0" w:color="AEAEAE"/>
              <w:left w:val="nil"/>
              <w:bottom w:val="single" w:sz="8" w:space="0" w:color="AEAEAE"/>
              <w:right w:val="single" w:sz="8" w:space="0" w:color="E0E0E0"/>
            </w:tcBorders>
            <w:shd w:val="clear" w:color="auto" w:fill="FFFFFF"/>
          </w:tcPr>
          <w:p w14:paraId="0AAB10E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5FB4E9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3A80F72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0096A37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51,5</w:t>
            </w:r>
          </w:p>
        </w:tc>
      </w:tr>
      <w:tr w:rsidR="002210A7" w:rsidRPr="00D11D21" w14:paraId="78C32386"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62DF53F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2CA4BB8E" w14:textId="4372D1EC" w:rsidR="002210A7" w:rsidRPr="00D11D21" w:rsidRDefault="00A156CC"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Prestations</w:t>
            </w:r>
          </w:p>
        </w:tc>
        <w:tc>
          <w:tcPr>
            <w:tcW w:w="1319" w:type="dxa"/>
            <w:tcBorders>
              <w:top w:val="single" w:sz="8" w:space="0" w:color="AEAEAE"/>
              <w:left w:val="nil"/>
              <w:bottom w:val="single" w:sz="8" w:space="0" w:color="AEAEAE"/>
              <w:right w:val="single" w:sz="8" w:space="0" w:color="E0E0E0"/>
            </w:tcBorders>
            <w:shd w:val="clear" w:color="auto" w:fill="FFFFFF"/>
          </w:tcPr>
          <w:p w14:paraId="46BBF4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33AA46F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267249C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09861AE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54,5</w:t>
            </w:r>
          </w:p>
        </w:tc>
      </w:tr>
      <w:tr w:rsidR="002210A7" w:rsidRPr="00D11D21" w14:paraId="3A4D1E75"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7136C56F"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5D4139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Ressource humaine</w:t>
            </w:r>
          </w:p>
        </w:tc>
        <w:tc>
          <w:tcPr>
            <w:tcW w:w="1319" w:type="dxa"/>
            <w:tcBorders>
              <w:top w:val="single" w:sz="8" w:space="0" w:color="AEAEAE"/>
              <w:left w:val="nil"/>
              <w:bottom w:val="single" w:sz="8" w:space="0" w:color="AEAEAE"/>
              <w:right w:val="single" w:sz="8" w:space="0" w:color="E0E0E0"/>
            </w:tcBorders>
            <w:shd w:val="clear" w:color="auto" w:fill="FFFFFF"/>
          </w:tcPr>
          <w:p w14:paraId="2A59C8A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51741F5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6EE310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17FF5AD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57,6</w:t>
            </w:r>
          </w:p>
        </w:tc>
      </w:tr>
      <w:tr w:rsidR="002210A7" w:rsidRPr="00D11D21" w14:paraId="3FABE971"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3B96505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1095BBCE" w14:textId="1F6BF892"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w:t>
            </w:r>
            <w:r w:rsidR="002210A7" w:rsidRPr="00D11D21">
              <w:rPr>
                <w:rFonts w:asciiTheme="majorBidi" w:hAnsiTheme="majorBidi" w:cstheme="majorBidi"/>
                <w:color w:val="264A60"/>
                <w:szCs w:val="24"/>
              </w:rPr>
              <w:t xml:space="preserve"> de </w:t>
            </w:r>
            <w:r w:rsidR="00CE6651" w:rsidRPr="00D11D21">
              <w:rPr>
                <w:rFonts w:asciiTheme="majorBidi" w:hAnsiTheme="majorBidi" w:cstheme="majorBidi"/>
                <w:color w:val="264A60"/>
                <w:szCs w:val="24"/>
              </w:rPr>
              <w:t>contrôle</w:t>
            </w:r>
            <w:r w:rsidR="002210A7" w:rsidRPr="00D11D21">
              <w:rPr>
                <w:rFonts w:asciiTheme="majorBidi" w:hAnsiTheme="majorBidi" w:cstheme="majorBidi"/>
                <w:color w:val="264A60"/>
                <w:szCs w:val="24"/>
              </w:rPr>
              <w:t xml:space="preserve"> </w:t>
            </w:r>
            <w:r w:rsidR="00E56D26" w:rsidRPr="00D11D21">
              <w:rPr>
                <w:rFonts w:asciiTheme="majorBidi" w:hAnsiTheme="majorBidi" w:cstheme="majorBidi"/>
                <w:color w:val="264A60"/>
                <w:szCs w:val="24"/>
              </w:rPr>
              <w:t>médicale</w:t>
            </w:r>
          </w:p>
        </w:tc>
        <w:tc>
          <w:tcPr>
            <w:tcW w:w="1319" w:type="dxa"/>
            <w:tcBorders>
              <w:top w:val="single" w:sz="8" w:space="0" w:color="AEAEAE"/>
              <w:left w:val="nil"/>
              <w:bottom w:val="single" w:sz="8" w:space="0" w:color="AEAEAE"/>
              <w:right w:val="single" w:sz="8" w:space="0" w:color="E0E0E0"/>
            </w:tcBorders>
            <w:shd w:val="clear" w:color="auto" w:fill="FFFFFF"/>
          </w:tcPr>
          <w:p w14:paraId="5B52944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0A0EEB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795ACB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2B2B85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60,6</w:t>
            </w:r>
          </w:p>
        </w:tc>
      </w:tr>
      <w:tr w:rsidR="002210A7" w:rsidRPr="00D11D21" w14:paraId="73DA27FE"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41276B44"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204AFA07" w14:textId="2915A8CD"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w:t>
            </w:r>
            <w:r w:rsidR="002210A7" w:rsidRPr="00D11D21">
              <w:rPr>
                <w:rFonts w:asciiTheme="majorBidi" w:hAnsiTheme="majorBidi" w:cstheme="majorBidi"/>
                <w:color w:val="264A60"/>
                <w:szCs w:val="24"/>
              </w:rPr>
              <w:t xml:space="preserve"> de prestation</w:t>
            </w:r>
          </w:p>
        </w:tc>
        <w:tc>
          <w:tcPr>
            <w:tcW w:w="1319" w:type="dxa"/>
            <w:tcBorders>
              <w:top w:val="single" w:sz="8" w:space="0" w:color="AEAEAE"/>
              <w:left w:val="nil"/>
              <w:bottom w:val="single" w:sz="8" w:space="0" w:color="AEAEAE"/>
              <w:right w:val="single" w:sz="8" w:space="0" w:color="E0E0E0"/>
            </w:tcBorders>
            <w:shd w:val="clear" w:color="auto" w:fill="FFFFFF"/>
          </w:tcPr>
          <w:p w14:paraId="7766AE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394989F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53E4F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528FDB3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63,6</w:t>
            </w:r>
          </w:p>
        </w:tc>
      </w:tr>
      <w:tr w:rsidR="002210A7" w:rsidRPr="00D11D21" w14:paraId="1EA2B7E1"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133D390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2EC0AD69" w14:textId="0526A8D4"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w:t>
            </w:r>
            <w:r w:rsidR="002210A7" w:rsidRPr="00D11D21">
              <w:rPr>
                <w:rFonts w:asciiTheme="majorBidi" w:hAnsiTheme="majorBidi" w:cstheme="majorBidi"/>
                <w:color w:val="264A60"/>
                <w:szCs w:val="24"/>
              </w:rPr>
              <w:t xml:space="preserve"> des opération financières</w:t>
            </w:r>
          </w:p>
        </w:tc>
        <w:tc>
          <w:tcPr>
            <w:tcW w:w="1319" w:type="dxa"/>
            <w:tcBorders>
              <w:top w:val="single" w:sz="8" w:space="0" w:color="AEAEAE"/>
              <w:left w:val="nil"/>
              <w:bottom w:val="single" w:sz="8" w:space="0" w:color="AEAEAE"/>
              <w:right w:val="single" w:sz="8" w:space="0" w:color="E0E0E0"/>
            </w:tcBorders>
            <w:shd w:val="clear" w:color="auto" w:fill="FFFFFF"/>
          </w:tcPr>
          <w:p w14:paraId="30C96B0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3A1B321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405CD08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43B8AB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r>
      <w:tr w:rsidR="002210A7" w:rsidRPr="00D11D21" w14:paraId="423DBBF5"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6374EA4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174BD6AC" w14:textId="0322A04F"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w:t>
            </w:r>
            <w:r w:rsidR="002210A7" w:rsidRPr="00D11D21">
              <w:rPr>
                <w:rFonts w:asciiTheme="majorBidi" w:hAnsiTheme="majorBidi" w:cstheme="majorBidi"/>
                <w:color w:val="264A60"/>
                <w:szCs w:val="24"/>
              </w:rPr>
              <w:t xml:space="preserve"> des opérations </w:t>
            </w:r>
            <w:r w:rsidR="00CE6651" w:rsidRPr="00D11D21">
              <w:rPr>
                <w:rFonts w:asciiTheme="majorBidi" w:hAnsiTheme="majorBidi" w:cstheme="majorBidi"/>
                <w:color w:val="264A60"/>
                <w:szCs w:val="24"/>
              </w:rPr>
              <w:t>financière</w:t>
            </w:r>
          </w:p>
        </w:tc>
        <w:tc>
          <w:tcPr>
            <w:tcW w:w="1319" w:type="dxa"/>
            <w:tcBorders>
              <w:top w:val="single" w:sz="8" w:space="0" w:color="AEAEAE"/>
              <w:left w:val="nil"/>
              <w:bottom w:val="single" w:sz="8" w:space="0" w:color="AEAEAE"/>
              <w:right w:val="single" w:sz="8" w:space="0" w:color="E0E0E0"/>
            </w:tcBorders>
            <w:shd w:val="clear" w:color="auto" w:fill="FFFFFF"/>
          </w:tcPr>
          <w:p w14:paraId="53773F2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20BE9DA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4BB1D08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7F9996D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69,7</w:t>
            </w:r>
          </w:p>
        </w:tc>
      </w:tr>
      <w:tr w:rsidR="002210A7" w:rsidRPr="00D11D21" w14:paraId="2227C49D"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556082D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72884DF7" w14:textId="7E4D8C12"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w:t>
            </w:r>
            <w:r w:rsidR="002210A7" w:rsidRPr="00D11D21">
              <w:rPr>
                <w:rFonts w:asciiTheme="majorBidi" w:hAnsiTheme="majorBidi" w:cstheme="majorBidi"/>
                <w:color w:val="264A60"/>
                <w:szCs w:val="24"/>
              </w:rPr>
              <w:t xml:space="preserve"> du contrôle médical</w:t>
            </w:r>
          </w:p>
        </w:tc>
        <w:tc>
          <w:tcPr>
            <w:tcW w:w="1319" w:type="dxa"/>
            <w:tcBorders>
              <w:top w:val="single" w:sz="8" w:space="0" w:color="AEAEAE"/>
              <w:left w:val="nil"/>
              <w:bottom w:val="single" w:sz="8" w:space="0" w:color="AEAEAE"/>
              <w:right w:val="single" w:sz="8" w:space="0" w:color="E0E0E0"/>
            </w:tcBorders>
            <w:shd w:val="clear" w:color="auto" w:fill="FFFFFF"/>
          </w:tcPr>
          <w:p w14:paraId="7223F11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67E5030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7B11C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40A8ADF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72,7</w:t>
            </w:r>
          </w:p>
        </w:tc>
      </w:tr>
      <w:tr w:rsidR="002210A7" w:rsidRPr="00D11D21" w14:paraId="7F4A8B6A"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6AAE7E9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433C6D75" w14:textId="217F9841"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w:t>
            </w:r>
            <w:r w:rsidR="002210A7" w:rsidRPr="00D11D21">
              <w:rPr>
                <w:rFonts w:asciiTheme="majorBidi" w:hAnsiTheme="majorBidi" w:cstheme="majorBidi"/>
                <w:color w:val="264A60"/>
                <w:szCs w:val="24"/>
              </w:rPr>
              <w:t xml:space="preserve"> directions de prestation</w:t>
            </w:r>
          </w:p>
        </w:tc>
        <w:tc>
          <w:tcPr>
            <w:tcW w:w="1319" w:type="dxa"/>
            <w:tcBorders>
              <w:top w:val="single" w:sz="8" w:space="0" w:color="AEAEAE"/>
              <w:left w:val="nil"/>
              <w:bottom w:val="single" w:sz="8" w:space="0" w:color="AEAEAE"/>
              <w:right w:val="single" w:sz="8" w:space="0" w:color="E0E0E0"/>
            </w:tcBorders>
            <w:shd w:val="clear" w:color="auto" w:fill="FFFFFF"/>
          </w:tcPr>
          <w:p w14:paraId="003FF73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30FC17C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2281CF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67ECB78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75,8</w:t>
            </w:r>
          </w:p>
        </w:tc>
      </w:tr>
      <w:tr w:rsidR="002210A7" w:rsidRPr="00D11D21" w14:paraId="3CED331E"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69D350A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6AC8F25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 de l'infrastructure du réseau informatique</w:t>
            </w:r>
          </w:p>
        </w:tc>
        <w:tc>
          <w:tcPr>
            <w:tcW w:w="1319" w:type="dxa"/>
            <w:tcBorders>
              <w:top w:val="single" w:sz="8" w:space="0" w:color="AEAEAE"/>
              <w:left w:val="nil"/>
              <w:bottom w:val="single" w:sz="8" w:space="0" w:color="AEAEAE"/>
              <w:right w:val="single" w:sz="8" w:space="0" w:color="E0E0E0"/>
            </w:tcBorders>
            <w:shd w:val="clear" w:color="auto" w:fill="FFFFFF"/>
          </w:tcPr>
          <w:p w14:paraId="3A0633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1AF54F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0098E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199D26F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78,8</w:t>
            </w:r>
          </w:p>
        </w:tc>
      </w:tr>
      <w:tr w:rsidR="002210A7" w:rsidRPr="00D11D21" w14:paraId="310A5557"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72CEC7C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01D250B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 de la comptabilité</w:t>
            </w:r>
          </w:p>
        </w:tc>
        <w:tc>
          <w:tcPr>
            <w:tcW w:w="1319" w:type="dxa"/>
            <w:tcBorders>
              <w:top w:val="single" w:sz="8" w:space="0" w:color="AEAEAE"/>
              <w:left w:val="nil"/>
              <w:bottom w:val="single" w:sz="8" w:space="0" w:color="AEAEAE"/>
              <w:right w:val="single" w:sz="8" w:space="0" w:color="E0E0E0"/>
            </w:tcBorders>
            <w:shd w:val="clear" w:color="auto" w:fill="FFFFFF"/>
          </w:tcPr>
          <w:p w14:paraId="7C6F646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586BC12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38DDB7C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2CE0397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81,8</w:t>
            </w:r>
          </w:p>
        </w:tc>
      </w:tr>
      <w:tr w:rsidR="002210A7" w:rsidRPr="00D11D21" w14:paraId="5862D4A5"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7478B7C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562F50F1" w14:textId="33F5A238"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w:t>
            </w:r>
            <w:r w:rsidR="002210A7" w:rsidRPr="00D11D21">
              <w:rPr>
                <w:rFonts w:asciiTheme="majorBidi" w:hAnsiTheme="majorBidi" w:cstheme="majorBidi"/>
                <w:color w:val="264A60"/>
                <w:szCs w:val="24"/>
              </w:rPr>
              <w:t>-direction des activités sanitaire</w:t>
            </w:r>
          </w:p>
        </w:tc>
        <w:tc>
          <w:tcPr>
            <w:tcW w:w="1319" w:type="dxa"/>
            <w:tcBorders>
              <w:top w:val="single" w:sz="8" w:space="0" w:color="AEAEAE"/>
              <w:left w:val="nil"/>
              <w:bottom w:val="single" w:sz="8" w:space="0" w:color="AEAEAE"/>
              <w:right w:val="single" w:sz="8" w:space="0" w:color="E0E0E0"/>
            </w:tcBorders>
            <w:shd w:val="clear" w:color="auto" w:fill="FFFFFF"/>
          </w:tcPr>
          <w:p w14:paraId="70410CE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0A9A0F6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534ECA4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10B3AF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84,8</w:t>
            </w:r>
          </w:p>
        </w:tc>
      </w:tr>
      <w:tr w:rsidR="002210A7" w:rsidRPr="00D11D21" w14:paraId="4F8B1248"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628493A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13218C7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 des finances</w:t>
            </w:r>
          </w:p>
        </w:tc>
        <w:tc>
          <w:tcPr>
            <w:tcW w:w="1319" w:type="dxa"/>
            <w:tcBorders>
              <w:top w:val="single" w:sz="8" w:space="0" w:color="AEAEAE"/>
              <w:left w:val="nil"/>
              <w:bottom w:val="single" w:sz="8" w:space="0" w:color="AEAEAE"/>
              <w:right w:val="single" w:sz="8" w:space="0" w:color="E0E0E0"/>
            </w:tcBorders>
            <w:shd w:val="clear" w:color="auto" w:fill="FFFFFF"/>
          </w:tcPr>
          <w:p w14:paraId="0915A0E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1DCB375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18176BB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558AF9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87,9</w:t>
            </w:r>
          </w:p>
        </w:tc>
      </w:tr>
      <w:tr w:rsidR="002210A7" w:rsidRPr="00D11D21" w14:paraId="55333E7D"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2549320B"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04119A5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 du budget</w:t>
            </w:r>
          </w:p>
        </w:tc>
        <w:tc>
          <w:tcPr>
            <w:tcW w:w="1319" w:type="dxa"/>
            <w:tcBorders>
              <w:top w:val="single" w:sz="8" w:space="0" w:color="AEAEAE"/>
              <w:left w:val="nil"/>
              <w:bottom w:val="single" w:sz="8" w:space="0" w:color="AEAEAE"/>
              <w:right w:val="single" w:sz="8" w:space="0" w:color="E0E0E0"/>
            </w:tcBorders>
            <w:shd w:val="clear" w:color="auto" w:fill="FFFFFF"/>
          </w:tcPr>
          <w:p w14:paraId="325A433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4BD044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0FE1E2C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67C6EB0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90,9</w:t>
            </w:r>
          </w:p>
        </w:tc>
      </w:tr>
      <w:tr w:rsidR="002210A7" w:rsidRPr="00D11D21" w14:paraId="12F1B744"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29F11E2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221F52E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 du développement du système d'information</w:t>
            </w:r>
          </w:p>
        </w:tc>
        <w:tc>
          <w:tcPr>
            <w:tcW w:w="1319" w:type="dxa"/>
            <w:tcBorders>
              <w:top w:val="single" w:sz="8" w:space="0" w:color="AEAEAE"/>
              <w:left w:val="nil"/>
              <w:bottom w:val="single" w:sz="8" w:space="0" w:color="AEAEAE"/>
              <w:right w:val="single" w:sz="8" w:space="0" w:color="E0E0E0"/>
            </w:tcBorders>
            <w:shd w:val="clear" w:color="auto" w:fill="FFFFFF"/>
          </w:tcPr>
          <w:p w14:paraId="26BB53D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7B8CFBC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6AA31D5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0EA960C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93,9</w:t>
            </w:r>
          </w:p>
        </w:tc>
      </w:tr>
      <w:tr w:rsidR="002210A7" w:rsidRPr="00D11D21" w14:paraId="431E1FA9"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5E10557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33AA8A3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Sous-direction du système d'information</w:t>
            </w:r>
          </w:p>
        </w:tc>
        <w:tc>
          <w:tcPr>
            <w:tcW w:w="1319" w:type="dxa"/>
            <w:tcBorders>
              <w:top w:val="single" w:sz="8" w:space="0" w:color="AEAEAE"/>
              <w:left w:val="nil"/>
              <w:bottom w:val="single" w:sz="8" w:space="0" w:color="AEAEAE"/>
              <w:right w:val="single" w:sz="8" w:space="0" w:color="E0E0E0"/>
            </w:tcBorders>
            <w:shd w:val="clear" w:color="auto" w:fill="FFFFFF"/>
          </w:tcPr>
          <w:p w14:paraId="308478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65044D2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7110274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13BFE0C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97,0</w:t>
            </w:r>
          </w:p>
        </w:tc>
      </w:tr>
      <w:tr w:rsidR="002210A7" w:rsidRPr="00D11D21" w14:paraId="1C9E901F" w14:textId="77777777" w:rsidTr="005C3BEE">
        <w:trPr>
          <w:cantSplit/>
          <w:trHeight w:val="769"/>
          <w:jc w:val="center"/>
        </w:trPr>
        <w:tc>
          <w:tcPr>
            <w:tcW w:w="831" w:type="dxa"/>
            <w:vMerge/>
            <w:tcBorders>
              <w:top w:val="single" w:sz="8" w:space="0" w:color="152935"/>
              <w:left w:val="single" w:sz="4" w:space="0" w:color="auto"/>
              <w:bottom w:val="single" w:sz="8" w:space="0" w:color="152935"/>
              <w:right w:val="nil"/>
            </w:tcBorders>
            <w:shd w:val="clear" w:color="auto" w:fill="E0E0E0"/>
          </w:tcPr>
          <w:p w14:paraId="75B15E2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8" w:space="0" w:color="AEAEAE"/>
              <w:right w:val="nil"/>
            </w:tcBorders>
            <w:shd w:val="clear" w:color="auto" w:fill="E0E0E0"/>
          </w:tcPr>
          <w:p w14:paraId="3076BEA3" w14:textId="1750E478" w:rsidR="002210A7" w:rsidRPr="00D11D21" w:rsidRDefault="00435F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Statistique</w:t>
            </w:r>
          </w:p>
        </w:tc>
        <w:tc>
          <w:tcPr>
            <w:tcW w:w="1319" w:type="dxa"/>
            <w:tcBorders>
              <w:top w:val="single" w:sz="8" w:space="0" w:color="AEAEAE"/>
              <w:left w:val="nil"/>
              <w:bottom w:val="single" w:sz="8" w:space="0" w:color="AEAEAE"/>
              <w:right w:val="single" w:sz="8" w:space="0" w:color="E0E0E0"/>
            </w:tcBorders>
            <w:shd w:val="clear" w:color="auto" w:fill="FFFFFF"/>
          </w:tcPr>
          <w:p w14:paraId="567C486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161" w:type="dxa"/>
            <w:tcBorders>
              <w:top w:val="single" w:sz="8" w:space="0" w:color="AEAEAE"/>
              <w:left w:val="single" w:sz="8" w:space="0" w:color="E0E0E0"/>
              <w:bottom w:val="single" w:sz="8" w:space="0" w:color="AEAEAE"/>
              <w:right w:val="single" w:sz="8" w:space="0" w:color="E0E0E0"/>
            </w:tcBorders>
            <w:shd w:val="clear" w:color="auto" w:fill="FFFFFF"/>
          </w:tcPr>
          <w:p w14:paraId="78F2ABC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578" w:type="dxa"/>
            <w:tcBorders>
              <w:top w:val="single" w:sz="8" w:space="0" w:color="AEAEAE"/>
              <w:left w:val="single" w:sz="8" w:space="0" w:color="E0E0E0"/>
              <w:bottom w:val="single" w:sz="8" w:space="0" w:color="AEAEAE"/>
              <w:right w:val="single" w:sz="8" w:space="0" w:color="E0E0E0"/>
            </w:tcBorders>
            <w:shd w:val="clear" w:color="auto" w:fill="FFFFFF"/>
          </w:tcPr>
          <w:p w14:paraId="10B4BDA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65" w:type="dxa"/>
            <w:tcBorders>
              <w:top w:val="single" w:sz="8" w:space="0" w:color="AEAEAE"/>
              <w:left w:val="single" w:sz="8" w:space="0" w:color="E0E0E0"/>
              <w:bottom w:val="single" w:sz="8" w:space="0" w:color="AEAEAE"/>
              <w:right w:val="single" w:sz="4" w:space="0" w:color="auto"/>
            </w:tcBorders>
            <w:shd w:val="clear" w:color="auto" w:fill="FFFFFF"/>
          </w:tcPr>
          <w:p w14:paraId="00DC40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2D98DAE6" w14:textId="77777777" w:rsidTr="005C3BEE">
        <w:trPr>
          <w:cantSplit/>
          <w:trHeight w:val="769"/>
          <w:jc w:val="center"/>
        </w:trPr>
        <w:tc>
          <w:tcPr>
            <w:tcW w:w="831" w:type="dxa"/>
            <w:vMerge/>
            <w:tcBorders>
              <w:top w:val="single" w:sz="8" w:space="0" w:color="152935"/>
              <w:left w:val="single" w:sz="4" w:space="0" w:color="auto"/>
              <w:bottom w:val="single" w:sz="4" w:space="0" w:color="auto"/>
              <w:right w:val="nil"/>
            </w:tcBorders>
            <w:shd w:val="clear" w:color="auto" w:fill="E0E0E0"/>
          </w:tcPr>
          <w:p w14:paraId="0A0BC8A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76" w:type="dxa"/>
            <w:tcBorders>
              <w:top w:val="single" w:sz="8" w:space="0" w:color="AEAEAE"/>
              <w:left w:val="nil"/>
              <w:bottom w:val="single" w:sz="4" w:space="0" w:color="auto"/>
              <w:right w:val="nil"/>
            </w:tcBorders>
            <w:shd w:val="clear" w:color="auto" w:fill="E0E0E0"/>
          </w:tcPr>
          <w:p w14:paraId="011DC0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19" w:type="dxa"/>
            <w:tcBorders>
              <w:top w:val="single" w:sz="8" w:space="0" w:color="AEAEAE"/>
              <w:left w:val="nil"/>
              <w:bottom w:val="single" w:sz="4" w:space="0" w:color="auto"/>
              <w:right w:val="single" w:sz="8" w:space="0" w:color="E0E0E0"/>
            </w:tcBorders>
            <w:shd w:val="clear" w:color="auto" w:fill="FFFFFF"/>
          </w:tcPr>
          <w:p w14:paraId="6D7803D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161" w:type="dxa"/>
            <w:tcBorders>
              <w:top w:val="single" w:sz="8" w:space="0" w:color="AEAEAE"/>
              <w:left w:val="single" w:sz="8" w:space="0" w:color="E0E0E0"/>
              <w:bottom w:val="single" w:sz="4" w:space="0" w:color="auto"/>
              <w:right w:val="single" w:sz="8" w:space="0" w:color="E0E0E0"/>
            </w:tcBorders>
            <w:shd w:val="clear" w:color="auto" w:fill="FFFFFF"/>
          </w:tcPr>
          <w:p w14:paraId="303823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578" w:type="dxa"/>
            <w:tcBorders>
              <w:top w:val="single" w:sz="8" w:space="0" w:color="AEAEAE"/>
              <w:left w:val="single" w:sz="8" w:space="0" w:color="E0E0E0"/>
              <w:bottom w:val="single" w:sz="4" w:space="0" w:color="auto"/>
              <w:right w:val="single" w:sz="8" w:space="0" w:color="E0E0E0"/>
            </w:tcBorders>
            <w:shd w:val="clear" w:color="auto" w:fill="FFFFFF"/>
          </w:tcPr>
          <w:p w14:paraId="74C5A1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65" w:type="dxa"/>
            <w:tcBorders>
              <w:top w:val="single" w:sz="8" w:space="0" w:color="AEAEAE"/>
              <w:left w:val="single" w:sz="8" w:space="0" w:color="E0E0E0"/>
              <w:bottom w:val="single" w:sz="4" w:space="0" w:color="auto"/>
              <w:right w:val="single" w:sz="4" w:space="0" w:color="auto"/>
            </w:tcBorders>
            <w:shd w:val="clear" w:color="auto" w:fill="FFFFFF"/>
            <w:vAlign w:val="center"/>
          </w:tcPr>
          <w:p w14:paraId="5CE08D48"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078A42E5" w14:textId="77777777" w:rsidR="00480CC0"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bookmarkStart w:id="177" w:name="_Toc200210074"/>
    </w:p>
    <w:p w14:paraId="206769C0" w14:textId="4BE767E9" w:rsidR="00882B77" w:rsidRPr="00D11D21" w:rsidRDefault="00882B7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Figure </w:t>
      </w:r>
      <w:r w:rsidRPr="00D11D21">
        <w:rPr>
          <w:rFonts w:asciiTheme="majorBidi" w:hAnsiTheme="majorBidi" w:cstheme="majorBidi"/>
          <w:szCs w:val="24"/>
        </w:rPr>
        <w:fldChar w:fldCharType="begin"/>
      </w:r>
      <w:r w:rsidRPr="00D11D21">
        <w:rPr>
          <w:rFonts w:asciiTheme="majorBidi" w:hAnsiTheme="majorBidi" w:cstheme="majorBidi"/>
          <w:szCs w:val="24"/>
        </w:rPr>
        <w:instrText xml:space="preserve"> SEQ Figure \* ARABIC </w:instrText>
      </w:r>
      <w:r w:rsidRPr="00D11D21">
        <w:rPr>
          <w:rFonts w:asciiTheme="majorBidi" w:hAnsiTheme="majorBidi" w:cstheme="majorBidi"/>
          <w:szCs w:val="24"/>
        </w:rPr>
        <w:fldChar w:fldCharType="separate"/>
      </w:r>
      <w:r w:rsidR="001679A8" w:rsidRPr="00D11D21">
        <w:rPr>
          <w:rFonts w:asciiTheme="majorBidi" w:hAnsiTheme="majorBidi" w:cstheme="majorBidi"/>
          <w:noProof/>
          <w:szCs w:val="24"/>
        </w:rPr>
        <w:t>7</w:t>
      </w:r>
      <w:r w:rsidRPr="00D11D21">
        <w:rPr>
          <w:rFonts w:asciiTheme="majorBidi" w:hAnsiTheme="majorBidi" w:cstheme="majorBidi"/>
          <w:szCs w:val="24"/>
        </w:rPr>
        <w:fldChar w:fldCharType="end"/>
      </w:r>
      <w:r w:rsidRPr="00D11D21">
        <w:rPr>
          <w:rFonts w:asciiTheme="majorBidi" w:hAnsiTheme="majorBidi" w:cstheme="majorBidi"/>
          <w:szCs w:val="24"/>
        </w:rPr>
        <w:t>: Services/départements représentés</w:t>
      </w:r>
      <w:bookmarkEnd w:id="177"/>
    </w:p>
    <w:p w14:paraId="2F5A3664" w14:textId="7E6AC7D4" w:rsidR="00480CC0" w:rsidRPr="00480CC0"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5A7CF85C" wp14:editId="17D67594">
            <wp:extent cx="3971925" cy="2156913"/>
            <wp:effectExtent l="0" t="0" r="0" b="0"/>
            <wp:docPr id="131" name="Imag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a:extLst>
                        <a:ext uri="{28A0092B-C50C-407E-A947-70E740481C1C}">
                          <a14:useLocalDpi xmlns:a14="http://schemas.microsoft.com/office/drawing/2010/main" val="0"/>
                        </a:ext>
                      </a:extLst>
                    </a:blip>
                    <a:srcRect t="5956" b="1806"/>
                    <a:stretch/>
                  </pic:blipFill>
                  <pic:spPr bwMode="auto">
                    <a:xfrm>
                      <a:off x="0" y="0"/>
                      <a:ext cx="4075954" cy="2213405"/>
                    </a:xfrm>
                    <a:prstGeom prst="rect">
                      <a:avLst/>
                    </a:prstGeom>
                    <a:noFill/>
                    <a:ln>
                      <a:noFill/>
                    </a:ln>
                    <a:extLst>
                      <a:ext uri="{53640926-AAD7-44D8-BBD7-CCE9431645EC}">
                        <a14:shadowObscured xmlns:a14="http://schemas.microsoft.com/office/drawing/2010/main"/>
                      </a:ext>
                    </a:extLst>
                  </pic:spPr>
                </pic:pic>
              </a:graphicData>
            </a:graphic>
          </wp:inline>
        </w:drawing>
      </w:r>
    </w:p>
    <w:p w14:paraId="5F4E7FB2" w14:textId="78535F92" w:rsidR="002C4138"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6185C8D2"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6476157A"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Chacun des répondants provenant d’un département ou service différent. On note une forte diversité dans les services représentés, couvrant principalement :</w:t>
      </w:r>
    </w:p>
    <w:p w14:paraId="2122C675" w14:textId="77777777" w:rsidR="002210A7" w:rsidRPr="00D11D21" w:rsidRDefault="002210A7" w:rsidP="00D11D21">
      <w:pPr>
        <w:pStyle w:val="Paragraphedeliste"/>
        <w:numPr>
          <w:ilvl w:val="0"/>
          <w:numId w:val="68"/>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Les finances et la comptabilité (Direction des Finances, Sous-direction du budget, opérations financières…),</w:t>
      </w:r>
    </w:p>
    <w:p w14:paraId="4E2447E0" w14:textId="77777777" w:rsidR="002210A7" w:rsidRPr="00D11D21" w:rsidRDefault="002210A7" w:rsidP="00D11D21">
      <w:pPr>
        <w:pStyle w:val="Paragraphedeliste"/>
        <w:numPr>
          <w:ilvl w:val="0"/>
          <w:numId w:val="68"/>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Les systèmes d'information (Direction de la Modernisation et des SI, Sous-direction du développement du SI…),</w:t>
      </w:r>
    </w:p>
    <w:p w14:paraId="60E64041" w14:textId="77777777" w:rsidR="002210A7" w:rsidRPr="00D11D21" w:rsidRDefault="002210A7" w:rsidP="00D11D21">
      <w:pPr>
        <w:pStyle w:val="Paragraphedeliste"/>
        <w:numPr>
          <w:ilvl w:val="0"/>
          <w:numId w:val="68"/>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Les prestations et le contrôle médical,</w:t>
      </w:r>
    </w:p>
    <w:p w14:paraId="7C3BDC52" w14:textId="77777777" w:rsidR="002210A7" w:rsidRPr="00D11D21" w:rsidRDefault="002210A7" w:rsidP="00D11D21">
      <w:pPr>
        <w:pStyle w:val="Paragraphedeliste"/>
        <w:numPr>
          <w:ilvl w:val="0"/>
          <w:numId w:val="68"/>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Les ressources humaines et la communication,</w:t>
      </w:r>
    </w:p>
    <w:p w14:paraId="124E3DEC" w14:textId="62BC726F" w:rsidR="002210A7" w:rsidRPr="00D11D21" w:rsidRDefault="002210A7" w:rsidP="00D11D21">
      <w:pPr>
        <w:pStyle w:val="Paragraphedeliste"/>
        <w:numPr>
          <w:ilvl w:val="0"/>
          <w:numId w:val="68"/>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Ainsi que d'autres services spécifiques comme l’audit, la réglementation, ou encore les agences locales.</w:t>
      </w:r>
    </w:p>
    <w:p w14:paraId="5EAA4DEA" w14:textId="77777777" w:rsidR="002210A7" w:rsidRPr="00D11D21" w:rsidRDefault="002210A7" w:rsidP="00D11D21">
      <w:pPr>
        <w:pStyle w:val="Paragraphedeliste"/>
        <w:numPr>
          <w:ilvl w:val="0"/>
          <w:numId w:val="12"/>
        </w:numPr>
        <w:shd w:val="clear" w:color="auto" w:fill="FFFFFF" w:themeFill="background1"/>
        <w:spacing w:line="360" w:lineRule="auto"/>
        <w:jc w:val="both"/>
        <w:rPr>
          <w:rFonts w:asciiTheme="majorBidi" w:hAnsiTheme="majorBidi" w:cstheme="majorBidi"/>
          <w:b/>
          <w:bCs/>
          <w:szCs w:val="24"/>
        </w:rPr>
      </w:pPr>
      <w:r w:rsidRPr="00D11D21">
        <w:rPr>
          <w:rFonts w:asciiTheme="majorBidi" w:hAnsiTheme="majorBidi" w:cstheme="majorBidi"/>
          <w:b/>
          <w:bCs/>
          <w:color w:val="000000" w:themeColor="text1"/>
          <w:szCs w:val="24"/>
        </w:rPr>
        <w:t>Wilaya :</w:t>
      </w:r>
    </w:p>
    <w:p w14:paraId="1D16E885" w14:textId="33EE4462" w:rsidR="002210A7" w:rsidRPr="00D11D21" w:rsidRDefault="007C4508" w:rsidP="00D11D21">
      <w:pPr>
        <w:pStyle w:val="Lgende"/>
        <w:keepNext/>
        <w:spacing w:line="360" w:lineRule="auto"/>
        <w:jc w:val="both"/>
        <w:rPr>
          <w:rFonts w:asciiTheme="majorBidi" w:hAnsiTheme="majorBidi" w:cstheme="majorBidi"/>
          <w:b/>
          <w:bCs/>
          <w:color w:val="auto"/>
          <w:sz w:val="24"/>
          <w:szCs w:val="24"/>
        </w:rPr>
      </w:pPr>
      <w:bookmarkStart w:id="178" w:name="_Toc200210118"/>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10</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Répartition géographique des répondants par wilaya</w:t>
      </w:r>
      <w:bookmarkEnd w:id="178"/>
    </w:p>
    <w:tbl>
      <w:tblPr>
        <w:tblW w:w="88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2057"/>
        <w:gridCol w:w="1371"/>
        <w:gridCol w:w="1208"/>
        <w:gridCol w:w="1641"/>
        <w:gridCol w:w="1732"/>
      </w:tblGrid>
      <w:tr w:rsidR="002210A7" w:rsidRPr="00D11D21" w14:paraId="666D0549" w14:textId="77777777" w:rsidTr="00282FFC">
        <w:trPr>
          <w:cantSplit/>
          <w:trHeight w:val="661"/>
          <w:jc w:val="center"/>
        </w:trPr>
        <w:tc>
          <w:tcPr>
            <w:tcW w:w="2921" w:type="dxa"/>
            <w:gridSpan w:val="2"/>
            <w:tcBorders>
              <w:top w:val="single" w:sz="4" w:space="0" w:color="auto"/>
              <w:left w:val="single" w:sz="4" w:space="0" w:color="auto"/>
              <w:bottom w:val="single" w:sz="8" w:space="0" w:color="152935"/>
              <w:right w:val="nil"/>
            </w:tcBorders>
            <w:shd w:val="clear" w:color="auto" w:fill="FFFFFF"/>
            <w:vAlign w:val="bottom"/>
          </w:tcPr>
          <w:p w14:paraId="12E2F3F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71" w:type="dxa"/>
            <w:tcBorders>
              <w:top w:val="single" w:sz="4" w:space="0" w:color="auto"/>
              <w:left w:val="nil"/>
              <w:bottom w:val="single" w:sz="8" w:space="0" w:color="152935"/>
              <w:right w:val="single" w:sz="8" w:space="0" w:color="E0E0E0"/>
            </w:tcBorders>
            <w:shd w:val="clear" w:color="auto" w:fill="FFFFFF"/>
            <w:vAlign w:val="bottom"/>
          </w:tcPr>
          <w:p w14:paraId="27B6D0D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0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B763D6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4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21E002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32" w:type="dxa"/>
            <w:tcBorders>
              <w:top w:val="single" w:sz="4" w:space="0" w:color="auto"/>
              <w:left w:val="single" w:sz="8" w:space="0" w:color="E0E0E0"/>
              <w:bottom w:val="single" w:sz="8" w:space="0" w:color="152935"/>
              <w:right w:val="single" w:sz="4" w:space="0" w:color="auto"/>
            </w:tcBorders>
            <w:shd w:val="clear" w:color="auto" w:fill="FFFFFF"/>
            <w:vAlign w:val="bottom"/>
          </w:tcPr>
          <w:p w14:paraId="03F8449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44385B4B" w14:textId="77777777" w:rsidTr="00282FFC">
        <w:trPr>
          <w:cantSplit/>
          <w:trHeight w:val="263"/>
          <w:jc w:val="center"/>
        </w:trPr>
        <w:tc>
          <w:tcPr>
            <w:tcW w:w="864" w:type="dxa"/>
            <w:vMerge w:val="restart"/>
            <w:tcBorders>
              <w:top w:val="single" w:sz="8" w:space="0" w:color="152935"/>
              <w:left w:val="single" w:sz="4" w:space="0" w:color="auto"/>
              <w:bottom w:val="single" w:sz="8" w:space="0" w:color="152935"/>
              <w:right w:val="nil"/>
            </w:tcBorders>
            <w:shd w:val="clear" w:color="auto" w:fill="E0E0E0"/>
          </w:tcPr>
          <w:p w14:paraId="7F70C1F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057" w:type="dxa"/>
            <w:tcBorders>
              <w:top w:val="single" w:sz="8" w:space="0" w:color="152935"/>
              <w:left w:val="nil"/>
              <w:bottom w:val="single" w:sz="8" w:space="0" w:color="AEAEAE"/>
              <w:right w:val="nil"/>
            </w:tcBorders>
            <w:shd w:val="clear" w:color="auto" w:fill="E0E0E0"/>
          </w:tcPr>
          <w:p w14:paraId="23CD477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alger</w:t>
            </w:r>
            <w:proofErr w:type="spellEnd"/>
          </w:p>
        </w:tc>
        <w:tc>
          <w:tcPr>
            <w:tcW w:w="1371" w:type="dxa"/>
            <w:tcBorders>
              <w:top w:val="single" w:sz="8" w:space="0" w:color="152935"/>
              <w:left w:val="nil"/>
              <w:bottom w:val="single" w:sz="8" w:space="0" w:color="AEAEAE"/>
              <w:right w:val="single" w:sz="8" w:space="0" w:color="E0E0E0"/>
            </w:tcBorders>
            <w:shd w:val="clear" w:color="auto" w:fill="FFFFFF"/>
          </w:tcPr>
          <w:p w14:paraId="153C79E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08" w:type="dxa"/>
            <w:tcBorders>
              <w:top w:val="single" w:sz="8" w:space="0" w:color="152935"/>
              <w:left w:val="single" w:sz="8" w:space="0" w:color="E0E0E0"/>
              <w:bottom w:val="single" w:sz="8" w:space="0" w:color="AEAEAE"/>
              <w:right w:val="single" w:sz="8" w:space="0" w:color="E0E0E0"/>
            </w:tcBorders>
            <w:shd w:val="clear" w:color="auto" w:fill="FFFFFF"/>
          </w:tcPr>
          <w:p w14:paraId="4C1C5C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41" w:type="dxa"/>
            <w:tcBorders>
              <w:top w:val="single" w:sz="8" w:space="0" w:color="152935"/>
              <w:left w:val="single" w:sz="8" w:space="0" w:color="E0E0E0"/>
              <w:bottom w:val="single" w:sz="8" w:space="0" w:color="AEAEAE"/>
              <w:right w:val="single" w:sz="8" w:space="0" w:color="E0E0E0"/>
            </w:tcBorders>
            <w:shd w:val="clear" w:color="auto" w:fill="FFFFFF"/>
          </w:tcPr>
          <w:p w14:paraId="771CD5B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732" w:type="dxa"/>
            <w:tcBorders>
              <w:top w:val="single" w:sz="8" w:space="0" w:color="152935"/>
              <w:left w:val="single" w:sz="8" w:space="0" w:color="E0E0E0"/>
              <w:bottom w:val="single" w:sz="8" w:space="0" w:color="AEAEAE"/>
              <w:right w:val="single" w:sz="4" w:space="0" w:color="auto"/>
            </w:tcBorders>
            <w:shd w:val="clear" w:color="auto" w:fill="FFFFFF"/>
          </w:tcPr>
          <w:p w14:paraId="2840423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r>
      <w:tr w:rsidR="002210A7" w:rsidRPr="00D11D21" w14:paraId="58F4F907" w14:textId="77777777" w:rsidTr="00282FFC">
        <w:trPr>
          <w:cantSplit/>
          <w:trHeight w:val="92"/>
          <w:jc w:val="center"/>
        </w:trPr>
        <w:tc>
          <w:tcPr>
            <w:tcW w:w="864" w:type="dxa"/>
            <w:vMerge/>
            <w:tcBorders>
              <w:top w:val="single" w:sz="8" w:space="0" w:color="152935"/>
              <w:left w:val="single" w:sz="4" w:space="0" w:color="auto"/>
              <w:bottom w:val="single" w:sz="8" w:space="0" w:color="152935"/>
              <w:right w:val="nil"/>
            </w:tcBorders>
            <w:shd w:val="clear" w:color="auto" w:fill="E0E0E0"/>
          </w:tcPr>
          <w:p w14:paraId="4113320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57" w:type="dxa"/>
            <w:tcBorders>
              <w:top w:val="single" w:sz="8" w:space="0" w:color="AEAEAE"/>
              <w:left w:val="nil"/>
              <w:bottom w:val="single" w:sz="8" w:space="0" w:color="AEAEAE"/>
              <w:right w:val="nil"/>
            </w:tcBorders>
            <w:shd w:val="clear" w:color="auto" w:fill="E0E0E0"/>
          </w:tcPr>
          <w:p w14:paraId="1871F71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Alger</w:t>
            </w:r>
          </w:p>
        </w:tc>
        <w:tc>
          <w:tcPr>
            <w:tcW w:w="1371" w:type="dxa"/>
            <w:tcBorders>
              <w:top w:val="single" w:sz="8" w:space="0" w:color="AEAEAE"/>
              <w:left w:val="nil"/>
              <w:bottom w:val="single" w:sz="8" w:space="0" w:color="AEAEAE"/>
              <w:right w:val="single" w:sz="8" w:space="0" w:color="E0E0E0"/>
            </w:tcBorders>
            <w:shd w:val="clear" w:color="auto" w:fill="FFFFFF"/>
          </w:tcPr>
          <w:p w14:paraId="672176C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13</w:t>
            </w:r>
          </w:p>
        </w:tc>
        <w:tc>
          <w:tcPr>
            <w:tcW w:w="1208" w:type="dxa"/>
            <w:tcBorders>
              <w:top w:val="single" w:sz="8" w:space="0" w:color="AEAEAE"/>
              <w:left w:val="single" w:sz="8" w:space="0" w:color="E0E0E0"/>
              <w:bottom w:val="single" w:sz="8" w:space="0" w:color="AEAEAE"/>
              <w:right w:val="single" w:sz="8" w:space="0" w:color="E0E0E0"/>
            </w:tcBorders>
            <w:shd w:val="clear" w:color="auto" w:fill="FFFFFF"/>
          </w:tcPr>
          <w:p w14:paraId="09D5FA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39,4</w:t>
            </w:r>
          </w:p>
        </w:tc>
        <w:tc>
          <w:tcPr>
            <w:tcW w:w="1641" w:type="dxa"/>
            <w:tcBorders>
              <w:top w:val="single" w:sz="8" w:space="0" w:color="AEAEAE"/>
              <w:left w:val="single" w:sz="8" w:space="0" w:color="E0E0E0"/>
              <w:bottom w:val="single" w:sz="8" w:space="0" w:color="AEAEAE"/>
              <w:right w:val="single" w:sz="8" w:space="0" w:color="E0E0E0"/>
            </w:tcBorders>
            <w:shd w:val="clear" w:color="auto" w:fill="FFFFFF"/>
          </w:tcPr>
          <w:p w14:paraId="70EF045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39,4</w:t>
            </w:r>
          </w:p>
        </w:tc>
        <w:tc>
          <w:tcPr>
            <w:tcW w:w="1732" w:type="dxa"/>
            <w:tcBorders>
              <w:top w:val="single" w:sz="8" w:space="0" w:color="AEAEAE"/>
              <w:left w:val="single" w:sz="8" w:space="0" w:color="E0E0E0"/>
              <w:bottom w:val="single" w:sz="8" w:space="0" w:color="AEAEAE"/>
              <w:right w:val="single" w:sz="4" w:space="0" w:color="auto"/>
            </w:tcBorders>
            <w:shd w:val="clear" w:color="auto" w:fill="FFFFFF"/>
          </w:tcPr>
          <w:p w14:paraId="1C85ED8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42,4</w:t>
            </w:r>
          </w:p>
        </w:tc>
      </w:tr>
      <w:tr w:rsidR="002210A7" w:rsidRPr="00D11D21" w14:paraId="2D82BA10" w14:textId="77777777" w:rsidTr="00282FFC">
        <w:trPr>
          <w:cantSplit/>
          <w:trHeight w:val="92"/>
          <w:jc w:val="center"/>
        </w:trPr>
        <w:tc>
          <w:tcPr>
            <w:tcW w:w="864" w:type="dxa"/>
            <w:vMerge/>
            <w:tcBorders>
              <w:top w:val="single" w:sz="8" w:space="0" w:color="152935"/>
              <w:left w:val="single" w:sz="4" w:space="0" w:color="auto"/>
              <w:bottom w:val="single" w:sz="8" w:space="0" w:color="152935"/>
              <w:right w:val="nil"/>
            </w:tcBorders>
            <w:shd w:val="clear" w:color="auto" w:fill="E0E0E0"/>
          </w:tcPr>
          <w:p w14:paraId="49025DDB"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57" w:type="dxa"/>
            <w:tcBorders>
              <w:top w:val="single" w:sz="8" w:space="0" w:color="AEAEAE"/>
              <w:left w:val="nil"/>
              <w:bottom w:val="single" w:sz="8" w:space="0" w:color="AEAEAE"/>
              <w:right w:val="nil"/>
            </w:tcBorders>
            <w:shd w:val="clear" w:color="auto" w:fill="E0E0E0"/>
          </w:tcPr>
          <w:p w14:paraId="7AD76C0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bordj </w:t>
            </w:r>
            <w:proofErr w:type="spellStart"/>
            <w:r w:rsidRPr="00D11D21">
              <w:rPr>
                <w:rFonts w:asciiTheme="majorBidi" w:hAnsiTheme="majorBidi" w:cstheme="majorBidi"/>
                <w:color w:val="264A60"/>
                <w:szCs w:val="24"/>
              </w:rPr>
              <w:t>bou</w:t>
            </w:r>
            <w:proofErr w:type="spellEnd"/>
            <w:r w:rsidRPr="00D11D21">
              <w:rPr>
                <w:rFonts w:asciiTheme="majorBidi" w:hAnsiTheme="majorBidi" w:cstheme="majorBidi"/>
                <w:color w:val="264A60"/>
                <w:szCs w:val="24"/>
              </w:rPr>
              <w:t xml:space="preserve"> </w:t>
            </w:r>
            <w:proofErr w:type="spellStart"/>
            <w:r w:rsidRPr="00D11D21">
              <w:rPr>
                <w:rFonts w:asciiTheme="majorBidi" w:hAnsiTheme="majorBidi" w:cstheme="majorBidi"/>
                <w:color w:val="264A60"/>
                <w:szCs w:val="24"/>
              </w:rPr>
              <w:t>arreridj</w:t>
            </w:r>
            <w:proofErr w:type="spellEnd"/>
          </w:p>
        </w:tc>
        <w:tc>
          <w:tcPr>
            <w:tcW w:w="1371" w:type="dxa"/>
            <w:tcBorders>
              <w:top w:val="single" w:sz="8" w:space="0" w:color="AEAEAE"/>
              <w:left w:val="nil"/>
              <w:bottom w:val="single" w:sz="8" w:space="0" w:color="AEAEAE"/>
              <w:right w:val="single" w:sz="8" w:space="0" w:color="E0E0E0"/>
            </w:tcBorders>
            <w:shd w:val="clear" w:color="auto" w:fill="FFFFFF"/>
          </w:tcPr>
          <w:p w14:paraId="35574D3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w:t>
            </w:r>
          </w:p>
        </w:tc>
        <w:tc>
          <w:tcPr>
            <w:tcW w:w="1208" w:type="dxa"/>
            <w:tcBorders>
              <w:top w:val="single" w:sz="8" w:space="0" w:color="AEAEAE"/>
              <w:left w:val="single" w:sz="8" w:space="0" w:color="E0E0E0"/>
              <w:bottom w:val="single" w:sz="8" w:space="0" w:color="AEAEAE"/>
              <w:right w:val="single" w:sz="8" w:space="0" w:color="E0E0E0"/>
            </w:tcBorders>
            <w:shd w:val="clear" w:color="auto" w:fill="FFFFFF"/>
          </w:tcPr>
          <w:p w14:paraId="7139EB5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48,5</w:t>
            </w:r>
          </w:p>
        </w:tc>
        <w:tc>
          <w:tcPr>
            <w:tcW w:w="1641" w:type="dxa"/>
            <w:tcBorders>
              <w:top w:val="single" w:sz="8" w:space="0" w:color="AEAEAE"/>
              <w:left w:val="single" w:sz="8" w:space="0" w:color="E0E0E0"/>
              <w:bottom w:val="single" w:sz="8" w:space="0" w:color="AEAEAE"/>
              <w:right w:val="single" w:sz="8" w:space="0" w:color="E0E0E0"/>
            </w:tcBorders>
            <w:shd w:val="clear" w:color="auto" w:fill="FFFFFF"/>
          </w:tcPr>
          <w:p w14:paraId="5606DA9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48,5</w:t>
            </w:r>
          </w:p>
        </w:tc>
        <w:tc>
          <w:tcPr>
            <w:tcW w:w="1732" w:type="dxa"/>
            <w:tcBorders>
              <w:top w:val="single" w:sz="8" w:space="0" w:color="AEAEAE"/>
              <w:left w:val="single" w:sz="8" w:space="0" w:color="E0E0E0"/>
              <w:bottom w:val="single" w:sz="8" w:space="0" w:color="AEAEAE"/>
              <w:right w:val="single" w:sz="4" w:space="0" w:color="auto"/>
            </w:tcBorders>
            <w:shd w:val="clear" w:color="auto" w:fill="FFFFFF"/>
          </w:tcPr>
          <w:p w14:paraId="5FFDFA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90,9</w:t>
            </w:r>
          </w:p>
        </w:tc>
      </w:tr>
      <w:tr w:rsidR="002210A7" w:rsidRPr="00D11D21" w14:paraId="268B7B7F" w14:textId="77777777" w:rsidTr="00282FFC">
        <w:trPr>
          <w:cantSplit/>
          <w:trHeight w:val="92"/>
          <w:jc w:val="center"/>
        </w:trPr>
        <w:tc>
          <w:tcPr>
            <w:tcW w:w="864" w:type="dxa"/>
            <w:vMerge/>
            <w:tcBorders>
              <w:top w:val="single" w:sz="8" w:space="0" w:color="152935"/>
              <w:left w:val="single" w:sz="4" w:space="0" w:color="auto"/>
              <w:bottom w:val="single" w:sz="8" w:space="0" w:color="152935"/>
              <w:right w:val="nil"/>
            </w:tcBorders>
            <w:shd w:val="clear" w:color="auto" w:fill="E0E0E0"/>
          </w:tcPr>
          <w:p w14:paraId="0B28B76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57" w:type="dxa"/>
            <w:tcBorders>
              <w:top w:val="single" w:sz="8" w:space="0" w:color="AEAEAE"/>
              <w:left w:val="nil"/>
              <w:bottom w:val="single" w:sz="8" w:space="0" w:color="AEAEAE"/>
              <w:right w:val="nil"/>
            </w:tcBorders>
            <w:shd w:val="clear" w:color="auto" w:fill="E0E0E0"/>
          </w:tcPr>
          <w:p w14:paraId="3411B29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Bordj </w:t>
            </w:r>
            <w:proofErr w:type="spellStart"/>
            <w:r w:rsidRPr="00D11D21">
              <w:rPr>
                <w:rFonts w:asciiTheme="majorBidi" w:hAnsiTheme="majorBidi" w:cstheme="majorBidi"/>
                <w:color w:val="264A60"/>
                <w:szCs w:val="24"/>
              </w:rPr>
              <w:t>bou</w:t>
            </w:r>
            <w:proofErr w:type="spellEnd"/>
            <w:r w:rsidRPr="00D11D21">
              <w:rPr>
                <w:rFonts w:asciiTheme="majorBidi" w:hAnsiTheme="majorBidi" w:cstheme="majorBidi"/>
                <w:color w:val="264A60"/>
                <w:szCs w:val="24"/>
              </w:rPr>
              <w:t xml:space="preserve"> </w:t>
            </w:r>
            <w:proofErr w:type="spellStart"/>
            <w:r w:rsidRPr="00D11D21">
              <w:rPr>
                <w:rFonts w:asciiTheme="majorBidi" w:hAnsiTheme="majorBidi" w:cstheme="majorBidi"/>
                <w:color w:val="264A60"/>
                <w:szCs w:val="24"/>
              </w:rPr>
              <w:t>arreridj</w:t>
            </w:r>
            <w:proofErr w:type="spellEnd"/>
          </w:p>
        </w:tc>
        <w:tc>
          <w:tcPr>
            <w:tcW w:w="1371" w:type="dxa"/>
            <w:tcBorders>
              <w:top w:val="single" w:sz="8" w:space="0" w:color="AEAEAE"/>
              <w:left w:val="nil"/>
              <w:bottom w:val="single" w:sz="8" w:space="0" w:color="AEAEAE"/>
              <w:right w:val="single" w:sz="8" w:space="0" w:color="E0E0E0"/>
            </w:tcBorders>
            <w:shd w:val="clear" w:color="auto" w:fill="FFFFFF"/>
          </w:tcPr>
          <w:p w14:paraId="25FDAE4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208" w:type="dxa"/>
            <w:tcBorders>
              <w:top w:val="single" w:sz="8" w:space="0" w:color="AEAEAE"/>
              <w:left w:val="single" w:sz="8" w:space="0" w:color="E0E0E0"/>
              <w:bottom w:val="single" w:sz="8" w:space="0" w:color="AEAEAE"/>
              <w:right w:val="single" w:sz="8" w:space="0" w:color="E0E0E0"/>
            </w:tcBorders>
            <w:shd w:val="clear" w:color="auto" w:fill="FFFFFF"/>
          </w:tcPr>
          <w:p w14:paraId="101324E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641" w:type="dxa"/>
            <w:tcBorders>
              <w:top w:val="single" w:sz="8" w:space="0" w:color="AEAEAE"/>
              <w:left w:val="single" w:sz="8" w:space="0" w:color="E0E0E0"/>
              <w:bottom w:val="single" w:sz="8" w:space="0" w:color="AEAEAE"/>
              <w:right w:val="single" w:sz="8" w:space="0" w:color="E0E0E0"/>
            </w:tcBorders>
            <w:shd w:val="clear" w:color="auto" w:fill="FFFFFF"/>
          </w:tcPr>
          <w:p w14:paraId="497B35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732" w:type="dxa"/>
            <w:tcBorders>
              <w:top w:val="single" w:sz="8" w:space="0" w:color="AEAEAE"/>
              <w:left w:val="single" w:sz="8" w:space="0" w:color="E0E0E0"/>
              <w:bottom w:val="single" w:sz="8" w:space="0" w:color="AEAEAE"/>
              <w:right w:val="single" w:sz="4" w:space="0" w:color="auto"/>
            </w:tcBorders>
            <w:shd w:val="clear" w:color="auto" w:fill="FFFFFF"/>
          </w:tcPr>
          <w:p w14:paraId="16CF375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97,0</w:t>
            </w:r>
          </w:p>
        </w:tc>
      </w:tr>
      <w:tr w:rsidR="002210A7" w:rsidRPr="00D11D21" w14:paraId="69572965" w14:textId="77777777" w:rsidTr="00282FFC">
        <w:trPr>
          <w:cantSplit/>
          <w:trHeight w:val="92"/>
          <w:jc w:val="center"/>
        </w:trPr>
        <w:tc>
          <w:tcPr>
            <w:tcW w:w="864" w:type="dxa"/>
            <w:vMerge/>
            <w:tcBorders>
              <w:top w:val="single" w:sz="8" w:space="0" w:color="152935"/>
              <w:left w:val="single" w:sz="4" w:space="0" w:color="auto"/>
              <w:bottom w:val="single" w:sz="8" w:space="0" w:color="152935"/>
              <w:right w:val="nil"/>
            </w:tcBorders>
            <w:shd w:val="clear" w:color="auto" w:fill="E0E0E0"/>
          </w:tcPr>
          <w:p w14:paraId="500D7E0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57" w:type="dxa"/>
            <w:tcBorders>
              <w:top w:val="single" w:sz="8" w:space="0" w:color="AEAEAE"/>
              <w:left w:val="nil"/>
              <w:bottom w:val="single" w:sz="8" w:space="0" w:color="AEAEAE"/>
              <w:right w:val="nil"/>
            </w:tcBorders>
            <w:shd w:val="clear" w:color="auto" w:fill="E0E0E0"/>
          </w:tcPr>
          <w:p w14:paraId="30A8593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bordj </w:t>
            </w:r>
            <w:proofErr w:type="spellStart"/>
            <w:r w:rsidRPr="00D11D21">
              <w:rPr>
                <w:rFonts w:asciiTheme="majorBidi" w:hAnsiTheme="majorBidi" w:cstheme="majorBidi"/>
                <w:color w:val="264A60"/>
                <w:szCs w:val="24"/>
              </w:rPr>
              <w:t>bou</w:t>
            </w:r>
            <w:proofErr w:type="spellEnd"/>
            <w:r w:rsidRPr="00D11D21">
              <w:rPr>
                <w:rFonts w:asciiTheme="majorBidi" w:hAnsiTheme="majorBidi" w:cstheme="majorBidi"/>
                <w:color w:val="264A60"/>
                <w:szCs w:val="24"/>
              </w:rPr>
              <w:t xml:space="preserve"> </w:t>
            </w:r>
            <w:proofErr w:type="spellStart"/>
            <w:r w:rsidRPr="00D11D21">
              <w:rPr>
                <w:rFonts w:asciiTheme="majorBidi" w:hAnsiTheme="majorBidi" w:cstheme="majorBidi"/>
                <w:color w:val="264A60"/>
                <w:szCs w:val="24"/>
              </w:rPr>
              <w:t>arrerij</w:t>
            </w:r>
            <w:proofErr w:type="spellEnd"/>
          </w:p>
        </w:tc>
        <w:tc>
          <w:tcPr>
            <w:tcW w:w="1371" w:type="dxa"/>
            <w:tcBorders>
              <w:top w:val="single" w:sz="8" w:space="0" w:color="AEAEAE"/>
              <w:left w:val="nil"/>
              <w:bottom w:val="single" w:sz="8" w:space="0" w:color="AEAEAE"/>
              <w:right w:val="single" w:sz="8" w:space="0" w:color="E0E0E0"/>
            </w:tcBorders>
            <w:shd w:val="clear" w:color="auto" w:fill="FFFFFF"/>
          </w:tcPr>
          <w:p w14:paraId="45734CD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08" w:type="dxa"/>
            <w:tcBorders>
              <w:top w:val="single" w:sz="8" w:space="0" w:color="AEAEAE"/>
              <w:left w:val="single" w:sz="8" w:space="0" w:color="E0E0E0"/>
              <w:bottom w:val="single" w:sz="8" w:space="0" w:color="AEAEAE"/>
              <w:right w:val="single" w:sz="8" w:space="0" w:color="E0E0E0"/>
            </w:tcBorders>
            <w:shd w:val="clear" w:color="auto" w:fill="FFFFFF"/>
          </w:tcPr>
          <w:p w14:paraId="73571D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41" w:type="dxa"/>
            <w:tcBorders>
              <w:top w:val="single" w:sz="8" w:space="0" w:color="AEAEAE"/>
              <w:left w:val="single" w:sz="8" w:space="0" w:color="E0E0E0"/>
              <w:bottom w:val="single" w:sz="8" w:space="0" w:color="AEAEAE"/>
              <w:right w:val="single" w:sz="8" w:space="0" w:color="E0E0E0"/>
            </w:tcBorders>
            <w:shd w:val="clear" w:color="auto" w:fill="FFFFFF"/>
          </w:tcPr>
          <w:p w14:paraId="7007687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732" w:type="dxa"/>
            <w:tcBorders>
              <w:top w:val="single" w:sz="8" w:space="0" w:color="AEAEAE"/>
              <w:left w:val="single" w:sz="8" w:space="0" w:color="E0E0E0"/>
              <w:bottom w:val="single" w:sz="8" w:space="0" w:color="AEAEAE"/>
              <w:right w:val="single" w:sz="4" w:space="0" w:color="auto"/>
            </w:tcBorders>
            <w:shd w:val="clear" w:color="auto" w:fill="FFFFFF"/>
          </w:tcPr>
          <w:p w14:paraId="673EA54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4FAC19BF" w14:textId="77777777" w:rsidTr="00282FFC">
        <w:trPr>
          <w:cantSplit/>
          <w:trHeight w:val="92"/>
          <w:jc w:val="center"/>
        </w:trPr>
        <w:tc>
          <w:tcPr>
            <w:tcW w:w="864" w:type="dxa"/>
            <w:vMerge/>
            <w:tcBorders>
              <w:top w:val="single" w:sz="8" w:space="0" w:color="152935"/>
              <w:left w:val="single" w:sz="4" w:space="0" w:color="auto"/>
              <w:bottom w:val="single" w:sz="4" w:space="0" w:color="auto"/>
              <w:right w:val="nil"/>
            </w:tcBorders>
            <w:shd w:val="clear" w:color="auto" w:fill="E0E0E0"/>
          </w:tcPr>
          <w:p w14:paraId="4FDC060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57" w:type="dxa"/>
            <w:tcBorders>
              <w:top w:val="single" w:sz="8" w:space="0" w:color="AEAEAE"/>
              <w:left w:val="nil"/>
              <w:bottom w:val="single" w:sz="4" w:space="0" w:color="auto"/>
              <w:right w:val="nil"/>
            </w:tcBorders>
            <w:shd w:val="clear" w:color="auto" w:fill="E0E0E0"/>
          </w:tcPr>
          <w:p w14:paraId="46DFD1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71" w:type="dxa"/>
            <w:tcBorders>
              <w:top w:val="single" w:sz="8" w:space="0" w:color="AEAEAE"/>
              <w:left w:val="nil"/>
              <w:bottom w:val="single" w:sz="4" w:space="0" w:color="auto"/>
              <w:right w:val="single" w:sz="8" w:space="0" w:color="E0E0E0"/>
            </w:tcBorders>
            <w:shd w:val="clear" w:color="auto" w:fill="FFFFFF"/>
          </w:tcPr>
          <w:p w14:paraId="1365796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08" w:type="dxa"/>
            <w:tcBorders>
              <w:top w:val="single" w:sz="8" w:space="0" w:color="AEAEAE"/>
              <w:left w:val="single" w:sz="8" w:space="0" w:color="E0E0E0"/>
              <w:bottom w:val="single" w:sz="4" w:space="0" w:color="auto"/>
              <w:right w:val="single" w:sz="8" w:space="0" w:color="E0E0E0"/>
            </w:tcBorders>
            <w:shd w:val="clear" w:color="auto" w:fill="FFFFFF"/>
          </w:tcPr>
          <w:p w14:paraId="36EF760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41" w:type="dxa"/>
            <w:tcBorders>
              <w:top w:val="single" w:sz="8" w:space="0" w:color="AEAEAE"/>
              <w:left w:val="single" w:sz="8" w:space="0" w:color="E0E0E0"/>
              <w:bottom w:val="single" w:sz="4" w:space="0" w:color="auto"/>
              <w:right w:val="single" w:sz="8" w:space="0" w:color="E0E0E0"/>
            </w:tcBorders>
            <w:shd w:val="clear" w:color="auto" w:fill="FFFFFF"/>
          </w:tcPr>
          <w:p w14:paraId="1B8EDB6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32" w:type="dxa"/>
            <w:tcBorders>
              <w:top w:val="single" w:sz="8" w:space="0" w:color="AEAEAE"/>
              <w:left w:val="single" w:sz="8" w:space="0" w:color="E0E0E0"/>
              <w:bottom w:val="single" w:sz="4" w:space="0" w:color="auto"/>
              <w:right w:val="single" w:sz="4" w:space="0" w:color="auto"/>
            </w:tcBorders>
            <w:shd w:val="clear" w:color="auto" w:fill="FFFFFF"/>
            <w:vAlign w:val="center"/>
          </w:tcPr>
          <w:p w14:paraId="5284E75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18649B1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18193774" w14:textId="399518E8" w:rsidR="007C4508" w:rsidRPr="00D11D21" w:rsidRDefault="007C4508" w:rsidP="00D11D21">
      <w:pPr>
        <w:pStyle w:val="Lgende"/>
        <w:keepNext/>
        <w:spacing w:line="360" w:lineRule="auto"/>
        <w:jc w:val="both"/>
        <w:rPr>
          <w:rFonts w:asciiTheme="majorBidi" w:hAnsiTheme="majorBidi" w:cstheme="majorBidi"/>
          <w:color w:val="auto"/>
          <w:sz w:val="24"/>
          <w:szCs w:val="24"/>
        </w:rPr>
      </w:pPr>
      <w:bookmarkStart w:id="179" w:name="_Toc200210075"/>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8</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régionale des répondants</w:t>
      </w:r>
      <w:bookmarkEnd w:id="179"/>
    </w:p>
    <w:p w14:paraId="0855359D" w14:textId="1A3D5021"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3E5534B6" wp14:editId="1E24BC41">
            <wp:extent cx="3562350" cy="1790639"/>
            <wp:effectExtent l="0" t="0" r="0" b="635"/>
            <wp:docPr id="132"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t="8483" b="6137"/>
                    <a:stretch/>
                  </pic:blipFill>
                  <pic:spPr bwMode="auto">
                    <a:xfrm>
                      <a:off x="0" y="0"/>
                      <a:ext cx="3609140" cy="1814159"/>
                    </a:xfrm>
                    <a:prstGeom prst="rect">
                      <a:avLst/>
                    </a:prstGeom>
                    <a:noFill/>
                    <a:ln>
                      <a:noFill/>
                    </a:ln>
                    <a:extLst>
                      <a:ext uri="{53640926-AAD7-44D8-BBD7-CCE9431645EC}">
                        <a14:shadowObscured xmlns:a14="http://schemas.microsoft.com/office/drawing/2010/main"/>
                      </a:ext>
                    </a:extLst>
                  </pic:spPr>
                </pic:pic>
              </a:graphicData>
            </a:graphic>
          </wp:inline>
        </w:drawing>
      </w:r>
    </w:p>
    <w:p w14:paraId="55072C9B" w14:textId="21D9FE64"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0F47267B"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79BECF0"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Les répondants sont répartis entre deux wilayas principales :</w:t>
      </w:r>
    </w:p>
    <w:p w14:paraId="73DD8C20" w14:textId="77777777" w:rsidR="002210A7" w:rsidRPr="00D11D21" w:rsidRDefault="002210A7" w:rsidP="00D11D21">
      <w:pPr>
        <w:pStyle w:val="Paragraphedeliste"/>
        <w:numPr>
          <w:ilvl w:val="0"/>
          <w:numId w:val="6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 xml:space="preserve">Bordj Bou </w:t>
      </w:r>
      <w:proofErr w:type="spellStart"/>
      <w:r w:rsidRPr="00D11D21">
        <w:rPr>
          <w:rFonts w:asciiTheme="majorBidi" w:hAnsiTheme="majorBidi" w:cstheme="majorBidi"/>
          <w:szCs w:val="24"/>
        </w:rPr>
        <w:t>Arréridj</w:t>
      </w:r>
      <w:proofErr w:type="spellEnd"/>
      <w:r w:rsidRPr="00D11D21">
        <w:rPr>
          <w:rFonts w:asciiTheme="majorBidi" w:hAnsiTheme="majorBidi" w:cstheme="majorBidi"/>
          <w:szCs w:val="24"/>
        </w:rPr>
        <w:t xml:space="preserve"> : 19 répondants (soit 57,6 %), malgré la variation d'écriture (bordj </w:t>
      </w:r>
      <w:proofErr w:type="spellStart"/>
      <w:r w:rsidRPr="00D11D21">
        <w:rPr>
          <w:rFonts w:asciiTheme="majorBidi" w:hAnsiTheme="majorBidi" w:cstheme="majorBidi"/>
          <w:szCs w:val="24"/>
        </w:rPr>
        <w:t>bou</w:t>
      </w:r>
      <w:proofErr w:type="spellEnd"/>
      <w:r w:rsidRPr="00D11D21">
        <w:rPr>
          <w:rFonts w:asciiTheme="majorBidi" w:hAnsiTheme="majorBidi" w:cstheme="majorBidi"/>
          <w:szCs w:val="24"/>
        </w:rPr>
        <w:t xml:space="preserve"> </w:t>
      </w:r>
      <w:proofErr w:type="spellStart"/>
      <w:r w:rsidRPr="00D11D21">
        <w:rPr>
          <w:rFonts w:asciiTheme="majorBidi" w:hAnsiTheme="majorBidi" w:cstheme="majorBidi"/>
          <w:szCs w:val="24"/>
        </w:rPr>
        <w:t>arreridj</w:t>
      </w:r>
      <w:proofErr w:type="spellEnd"/>
      <w:r w:rsidRPr="00D11D21">
        <w:rPr>
          <w:rFonts w:asciiTheme="majorBidi" w:hAnsiTheme="majorBidi" w:cstheme="majorBidi"/>
          <w:szCs w:val="24"/>
        </w:rPr>
        <w:t xml:space="preserve">, Bordj </w:t>
      </w:r>
      <w:proofErr w:type="spellStart"/>
      <w:r w:rsidRPr="00D11D21">
        <w:rPr>
          <w:rFonts w:asciiTheme="majorBidi" w:hAnsiTheme="majorBidi" w:cstheme="majorBidi"/>
          <w:szCs w:val="24"/>
        </w:rPr>
        <w:t>bou</w:t>
      </w:r>
      <w:proofErr w:type="spellEnd"/>
      <w:r w:rsidRPr="00D11D21">
        <w:rPr>
          <w:rFonts w:asciiTheme="majorBidi" w:hAnsiTheme="majorBidi" w:cstheme="majorBidi"/>
          <w:szCs w:val="24"/>
        </w:rPr>
        <w:t xml:space="preserve"> </w:t>
      </w:r>
      <w:proofErr w:type="spellStart"/>
      <w:r w:rsidRPr="00D11D21">
        <w:rPr>
          <w:rFonts w:asciiTheme="majorBidi" w:hAnsiTheme="majorBidi" w:cstheme="majorBidi"/>
          <w:szCs w:val="24"/>
        </w:rPr>
        <w:t>arreridj</w:t>
      </w:r>
      <w:proofErr w:type="spellEnd"/>
      <w:r w:rsidRPr="00D11D21">
        <w:rPr>
          <w:rFonts w:asciiTheme="majorBidi" w:hAnsiTheme="majorBidi" w:cstheme="majorBidi"/>
          <w:szCs w:val="24"/>
        </w:rPr>
        <w:t xml:space="preserve">, bordj </w:t>
      </w:r>
      <w:proofErr w:type="spellStart"/>
      <w:r w:rsidRPr="00D11D21">
        <w:rPr>
          <w:rFonts w:asciiTheme="majorBidi" w:hAnsiTheme="majorBidi" w:cstheme="majorBidi"/>
          <w:szCs w:val="24"/>
        </w:rPr>
        <w:t>bou</w:t>
      </w:r>
      <w:proofErr w:type="spellEnd"/>
      <w:r w:rsidRPr="00D11D21">
        <w:rPr>
          <w:rFonts w:asciiTheme="majorBidi" w:hAnsiTheme="majorBidi" w:cstheme="majorBidi"/>
          <w:szCs w:val="24"/>
        </w:rPr>
        <w:t xml:space="preserve"> </w:t>
      </w:r>
      <w:proofErr w:type="spellStart"/>
      <w:r w:rsidRPr="00D11D21">
        <w:rPr>
          <w:rFonts w:asciiTheme="majorBidi" w:hAnsiTheme="majorBidi" w:cstheme="majorBidi"/>
          <w:szCs w:val="24"/>
        </w:rPr>
        <w:t>arrerij</w:t>
      </w:r>
      <w:proofErr w:type="spellEnd"/>
      <w:r w:rsidRPr="00D11D21">
        <w:rPr>
          <w:rFonts w:asciiTheme="majorBidi" w:hAnsiTheme="majorBidi" w:cstheme="majorBidi"/>
          <w:szCs w:val="24"/>
        </w:rPr>
        <w:t>).</w:t>
      </w:r>
    </w:p>
    <w:p w14:paraId="0FD27BD6" w14:textId="4613D948" w:rsidR="002210A7" w:rsidRPr="00772AE8" w:rsidRDefault="002210A7" w:rsidP="00772AE8">
      <w:pPr>
        <w:pStyle w:val="Paragraphedeliste"/>
        <w:numPr>
          <w:ilvl w:val="0"/>
          <w:numId w:val="6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Alger : 14 répondants (soit 42,4 %), également avec des variantes typographiques (</w:t>
      </w:r>
      <w:proofErr w:type="spellStart"/>
      <w:r w:rsidRPr="00D11D21">
        <w:rPr>
          <w:rFonts w:asciiTheme="majorBidi" w:hAnsiTheme="majorBidi" w:cstheme="majorBidi"/>
          <w:szCs w:val="24"/>
        </w:rPr>
        <w:t>alger</w:t>
      </w:r>
      <w:proofErr w:type="spellEnd"/>
      <w:r w:rsidRPr="00D11D21">
        <w:rPr>
          <w:rFonts w:asciiTheme="majorBidi" w:hAnsiTheme="majorBidi" w:cstheme="majorBidi"/>
          <w:szCs w:val="24"/>
        </w:rPr>
        <w:t>, Alger).</w:t>
      </w:r>
    </w:p>
    <w:p w14:paraId="699E3E68" w14:textId="585AAB35" w:rsidR="00282FFC"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 : Comment évaluez-vous le fonctionnement actuel du budget global utilisé pour financer les hôpitaux ?</w:t>
      </w:r>
    </w:p>
    <w:p w14:paraId="18982604" w14:textId="4CBDFF40" w:rsidR="002210A7" w:rsidRPr="00772AE8" w:rsidRDefault="007C4508" w:rsidP="00772AE8">
      <w:pPr>
        <w:pStyle w:val="Lgende"/>
        <w:keepNext/>
        <w:spacing w:line="360" w:lineRule="auto"/>
        <w:jc w:val="both"/>
        <w:rPr>
          <w:rFonts w:asciiTheme="majorBidi" w:hAnsiTheme="majorBidi" w:cstheme="majorBidi"/>
          <w:color w:val="auto"/>
          <w:sz w:val="24"/>
          <w:szCs w:val="24"/>
        </w:rPr>
      </w:pPr>
      <w:bookmarkStart w:id="180" w:name="_Toc200210119"/>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Évaluation du fonctionnement du budget global</w:t>
      </w:r>
      <w:bookmarkEnd w:id="180"/>
    </w:p>
    <w:tbl>
      <w:tblPr>
        <w:tblW w:w="91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2040"/>
        <w:gridCol w:w="1433"/>
        <w:gridCol w:w="1264"/>
        <w:gridCol w:w="1715"/>
        <w:gridCol w:w="1812"/>
      </w:tblGrid>
      <w:tr w:rsidR="002210A7" w:rsidRPr="00D11D21" w14:paraId="1D5A1382" w14:textId="77777777" w:rsidTr="00282FFC">
        <w:trPr>
          <w:cantSplit/>
          <w:trHeight w:val="389"/>
          <w:jc w:val="center"/>
        </w:trPr>
        <w:tc>
          <w:tcPr>
            <w:tcW w:w="2943" w:type="dxa"/>
            <w:gridSpan w:val="2"/>
            <w:tcBorders>
              <w:top w:val="single" w:sz="4" w:space="0" w:color="auto"/>
              <w:left w:val="single" w:sz="4" w:space="0" w:color="auto"/>
              <w:bottom w:val="single" w:sz="8" w:space="0" w:color="152935"/>
              <w:right w:val="nil"/>
            </w:tcBorders>
            <w:shd w:val="clear" w:color="auto" w:fill="FFFFFF"/>
            <w:vAlign w:val="bottom"/>
          </w:tcPr>
          <w:p w14:paraId="1FF72AD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33" w:type="dxa"/>
            <w:tcBorders>
              <w:top w:val="single" w:sz="4" w:space="0" w:color="auto"/>
              <w:left w:val="nil"/>
              <w:bottom w:val="single" w:sz="8" w:space="0" w:color="152935"/>
              <w:right w:val="single" w:sz="8" w:space="0" w:color="E0E0E0"/>
            </w:tcBorders>
            <w:shd w:val="clear" w:color="auto" w:fill="FFFFFF"/>
            <w:vAlign w:val="bottom"/>
          </w:tcPr>
          <w:p w14:paraId="683252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6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D9C188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715"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8671D3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812" w:type="dxa"/>
            <w:tcBorders>
              <w:top w:val="single" w:sz="4" w:space="0" w:color="auto"/>
              <w:left w:val="single" w:sz="8" w:space="0" w:color="E0E0E0"/>
              <w:bottom w:val="single" w:sz="8" w:space="0" w:color="152935"/>
              <w:right w:val="single" w:sz="4" w:space="0" w:color="auto"/>
            </w:tcBorders>
            <w:shd w:val="clear" w:color="auto" w:fill="FFFFFF"/>
            <w:vAlign w:val="bottom"/>
          </w:tcPr>
          <w:p w14:paraId="46D9673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1F30615A" w14:textId="77777777" w:rsidTr="00282FFC">
        <w:trPr>
          <w:cantSplit/>
          <w:trHeight w:val="194"/>
          <w:jc w:val="center"/>
        </w:trPr>
        <w:tc>
          <w:tcPr>
            <w:tcW w:w="903" w:type="dxa"/>
            <w:vMerge w:val="restart"/>
            <w:tcBorders>
              <w:top w:val="single" w:sz="8" w:space="0" w:color="152935"/>
              <w:left w:val="single" w:sz="4" w:space="0" w:color="auto"/>
              <w:bottom w:val="single" w:sz="8" w:space="0" w:color="152935"/>
              <w:right w:val="nil"/>
            </w:tcBorders>
            <w:shd w:val="clear" w:color="auto" w:fill="E0E0E0"/>
          </w:tcPr>
          <w:p w14:paraId="23AB2A3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040" w:type="dxa"/>
            <w:tcBorders>
              <w:top w:val="single" w:sz="8" w:space="0" w:color="152935"/>
              <w:left w:val="nil"/>
              <w:bottom w:val="single" w:sz="8" w:space="0" w:color="AEAEAE"/>
              <w:right w:val="nil"/>
            </w:tcBorders>
            <w:shd w:val="clear" w:color="auto" w:fill="E0E0E0"/>
          </w:tcPr>
          <w:p w14:paraId="788008A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Insatisfaisant</w:t>
            </w:r>
          </w:p>
        </w:tc>
        <w:tc>
          <w:tcPr>
            <w:tcW w:w="1433" w:type="dxa"/>
            <w:tcBorders>
              <w:top w:val="single" w:sz="8" w:space="0" w:color="152935"/>
              <w:left w:val="nil"/>
              <w:bottom w:val="single" w:sz="8" w:space="0" w:color="AEAEAE"/>
              <w:right w:val="single" w:sz="8" w:space="0" w:color="E0E0E0"/>
            </w:tcBorders>
            <w:shd w:val="clear" w:color="auto" w:fill="FFFFFF"/>
          </w:tcPr>
          <w:p w14:paraId="62D7D13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w:t>
            </w:r>
          </w:p>
        </w:tc>
        <w:tc>
          <w:tcPr>
            <w:tcW w:w="1264" w:type="dxa"/>
            <w:tcBorders>
              <w:top w:val="single" w:sz="8" w:space="0" w:color="152935"/>
              <w:left w:val="single" w:sz="8" w:space="0" w:color="E0E0E0"/>
              <w:bottom w:val="single" w:sz="8" w:space="0" w:color="AEAEAE"/>
              <w:right w:val="single" w:sz="8" w:space="0" w:color="E0E0E0"/>
            </w:tcBorders>
            <w:shd w:val="clear" w:color="auto" w:fill="FFFFFF"/>
          </w:tcPr>
          <w:p w14:paraId="0C831FC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24,2</w:t>
            </w:r>
          </w:p>
        </w:tc>
        <w:tc>
          <w:tcPr>
            <w:tcW w:w="1715" w:type="dxa"/>
            <w:tcBorders>
              <w:top w:val="single" w:sz="8" w:space="0" w:color="152935"/>
              <w:left w:val="single" w:sz="8" w:space="0" w:color="E0E0E0"/>
              <w:bottom w:val="single" w:sz="8" w:space="0" w:color="AEAEAE"/>
              <w:right w:val="single" w:sz="8" w:space="0" w:color="E0E0E0"/>
            </w:tcBorders>
            <w:shd w:val="clear" w:color="auto" w:fill="FFFFFF"/>
          </w:tcPr>
          <w:p w14:paraId="1D65D5A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24,2</w:t>
            </w:r>
          </w:p>
        </w:tc>
        <w:tc>
          <w:tcPr>
            <w:tcW w:w="1812" w:type="dxa"/>
            <w:tcBorders>
              <w:top w:val="single" w:sz="8" w:space="0" w:color="152935"/>
              <w:left w:val="single" w:sz="8" w:space="0" w:color="E0E0E0"/>
              <w:bottom w:val="single" w:sz="8" w:space="0" w:color="AEAEAE"/>
              <w:right w:val="single" w:sz="4" w:space="0" w:color="auto"/>
            </w:tcBorders>
            <w:shd w:val="clear" w:color="auto" w:fill="FFFFFF"/>
          </w:tcPr>
          <w:p w14:paraId="66C142E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24,2</w:t>
            </w:r>
          </w:p>
        </w:tc>
      </w:tr>
      <w:tr w:rsidR="002210A7" w:rsidRPr="00D11D21" w14:paraId="189B7250" w14:textId="77777777" w:rsidTr="00282FFC">
        <w:trPr>
          <w:cantSplit/>
          <w:trHeight w:val="86"/>
          <w:jc w:val="center"/>
        </w:trPr>
        <w:tc>
          <w:tcPr>
            <w:tcW w:w="903" w:type="dxa"/>
            <w:vMerge/>
            <w:tcBorders>
              <w:top w:val="single" w:sz="8" w:space="0" w:color="152935"/>
              <w:left w:val="single" w:sz="4" w:space="0" w:color="auto"/>
              <w:bottom w:val="single" w:sz="8" w:space="0" w:color="152935"/>
              <w:right w:val="nil"/>
            </w:tcBorders>
            <w:shd w:val="clear" w:color="auto" w:fill="E0E0E0"/>
          </w:tcPr>
          <w:p w14:paraId="1E136D7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40" w:type="dxa"/>
            <w:tcBorders>
              <w:top w:val="single" w:sz="8" w:space="0" w:color="AEAEAE"/>
              <w:left w:val="nil"/>
              <w:bottom w:val="single" w:sz="8" w:space="0" w:color="AEAEAE"/>
              <w:right w:val="nil"/>
            </w:tcBorders>
            <w:shd w:val="clear" w:color="auto" w:fill="E0E0E0"/>
          </w:tcPr>
          <w:p w14:paraId="6A5B822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Peu satisfaisant</w:t>
            </w:r>
          </w:p>
        </w:tc>
        <w:tc>
          <w:tcPr>
            <w:tcW w:w="1433" w:type="dxa"/>
            <w:tcBorders>
              <w:top w:val="single" w:sz="8" w:space="0" w:color="AEAEAE"/>
              <w:left w:val="nil"/>
              <w:bottom w:val="single" w:sz="8" w:space="0" w:color="AEAEAE"/>
              <w:right w:val="single" w:sz="8" w:space="0" w:color="E0E0E0"/>
            </w:tcBorders>
            <w:shd w:val="clear" w:color="auto" w:fill="FFFFFF"/>
          </w:tcPr>
          <w:p w14:paraId="539C67F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w:t>
            </w:r>
          </w:p>
        </w:tc>
        <w:tc>
          <w:tcPr>
            <w:tcW w:w="1264" w:type="dxa"/>
            <w:tcBorders>
              <w:top w:val="single" w:sz="8" w:space="0" w:color="AEAEAE"/>
              <w:left w:val="single" w:sz="8" w:space="0" w:color="E0E0E0"/>
              <w:bottom w:val="single" w:sz="8" w:space="0" w:color="AEAEAE"/>
              <w:right w:val="single" w:sz="8" w:space="0" w:color="E0E0E0"/>
            </w:tcBorders>
            <w:shd w:val="clear" w:color="auto" w:fill="FFFFFF"/>
          </w:tcPr>
          <w:p w14:paraId="324DFE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54,5</w:t>
            </w:r>
          </w:p>
        </w:tc>
        <w:tc>
          <w:tcPr>
            <w:tcW w:w="1715" w:type="dxa"/>
            <w:tcBorders>
              <w:top w:val="single" w:sz="8" w:space="0" w:color="AEAEAE"/>
              <w:left w:val="single" w:sz="8" w:space="0" w:color="E0E0E0"/>
              <w:bottom w:val="single" w:sz="8" w:space="0" w:color="AEAEAE"/>
              <w:right w:val="single" w:sz="8" w:space="0" w:color="E0E0E0"/>
            </w:tcBorders>
            <w:shd w:val="clear" w:color="auto" w:fill="FFFFFF"/>
          </w:tcPr>
          <w:p w14:paraId="7520811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54,5</w:t>
            </w:r>
          </w:p>
        </w:tc>
        <w:tc>
          <w:tcPr>
            <w:tcW w:w="1812" w:type="dxa"/>
            <w:tcBorders>
              <w:top w:val="single" w:sz="8" w:space="0" w:color="AEAEAE"/>
              <w:left w:val="single" w:sz="8" w:space="0" w:color="E0E0E0"/>
              <w:bottom w:val="single" w:sz="8" w:space="0" w:color="AEAEAE"/>
              <w:right w:val="single" w:sz="4" w:space="0" w:color="auto"/>
            </w:tcBorders>
            <w:shd w:val="clear" w:color="auto" w:fill="FFFFFF"/>
          </w:tcPr>
          <w:p w14:paraId="7B05625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78,8</w:t>
            </w:r>
          </w:p>
        </w:tc>
      </w:tr>
      <w:tr w:rsidR="002210A7" w:rsidRPr="00D11D21" w14:paraId="3582DE9D" w14:textId="77777777" w:rsidTr="00282FFC">
        <w:trPr>
          <w:cantSplit/>
          <w:trHeight w:val="86"/>
          <w:jc w:val="center"/>
        </w:trPr>
        <w:tc>
          <w:tcPr>
            <w:tcW w:w="903" w:type="dxa"/>
            <w:vMerge/>
            <w:tcBorders>
              <w:top w:val="single" w:sz="8" w:space="0" w:color="152935"/>
              <w:left w:val="single" w:sz="4" w:space="0" w:color="auto"/>
              <w:bottom w:val="single" w:sz="8" w:space="0" w:color="152935"/>
              <w:right w:val="nil"/>
            </w:tcBorders>
            <w:shd w:val="clear" w:color="auto" w:fill="E0E0E0"/>
          </w:tcPr>
          <w:p w14:paraId="1E7D298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40" w:type="dxa"/>
            <w:tcBorders>
              <w:top w:val="single" w:sz="8" w:space="0" w:color="AEAEAE"/>
              <w:left w:val="nil"/>
              <w:bottom w:val="single" w:sz="8" w:space="0" w:color="AEAEAE"/>
              <w:right w:val="nil"/>
            </w:tcBorders>
            <w:shd w:val="clear" w:color="auto" w:fill="E0E0E0"/>
          </w:tcPr>
          <w:p w14:paraId="42AED7F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Satisfaisant</w:t>
            </w:r>
          </w:p>
        </w:tc>
        <w:tc>
          <w:tcPr>
            <w:tcW w:w="1433" w:type="dxa"/>
            <w:tcBorders>
              <w:top w:val="single" w:sz="8" w:space="0" w:color="AEAEAE"/>
              <w:left w:val="nil"/>
              <w:bottom w:val="single" w:sz="8" w:space="0" w:color="AEAEAE"/>
              <w:right w:val="single" w:sz="8" w:space="0" w:color="E0E0E0"/>
            </w:tcBorders>
            <w:shd w:val="clear" w:color="auto" w:fill="FFFFFF"/>
          </w:tcPr>
          <w:p w14:paraId="489EFF5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w:t>
            </w:r>
          </w:p>
        </w:tc>
        <w:tc>
          <w:tcPr>
            <w:tcW w:w="1264" w:type="dxa"/>
            <w:tcBorders>
              <w:top w:val="single" w:sz="8" w:space="0" w:color="AEAEAE"/>
              <w:left w:val="single" w:sz="8" w:space="0" w:color="E0E0E0"/>
              <w:bottom w:val="single" w:sz="8" w:space="0" w:color="AEAEAE"/>
              <w:right w:val="single" w:sz="8" w:space="0" w:color="E0E0E0"/>
            </w:tcBorders>
            <w:shd w:val="clear" w:color="auto" w:fill="FFFFFF"/>
          </w:tcPr>
          <w:p w14:paraId="16B738D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c>
          <w:tcPr>
            <w:tcW w:w="1715" w:type="dxa"/>
            <w:tcBorders>
              <w:top w:val="single" w:sz="8" w:space="0" w:color="AEAEAE"/>
              <w:left w:val="single" w:sz="8" w:space="0" w:color="E0E0E0"/>
              <w:bottom w:val="single" w:sz="8" w:space="0" w:color="AEAEAE"/>
              <w:right w:val="single" w:sz="8" w:space="0" w:color="E0E0E0"/>
            </w:tcBorders>
            <w:shd w:val="clear" w:color="auto" w:fill="FFFFFF"/>
          </w:tcPr>
          <w:p w14:paraId="0E0CC12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c>
          <w:tcPr>
            <w:tcW w:w="1812" w:type="dxa"/>
            <w:tcBorders>
              <w:top w:val="single" w:sz="8" w:space="0" w:color="AEAEAE"/>
              <w:left w:val="single" w:sz="8" w:space="0" w:color="E0E0E0"/>
              <w:bottom w:val="single" w:sz="8" w:space="0" w:color="AEAEAE"/>
              <w:right w:val="single" w:sz="4" w:space="0" w:color="auto"/>
            </w:tcBorders>
            <w:shd w:val="clear" w:color="auto" w:fill="FFFFFF"/>
          </w:tcPr>
          <w:p w14:paraId="1A5B240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60025096" w14:textId="77777777" w:rsidTr="00282FFC">
        <w:trPr>
          <w:cantSplit/>
          <w:trHeight w:val="86"/>
          <w:jc w:val="center"/>
        </w:trPr>
        <w:tc>
          <w:tcPr>
            <w:tcW w:w="903" w:type="dxa"/>
            <w:vMerge/>
            <w:tcBorders>
              <w:top w:val="single" w:sz="8" w:space="0" w:color="152935"/>
              <w:left w:val="single" w:sz="4" w:space="0" w:color="auto"/>
              <w:bottom w:val="single" w:sz="4" w:space="0" w:color="auto"/>
              <w:right w:val="nil"/>
            </w:tcBorders>
            <w:shd w:val="clear" w:color="auto" w:fill="E0E0E0"/>
          </w:tcPr>
          <w:p w14:paraId="78A3095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040" w:type="dxa"/>
            <w:tcBorders>
              <w:top w:val="single" w:sz="8" w:space="0" w:color="AEAEAE"/>
              <w:left w:val="nil"/>
              <w:bottom w:val="single" w:sz="4" w:space="0" w:color="auto"/>
              <w:right w:val="nil"/>
            </w:tcBorders>
            <w:shd w:val="clear" w:color="auto" w:fill="E0E0E0"/>
          </w:tcPr>
          <w:p w14:paraId="21AA6CC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33" w:type="dxa"/>
            <w:tcBorders>
              <w:top w:val="single" w:sz="8" w:space="0" w:color="AEAEAE"/>
              <w:left w:val="nil"/>
              <w:bottom w:val="single" w:sz="4" w:space="0" w:color="auto"/>
              <w:right w:val="single" w:sz="8" w:space="0" w:color="E0E0E0"/>
            </w:tcBorders>
            <w:shd w:val="clear" w:color="auto" w:fill="FFFFFF"/>
          </w:tcPr>
          <w:p w14:paraId="221BF93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64" w:type="dxa"/>
            <w:tcBorders>
              <w:top w:val="single" w:sz="8" w:space="0" w:color="AEAEAE"/>
              <w:left w:val="single" w:sz="8" w:space="0" w:color="E0E0E0"/>
              <w:bottom w:val="single" w:sz="4" w:space="0" w:color="auto"/>
              <w:right w:val="single" w:sz="8" w:space="0" w:color="E0E0E0"/>
            </w:tcBorders>
            <w:shd w:val="clear" w:color="auto" w:fill="FFFFFF"/>
          </w:tcPr>
          <w:p w14:paraId="2634948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15" w:type="dxa"/>
            <w:tcBorders>
              <w:top w:val="single" w:sz="8" w:space="0" w:color="AEAEAE"/>
              <w:left w:val="single" w:sz="8" w:space="0" w:color="E0E0E0"/>
              <w:bottom w:val="single" w:sz="4" w:space="0" w:color="auto"/>
              <w:right w:val="single" w:sz="8" w:space="0" w:color="E0E0E0"/>
            </w:tcBorders>
            <w:shd w:val="clear" w:color="auto" w:fill="FFFFFF"/>
          </w:tcPr>
          <w:p w14:paraId="4A3338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12" w:type="dxa"/>
            <w:tcBorders>
              <w:top w:val="single" w:sz="8" w:space="0" w:color="AEAEAE"/>
              <w:left w:val="single" w:sz="8" w:space="0" w:color="E0E0E0"/>
              <w:bottom w:val="single" w:sz="4" w:space="0" w:color="auto"/>
              <w:right w:val="single" w:sz="4" w:space="0" w:color="auto"/>
            </w:tcBorders>
            <w:shd w:val="clear" w:color="auto" w:fill="FFFFFF"/>
            <w:vAlign w:val="center"/>
          </w:tcPr>
          <w:p w14:paraId="2A10C27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32F9FC35" w14:textId="6CAD7397" w:rsidR="007C4508" w:rsidRPr="00480CC0"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3C1D3D40" w14:textId="4CAEC18B" w:rsidR="00B32A8B" w:rsidRPr="00D11D21" w:rsidRDefault="00B32A8B" w:rsidP="00D11D21">
      <w:pPr>
        <w:pStyle w:val="Lgende"/>
        <w:keepNext/>
        <w:spacing w:line="360" w:lineRule="auto"/>
        <w:jc w:val="both"/>
        <w:rPr>
          <w:rFonts w:asciiTheme="majorBidi" w:hAnsiTheme="majorBidi" w:cstheme="majorBidi"/>
          <w:color w:val="auto"/>
          <w:sz w:val="24"/>
          <w:szCs w:val="24"/>
        </w:rPr>
      </w:pPr>
      <w:bookmarkStart w:id="181" w:name="_Toc200210076"/>
      <w:r w:rsidRPr="00D11D21">
        <w:rPr>
          <w:rFonts w:asciiTheme="majorBidi" w:hAnsiTheme="majorBidi" w:cstheme="majorBidi"/>
          <w:color w:val="auto"/>
          <w:sz w:val="24"/>
          <w:szCs w:val="24"/>
        </w:rPr>
        <w:lastRenderedPageBreak/>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9</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Perception du fonctionnement du budget global</w:t>
      </w:r>
      <w:bookmarkEnd w:id="181"/>
    </w:p>
    <w:p w14:paraId="63590C55" w14:textId="5D3C37BD"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11EABCB4" wp14:editId="55D9ADC1">
            <wp:extent cx="3810000" cy="2216158"/>
            <wp:effectExtent l="0" t="0" r="0" b="0"/>
            <wp:docPr id="133"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2">
                      <a:extLst>
                        <a:ext uri="{28A0092B-C50C-407E-A947-70E740481C1C}">
                          <a14:useLocalDpi xmlns:a14="http://schemas.microsoft.com/office/drawing/2010/main" val="0"/>
                        </a:ext>
                      </a:extLst>
                    </a:blip>
                    <a:srcRect l="4570" t="9747" r="4995" b="904"/>
                    <a:stretch/>
                  </pic:blipFill>
                  <pic:spPr bwMode="auto">
                    <a:xfrm>
                      <a:off x="0" y="0"/>
                      <a:ext cx="3823019" cy="2223731"/>
                    </a:xfrm>
                    <a:prstGeom prst="rect">
                      <a:avLst/>
                    </a:prstGeom>
                    <a:noFill/>
                    <a:ln>
                      <a:noFill/>
                    </a:ln>
                    <a:extLst>
                      <a:ext uri="{53640926-AAD7-44D8-BBD7-CCE9431645EC}">
                        <a14:shadowObscured xmlns:a14="http://schemas.microsoft.com/office/drawing/2010/main"/>
                      </a:ext>
                    </a:extLst>
                  </pic:spPr>
                </pic:pic>
              </a:graphicData>
            </a:graphic>
          </wp:inline>
        </w:drawing>
      </w:r>
    </w:p>
    <w:p w14:paraId="6A3AF26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397D4FC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6A9C014F" w14:textId="30E37939" w:rsidR="002210A7" w:rsidRPr="00480CC0" w:rsidRDefault="002210A7" w:rsidP="00480CC0">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La majorité des répondants (près de 79 %) jugent le budget global actuel comme peu satisfaisant ou insatisfaisant pour financer les hôpitaux. Cela indique une perception négative globale du mode de financement en place. Seule une minorité (21,2 %) le trouvent satisfaisant.</w:t>
      </w:r>
    </w:p>
    <w:p w14:paraId="7DEB279C"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Q2 : Quels sont, selon vous, les principaux avantages du budget global ?</w:t>
      </w:r>
    </w:p>
    <w:p w14:paraId="415B8BCD"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00F0253"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Les réponses à la question sur les avantages du budget global montrent que les participants soulignent principalement trois points :</w:t>
      </w:r>
    </w:p>
    <w:p w14:paraId="0AD9159A" w14:textId="77777777" w:rsidR="002210A7" w:rsidRPr="00D11D21" w:rsidRDefault="002210A7" w:rsidP="00D11D21">
      <w:pPr>
        <w:pStyle w:val="Paragraphedeliste"/>
        <w:numPr>
          <w:ilvl w:val="0"/>
          <w:numId w:val="70"/>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La gratuité des soins : c’est l’avantage le plus souvent cité, exprimé de différentes manières.</w:t>
      </w:r>
    </w:p>
    <w:p w14:paraId="451E7AB4" w14:textId="77777777" w:rsidR="002210A7" w:rsidRPr="00D11D21" w:rsidRDefault="002210A7" w:rsidP="00D11D21">
      <w:pPr>
        <w:pStyle w:val="Paragraphedeliste"/>
        <w:numPr>
          <w:ilvl w:val="0"/>
          <w:numId w:val="70"/>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La stabilité du financement : plusieurs répondants évoquent un financement fixe et régulier pour les hôpitaux.</w:t>
      </w:r>
    </w:p>
    <w:p w14:paraId="3D56295A" w14:textId="77777777" w:rsidR="002210A7" w:rsidRPr="00D11D21" w:rsidRDefault="002210A7" w:rsidP="00D11D21">
      <w:pPr>
        <w:pStyle w:val="Paragraphedeliste"/>
        <w:numPr>
          <w:ilvl w:val="0"/>
          <w:numId w:val="70"/>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La simplicité de gestion budgétaire : certains estiment que le budget global facilite la planification et la gestion.</w:t>
      </w:r>
    </w:p>
    <w:p w14:paraId="2D7D32FE"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Une part des répondants (environ 21 %) n’a pas mentionné d’avantage clair. En résumé, le budget global est perçu comme un mécanisme garantissant l’accès aux soins, avec une gestion plus stable et plus simple.</w:t>
      </w:r>
    </w:p>
    <w:p w14:paraId="371A172F"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Q3 : Quels en sont les principaux inconvénients ?</w:t>
      </w:r>
    </w:p>
    <w:p w14:paraId="7EF848E7"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1611B62A" w14:textId="77777777" w:rsidR="002210A7" w:rsidRPr="00D11D21" w:rsidRDefault="002210A7" w:rsidP="00D11D21">
      <w:pPr>
        <w:shd w:val="clear" w:color="auto" w:fill="FFFFFF" w:themeFill="background1"/>
        <w:ind w:firstLine="360"/>
        <w:jc w:val="both"/>
        <w:rPr>
          <w:rFonts w:asciiTheme="majorBidi" w:hAnsiTheme="majorBidi" w:cstheme="majorBidi"/>
          <w:b/>
          <w:bCs/>
          <w:color w:val="000000" w:themeColor="text1"/>
          <w:szCs w:val="24"/>
        </w:rPr>
      </w:pPr>
      <w:r w:rsidRPr="00D11D21">
        <w:rPr>
          <w:rFonts w:asciiTheme="majorBidi" w:hAnsiTheme="majorBidi" w:cstheme="majorBidi"/>
          <w:color w:val="000000" w:themeColor="text1"/>
          <w:szCs w:val="24"/>
        </w:rPr>
        <w:t>Les réponses mettent en évidence plusieurs inconvénients du budget global selon les participants :</w:t>
      </w:r>
    </w:p>
    <w:p w14:paraId="408620A1" w14:textId="77777777" w:rsidR="002210A7" w:rsidRPr="00D11D21" w:rsidRDefault="002210A7" w:rsidP="00D11D21">
      <w:pPr>
        <w:numPr>
          <w:ilvl w:val="0"/>
          <w:numId w:val="71"/>
        </w:num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lastRenderedPageBreak/>
        <w:t>Manque de contrôle et d’évaluation : c’est l’inconvénient le plus souvent cité. Beaucoup soulignent l’absence de mécanismes de suivi, ce qui peut favoriser le gaspillage ou une mauvaise répartition.</w:t>
      </w:r>
    </w:p>
    <w:p w14:paraId="749EA33E" w14:textId="77777777" w:rsidR="002210A7" w:rsidRPr="00D11D21" w:rsidRDefault="002210A7" w:rsidP="00D11D21">
      <w:pPr>
        <w:numPr>
          <w:ilvl w:val="0"/>
          <w:numId w:val="71"/>
        </w:num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Manque de motivation et d’incitation à l’efficacité : plusieurs répondants estiment que ce système ne pousse pas les hôpitaux à améliorer la qualité ou à innover.</w:t>
      </w:r>
    </w:p>
    <w:p w14:paraId="04E96ACD" w14:textId="77777777" w:rsidR="002210A7" w:rsidRPr="00D11D21" w:rsidRDefault="002210A7" w:rsidP="00D11D21">
      <w:pPr>
        <w:numPr>
          <w:ilvl w:val="0"/>
          <w:numId w:val="71"/>
        </w:num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Inégalités et mauvaise répartition : certains mentionnent une distribution inéquitable des ressources entre établissements ou services.</w:t>
      </w:r>
    </w:p>
    <w:p w14:paraId="09B2F5E5" w14:textId="77777777" w:rsidR="002210A7" w:rsidRPr="00D11D21" w:rsidRDefault="002210A7" w:rsidP="00D11D21">
      <w:pPr>
        <w:numPr>
          <w:ilvl w:val="0"/>
          <w:numId w:val="71"/>
        </w:num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Faible transparence et qualité perçue : des problèmes de clarté et de qualité des soins sont aussi signalés.</w:t>
      </w:r>
    </w:p>
    <w:p w14:paraId="3190073E" w14:textId="77777777" w:rsidR="002210A7" w:rsidRPr="00D11D21" w:rsidRDefault="002210A7" w:rsidP="00D11D21">
      <w:pPr>
        <w:numPr>
          <w:ilvl w:val="0"/>
          <w:numId w:val="71"/>
        </w:num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Réponses absentes ou incomplètes : environ 21 % des participants n'ont pas mentionné d’inconvénients.</w:t>
      </w:r>
    </w:p>
    <w:p w14:paraId="7D72A013"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En résumé, le budget global est perçu comme limitant en matière de performance, de contrôle et de motivation, malgré son objectif de garantir un accès équitable aux soins.</w:t>
      </w:r>
    </w:p>
    <w:p w14:paraId="3173EED7"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Q4 : Pensez-vous que le système actuel de financement favorise l’efficacité financière, l’équité d’accès aux soins, la transparence dans la gestion ou aucun de ces éléments ?</w:t>
      </w:r>
    </w:p>
    <w:p w14:paraId="274826CC" w14:textId="2137E1A0" w:rsidR="002210A7" w:rsidRPr="00772AE8" w:rsidRDefault="007A77EC" w:rsidP="00772AE8">
      <w:pPr>
        <w:pStyle w:val="Lgende"/>
        <w:keepNext/>
        <w:spacing w:line="360" w:lineRule="auto"/>
        <w:jc w:val="both"/>
        <w:rPr>
          <w:rFonts w:asciiTheme="majorBidi" w:hAnsiTheme="majorBidi" w:cstheme="majorBidi"/>
          <w:color w:val="auto"/>
          <w:sz w:val="24"/>
          <w:szCs w:val="24"/>
        </w:rPr>
      </w:pPr>
      <w:bookmarkStart w:id="182" w:name="_Toc200210120"/>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perceptions sur les effets du système actuel de financement</w:t>
      </w:r>
      <w:bookmarkEnd w:id="182"/>
    </w:p>
    <w:tbl>
      <w:tblPr>
        <w:tblW w:w="96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3"/>
        <w:gridCol w:w="2888"/>
        <w:gridCol w:w="1370"/>
        <w:gridCol w:w="1206"/>
        <w:gridCol w:w="1640"/>
        <w:gridCol w:w="1731"/>
      </w:tblGrid>
      <w:tr w:rsidR="002210A7" w:rsidRPr="00D11D21" w14:paraId="4DF495F3" w14:textId="77777777" w:rsidTr="00282FFC">
        <w:trPr>
          <w:cantSplit/>
          <w:trHeight w:val="631"/>
          <w:jc w:val="center"/>
        </w:trPr>
        <w:tc>
          <w:tcPr>
            <w:tcW w:w="3751" w:type="dxa"/>
            <w:gridSpan w:val="2"/>
            <w:tcBorders>
              <w:top w:val="single" w:sz="4" w:space="0" w:color="auto"/>
              <w:left w:val="single" w:sz="4" w:space="0" w:color="auto"/>
              <w:bottom w:val="single" w:sz="8" w:space="0" w:color="152935"/>
              <w:right w:val="nil"/>
            </w:tcBorders>
            <w:shd w:val="clear" w:color="auto" w:fill="FFFFFF"/>
            <w:vAlign w:val="bottom"/>
          </w:tcPr>
          <w:p w14:paraId="1605192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70" w:type="dxa"/>
            <w:tcBorders>
              <w:top w:val="single" w:sz="4" w:space="0" w:color="auto"/>
              <w:left w:val="nil"/>
              <w:bottom w:val="single" w:sz="8" w:space="0" w:color="152935"/>
              <w:right w:val="single" w:sz="8" w:space="0" w:color="E0E0E0"/>
            </w:tcBorders>
            <w:shd w:val="clear" w:color="auto" w:fill="FFFFFF"/>
            <w:vAlign w:val="bottom"/>
          </w:tcPr>
          <w:p w14:paraId="5CA1E99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06"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A8B478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4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C44FC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31" w:type="dxa"/>
            <w:tcBorders>
              <w:top w:val="single" w:sz="4" w:space="0" w:color="auto"/>
              <w:left w:val="single" w:sz="8" w:space="0" w:color="E0E0E0"/>
              <w:bottom w:val="single" w:sz="8" w:space="0" w:color="152935"/>
              <w:right w:val="single" w:sz="4" w:space="0" w:color="auto"/>
            </w:tcBorders>
            <w:shd w:val="clear" w:color="auto" w:fill="FFFFFF"/>
            <w:vAlign w:val="bottom"/>
          </w:tcPr>
          <w:p w14:paraId="5D98E7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052E381E" w14:textId="77777777" w:rsidTr="00282FFC">
        <w:trPr>
          <w:cantSplit/>
          <w:trHeight w:val="631"/>
          <w:jc w:val="center"/>
        </w:trPr>
        <w:tc>
          <w:tcPr>
            <w:tcW w:w="863" w:type="dxa"/>
            <w:vMerge w:val="restart"/>
            <w:tcBorders>
              <w:top w:val="single" w:sz="8" w:space="0" w:color="152935"/>
              <w:left w:val="single" w:sz="4" w:space="0" w:color="auto"/>
              <w:bottom w:val="single" w:sz="8" w:space="0" w:color="152935"/>
              <w:right w:val="nil"/>
            </w:tcBorders>
            <w:shd w:val="clear" w:color="auto" w:fill="E0E0E0"/>
          </w:tcPr>
          <w:p w14:paraId="3B295D5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888" w:type="dxa"/>
            <w:tcBorders>
              <w:top w:val="single" w:sz="8" w:space="0" w:color="152935"/>
              <w:left w:val="nil"/>
              <w:bottom w:val="single" w:sz="8" w:space="0" w:color="AEAEAE"/>
              <w:right w:val="nil"/>
            </w:tcBorders>
            <w:shd w:val="clear" w:color="auto" w:fill="E0E0E0"/>
          </w:tcPr>
          <w:p w14:paraId="3CEE0F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Aucun des éléments ci-dessus</w:t>
            </w:r>
          </w:p>
        </w:tc>
        <w:tc>
          <w:tcPr>
            <w:tcW w:w="1370" w:type="dxa"/>
            <w:tcBorders>
              <w:top w:val="single" w:sz="8" w:space="0" w:color="152935"/>
              <w:left w:val="nil"/>
              <w:bottom w:val="single" w:sz="8" w:space="0" w:color="AEAEAE"/>
              <w:right w:val="single" w:sz="8" w:space="0" w:color="E0E0E0"/>
            </w:tcBorders>
            <w:shd w:val="clear" w:color="auto" w:fill="FFFFFF"/>
          </w:tcPr>
          <w:p w14:paraId="13C312C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206" w:type="dxa"/>
            <w:tcBorders>
              <w:top w:val="single" w:sz="8" w:space="0" w:color="152935"/>
              <w:left w:val="single" w:sz="8" w:space="0" w:color="E0E0E0"/>
              <w:bottom w:val="single" w:sz="8" w:space="0" w:color="AEAEAE"/>
              <w:right w:val="single" w:sz="8" w:space="0" w:color="E0E0E0"/>
            </w:tcBorders>
            <w:shd w:val="clear" w:color="auto" w:fill="FFFFFF"/>
          </w:tcPr>
          <w:p w14:paraId="3DB510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640" w:type="dxa"/>
            <w:tcBorders>
              <w:top w:val="single" w:sz="8" w:space="0" w:color="152935"/>
              <w:left w:val="single" w:sz="8" w:space="0" w:color="E0E0E0"/>
              <w:bottom w:val="single" w:sz="8" w:space="0" w:color="AEAEAE"/>
              <w:right w:val="single" w:sz="8" w:space="0" w:color="E0E0E0"/>
            </w:tcBorders>
            <w:shd w:val="clear" w:color="auto" w:fill="FFFFFF"/>
          </w:tcPr>
          <w:p w14:paraId="66376FD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731" w:type="dxa"/>
            <w:tcBorders>
              <w:top w:val="single" w:sz="8" w:space="0" w:color="152935"/>
              <w:left w:val="single" w:sz="8" w:space="0" w:color="E0E0E0"/>
              <w:bottom w:val="single" w:sz="8" w:space="0" w:color="AEAEAE"/>
              <w:right w:val="single" w:sz="4" w:space="0" w:color="auto"/>
            </w:tcBorders>
            <w:shd w:val="clear" w:color="auto" w:fill="FFFFFF"/>
          </w:tcPr>
          <w:p w14:paraId="77C96B8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r>
      <w:tr w:rsidR="002210A7" w:rsidRPr="00D11D21" w14:paraId="1E00FBC0" w14:textId="77777777" w:rsidTr="00282FFC">
        <w:trPr>
          <w:cantSplit/>
          <w:trHeight w:val="140"/>
          <w:jc w:val="center"/>
        </w:trPr>
        <w:tc>
          <w:tcPr>
            <w:tcW w:w="863" w:type="dxa"/>
            <w:vMerge/>
            <w:tcBorders>
              <w:top w:val="single" w:sz="8" w:space="0" w:color="152935"/>
              <w:left w:val="single" w:sz="4" w:space="0" w:color="auto"/>
              <w:bottom w:val="single" w:sz="8" w:space="0" w:color="152935"/>
              <w:right w:val="nil"/>
            </w:tcBorders>
            <w:shd w:val="clear" w:color="auto" w:fill="E0E0E0"/>
          </w:tcPr>
          <w:p w14:paraId="592B7AF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88" w:type="dxa"/>
            <w:tcBorders>
              <w:top w:val="single" w:sz="8" w:space="0" w:color="AEAEAE"/>
              <w:left w:val="nil"/>
              <w:bottom w:val="single" w:sz="8" w:space="0" w:color="AEAEAE"/>
              <w:right w:val="nil"/>
            </w:tcBorders>
            <w:shd w:val="clear" w:color="auto" w:fill="E0E0E0"/>
          </w:tcPr>
          <w:p w14:paraId="741831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L’efficacité financière</w:t>
            </w:r>
          </w:p>
        </w:tc>
        <w:tc>
          <w:tcPr>
            <w:tcW w:w="1370" w:type="dxa"/>
            <w:tcBorders>
              <w:top w:val="single" w:sz="8" w:space="0" w:color="AEAEAE"/>
              <w:left w:val="nil"/>
              <w:bottom w:val="single" w:sz="8" w:space="0" w:color="AEAEAE"/>
              <w:right w:val="single" w:sz="8" w:space="0" w:color="E0E0E0"/>
            </w:tcBorders>
            <w:shd w:val="clear" w:color="auto" w:fill="FFFFFF"/>
          </w:tcPr>
          <w:p w14:paraId="5F23DC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206" w:type="dxa"/>
            <w:tcBorders>
              <w:top w:val="single" w:sz="8" w:space="0" w:color="AEAEAE"/>
              <w:left w:val="single" w:sz="8" w:space="0" w:color="E0E0E0"/>
              <w:bottom w:val="single" w:sz="8" w:space="0" w:color="AEAEAE"/>
              <w:right w:val="single" w:sz="8" w:space="0" w:color="E0E0E0"/>
            </w:tcBorders>
            <w:shd w:val="clear" w:color="auto" w:fill="FFFFFF"/>
          </w:tcPr>
          <w:p w14:paraId="7DD965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640" w:type="dxa"/>
            <w:tcBorders>
              <w:top w:val="single" w:sz="8" w:space="0" w:color="AEAEAE"/>
              <w:left w:val="single" w:sz="8" w:space="0" w:color="E0E0E0"/>
              <w:bottom w:val="single" w:sz="8" w:space="0" w:color="AEAEAE"/>
              <w:right w:val="single" w:sz="8" w:space="0" w:color="E0E0E0"/>
            </w:tcBorders>
            <w:shd w:val="clear" w:color="auto" w:fill="FFFFFF"/>
          </w:tcPr>
          <w:p w14:paraId="182278E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731" w:type="dxa"/>
            <w:tcBorders>
              <w:top w:val="single" w:sz="8" w:space="0" w:color="AEAEAE"/>
              <w:left w:val="single" w:sz="8" w:space="0" w:color="E0E0E0"/>
              <w:bottom w:val="single" w:sz="8" w:space="0" w:color="AEAEAE"/>
              <w:right w:val="single" w:sz="4" w:space="0" w:color="auto"/>
            </w:tcBorders>
            <w:shd w:val="clear" w:color="auto" w:fill="FFFFFF"/>
          </w:tcPr>
          <w:p w14:paraId="7D86233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r>
      <w:tr w:rsidR="002210A7" w:rsidRPr="00D11D21" w14:paraId="68949E8F" w14:textId="77777777" w:rsidTr="00282FFC">
        <w:trPr>
          <w:cantSplit/>
          <w:trHeight w:val="140"/>
          <w:jc w:val="center"/>
        </w:trPr>
        <w:tc>
          <w:tcPr>
            <w:tcW w:w="863" w:type="dxa"/>
            <w:vMerge/>
            <w:tcBorders>
              <w:top w:val="single" w:sz="8" w:space="0" w:color="152935"/>
              <w:left w:val="single" w:sz="4" w:space="0" w:color="auto"/>
              <w:bottom w:val="single" w:sz="8" w:space="0" w:color="152935"/>
              <w:right w:val="nil"/>
            </w:tcBorders>
            <w:shd w:val="clear" w:color="auto" w:fill="E0E0E0"/>
          </w:tcPr>
          <w:p w14:paraId="26C6AC6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88" w:type="dxa"/>
            <w:tcBorders>
              <w:top w:val="single" w:sz="8" w:space="0" w:color="AEAEAE"/>
              <w:left w:val="nil"/>
              <w:bottom w:val="single" w:sz="8" w:space="0" w:color="AEAEAE"/>
              <w:right w:val="nil"/>
            </w:tcBorders>
            <w:shd w:val="clear" w:color="auto" w:fill="E0E0E0"/>
          </w:tcPr>
          <w:p w14:paraId="2ED1838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L’équité d’accès aux soins</w:t>
            </w:r>
          </w:p>
        </w:tc>
        <w:tc>
          <w:tcPr>
            <w:tcW w:w="1370" w:type="dxa"/>
            <w:tcBorders>
              <w:top w:val="single" w:sz="8" w:space="0" w:color="AEAEAE"/>
              <w:left w:val="nil"/>
              <w:bottom w:val="single" w:sz="8" w:space="0" w:color="AEAEAE"/>
              <w:right w:val="single" w:sz="8" w:space="0" w:color="E0E0E0"/>
            </w:tcBorders>
            <w:shd w:val="clear" w:color="auto" w:fill="FFFFFF"/>
          </w:tcPr>
          <w:p w14:paraId="36AE9E4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206" w:type="dxa"/>
            <w:tcBorders>
              <w:top w:val="single" w:sz="8" w:space="0" w:color="AEAEAE"/>
              <w:left w:val="single" w:sz="8" w:space="0" w:color="E0E0E0"/>
              <w:bottom w:val="single" w:sz="8" w:space="0" w:color="AEAEAE"/>
              <w:right w:val="single" w:sz="8" w:space="0" w:color="E0E0E0"/>
            </w:tcBorders>
            <w:shd w:val="clear" w:color="auto" w:fill="FFFFFF"/>
          </w:tcPr>
          <w:p w14:paraId="63FB601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c>
          <w:tcPr>
            <w:tcW w:w="1640" w:type="dxa"/>
            <w:tcBorders>
              <w:top w:val="single" w:sz="8" w:space="0" w:color="AEAEAE"/>
              <w:left w:val="single" w:sz="8" w:space="0" w:color="E0E0E0"/>
              <w:bottom w:val="single" w:sz="8" w:space="0" w:color="AEAEAE"/>
              <w:right w:val="single" w:sz="8" w:space="0" w:color="E0E0E0"/>
            </w:tcBorders>
            <w:shd w:val="clear" w:color="auto" w:fill="FFFFFF"/>
          </w:tcPr>
          <w:p w14:paraId="3DA218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c>
          <w:tcPr>
            <w:tcW w:w="1731" w:type="dxa"/>
            <w:tcBorders>
              <w:top w:val="single" w:sz="8" w:space="0" w:color="AEAEAE"/>
              <w:left w:val="single" w:sz="8" w:space="0" w:color="E0E0E0"/>
              <w:bottom w:val="single" w:sz="8" w:space="0" w:color="AEAEAE"/>
              <w:right w:val="single" w:sz="4" w:space="0" w:color="auto"/>
            </w:tcBorders>
            <w:shd w:val="clear" w:color="auto" w:fill="FFFFFF"/>
          </w:tcPr>
          <w:p w14:paraId="0E9AED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52F5ED7B" w14:textId="77777777" w:rsidTr="00282FFC">
        <w:trPr>
          <w:cantSplit/>
          <w:trHeight w:val="140"/>
          <w:jc w:val="center"/>
        </w:trPr>
        <w:tc>
          <w:tcPr>
            <w:tcW w:w="863" w:type="dxa"/>
            <w:vMerge/>
            <w:tcBorders>
              <w:top w:val="single" w:sz="8" w:space="0" w:color="152935"/>
              <w:left w:val="single" w:sz="4" w:space="0" w:color="auto"/>
              <w:bottom w:val="single" w:sz="4" w:space="0" w:color="auto"/>
              <w:right w:val="nil"/>
            </w:tcBorders>
            <w:shd w:val="clear" w:color="auto" w:fill="E0E0E0"/>
          </w:tcPr>
          <w:p w14:paraId="2893B3D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88" w:type="dxa"/>
            <w:tcBorders>
              <w:top w:val="single" w:sz="8" w:space="0" w:color="AEAEAE"/>
              <w:left w:val="nil"/>
              <w:bottom w:val="single" w:sz="4" w:space="0" w:color="auto"/>
              <w:right w:val="nil"/>
            </w:tcBorders>
            <w:shd w:val="clear" w:color="auto" w:fill="E0E0E0"/>
          </w:tcPr>
          <w:p w14:paraId="4567C59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70" w:type="dxa"/>
            <w:tcBorders>
              <w:top w:val="single" w:sz="8" w:space="0" w:color="AEAEAE"/>
              <w:left w:val="nil"/>
              <w:bottom w:val="single" w:sz="4" w:space="0" w:color="auto"/>
              <w:right w:val="single" w:sz="8" w:space="0" w:color="E0E0E0"/>
            </w:tcBorders>
            <w:shd w:val="clear" w:color="auto" w:fill="FFFFFF"/>
          </w:tcPr>
          <w:p w14:paraId="3913A39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06" w:type="dxa"/>
            <w:tcBorders>
              <w:top w:val="single" w:sz="8" w:space="0" w:color="AEAEAE"/>
              <w:left w:val="single" w:sz="8" w:space="0" w:color="E0E0E0"/>
              <w:bottom w:val="single" w:sz="4" w:space="0" w:color="auto"/>
              <w:right w:val="single" w:sz="8" w:space="0" w:color="E0E0E0"/>
            </w:tcBorders>
            <w:shd w:val="clear" w:color="auto" w:fill="FFFFFF"/>
          </w:tcPr>
          <w:p w14:paraId="4178D0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40" w:type="dxa"/>
            <w:tcBorders>
              <w:top w:val="single" w:sz="8" w:space="0" w:color="AEAEAE"/>
              <w:left w:val="single" w:sz="8" w:space="0" w:color="E0E0E0"/>
              <w:bottom w:val="single" w:sz="4" w:space="0" w:color="auto"/>
              <w:right w:val="single" w:sz="8" w:space="0" w:color="E0E0E0"/>
            </w:tcBorders>
            <w:shd w:val="clear" w:color="auto" w:fill="FFFFFF"/>
          </w:tcPr>
          <w:p w14:paraId="52F59B8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31" w:type="dxa"/>
            <w:tcBorders>
              <w:top w:val="single" w:sz="8" w:space="0" w:color="AEAEAE"/>
              <w:left w:val="single" w:sz="8" w:space="0" w:color="E0E0E0"/>
              <w:bottom w:val="single" w:sz="4" w:space="0" w:color="auto"/>
              <w:right w:val="single" w:sz="4" w:space="0" w:color="auto"/>
            </w:tcBorders>
            <w:shd w:val="clear" w:color="auto" w:fill="FFFFFF"/>
            <w:vAlign w:val="center"/>
          </w:tcPr>
          <w:p w14:paraId="335B5C6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0831BD78" w14:textId="72BE4B1F" w:rsidR="00772AE8"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bookmarkStart w:id="183" w:name="_Toc200210077"/>
    </w:p>
    <w:p w14:paraId="19BC3D41" w14:textId="17B2FA46" w:rsidR="009902F2" w:rsidRPr="00D11D21" w:rsidRDefault="009902F2"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Figure </w:t>
      </w:r>
      <w:r w:rsidRPr="00D11D21">
        <w:rPr>
          <w:rFonts w:asciiTheme="majorBidi" w:hAnsiTheme="majorBidi" w:cstheme="majorBidi"/>
          <w:szCs w:val="24"/>
        </w:rPr>
        <w:fldChar w:fldCharType="begin"/>
      </w:r>
      <w:r w:rsidRPr="00D11D21">
        <w:rPr>
          <w:rFonts w:asciiTheme="majorBidi" w:hAnsiTheme="majorBidi" w:cstheme="majorBidi"/>
          <w:szCs w:val="24"/>
        </w:rPr>
        <w:instrText xml:space="preserve"> SEQ Figure \* ARABIC </w:instrText>
      </w:r>
      <w:r w:rsidRPr="00D11D21">
        <w:rPr>
          <w:rFonts w:asciiTheme="majorBidi" w:hAnsiTheme="majorBidi" w:cstheme="majorBidi"/>
          <w:szCs w:val="24"/>
        </w:rPr>
        <w:fldChar w:fldCharType="separate"/>
      </w:r>
      <w:r w:rsidR="001679A8" w:rsidRPr="00D11D21">
        <w:rPr>
          <w:rFonts w:asciiTheme="majorBidi" w:hAnsiTheme="majorBidi" w:cstheme="majorBidi"/>
          <w:noProof/>
          <w:szCs w:val="24"/>
        </w:rPr>
        <w:t>10</w:t>
      </w:r>
      <w:r w:rsidRPr="00D11D21">
        <w:rPr>
          <w:rFonts w:asciiTheme="majorBidi" w:hAnsiTheme="majorBidi" w:cstheme="majorBidi"/>
          <w:szCs w:val="24"/>
        </w:rPr>
        <w:fldChar w:fldCharType="end"/>
      </w:r>
      <w:r w:rsidRPr="00D11D21">
        <w:rPr>
          <w:rFonts w:asciiTheme="majorBidi" w:hAnsiTheme="majorBidi" w:cstheme="majorBidi"/>
          <w:szCs w:val="24"/>
        </w:rPr>
        <w:t>: Perceptions sur les effets du système actuel de financement</w:t>
      </w:r>
      <w:bookmarkEnd w:id="183"/>
    </w:p>
    <w:p w14:paraId="3B8A8C3A" w14:textId="77777777" w:rsidR="005C3BEE" w:rsidRDefault="002210A7" w:rsidP="005C3BEE">
      <w:pPr>
        <w:autoSpaceDE w:val="0"/>
        <w:autoSpaceDN w:val="0"/>
        <w:adjustRightInd w:val="0"/>
        <w:spacing w:after="0"/>
        <w:rPr>
          <w:rFonts w:asciiTheme="majorBidi" w:hAnsiTheme="majorBidi" w:cstheme="majorBidi"/>
          <w:b/>
          <w:bCs/>
          <w:szCs w:val="24"/>
        </w:rPr>
      </w:pPr>
      <w:r w:rsidRPr="00D11D21">
        <w:rPr>
          <w:rFonts w:asciiTheme="majorBidi" w:hAnsiTheme="majorBidi" w:cstheme="majorBidi"/>
          <w:noProof/>
          <w:szCs w:val="24"/>
          <w:lang w:eastAsia="fr-FR"/>
        </w:rPr>
        <w:drawing>
          <wp:inline distT="0" distB="0" distL="0" distR="0" wp14:anchorId="0132EC0E" wp14:editId="579E762F">
            <wp:extent cx="2981325" cy="1562835"/>
            <wp:effectExtent l="0" t="0" r="0" b="0"/>
            <wp:docPr id="134" name="Imag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6498"/>
                    <a:stretch/>
                  </pic:blipFill>
                  <pic:spPr bwMode="auto">
                    <a:xfrm>
                      <a:off x="0" y="0"/>
                      <a:ext cx="3002370" cy="1573867"/>
                    </a:xfrm>
                    <a:prstGeom prst="rect">
                      <a:avLst/>
                    </a:prstGeom>
                    <a:noFill/>
                    <a:ln>
                      <a:noFill/>
                    </a:ln>
                    <a:extLst>
                      <a:ext uri="{53640926-AAD7-44D8-BBD7-CCE9431645EC}">
                        <a14:shadowObscured xmlns:a14="http://schemas.microsoft.com/office/drawing/2010/main"/>
                      </a:ext>
                    </a:extLst>
                  </pic:spPr>
                </pic:pic>
              </a:graphicData>
            </a:graphic>
          </wp:inline>
        </w:drawing>
      </w:r>
    </w:p>
    <w:p w14:paraId="4B0C1F50" w14:textId="235CD600" w:rsidR="002210A7" w:rsidRPr="00D11D21" w:rsidRDefault="002210A7" w:rsidP="005C3BEE">
      <w:pPr>
        <w:autoSpaceDE w:val="0"/>
        <w:autoSpaceDN w:val="0"/>
        <w:adjustRightInd w:val="0"/>
        <w:spacing w:after="0"/>
        <w:rPr>
          <w:rFonts w:asciiTheme="majorBidi" w:hAnsiTheme="majorBidi" w:cstheme="majorBidi"/>
          <w:szCs w:val="24"/>
        </w:rPr>
      </w:pPr>
      <w:r w:rsidRPr="00D11D21">
        <w:rPr>
          <w:rFonts w:asciiTheme="majorBidi" w:hAnsiTheme="majorBidi" w:cstheme="majorBidi"/>
          <w:b/>
          <w:bCs/>
          <w:szCs w:val="24"/>
        </w:rPr>
        <w:lastRenderedPageBreak/>
        <w:t>Source :</w:t>
      </w:r>
      <w:r w:rsidRPr="00D11D21">
        <w:rPr>
          <w:rFonts w:asciiTheme="majorBidi" w:hAnsiTheme="majorBidi" w:cstheme="majorBidi"/>
          <w:szCs w:val="24"/>
        </w:rPr>
        <w:t xml:space="preserve"> Conception personnelle sur le logiciel SPSS 26</w:t>
      </w:r>
    </w:p>
    <w:p w14:paraId="2B1A2465"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24F2F27C"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Les résultats montrent que la majorité des répondants (66,7 %) estiment que le système actuel de financement favorise l’équité d’accès aux soins. Cela confirme l’un des objectifs principaux du budget global, à savoir garantir un accès aux soins pour tous, sans condition de revenu ou de performance.</w:t>
      </w:r>
    </w:p>
    <w:p w14:paraId="174D56F1"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En revanche, seuls 15,2 % pensent qu’il favorise l’efficacité financière, ce qui renforce les critiques relevées dans les questions précédentes (manque de contrôle, gaspillage, faible motivation à l’efficience).</w:t>
      </w:r>
    </w:p>
    <w:p w14:paraId="49652CF2" w14:textId="61D56C55" w:rsidR="002210A7" w:rsidRPr="00D11D21" w:rsidRDefault="002210A7" w:rsidP="005C3BEE">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Enfin, 18,2 % des participants considèrent que le système ne favorise aucun de ces aspects, ce qui reflète un certain scepticisme ou insatisfaction globale.</w:t>
      </w:r>
    </w:p>
    <w:p w14:paraId="497A2AC3"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Q5 : Votre caisse utilise-t-elle un système d'information intégré pour le suivi des remboursements hospitaliers ?</w:t>
      </w:r>
    </w:p>
    <w:p w14:paraId="70252796" w14:textId="26641A94" w:rsidR="002210A7" w:rsidRPr="00772AE8" w:rsidRDefault="009902F2" w:rsidP="00772AE8">
      <w:pPr>
        <w:pStyle w:val="Lgende"/>
        <w:keepNext/>
        <w:spacing w:line="360" w:lineRule="auto"/>
        <w:jc w:val="both"/>
        <w:rPr>
          <w:rFonts w:asciiTheme="majorBidi" w:hAnsiTheme="majorBidi" w:cstheme="majorBidi"/>
          <w:color w:val="auto"/>
          <w:sz w:val="24"/>
          <w:szCs w:val="24"/>
        </w:rPr>
      </w:pPr>
      <w:bookmarkStart w:id="184" w:name="_Toc200210121"/>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Utilisation d’un système d’information intégré</w:t>
      </w:r>
      <w:bookmarkEnd w:id="184"/>
    </w:p>
    <w:tbl>
      <w:tblPr>
        <w:tblW w:w="95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7"/>
        <w:gridCol w:w="2813"/>
        <w:gridCol w:w="1362"/>
        <w:gridCol w:w="1198"/>
        <w:gridCol w:w="1628"/>
        <w:gridCol w:w="1719"/>
      </w:tblGrid>
      <w:tr w:rsidR="002210A7" w:rsidRPr="00D11D21" w14:paraId="1DA96A48" w14:textId="77777777" w:rsidTr="00282FFC">
        <w:trPr>
          <w:cantSplit/>
          <w:trHeight w:val="423"/>
          <w:jc w:val="center"/>
        </w:trPr>
        <w:tc>
          <w:tcPr>
            <w:tcW w:w="3670" w:type="dxa"/>
            <w:gridSpan w:val="2"/>
            <w:tcBorders>
              <w:top w:val="single" w:sz="4" w:space="0" w:color="auto"/>
              <w:left w:val="single" w:sz="4" w:space="0" w:color="auto"/>
              <w:bottom w:val="single" w:sz="8" w:space="0" w:color="152935"/>
              <w:right w:val="nil"/>
            </w:tcBorders>
            <w:shd w:val="clear" w:color="auto" w:fill="FFFFFF"/>
            <w:vAlign w:val="bottom"/>
          </w:tcPr>
          <w:p w14:paraId="5C6CA26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62" w:type="dxa"/>
            <w:tcBorders>
              <w:top w:val="single" w:sz="4" w:space="0" w:color="auto"/>
              <w:left w:val="nil"/>
              <w:bottom w:val="single" w:sz="8" w:space="0" w:color="152935"/>
              <w:right w:val="single" w:sz="8" w:space="0" w:color="E0E0E0"/>
            </w:tcBorders>
            <w:shd w:val="clear" w:color="auto" w:fill="FFFFFF"/>
            <w:vAlign w:val="bottom"/>
          </w:tcPr>
          <w:p w14:paraId="4E9EF51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19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32DBC5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2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C9E290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19" w:type="dxa"/>
            <w:tcBorders>
              <w:top w:val="single" w:sz="4" w:space="0" w:color="auto"/>
              <w:left w:val="single" w:sz="8" w:space="0" w:color="E0E0E0"/>
              <w:bottom w:val="single" w:sz="8" w:space="0" w:color="152935"/>
              <w:right w:val="single" w:sz="4" w:space="0" w:color="auto"/>
            </w:tcBorders>
            <w:shd w:val="clear" w:color="auto" w:fill="FFFFFF"/>
            <w:vAlign w:val="bottom"/>
          </w:tcPr>
          <w:p w14:paraId="6A997EF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02E9707F" w14:textId="77777777" w:rsidTr="00282FFC">
        <w:trPr>
          <w:cantSplit/>
          <w:trHeight w:val="211"/>
          <w:jc w:val="center"/>
        </w:trPr>
        <w:tc>
          <w:tcPr>
            <w:tcW w:w="857" w:type="dxa"/>
            <w:vMerge w:val="restart"/>
            <w:tcBorders>
              <w:top w:val="single" w:sz="8" w:space="0" w:color="152935"/>
              <w:left w:val="single" w:sz="4" w:space="0" w:color="auto"/>
              <w:bottom w:val="single" w:sz="8" w:space="0" w:color="152935"/>
              <w:right w:val="nil"/>
            </w:tcBorders>
            <w:shd w:val="clear" w:color="auto" w:fill="E0E0E0"/>
          </w:tcPr>
          <w:p w14:paraId="075F12B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813" w:type="dxa"/>
            <w:tcBorders>
              <w:top w:val="single" w:sz="8" w:space="0" w:color="152935"/>
              <w:left w:val="nil"/>
              <w:bottom w:val="single" w:sz="8" w:space="0" w:color="AEAEAE"/>
              <w:right w:val="nil"/>
            </w:tcBorders>
            <w:shd w:val="clear" w:color="auto" w:fill="E0E0E0"/>
          </w:tcPr>
          <w:p w14:paraId="655EBA8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En cours de déploiement</w:t>
            </w:r>
          </w:p>
        </w:tc>
        <w:tc>
          <w:tcPr>
            <w:tcW w:w="1362" w:type="dxa"/>
            <w:tcBorders>
              <w:top w:val="single" w:sz="8" w:space="0" w:color="152935"/>
              <w:left w:val="nil"/>
              <w:bottom w:val="single" w:sz="8" w:space="0" w:color="AEAEAE"/>
              <w:right w:val="single" w:sz="8" w:space="0" w:color="E0E0E0"/>
            </w:tcBorders>
            <w:shd w:val="clear" w:color="auto" w:fill="FFFFFF"/>
          </w:tcPr>
          <w:p w14:paraId="7E2757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c>
          <w:tcPr>
            <w:tcW w:w="1198" w:type="dxa"/>
            <w:tcBorders>
              <w:top w:val="single" w:sz="8" w:space="0" w:color="152935"/>
              <w:left w:val="single" w:sz="8" w:space="0" w:color="E0E0E0"/>
              <w:bottom w:val="single" w:sz="8" w:space="0" w:color="AEAEAE"/>
              <w:right w:val="single" w:sz="8" w:space="0" w:color="E0E0E0"/>
            </w:tcBorders>
            <w:shd w:val="clear" w:color="auto" w:fill="FFFFFF"/>
          </w:tcPr>
          <w:p w14:paraId="4648AD7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c>
          <w:tcPr>
            <w:tcW w:w="1628" w:type="dxa"/>
            <w:tcBorders>
              <w:top w:val="single" w:sz="8" w:space="0" w:color="152935"/>
              <w:left w:val="single" w:sz="8" w:space="0" w:color="E0E0E0"/>
              <w:bottom w:val="single" w:sz="8" w:space="0" w:color="AEAEAE"/>
              <w:right w:val="single" w:sz="8" w:space="0" w:color="E0E0E0"/>
            </w:tcBorders>
            <w:shd w:val="clear" w:color="auto" w:fill="FFFFFF"/>
          </w:tcPr>
          <w:p w14:paraId="6D33B71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c>
          <w:tcPr>
            <w:tcW w:w="1719" w:type="dxa"/>
            <w:tcBorders>
              <w:top w:val="single" w:sz="8" w:space="0" w:color="152935"/>
              <w:left w:val="single" w:sz="8" w:space="0" w:color="E0E0E0"/>
              <w:bottom w:val="single" w:sz="8" w:space="0" w:color="AEAEAE"/>
              <w:right w:val="single" w:sz="4" w:space="0" w:color="auto"/>
            </w:tcBorders>
            <w:shd w:val="clear" w:color="auto" w:fill="FFFFFF"/>
          </w:tcPr>
          <w:p w14:paraId="74051AF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r>
      <w:tr w:rsidR="002210A7" w:rsidRPr="00D11D21" w14:paraId="6AE6DA31" w14:textId="77777777" w:rsidTr="00282FFC">
        <w:trPr>
          <w:cantSplit/>
          <w:trHeight w:val="94"/>
          <w:jc w:val="center"/>
        </w:trPr>
        <w:tc>
          <w:tcPr>
            <w:tcW w:w="857" w:type="dxa"/>
            <w:vMerge/>
            <w:tcBorders>
              <w:top w:val="single" w:sz="8" w:space="0" w:color="152935"/>
              <w:left w:val="single" w:sz="4" w:space="0" w:color="auto"/>
              <w:bottom w:val="single" w:sz="8" w:space="0" w:color="152935"/>
              <w:right w:val="nil"/>
            </w:tcBorders>
            <w:shd w:val="clear" w:color="auto" w:fill="E0E0E0"/>
          </w:tcPr>
          <w:p w14:paraId="508D731B"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13" w:type="dxa"/>
            <w:tcBorders>
              <w:top w:val="single" w:sz="8" w:space="0" w:color="AEAEAE"/>
              <w:left w:val="nil"/>
              <w:bottom w:val="single" w:sz="8" w:space="0" w:color="AEAEAE"/>
              <w:right w:val="nil"/>
            </w:tcBorders>
            <w:shd w:val="clear" w:color="auto" w:fill="E0E0E0"/>
          </w:tcPr>
          <w:p w14:paraId="5D85AAC6" w14:textId="349A3867" w:rsidR="002210A7" w:rsidRPr="00D11D21" w:rsidRDefault="00FE1E7D"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362" w:type="dxa"/>
            <w:tcBorders>
              <w:top w:val="single" w:sz="8" w:space="0" w:color="AEAEAE"/>
              <w:left w:val="nil"/>
              <w:bottom w:val="single" w:sz="8" w:space="0" w:color="AEAEAE"/>
              <w:right w:val="single" w:sz="8" w:space="0" w:color="E0E0E0"/>
            </w:tcBorders>
            <w:shd w:val="clear" w:color="auto" w:fill="FFFFFF"/>
          </w:tcPr>
          <w:p w14:paraId="6BF5683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c>
          <w:tcPr>
            <w:tcW w:w="1198" w:type="dxa"/>
            <w:tcBorders>
              <w:top w:val="single" w:sz="8" w:space="0" w:color="AEAEAE"/>
              <w:left w:val="single" w:sz="8" w:space="0" w:color="E0E0E0"/>
              <w:bottom w:val="single" w:sz="8" w:space="0" w:color="AEAEAE"/>
              <w:right w:val="single" w:sz="8" w:space="0" w:color="E0E0E0"/>
            </w:tcBorders>
            <w:shd w:val="clear" w:color="auto" w:fill="FFFFFF"/>
          </w:tcPr>
          <w:p w14:paraId="40ABCA3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27,3</w:t>
            </w:r>
          </w:p>
        </w:tc>
        <w:tc>
          <w:tcPr>
            <w:tcW w:w="1628" w:type="dxa"/>
            <w:tcBorders>
              <w:top w:val="single" w:sz="8" w:space="0" w:color="AEAEAE"/>
              <w:left w:val="single" w:sz="8" w:space="0" w:color="E0E0E0"/>
              <w:bottom w:val="single" w:sz="8" w:space="0" w:color="AEAEAE"/>
              <w:right w:val="single" w:sz="8" w:space="0" w:color="E0E0E0"/>
            </w:tcBorders>
            <w:shd w:val="clear" w:color="auto" w:fill="FFFFFF"/>
          </w:tcPr>
          <w:p w14:paraId="197A724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27,3</w:t>
            </w:r>
          </w:p>
        </w:tc>
        <w:tc>
          <w:tcPr>
            <w:tcW w:w="1719" w:type="dxa"/>
            <w:tcBorders>
              <w:top w:val="single" w:sz="8" w:space="0" w:color="AEAEAE"/>
              <w:left w:val="single" w:sz="8" w:space="0" w:color="E0E0E0"/>
              <w:bottom w:val="single" w:sz="8" w:space="0" w:color="AEAEAE"/>
              <w:right w:val="single" w:sz="4" w:space="0" w:color="auto"/>
            </w:tcBorders>
            <w:shd w:val="clear" w:color="auto" w:fill="FFFFFF"/>
          </w:tcPr>
          <w:p w14:paraId="097F121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63,6</w:t>
            </w:r>
          </w:p>
        </w:tc>
      </w:tr>
      <w:tr w:rsidR="002210A7" w:rsidRPr="00D11D21" w14:paraId="1BF6B916" w14:textId="77777777" w:rsidTr="00282FFC">
        <w:trPr>
          <w:cantSplit/>
          <w:trHeight w:val="94"/>
          <w:jc w:val="center"/>
        </w:trPr>
        <w:tc>
          <w:tcPr>
            <w:tcW w:w="857" w:type="dxa"/>
            <w:vMerge/>
            <w:tcBorders>
              <w:top w:val="single" w:sz="8" w:space="0" w:color="152935"/>
              <w:left w:val="single" w:sz="4" w:space="0" w:color="auto"/>
              <w:bottom w:val="single" w:sz="8" w:space="0" w:color="152935"/>
              <w:right w:val="nil"/>
            </w:tcBorders>
            <w:shd w:val="clear" w:color="auto" w:fill="E0E0E0"/>
          </w:tcPr>
          <w:p w14:paraId="354D8D1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13" w:type="dxa"/>
            <w:tcBorders>
              <w:top w:val="single" w:sz="8" w:space="0" w:color="AEAEAE"/>
              <w:left w:val="nil"/>
              <w:bottom w:val="single" w:sz="8" w:space="0" w:color="AEAEAE"/>
              <w:right w:val="nil"/>
            </w:tcBorders>
            <w:shd w:val="clear" w:color="auto" w:fill="E0E0E0"/>
          </w:tcPr>
          <w:p w14:paraId="7B29F4BB" w14:textId="14DB3298" w:rsidR="002210A7" w:rsidRPr="00D11D21" w:rsidRDefault="00FE1E7D"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362" w:type="dxa"/>
            <w:tcBorders>
              <w:top w:val="single" w:sz="8" w:space="0" w:color="AEAEAE"/>
              <w:left w:val="nil"/>
              <w:bottom w:val="single" w:sz="8" w:space="0" w:color="AEAEAE"/>
              <w:right w:val="single" w:sz="8" w:space="0" w:color="E0E0E0"/>
            </w:tcBorders>
            <w:shd w:val="clear" w:color="auto" w:fill="FFFFFF"/>
          </w:tcPr>
          <w:p w14:paraId="139E9A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c>
          <w:tcPr>
            <w:tcW w:w="1198" w:type="dxa"/>
            <w:tcBorders>
              <w:top w:val="single" w:sz="8" w:space="0" w:color="AEAEAE"/>
              <w:left w:val="single" w:sz="8" w:space="0" w:color="E0E0E0"/>
              <w:bottom w:val="single" w:sz="8" w:space="0" w:color="AEAEAE"/>
              <w:right w:val="single" w:sz="8" w:space="0" w:color="E0E0E0"/>
            </w:tcBorders>
            <w:shd w:val="clear" w:color="auto" w:fill="FFFFFF"/>
          </w:tcPr>
          <w:p w14:paraId="468D8E1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c>
          <w:tcPr>
            <w:tcW w:w="1628" w:type="dxa"/>
            <w:tcBorders>
              <w:top w:val="single" w:sz="8" w:space="0" w:color="AEAEAE"/>
              <w:left w:val="single" w:sz="8" w:space="0" w:color="E0E0E0"/>
              <w:bottom w:val="single" w:sz="8" w:space="0" w:color="AEAEAE"/>
              <w:right w:val="single" w:sz="8" w:space="0" w:color="E0E0E0"/>
            </w:tcBorders>
            <w:shd w:val="clear" w:color="auto" w:fill="FFFFFF"/>
          </w:tcPr>
          <w:p w14:paraId="3F909E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c>
          <w:tcPr>
            <w:tcW w:w="1719" w:type="dxa"/>
            <w:tcBorders>
              <w:top w:val="single" w:sz="8" w:space="0" w:color="AEAEAE"/>
              <w:left w:val="single" w:sz="8" w:space="0" w:color="E0E0E0"/>
              <w:bottom w:val="single" w:sz="8" w:space="0" w:color="AEAEAE"/>
              <w:right w:val="single" w:sz="4" w:space="0" w:color="auto"/>
            </w:tcBorders>
            <w:shd w:val="clear" w:color="auto" w:fill="FFFFFF"/>
          </w:tcPr>
          <w:p w14:paraId="2A18FEE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7D16ED0B" w14:textId="77777777" w:rsidTr="00282FFC">
        <w:trPr>
          <w:cantSplit/>
          <w:trHeight w:val="94"/>
          <w:jc w:val="center"/>
        </w:trPr>
        <w:tc>
          <w:tcPr>
            <w:tcW w:w="857" w:type="dxa"/>
            <w:vMerge/>
            <w:tcBorders>
              <w:top w:val="single" w:sz="8" w:space="0" w:color="152935"/>
              <w:left w:val="single" w:sz="4" w:space="0" w:color="auto"/>
              <w:bottom w:val="single" w:sz="4" w:space="0" w:color="auto"/>
              <w:right w:val="nil"/>
            </w:tcBorders>
            <w:shd w:val="clear" w:color="auto" w:fill="E0E0E0"/>
          </w:tcPr>
          <w:p w14:paraId="63272F1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13" w:type="dxa"/>
            <w:tcBorders>
              <w:top w:val="single" w:sz="8" w:space="0" w:color="AEAEAE"/>
              <w:left w:val="nil"/>
              <w:bottom w:val="single" w:sz="4" w:space="0" w:color="auto"/>
              <w:right w:val="nil"/>
            </w:tcBorders>
            <w:shd w:val="clear" w:color="auto" w:fill="E0E0E0"/>
          </w:tcPr>
          <w:p w14:paraId="7145BA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62" w:type="dxa"/>
            <w:tcBorders>
              <w:top w:val="single" w:sz="8" w:space="0" w:color="AEAEAE"/>
              <w:left w:val="nil"/>
              <w:bottom w:val="single" w:sz="4" w:space="0" w:color="auto"/>
              <w:right w:val="single" w:sz="8" w:space="0" w:color="E0E0E0"/>
            </w:tcBorders>
            <w:shd w:val="clear" w:color="auto" w:fill="FFFFFF"/>
          </w:tcPr>
          <w:p w14:paraId="1B138E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198" w:type="dxa"/>
            <w:tcBorders>
              <w:top w:val="single" w:sz="8" w:space="0" w:color="AEAEAE"/>
              <w:left w:val="single" w:sz="8" w:space="0" w:color="E0E0E0"/>
              <w:bottom w:val="single" w:sz="4" w:space="0" w:color="auto"/>
              <w:right w:val="single" w:sz="8" w:space="0" w:color="E0E0E0"/>
            </w:tcBorders>
            <w:shd w:val="clear" w:color="auto" w:fill="FFFFFF"/>
          </w:tcPr>
          <w:p w14:paraId="5860736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28" w:type="dxa"/>
            <w:tcBorders>
              <w:top w:val="single" w:sz="8" w:space="0" w:color="AEAEAE"/>
              <w:left w:val="single" w:sz="8" w:space="0" w:color="E0E0E0"/>
              <w:bottom w:val="single" w:sz="4" w:space="0" w:color="auto"/>
              <w:right w:val="single" w:sz="8" w:space="0" w:color="E0E0E0"/>
            </w:tcBorders>
            <w:shd w:val="clear" w:color="auto" w:fill="FFFFFF"/>
          </w:tcPr>
          <w:p w14:paraId="0738B9F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19" w:type="dxa"/>
            <w:tcBorders>
              <w:top w:val="single" w:sz="8" w:space="0" w:color="AEAEAE"/>
              <w:left w:val="single" w:sz="8" w:space="0" w:color="E0E0E0"/>
              <w:bottom w:val="single" w:sz="4" w:space="0" w:color="auto"/>
              <w:right w:val="single" w:sz="4" w:space="0" w:color="auto"/>
            </w:tcBorders>
            <w:shd w:val="clear" w:color="auto" w:fill="FFFFFF"/>
            <w:vAlign w:val="center"/>
          </w:tcPr>
          <w:p w14:paraId="264340B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39A99363" w14:textId="579F2BAF" w:rsidR="009902F2" w:rsidRPr="00D11D21"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17D85125" w14:textId="579F2BAF" w:rsidR="002210A7" w:rsidRPr="00D11D21" w:rsidRDefault="00D0688F" w:rsidP="00D11D21">
      <w:pPr>
        <w:pStyle w:val="Lgende"/>
        <w:keepNext/>
        <w:spacing w:line="360" w:lineRule="auto"/>
        <w:jc w:val="both"/>
        <w:rPr>
          <w:rFonts w:asciiTheme="majorBidi" w:hAnsiTheme="majorBidi" w:cstheme="majorBidi"/>
          <w:color w:val="auto"/>
          <w:sz w:val="24"/>
          <w:szCs w:val="24"/>
        </w:rPr>
      </w:pPr>
      <w:bookmarkStart w:id="185" w:name="_Toc200210078"/>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Utilisation d’un système d’information intégré</w:t>
      </w:r>
      <w:bookmarkEnd w:id="185"/>
    </w:p>
    <w:p w14:paraId="60ADA64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3C446D8B" wp14:editId="07127692">
            <wp:extent cx="3355145" cy="1850500"/>
            <wp:effectExtent l="0" t="0" r="0" b="0"/>
            <wp:docPr id="135" name="Imag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6318"/>
                    <a:stretch/>
                  </pic:blipFill>
                  <pic:spPr bwMode="auto">
                    <a:xfrm>
                      <a:off x="0" y="0"/>
                      <a:ext cx="3374354" cy="1861094"/>
                    </a:xfrm>
                    <a:prstGeom prst="rect">
                      <a:avLst/>
                    </a:prstGeom>
                    <a:noFill/>
                    <a:ln>
                      <a:noFill/>
                    </a:ln>
                    <a:extLst>
                      <a:ext uri="{53640926-AAD7-44D8-BBD7-CCE9431645EC}">
                        <a14:shadowObscured xmlns:a14="http://schemas.microsoft.com/office/drawing/2010/main"/>
                      </a:ext>
                    </a:extLst>
                  </pic:spPr>
                </pic:pic>
              </a:graphicData>
            </a:graphic>
          </wp:inline>
        </w:drawing>
      </w:r>
    </w:p>
    <w:p w14:paraId="00D191B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2D10197"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2736AFFC"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réponses à cette question montrent une situation partagée concernant l’utilisation d’un système d'information intégré pour le suivi des remboursements hospitaliers :</w:t>
      </w:r>
    </w:p>
    <w:p w14:paraId="780A2960" w14:textId="77777777" w:rsidR="002210A7" w:rsidRPr="00D11D21" w:rsidRDefault="002210A7" w:rsidP="00D11D21">
      <w:pPr>
        <w:pStyle w:val="Paragraphedeliste"/>
        <w:numPr>
          <w:ilvl w:val="0"/>
          <w:numId w:val="72"/>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lastRenderedPageBreak/>
        <w:t>36,4 % des répondants indiquent que leur caisse utilise déjà un tel système.</w:t>
      </w:r>
    </w:p>
    <w:p w14:paraId="38E23CBA" w14:textId="77777777" w:rsidR="002210A7" w:rsidRPr="00D11D21" w:rsidRDefault="002210A7" w:rsidP="00D11D21">
      <w:pPr>
        <w:pStyle w:val="Paragraphedeliste"/>
        <w:numPr>
          <w:ilvl w:val="0"/>
          <w:numId w:val="72"/>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Une proportion identique (36,4 %) signale que le système est en cours de déploiement, ce qui traduit une dynamique de modernisation en cours.</w:t>
      </w:r>
    </w:p>
    <w:p w14:paraId="76F7AE13" w14:textId="7A79C373" w:rsidR="002210A7" w:rsidRPr="00772AE8" w:rsidRDefault="002210A7" w:rsidP="00772AE8">
      <w:pPr>
        <w:pStyle w:val="Paragraphedeliste"/>
        <w:numPr>
          <w:ilvl w:val="0"/>
          <w:numId w:val="72"/>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27,3 % déclarent ne pas disposer de ce système actuellement.</w:t>
      </w:r>
    </w:p>
    <w:p w14:paraId="16DE0238" w14:textId="77192936"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Q6 : Quel est le niveau d’interconnexion entre votre système d’i</w:t>
      </w:r>
      <w:r w:rsidR="002C4138" w:rsidRPr="00D11D21">
        <w:rPr>
          <w:rFonts w:asciiTheme="majorBidi" w:hAnsiTheme="majorBidi" w:cstheme="majorBidi"/>
          <w:b/>
          <w:bCs/>
          <w:color w:val="000000" w:themeColor="text1"/>
          <w:szCs w:val="24"/>
        </w:rPr>
        <w:t xml:space="preserve">nformation et ceux des </w:t>
      </w:r>
      <w:r w:rsidR="00FE1E7D" w:rsidRPr="00D11D21">
        <w:rPr>
          <w:rFonts w:asciiTheme="majorBidi" w:hAnsiTheme="majorBidi" w:cstheme="majorBidi"/>
          <w:b/>
          <w:bCs/>
          <w:color w:val="000000" w:themeColor="text1"/>
          <w:szCs w:val="24"/>
        </w:rPr>
        <w:t>hôpitaux ?</w:t>
      </w:r>
    </w:p>
    <w:p w14:paraId="702E12BF" w14:textId="48A61F4F" w:rsidR="002210A7" w:rsidRPr="00772AE8" w:rsidRDefault="00D0688F" w:rsidP="00772AE8">
      <w:pPr>
        <w:pStyle w:val="Lgende"/>
        <w:keepNext/>
        <w:spacing w:line="360" w:lineRule="auto"/>
        <w:jc w:val="both"/>
        <w:rPr>
          <w:rFonts w:asciiTheme="majorBidi" w:hAnsiTheme="majorBidi" w:cstheme="majorBidi"/>
          <w:color w:val="auto"/>
          <w:sz w:val="24"/>
          <w:szCs w:val="24"/>
        </w:rPr>
      </w:pPr>
      <w:bookmarkStart w:id="186" w:name="_Toc200210122"/>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Niveau d’interconnexion entre les systèmes d’information</w:t>
      </w:r>
      <w:bookmarkEnd w:id="186"/>
    </w:p>
    <w:tbl>
      <w:tblPr>
        <w:tblW w:w="857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1440"/>
        <w:gridCol w:w="1436"/>
        <w:gridCol w:w="1264"/>
        <w:gridCol w:w="1719"/>
        <w:gridCol w:w="1814"/>
      </w:tblGrid>
      <w:tr w:rsidR="002210A7" w:rsidRPr="00D11D21" w14:paraId="251A2B79" w14:textId="77777777" w:rsidTr="00282FFC">
        <w:trPr>
          <w:cantSplit/>
          <w:trHeight w:val="380"/>
          <w:jc w:val="center"/>
        </w:trPr>
        <w:tc>
          <w:tcPr>
            <w:tcW w:w="2343" w:type="dxa"/>
            <w:gridSpan w:val="2"/>
            <w:tcBorders>
              <w:top w:val="single" w:sz="4" w:space="0" w:color="auto"/>
              <w:left w:val="single" w:sz="4" w:space="0" w:color="auto"/>
              <w:bottom w:val="single" w:sz="8" w:space="0" w:color="152935"/>
              <w:right w:val="nil"/>
            </w:tcBorders>
            <w:shd w:val="clear" w:color="auto" w:fill="FFFFFF"/>
            <w:vAlign w:val="bottom"/>
          </w:tcPr>
          <w:p w14:paraId="3292262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36" w:type="dxa"/>
            <w:tcBorders>
              <w:top w:val="single" w:sz="4" w:space="0" w:color="auto"/>
              <w:left w:val="nil"/>
              <w:bottom w:val="single" w:sz="8" w:space="0" w:color="152935"/>
              <w:right w:val="single" w:sz="8" w:space="0" w:color="E0E0E0"/>
            </w:tcBorders>
            <w:shd w:val="clear" w:color="auto" w:fill="FFFFFF"/>
            <w:vAlign w:val="bottom"/>
          </w:tcPr>
          <w:p w14:paraId="2BCE1D8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6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D50885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71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58B041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814" w:type="dxa"/>
            <w:tcBorders>
              <w:top w:val="single" w:sz="4" w:space="0" w:color="auto"/>
              <w:left w:val="single" w:sz="8" w:space="0" w:color="E0E0E0"/>
              <w:bottom w:val="single" w:sz="8" w:space="0" w:color="152935"/>
              <w:right w:val="single" w:sz="4" w:space="0" w:color="auto"/>
            </w:tcBorders>
            <w:shd w:val="clear" w:color="auto" w:fill="FFFFFF"/>
            <w:vAlign w:val="bottom"/>
          </w:tcPr>
          <w:p w14:paraId="3129A1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6A944E1E" w14:textId="77777777" w:rsidTr="00282FFC">
        <w:trPr>
          <w:cantSplit/>
          <w:trHeight w:val="190"/>
          <w:jc w:val="center"/>
        </w:trPr>
        <w:tc>
          <w:tcPr>
            <w:tcW w:w="903" w:type="dxa"/>
            <w:vMerge w:val="restart"/>
            <w:tcBorders>
              <w:top w:val="single" w:sz="8" w:space="0" w:color="152935"/>
              <w:left w:val="single" w:sz="4" w:space="0" w:color="auto"/>
              <w:bottom w:val="single" w:sz="8" w:space="0" w:color="152935"/>
              <w:right w:val="nil"/>
            </w:tcBorders>
            <w:shd w:val="clear" w:color="auto" w:fill="E0E0E0"/>
          </w:tcPr>
          <w:p w14:paraId="780283C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439" w:type="dxa"/>
            <w:tcBorders>
              <w:top w:val="single" w:sz="8" w:space="0" w:color="152935"/>
              <w:left w:val="nil"/>
              <w:bottom w:val="single" w:sz="8" w:space="0" w:color="AEAEAE"/>
              <w:right w:val="nil"/>
            </w:tcBorders>
            <w:shd w:val="clear" w:color="auto" w:fill="E0E0E0"/>
          </w:tcPr>
          <w:p w14:paraId="1386DD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Aucun lien</w:t>
            </w:r>
          </w:p>
        </w:tc>
        <w:tc>
          <w:tcPr>
            <w:tcW w:w="1436" w:type="dxa"/>
            <w:tcBorders>
              <w:top w:val="single" w:sz="8" w:space="0" w:color="152935"/>
              <w:left w:val="nil"/>
              <w:bottom w:val="single" w:sz="8" w:space="0" w:color="AEAEAE"/>
              <w:right w:val="single" w:sz="8" w:space="0" w:color="E0E0E0"/>
            </w:tcBorders>
            <w:shd w:val="clear" w:color="auto" w:fill="FFFFFF"/>
          </w:tcPr>
          <w:p w14:paraId="37EBB6B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w:t>
            </w:r>
          </w:p>
        </w:tc>
        <w:tc>
          <w:tcPr>
            <w:tcW w:w="1264" w:type="dxa"/>
            <w:tcBorders>
              <w:top w:val="single" w:sz="8" w:space="0" w:color="152935"/>
              <w:left w:val="single" w:sz="8" w:space="0" w:color="E0E0E0"/>
              <w:bottom w:val="single" w:sz="8" w:space="0" w:color="AEAEAE"/>
              <w:right w:val="single" w:sz="8" w:space="0" w:color="E0E0E0"/>
            </w:tcBorders>
            <w:shd w:val="clear" w:color="auto" w:fill="FFFFFF"/>
          </w:tcPr>
          <w:p w14:paraId="68CC533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30,3</w:t>
            </w:r>
          </w:p>
        </w:tc>
        <w:tc>
          <w:tcPr>
            <w:tcW w:w="1719" w:type="dxa"/>
            <w:tcBorders>
              <w:top w:val="single" w:sz="8" w:space="0" w:color="152935"/>
              <w:left w:val="single" w:sz="8" w:space="0" w:color="E0E0E0"/>
              <w:bottom w:val="single" w:sz="8" w:space="0" w:color="AEAEAE"/>
              <w:right w:val="single" w:sz="8" w:space="0" w:color="E0E0E0"/>
            </w:tcBorders>
            <w:shd w:val="clear" w:color="auto" w:fill="FFFFFF"/>
          </w:tcPr>
          <w:p w14:paraId="01A0E6D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30,3</w:t>
            </w:r>
          </w:p>
        </w:tc>
        <w:tc>
          <w:tcPr>
            <w:tcW w:w="1814" w:type="dxa"/>
            <w:tcBorders>
              <w:top w:val="single" w:sz="8" w:space="0" w:color="152935"/>
              <w:left w:val="single" w:sz="8" w:space="0" w:color="E0E0E0"/>
              <w:bottom w:val="single" w:sz="8" w:space="0" w:color="AEAEAE"/>
              <w:right w:val="single" w:sz="4" w:space="0" w:color="auto"/>
            </w:tcBorders>
            <w:shd w:val="clear" w:color="auto" w:fill="FFFFFF"/>
          </w:tcPr>
          <w:p w14:paraId="14C527C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30,3</w:t>
            </w:r>
          </w:p>
        </w:tc>
      </w:tr>
      <w:tr w:rsidR="002210A7" w:rsidRPr="00D11D21" w14:paraId="006F1158" w14:textId="77777777" w:rsidTr="00282FFC">
        <w:trPr>
          <w:cantSplit/>
          <w:trHeight w:val="84"/>
          <w:jc w:val="center"/>
        </w:trPr>
        <w:tc>
          <w:tcPr>
            <w:tcW w:w="903" w:type="dxa"/>
            <w:vMerge/>
            <w:tcBorders>
              <w:top w:val="single" w:sz="8" w:space="0" w:color="152935"/>
              <w:left w:val="single" w:sz="4" w:space="0" w:color="auto"/>
              <w:bottom w:val="single" w:sz="8" w:space="0" w:color="152935"/>
              <w:right w:val="nil"/>
            </w:tcBorders>
            <w:shd w:val="clear" w:color="auto" w:fill="E0E0E0"/>
          </w:tcPr>
          <w:p w14:paraId="5685C32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439" w:type="dxa"/>
            <w:tcBorders>
              <w:top w:val="single" w:sz="8" w:space="0" w:color="AEAEAE"/>
              <w:left w:val="nil"/>
              <w:bottom w:val="single" w:sz="8" w:space="0" w:color="AEAEAE"/>
              <w:right w:val="nil"/>
            </w:tcBorders>
            <w:shd w:val="clear" w:color="auto" w:fill="E0E0E0"/>
          </w:tcPr>
          <w:p w14:paraId="649CA7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Faible</w:t>
            </w:r>
          </w:p>
        </w:tc>
        <w:tc>
          <w:tcPr>
            <w:tcW w:w="1436" w:type="dxa"/>
            <w:tcBorders>
              <w:top w:val="single" w:sz="8" w:space="0" w:color="AEAEAE"/>
              <w:left w:val="nil"/>
              <w:bottom w:val="single" w:sz="8" w:space="0" w:color="AEAEAE"/>
              <w:right w:val="single" w:sz="8" w:space="0" w:color="E0E0E0"/>
            </w:tcBorders>
            <w:shd w:val="clear" w:color="auto" w:fill="FFFFFF"/>
          </w:tcPr>
          <w:p w14:paraId="68C18F8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17</w:t>
            </w:r>
          </w:p>
        </w:tc>
        <w:tc>
          <w:tcPr>
            <w:tcW w:w="1264" w:type="dxa"/>
            <w:tcBorders>
              <w:top w:val="single" w:sz="8" w:space="0" w:color="AEAEAE"/>
              <w:left w:val="single" w:sz="8" w:space="0" w:color="E0E0E0"/>
              <w:bottom w:val="single" w:sz="8" w:space="0" w:color="AEAEAE"/>
              <w:right w:val="single" w:sz="8" w:space="0" w:color="E0E0E0"/>
            </w:tcBorders>
            <w:shd w:val="clear" w:color="auto" w:fill="FFFFFF"/>
          </w:tcPr>
          <w:p w14:paraId="64AC77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51,5</w:t>
            </w:r>
          </w:p>
        </w:tc>
        <w:tc>
          <w:tcPr>
            <w:tcW w:w="1719" w:type="dxa"/>
            <w:tcBorders>
              <w:top w:val="single" w:sz="8" w:space="0" w:color="AEAEAE"/>
              <w:left w:val="single" w:sz="8" w:space="0" w:color="E0E0E0"/>
              <w:bottom w:val="single" w:sz="8" w:space="0" w:color="AEAEAE"/>
              <w:right w:val="single" w:sz="8" w:space="0" w:color="E0E0E0"/>
            </w:tcBorders>
            <w:shd w:val="clear" w:color="auto" w:fill="FFFFFF"/>
          </w:tcPr>
          <w:p w14:paraId="477519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51,5</w:t>
            </w:r>
          </w:p>
        </w:tc>
        <w:tc>
          <w:tcPr>
            <w:tcW w:w="1814" w:type="dxa"/>
            <w:tcBorders>
              <w:top w:val="single" w:sz="8" w:space="0" w:color="AEAEAE"/>
              <w:left w:val="single" w:sz="8" w:space="0" w:color="E0E0E0"/>
              <w:bottom w:val="single" w:sz="8" w:space="0" w:color="AEAEAE"/>
              <w:right w:val="single" w:sz="4" w:space="0" w:color="auto"/>
            </w:tcBorders>
            <w:shd w:val="clear" w:color="auto" w:fill="FFFFFF"/>
          </w:tcPr>
          <w:p w14:paraId="7271524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81,8</w:t>
            </w:r>
          </w:p>
        </w:tc>
      </w:tr>
      <w:tr w:rsidR="002210A7" w:rsidRPr="00D11D21" w14:paraId="7022E84C" w14:textId="77777777" w:rsidTr="00282FFC">
        <w:trPr>
          <w:cantSplit/>
          <w:trHeight w:val="84"/>
          <w:jc w:val="center"/>
        </w:trPr>
        <w:tc>
          <w:tcPr>
            <w:tcW w:w="903" w:type="dxa"/>
            <w:vMerge/>
            <w:tcBorders>
              <w:top w:val="single" w:sz="8" w:space="0" w:color="152935"/>
              <w:left w:val="single" w:sz="4" w:space="0" w:color="auto"/>
              <w:bottom w:val="single" w:sz="8" w:space="0" w:color="152935"/>
              <w:right w:val="nil"/>
            </w:tcBorders>
            <w:shd w:val="clear" w:color="auto" w:fill="E0E0E0"/>
          </w:tcPr>
          <w:p w14:paraId="3FF90774"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439" w:type="dxa"/>
            <w:tcBorders>
              <w:top w:val="single" w:sz="8" w:space="0" w:color="AEAEAE"/>
              <w:left w:val="nil"/>
              <w:bottom w:val="single" w:sz="8" w:space="0" w:color="AEAEAE"/>
              <w:right w:val="nil"/>
            </w:tcBorders>
            <w:shd w:val="clear" w:color="auto" w:fill="E0E0E0"/>
          </w:tcPr>
          <w:p w14:paraId="4F9FC69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Moyen</w:t>
            </w:r>
          </w:p>
        </w:tc>
        <w:tc>
          <w:tcPr>
            <w:tcW w:w="1436" w:type="dxa"/>
            <w:tcBorders>
              <w:top w:val="single" w:sz="8" w:space="0" w:color="AEAEAE"/>
              <w:left w:val="nil"/>
              <w:bottom w:val="single" w:sz="8" w:space="0" w:color="AEAEAE"/>
              <w:right w:val="single" w:sz="8" w:space="0" w:color="E0E0E0"/>
            </w:tcBorders>
            <w:shd w:val="clear" w:color="auto" w:fill="FFFFFF"/>
          </w:tcPr>
          <w:p w14:paraId="3F9308F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264" w:type="dxa"/>
            <w:tcBorders>
              <w:top w:val="single" w:sz="8" w:space="0" w:color="AEAEAE"/>
              <w:left w:val="single" w:sz="8" w:space="0" w:color="E0E0E0"/>
              <w:bottom w:val="single" w:sz="8" w:space="0" w:color="AEAEAE"/>
              <w:right w:val="single" w:sz="8" w:space="0" w:color="E0E0E0"/>
            </w:tcBorders>
            <w:shd w:val="clear" w:color="auto" w:fill="FFFFFF"/>
          </w:tcPr>
          <w:p w14:paraId="06CBD1B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719" w:type="dxa"/>
            <w:tcBorders>
              <w:top w:val="single" w:sz="8" w:space="0" w:color="AEAEAE"/>
              <w:left w:val="single" w:sz="8" w:space="0" w:color="E0E0E0"/>
              <w:bottom w:val="single" w:sz="8" w:space="0" w:color="AEAEAE"/>
              <w:right w:val="single" w:sz="8" w:space="0" w:color="E0E0E0"/>
            </w:tcBorders>
            <w:shd w:val="clear" w:color="auto" w:fill="FFFFFF"/>
          </w:tcPr>
          <w:p w14:paraId="5438EEC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814" w:type="dxa"/>
            <w:tcBorders>
              <w:top w:val="single" w:sz="8" w:space="0" w:color="AEAEAE"/>
              <w:left w:val="single" w:sz="8" w:space="0" w:color="E0E0E0"/>
              <w:bottom w:val="single" w:sz="8" w:space="0" w:color="AEAEAE"/>
              <w:right w:val="single" w:sz="4" w:space="0" w:color="auto"/>
            </w:tcBorders>
            <w:shd w:val="clear" w:color="auto" w:fill="FFFFFF"/>
          </w:tcPr>
          <w:p w14:paraId="272C78C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56557FB2" w14:textId="77777777" w:rsidTr="00282FFC">
        <w:trPr>
          <w:cantSplit/>
          <w:trHeight w:val="84"/>
          <w:jc w:val="center"/>
        </w:trPr>
        <w:tc>
          <w:tcPr>
            <w:tcW w:w="903" w:type="dxa"/>
            <w:vMerge/>
            <w:tcBorders>
              <w:top w:val="single" w:sz="8" w:space="0" w:color="152935"/>
              <w:left w:val="single" w:sz="4" w:space="0" w:color="auto"/>
              <w:bottom w:val="single" w:sz="4" w:space="0" w:color="auto"/>
              <w:right w:val="nil"/>
            </w:tcBorders>
            <w:shd w:val="clear" w:color="auto" w:fill="E0E0E0"/>
          </w:tcPr>
          <w:p w14:paraId="0636A2A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439" w:type="dxa"/>
            <w:tcBorders>
              <w:top w:val="single" w:sz="8" w:space="0" w:color="AEAEAE"/>
              <w:left w:val="nil"/>
              <w:bottom w:val="single" w:sz="4" w:space="0" w:color="auto"/>
              <w:right w:val="nil"/>
            </w:tcBorders>
            <w:shd w:val="clear" w:color="auto" w:fill="E0E0E0"/>
          </w:tcPr>
          <w:p w14:paraId="790B6C1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36" w:type="dxa"/>
            <w:tcBorders>
              <w:top w:val="single" w:sz="8" w:space="0" w:color="AEAEAE"/>
              <w:left w:val="nil"/>
              <w:bottom w:val="single" w:sz="4" w:space="0" w:color="auto"/>
              <w:right w:val="single" w:sz="8" w:space="0" w:color="E0E0E0"/>
            </w:tcBorders>
            <w:shd w:val="clear" w:color="auto" w:fill="FFFFFF"/>
          </w:tcPr>
          <w:p w14:paraId="463E6C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64" w:type="dxa"/>
            <w:tcBorders>
              <w:top w:val="single" w:sz="8" w:space="0" w:color="AEAEAE"/>
              <w:left w:val="single" w:sz="8" w:space="0" w:color="E0E0E0"/>
              <w:bottom w:val="single" w:sz="4" w:space="0" w:color="auto"/>
              <w:right w:val="single" w:sz="8" w:space="0" w:color="E0E0E0"/>
            </w:tcBorders>
            <w:shd w:val="clear" w:color="auto" w:fill="FFFFFF"/>
          </w:tcPr>
          <w:p w14:paraId="63D147D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19" w:type="dxa"/>
            <w:tcBorders>
              <w:top w:val="single" w:sz="8" w:space="0" w:color="AEAEAE"/>
              <w:left w:val="single" w:sz="8" w:space="0" w:color="E0E0E0"/>
              <w:bottom w:val="single" w:sz="4" w:space="0" w:color="auto"/>
              <w:right w:val="single" w:sz="8" w:space="0" w:color="E0E0E0"/>
            </w:tcBorders>
            <w:shd w:val="clear" w:color="auto" w:fill="FFFFFF"/>
          </w:tcPr>
          <w:p w14:paraId="6EBCF0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14" w:type="dxa"/>
            <w:tcBorders>
              <w:top w:val="single" w:sz="8" w:space="0" w:color="AEAEAE"/>
              <w:left w:val="single" w:sz="8" w:space="0" w:color="E0E0E0"/>
              <w:bottom w:val="single" w:sz="4" w:space="0" w:color="auto"/>
              <w:right w:val="single" w:sz="4" w:space="0" w:color="auto"/>
            </w:tcBorders>
            <w:shd w:val="clear" w:color="auto" w:fill="FFFFFF"/>
            <w:vAlign w:val="center"/>
          </w:tcPr>
          <w:p w14:paraId="616AB95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3DD017B7" w14:textId="7B45E14E" w:rsidR="00D0688F"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3D758CF1" w14:textId="1E4BF992" w:rsidR="002210A7" w:rsidRPr="00D11D21" w:rsidRDefault="00D0688F" w:rsidP="00D11D21">
      <w:pPr>
        <w:pStyle w:val="Lgende"/>
        <w:keepNext/>
        <w:spacing w:line="360" w:lineRule="auto"/>
        <w:jc w:val="both"/>
        <w:rPr>
          <w:rFonts w:asciiTheme="majorBidi" w:hAnsiTheme="majorBidi" w:cstheme="majorBidi"/>
          <w:color w:val="auto"/>
          <w:sz w:val="24"/>
          <w:szCs w:val="24"/>
        </w:rPr>
      </w:pPr>
      <w:bookmarkStart w:id="187" w:name="_Toc200210079"/>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Niveau d’interconnexion entre les systèmes d’information</w:t>
      </w:r>
      <w:bookmarkEnd w:id="187"/>
    </w:p>
    <w:p w14:paraId="61ACCC0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1C7B3120" wp14:editId="535A2E9F">
            <wp:extent cx="3608363" cy="1988639"/>
            <wp:effectExtent l="0" t="0" r="0" b="0"/>
            <wp:docPr id="136" name="Imag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5">
                      <a:extLst>
                        <a:ext uri="{28A0092B-C50C-407E-A947-70E740481C1C}">
                          <a14:useLocalDpi xmlns:a14="http://schemas.microsoft.com/office/drawing/2010/main" val="0"/>
                        </a:ext>
                      </a:extLst>
                    </a:blip>
                    <a:srcRect t="6498"/>
                    <a:stretch/>
                  </pic:blipFill>
                  <pic:spPr bwMode="auto">
                    <a:xfrm>
                      <a:off x="0" y="0"/>
                      <a:ext cx="3614316" cy="1991920"/>
                    </a:xfrm>
                    <a:prstGeom prst="rect">
                      <a:avLst/>
                    </a:prstGeom>
                    <a:noFill/>
                    <a:ln>
                      <a:noFill/>
                    </a:ln>
                    <a:extLst>
                      <a:ext uri="{53640926-AAD7-44D8-BBD7-CCE9431645EC}">
                        <a14:shadowObscured xmlns:a14="http://schemas.microsoft.com/office/drawing/2010/main"/>
                      </a:ext>
                    </a:extLst>
                  </pic:spPr>
                </pic:pic>
              </a:graphicData>
            </a:graphic>
          </wp:inline>
        </w:drawing>
      </w:r>
    </w:p>
    <w:p w14:paraId="3D1CC1AD"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133ED11C"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6BE8C8AE"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résultats de la question sur le niveau d’interconnexion entre le système d’information des caisses et ceux des hôpitaux révèlent une interopérabilité encore très limitée :</w:t>
      </w:r>
    </w:p>
    <w:p w14:paraId="5C67AD2D" w14:textId="77777777" w:rsidR="002210A7" w:rsidRPr="00D11D21" w:rsidRDefault="002210A7" w:rsidP="00D11D21">
      <w:pPr>
        <w:pStyle w:val="Paragraphedeliste"/>
        <w:numPr>
          <w:ilvl w:val="0"/>
          <w:numId w:val="73"/>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51,5 % des répondants estiment que cette interconnexion est faible, ce qui reflète une difficulté à assurer un échange fluide et en temps réel des données.</w:t>
      </w:r>
    </w:p>
    <w:p w14:paraId="106B7BD4" w14:textId="77777777" w:rsidR="002210A7" w:rsidRPr="00D11D21" w:rsidRDefault="002210A7" w:rsidP="00D11D21">
      <w:pPr>
        <w:pStyle w:val="Paragraphedeliste"/>
        <w:numPr>
          <w:ilvl w:val="0"/>
          <w:numId w:val="73"/>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30,3 % déclarent aucun lien entre les systèmes, ce qui signifie une absence totale de coordination numérique.</w:t>
      </w:r>
    </w:p>
    <w:p w14:paraId="067A3DC0" w14:textId="77777777" w:rsidR="002210A7" w:rsidRPr="00D11D21" w:rsidRDefault="002210A7" w:rsidP="00D11D21">
      <w:pPr>
        <w:pStyle w:val="Paragraphedeliste"/>
        <w:numPr>
          <w:ilvl w:val="0"/>
          <w:numId w:val="73"/>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Seuls 18,2 % jugent le niveau moyen, sans qu’aucune caisse ne signale une interconnexion forte.</w:t>
      </w:r>
    </w:p>
    <w:p w14:paraId="1A9F980A"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lastRenderedPageBreak/>
        <w:t>Q7 : Le système d'information actuel permet-il un meilleur suivi des dépenses hospitalières, la détection des anomalies ou fraudes, l’analyse de la performance hospitalière ou aucun de ces éléments ?</w:t>
      </w:r>
    </w:p>
    <w:p w14:paraId="2DCD7D49" w14:textId="60D3DD7F" w:rsidR="002210A7" w:rsidRPr="00772AE8" w:rsidRDefault="00D0688F" w:rsidP="00772AE8">
      <w:pPr>
        <w:pStyle w:val="Lgende"/>
        <w:keepNext/>
        <w:spacing w:line="360" w:lineRule="auto"/>
        <w:jc w:val="both"/>
        <w:rPr>
          <w:rFonts w:asciiTheme="majorBidi" w:hAnsiTheme="majorBidi" w:cstheme="majorBidi"/>
          <w:color w:val="auto"/>
          <w:sz w:val="24"/>
          <w:szCs w:val="24"/>
        </w:rPr>
      </w:pPr>
      <w:bookmarkStart w:id="188" w:name="_Toc200210123"/>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15</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Fonctions supportées par le système d’information</w:t>
      </w:r>
      <w:bookmarkEnd w:id="188"/>
    </w:p>
    <w:tbl>
      <w:tblPr>
        <w:tblW w:w="988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0"/>
        <w:gridCol w:w="2944"/>
        <w:gridCol w:w="1398"/>
        <w:gridCol w:w="1230"/>
        <w:gridCol w:w="1673"/>
        <w:gridCol w:w="1764"/>
      </w:tblGrid>
      <w:tr w:rsidR="002210A7" w:rsidRPr="00D11D21" w14:paraId="2086E94E" w14:textId="77777777" w:rsidTr="00282FFC">
        <w:trPr>
          <w:cantSplit/>
          <w:trHeight w:val="341"/>
          <w:jc w:val="center"/>
        </w:trPr>
        <w:tc>
          <w:tcPr>
            <w:tcW w:w="3824" w:type="dxa"/>
            <w:gridSpan w:val="2"/>
            <w:tcBorders>
              <w:top w:val="single" w:sz="4" w:space="0" w:color="auto"/>
              <w:left w:val="single" w:sz="4" w:space="0" w:color="auto"/>
              <w:bottom w:val="single" w:sz="8" w:space="0" w:color="152935"/>
              <w:right w:val="nil"/>
            </w:tcBorders>
            <w:shd w:val="clear" w:color="auto" w:fill="FFFFFF"/>
            <w:vAlign w:val="bottom"/>
          </w:tcPr>
          <w:p w14:paraId="3F4C1B3B"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98" w:type="dxa"/>
            <w:tcBorders>
              <w:top w:val="single" w:sz="4" w:space="0" w:color="auto"/>
              <w:left w:val="nil"/>
              <w:bottom w:val="single" w:sz="8" w:space="0" w:color="152935"/>
              <w:right w:val="single" w:sz="8" w:space="0" w:color="E0E0E0"/>
            </w:tcBorders>
            <w:shd w:val="clear" w:color="auto" w:fill="FFFFFF"/>
            <w:vAlign w:val="bottom"/>
          </w:tcPr>
          <w:p w14:paraId="65BD8BB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3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3A69B5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73"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9A13B1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64" w:type="dxa"/>
            <w:tcBorders>
              <w:top w:val="single" w:sz="4" w:space="0" w:color="auto"/>
              <w:left w:val="single" w:sz="8" w:space="0" w:color="E0E0E0"/>
              <w:bottom w:val="single" w:sz="8" w:space="0" w:color="152935"/>
              <w:right w:val="single" w:sz="4" w:space="0" w:color="auto"/>
            </w:tcBorders>
            <w:shd w:val="clear" w:color="auto" w:fill="FFFFFF"/>
            <w:vAlign w:val="bottom"/>
          </w:tcPr>
          <w:p w14:paraId="59655BF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0EBB97B2" w14:textId="77777777" w:rsidTr="00282FFC">
        <w:trPr>
          <w:cantSplit/>
          <w:trHeight w:val="168"/>
          <w:jc w:val="center"/>
        </w:trPr>
        <w:tc>
          <w:tcPr>
            <w:tcW w:w="880" w:type="dxa"/>
            <w:vMerge w:val="restart"/>
            <w:tcBorders>
              <w:top w:val="single" w:sz="8" w:space="0" w:color="152935"/>
              <w:left w:val="single" w:sz="4" w:space="0" w:color="auto"/>
              <w:bottom w:val="single" w:sz="8" w:space="0" w:color="152935"/>
              <w:right w:val="nil"/>
            </w:tcBorders>
            <w:shd w:val="clear" w:color="auto" w:fill="E0E0E0"/>
          </w:tcPr>
          <w:p w14:paraId="72B11A7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943" w:type="dxa"/>
            <w:tcBorders>
              <w:top w:val="single" w:sz="8" w:space="0" w:color="152935"/>
              <w:left w:val="nil"/>
              <w:bottom w:val="single" w:sz="8" w:space="0" w:color="AEAEAE"/>
              <w:right w:val="nil"/>
            </w:tcBorders>
            <w:shd w:val="clear" w:color="auto" w:fill="E0E0E0"/>
          </w:tcPr>
          <w:p w14:paraId="0F5246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Aucun de ces éléments</w:t>
            </w:r>
          </w:p>
        </w:tc>
        <w:tc>
          <w:tcPr>
            <w:tcW w:w="1398" w:type="dxa"/>
            <w:tcBorders>
              <w:top w:val="single" w:sz="8" w:space="0" w:color="152935"/>
              <w:left w:val="nil"/>
              <w:bottom w:val="single" w:sz="8" w:space="0" w:color="AEAEAE"/>
              <w:right w:val="single" w:sz="8" w:space="0" w:color="E0E0E0"/>
            </w:tcBorders>
            <w:shd w:val="clear" w:color="auto" w:fill="FFFFFF"/>
          </w:tcPr>
          <w:p w14:paraId="626FA6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19</w:t>
            </w:r>
          </w:p>
        </w:tc>
        <w:tc>
          <w:tcPr>
            <w:tcW w:w="1230" w:type="dxa"/>
            <w:tcBorders>
              <w:top w:val="single" w:sz="8" w:space="0" w:color="152935"/>
              <w:left w:val="single" w:sz="8" w:space="0" w:color="E0E0E0"/>
              <w:bottom w:val="single" w:sz="8" w:space="0" w:color="AEAEAE"/>
              <w:right w:val="single" w:sz="8" w:space="0" w:color="E0E0E0"/>
            </w:tcBorders>
            <w:shd w:val="clear" w:color="auto" w:fill="FFFFFF"/>
          </w:tcPr>
          <w:p w14:paraId="7054974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57,6</w:t>
            </w:r>
          </w:p>
        </w:tc>
        <w:tc>
          <w:tcPr>
            <w:tcW w:w="1673" w:type="dxa"/>
            <w:tcBorders>
              <w:top w:val="single" w:sz="8" w:space="0" w:color="152935"/>
              <w:left w:val="single" w:sz="8" w:space="0" w:color="E0E0E0"/>
              <w:bottom w:val="single" w:sz="8" w:space="0" w:color="AEAEAE"/>
              <w:right w:val="single" w:sz="8" w:space="0" w:color="E0E0E0"/>
            </w:tcBorders>
            <w:shd w:val="clear" w:color="auto" w:fill="FFFFFF"/>
          </w:tcPr>
          <w:p w14:paraId="783B8F5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57,6</w:t>
            </w:r>
          </w:p>
        </w:tc>
        <w:tc>
          <w:tcPr>
            <w:tcW w:w="1764" w:type="dxa"/>
            <w:tcBorders>
              <w:top w:val="single" w:sz="8" w:space="0" w:color="152935"/>
              <w:left w:val="single" w:sz="8" w:space="0" w:color="E0E0E0"/>
              <w:bottom w:val="single" w:sz="8" w:space="0" w:color="AEAEAE"/>
              <w:right w:val="single" w:sz="4" w:space="0" w:color="auto"/>
            </w:tcBorders>
            <w:shd w:val="clear" w:color="auto" w:fill="FFFFFF"/>
          </w:tcPr>
          <w:p w14:paraId="1FF82B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57,6</w:t>
            </w:r>
          </w:p>
        </w:tc>
      </w:tr>
      <w:tr w:rsidR="002210A7" w:rsidRPr="00D11D21" w14:paraId="39ED0503" w14:textId="77777777" w:rsidTr="00282FFC">
        <w:trPr>
          <w:cantSplit/>
          <w:trHeight w:val="58"/>
          <w:jc w:val="center"/>
        </w:trPr>
        <w:tc>
          <w:tcPr>
            <w:tcW w:w="880" w:type="dxa"/>
            <w:vMerge/>
            <w:tcBorders>
              <w:top w:val="single" w:sz="8" w:space="0" w:color="152935"/>
              <w:left w:val="single" w:sz="4" w:space="0" w:color="auto"/>
              <w:bottom w:val="single" w:sz="8" w:space="0" w:color="152935"/>
              <w:right w:val="nil"/>
            </w:tcBorders>
            <w:shd w:val="clear" w:color="auto" w:fill="E0E0E0"/>
          </w:tcPr>
          <w:p w14:paraId="4DB74FE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43" w:type="dxa"/>
            <w:tcBorders>
              <w:top w:val="single" w:sz="8" w:space="0" w:color="AEAEAE"/>
              <w:left w:val="nil"/>
              <w:bottom w:val="single" w:sz="8" w:space="0" w:color="AEAEAE"/>
              <w:right w:val="nil"/>
            </w:tcBorders>
            <w:shd w:val="clear" w:color="auto" w:fill="E0E0E0"/>
          </w:tcPr>
          <w:p w14:paraId="0C80E1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L’analyse de la performance hospitalière ?</w:t>
            </w:r>
          </w:p>
        </w:tc>
        <w:tc>
          <w:tcPr>
            <w:tcW w:w="1398" w:type="dxa"/>
            <w:tcBorders>
              <w:top w:val="single" w:sz="8" w:space="0" w:color="AEAEAE"/>
              <w:left w:val="nil"/>
              <w:bottom w:val="single" w:sz="8" w:space="0" w:color="AEAEAE"/>
              <w:right w:val="single" w:sz="8" w:space="0" w:color="E0E0E0"/>
            </w:tcBorders>
            <w:shd w:val="clear" w:color="auto" w:fill="FFFFFF"/>
          </w:tcPr>
          <w:p w14:paraId="476823D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30" w:type="dxa"/>
            <w:tcBorders>
              <w:top w:val="single" w:sz="8" w:space="0" w:color="AEAEAE"/>
              <w:left w:val="single" w:sz="8" w:space="0" w:color="E0E0E0"/>
              <w:bottom w:val="single" w:sz="8" w:space="0" w:color="AEAEAE"/>
              <w:right w:val="single" w:sz="8" w:space="0" w:color="E0E0E0"/>
            </w:tcBorders>
            <w:shd w:val="clear" w:color="auto" w:fill="FFFFFF"/>
          </w:tcPr>
          <w:p w14:paraId="01344B7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73" w:type="dxa"/>
            <w:tcBorders>
              <w:top w:val="single" w:sz="8" w:space="0" w:color="AEAEAE"/>
              <w:left w:val="single" w:sz="8" w:space="0" w:color="E0E0E0"/>
              <w:bottom w:val="single" w:sz="8" w:space="0" w:color="AEAEAE"/>
              <w:right w:val="single" w:sz="8" w:space="0" w:color="E0E0E0"/>
            </w:tcBorders>
            <w:shd w:val="clear" w:color="auto" w:fill="FFFFFF"/>
          </w:tcPr>
          <w:p w14:paraId="4E401C4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764" w:type="dxa"/>
            <w:tcBorders>
              <w:top w:val="single" w:sz="8" w:space="0" w:color="AEAEAE"/>
              <w:left w:val="single" w:sz="8" w:space="0" w:color="E0E0E0"/>
              <w:bottom w:val="single" w:sz="8" w:space="0" w:color="AEAEAE"/>
              <w:right w:val="single" w:sz="4" w:space="0" w:color="auto"/>
            </w:tcBorders>
            <w:shd w:val="clear" w:color="auto" w:fill="FFFFFF"/>
          </w:tcPr>
          <w:p w14:paraId="0C8A8A6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60,6</w:t>
            </w:r>
          </w:p>
        </w:tc>
      </w:tr>
      <w:tr w:rsidR="002210A7" w:rsidRPr="00D11D21" w14:paraId="6C146E07" w14:textId="77777777" w:rsidTr="00282FFC">
        <w:trPr>
          <w:cantSplit/>
          <w:trHeight w:val="58"/>
          <w:jc w:val="center"/>
        </w:trPr>
        <w:tc>
          <w:tcPr>
            <w:tcW w:w="880" w:type="dxa"/>
            <w:vMerge/>
            <w:tcBorders>
              <w:top w:val="single" w:sz="8" w:space="0" w:color="152935"/>
              <w:left w:val="single" w:sz="4" w:space="0" w:color="auto"/>
              <w:bottom w:val="single" w:sz="8" w:space="0" w:color="152935"/>
              <w:right w:val="nil"/>
            </w:tcBorders>
            <w:shd w:val="clear" w:color="auto" w:fill="E0E0E0"/>
          </w:tcPr>
          <w:p w14:paraId="54E60B4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43" w:type="dxa"/>
            <w:tcBorders>
              <w:top w:val="single" w:sz="8" w:space="0" w:color="AEAEAE"/>
              <w:left w:val="nil"/>
              <w:bottom w:val="single" w:sz="8" w:space="0" w:color="AEAEAE"/>
              <w:right w:val="nil"/>
            </w:tcBorders>
            <w:shd w:val="clear" w:color="auto" w:fill="E0E0E0"/>
          </w:tcPr>
          <w:p w14:paraId="184B455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La détection des anomalies ou fraudes ?</w:t>
            </w:r>
          </w:p>
        </w:tc>
        <w:tc>
          <w:tcPr>
            <w:tcW w:w="1398" w:type="dxa"/>
            <w:tcBorders>
              <w:top w:val="single" w:sz="8" w:space="0" w:color="AEAEAE"/>
              <w:left w:val="nil"/>
              <w:bottom w:val="single" w:sz="8" w:space="0" w:color="AEAEAE"/>
              <w:right w:val="single" w:sz="8" w:space="0" w:color="E0E0E0"/>
            </w:tcBorders>
            <w:shd w:val="clear" w:color="auto" w:fill="FFFFFF"/>
          </w:tcPr>
          <w:p w14:paraId="1AAFC3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30" w:type="dxa"/>
            <w:tcBorders>
              <w:top w:val="single" w:sz="8" w:space="0" w:color="AEAEAE"/>
              <w:left w:val="single" w:sz="8" w:space="0" w:color="E0E0E0"/>
              <w:bottom w:val="single" w:sz="8" w:space="0" w:color="AEAEAE"/>
              <w:right w:val="single" w:sz="8" w:space="0" w:color="E0E0E0"/>
            </w:tcBorders>
            <w:shd w:val="clear" w:color="auto" w:fill="FFFFFF"/>
          </w:tcPr>
          <w:p w14:paraId="63FDBEC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73" w:type="dxa"/>
            <w:tcBorders>
              <w:top w:val="single" w:sz="8" w:space="0" w:color="AEAEAE"/>
              <w:left w:val="single" w:sz="8" w:space="0" w:color="E0E0E0"/>
              <w:bottom w:val="single" w:sz="8" w:space="0" w:color="AEAEAE"/>
              <w:right w:val="single" w:sz="8" w:space="0" w:color="E0E0E0"/>
            </w:tcBorders>
            <w:shd w:val="clear" w:color="auto" w:fill="FFFFFF"/>
          </w:tcPr>
          <w:p w14:paraId="188C052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764" w:type="dxa"/>
            <w:tcBorders>
              <w:top w:val="single" w:sz="8" w:space="0" w:color="AEAEAE"/>
              <w:left w:val="single" w:sz="8" w:space="0" w:color="E0E0E0"/>
              <w:bottom w:val="single" w:sz="8" w:space="0" w:color="AEAEAE"/>
              <w:right w:val="single" w:sz="4" w:space="0" w:color="auto"/>
            </w:tcBorders>
            <w:shd w:val="clear" w:color="auto" w:fill="FFFFFF"/>
          </w:tcPr>
          <w:p w14:paraId="4EAD5EA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63,6</w:t>
            </w:r>
          </w:p>
        </w:tc>
      </w:tr>
      <w:tr w:rsidR="002210A7" w:rsidRPr="00D11D21" w14:paraId="62767C76" w14:textId="77777777" w:rsidTr="00282FFC">
        <w:trPr>
          <w:cantSplit/>
          <w:trHeight w:val="58"/>
          <w:jc w:val="center"/>
        </w:trPr>
        <w:tc>
          <w:tcPr>
            <w:tcW w:w="880" w:type="dxa"/>
            <w:vMerge/>
            <w:tcBorders>
              <w:top w:val="single" w:sz="8" w:space="0" w:color="152935"/>
              <w:left w:val="single" w:sz="4" w:space="0" w:color="auto"/>
              <w:bottom w:val="single" w:sz="8" w:space="0" w:color="152935"/>
              <w:right w:val="nil"/>
            </w:tcBorders>
            <w:shd w:val="clear" w:color="auto" w:fill="E0E0E0"/>
          </w:tcPr>
          <w:p w14:paraId="66CDE21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43" w:type="dxa"/>
            <w:tcBorders>
              <w:top w:val="single" w:sz="8" w:space="0" w:color="AEAEAE"/>
              <w:left w:val="nil"/>
              <w:bottom w:val="single" w:sz="8" w:space="0" w:color="AEAEAE"/>
              <w:right w:val="nil"/>
            </w:tcBorders>
            <w:shd w:val="clear" w:color="auto" w:fill="E0E0E0"/>
          </w:tcPr>
          <w:p w14:paraId="0366E38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Un meilleur suivi des dépenses hospitalières ?</w:t>
            </w:r>
          </w:p>
        </w:tc>
        <w:tc>
          <w:tcPr>
            <w:tcW w:w="1398" w:type="dxa"/>
            <w:tcBorders>
              <w:top w:val="single" w:sz="8" w:space="0" w:color="AEAEAE"/>
              <w:left w:val="nil"/>
              <w:bottom w:val="single" w:sz="8" w:space="0" w:color="AEAEAE"/>
              <w:right w:val="single" w:sz="8" w:space="0" w:color="E0E0E0"/>
            </w:tcBorders>
            <w:shd w:val="clear" w:color="auto" w:fill="FFFFFF"/>
          </w:tcPr>
          <w:p w14:paraId="1D333F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c>
          <w:tcPr>
            <w:tcW w:w="1230" w:type="dxa"/>
            <w:tcBorders>
              <w:top w:val="single" w:sz="8" w:space="0" w:color="AEAEAE"/>
              <w:left w:val="single" w:sz="8" w:space="0" w:color="E0E0E0"/>
              <w:bottom w:val="single" w:sz="8" w:space="0" w:color="AEAEAE"/>
              <w:right w:val="single" w:sz="8" w:space="0" w:color="E0E0E0"/>
            </w:tcBorders>
            <w:shd w:val="clear" w:color="auto" w:fill="FFFFFF"/>
          </w:tcPr>
          <w:p w14:paraId="521352D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c>
          <w:tcPr>
            <w:tcW w:w="1673" w:type="dxa"/>
            <w:tcBorders>
              <w:top w:val="single" w:sz="8" w:space="0" w:color="AEAEAE"/>
              <w:left w:val="single" w:sz="8" w:space="0" w:color="E0E0E0"/>
              <w:bottom w:val="single" w:sz="8" w:space="0" w:color="AEAEAE"/>
              <w:right w:val="single" w:sz="8" w:space="0" w:color="E0E0E0"/>
            </w:tcBorders>
            <w:shd w:val="clear" w:color="auto" w:fill="FFFFFF"/>
          </w:tcPr>
          <w:p w14:paraId="4A5CE8F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c>
          <w:tcPr>
            <w:tcW w:w="1764" w:type="dxa"/>
            <w:tcBorders>
              <w:top w:val="single" w:sz="8" w:space="0" w:color="AEAEAE"/>
              <w:left w:val="single" w:sz="8" w:space="0" w:color="E0E0E0"/>
              <w:bottom w:val="single" w:sz="8" w:space="0" w:color="AEAEAE"/>
              <w:right w:val="single" w:sz="4" w:space="0" w:color="auto"/>
            </w:tcBorders>
            <w:shd w:val="clear" w:color="auto" w:fill="FFFFFF"/>
          </w:tcPr>
          <w:p w14:paraId="6961A7F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1E95F3DE" w14:textId="77777777" w:rsidTr="00282FFC">
        <w:trPr>
          <w:cantSplit/>
          <w:trHeight w:val="58"/>
          <w:jc w:val="center"/>
        </w:trPr>
        <w:tc>
          <w:tcPr>
            <w:tcW w:w="880" w:type="dxa"/>
            <w:vMerge/>
            <w:tcBorders>
              <w:top w:val="single" w:sz="8" w:space="0" w:color="152935"/>
              <w:left w:val="single" w:sz="4" w:space="0" w:color="auto"/>
              <w:bottom w:val="single" w:sz="4" w:space="0" w:color="auto"/>
              <w:right w:val="nil"/>
            </w:tcBorders>
            <w:shd w:val="clear" w:color="auto" w:fill="E0E0E0"/>
          </w:tcPr>
          <w:p w14:paraId="769195C1"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43" w:type="dxa"/>
            <w:tcBorders>
              <w:top w:val="single" w:sz="8" w:space="0" w:color="AEAEAE"/>
              <w:left w:val="nil"/>
              <w:bottom w:val="single" w:sz="4" w:space="0" w:color="auto"/>
              <w:right w:val="nil"/>
            </w:tcBorders>
            <w:shd w:val="clear" w:color="auto" w:fill="E0E0E0"/>
          </w:tcPr>
          <w:p w14:paraId="4A2AF39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98" w:type="dxa"/>
            <w:tcBorders>
              <w:top w:val="single" w:sz="8" w:space="0" w:color="AEAEAE"/>
              <w:left w:val="nil"/>
              <w:bottom w:val="single" w:sz="4" w:space="0" w:color="auto"/>
              <w:right w:val="single" w:sz="8" w:space="0" w:color="E0E0E0"/>
            </w:tcBorders>
            <w:shd w:val="clear" w:color="auto" w:fill="FFFFFF"/>
          </w:tcPr>
          <w:p w14:paraId="6CD0BA7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30" w:type="dxa"/>
            <w:tcBorders>
              <w:top w:val="single" w:sz="8" w:space="0" w:color="AEAEAE"/>
              <w:left w:val="single" w:sz="8" w:space="0" w:color="E0E0E0"/>
              <w:bottom w:val="single" w:sz="4" w:space="0" w:color="auto"/>
              <w:right w:val="single" w:sz="8" w:space="0" w:color="E0E0E0"/>
            </w:tcBorders>
            <w:shd w:val="clear" w:color="auto" w:fill="FFFFFF"/>
          </w:tcPr>
          <w:p w14:paraId="1E8DED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73" w:type="dxa"/>
            <w:tcBorders>
              <w:top w:val="single" w:sz="8" w:space="0" w:color="AEAEAE"/>
              <w:left w:val="single" w:sz="8" w:space="0" w:color="E0E0E0"/>
              <w:bottom w:val="single" w:sz="4" w:space="0" w:color="auto"/>
              <w:right w:val="single" w:sz="8" w:space="0" w:color="E0E0E0"/>
            </w:tcBorders>
            <w:shd w:val="clear" w:color="auto" w:fill="FFFFFF"/>
          </w:tcPr>
          <w:p w14:paraId="45EF50C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64" w:type="dxa"/>
            <w:tcBorders>
              <w:top w:val="single" w:sz="8" w:space="0" w:color="AEAEAE"/>
              <w:left w:val="single" w:sz="8" w:space="0" w:color="E0E0E0"/>
              <w:bottom w:val="single" w:sz="4" w:space="0" w:color="auto"/>
              <w:right w:val="single" w:sz="4" w:space="0" w:color="auto"/>
            </w:tcBorders>
            <w:shd w:val="clear" w:color="auto" w:fill="FFFFFF"/>
            <w:vAlign w:val="center"/>
          </w:tcPr>
          <w:p w14:paraId="08FAF50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5555422A" w14:textId="49501E5D"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73A126B0" w14:textId="53CFECFA" w:rsidR="002210A7" w:rsidRPr="00D11D21" w:rsidRDefault="00456329" w:rsidP="00D11D21">
      <w:pPr>
        <w:pStyle w:val="Lgende"/>
        <w:keepNext/>
        <w:spacing w:line="360" w:lineRule="auto"/>
        <w:jc w:val="both"/>
        <w:rPr>
          <w:rFonts w:asciiTheme="majorBidi" w:hAnsiTheme="majorBidi" w:cstheme="majorBidi"/>
          <w:color w:val="auto"/>
          <w:sz w:val="24"/>
          <w:szCs w:val="24"/>
        </w:rPr>
      </w:pPr>
      <w:bookmarkStart w:id="189" w:name="_Toc200210080"/>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Fonctions supportées par le système d’information</w:t>
      </w:r>
      <w:bookmarkEnd w:id="189"/>
    </w:p>
    <w:p w14:paraId="08561B1D"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6BCFA937" wp14:editId="56069DD7">
            <wp:extent cx="3924886" cy="2152222"/>
            <wp:effectExtent l="0" t="0" r="0" b="635"/>
            <wp:docPr id="137"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6">
                      <a:extLst>
                        <a:ext uri="{28A0092B-C50C-407E-A947-70E740481C1C}">
                          <a14:useLocalDpi xmlns:a14="http://schemas.microsoft.com/office/drawing/2010/main" val="0"/>
                        </a:ext>
                      </a:extLst>
                    </a:blip>
                    <a:srcRect t="6859"/>
                    <a:stretch/>
                  </pic:blipFill>
                  <pic:spPr bwMode="auto">
                    <a:xfrm>
                      <a:off x="0" y="0"/>
                      <a:ext cx="3951127" cy="2166611"/>
                    </a:xfrm>
                    <a:prstGeom prst="rect">
                      <a:avLst/>
                    </a:prstGeom>
                    <a:noFill/>
                    <a:ln>
                      <a:noFill/>
                    </a:ln>
                    <a:extLst>
                      <a:ext uri="{53640926-AAD7-44D8-BBD7-CCE9431645EC}">
                        <a14:shadowObscured xmlns:a14="http://schemas.microsoft.com/office/drawing/2010/main"/>
                      </a:ext>
                    </a:extLst>
                  </pic:spPr>
                </pic:pic>
              </a:graphicData>
            </a:graphic>
          </wp:inline>
        </w:drawing>
      </w:r>
    </w:p>
    <w:p w14:paraId="38912AC8" w14:textId="15476C60"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342318B1"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1771691"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szCs w:val="24"/>
        </w:rPr>
        <w:t>Les réponses à la question sur les capacités du système d'information actuel montrent clairement ses limites :</w:t>
      </w:r>
    </w:p>
    <w:p w14:paraId="10A99178" w14:textId="77777777" w:rsidR="002210A7" w:rsidRPr="00D11D21" w:rsidRDefault="002210A7" w:rsidP="00D11D21">
      <w:pPr>
        <w:pStyle w:val="Paragraphedeliste"/>
        <w:numPr>
          <w:ilvl w:val="0"/>
          <w:numId w:val="74"/>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57,6 % des répondants estiment que le système ne permet aucun des éléments proposés (ni analyse de performance, ni détection de fraudes, ni suivi des dépenses).</w:t>
      </w:r>
    </w:p>
    <w:p w14:paraId="543E656F" w14:textId="77777777" w:rsidR="002210A7" w:rsidRPr="00D11D21" w:rsidRDefault="002210A7" w:rsidP="00D11D21">
      <w:pPr>
        <w:pStyle w:val="Paragraphedeliste"/>
        <w:numPr>
          <w:ilvl w:val="0"/>
          <w:numId w:val="74"/>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lastRenderedPageBreak/>
        <w:t>36,4 % affirment qu’il permet au moins un meilleur suivi des dépenses hospitalières, ce qui est son principal usage actuellement.</w:t>
      </w:r>
    </w:p>
    <w:p w14:paraId="78C6400B" w14:textId="77777777" w:rsidR="002210A7" w:rsidRPr="00D11D21" w:rsidRDefault="002210A7" w:rsidP="00D11D21">
      <w:pPr>
        <w:pStyle w:val="Paragraphedeliste"/>
        <w:numPr>
          <w:ilvl w:val="0"/>
          <w:numId w:val="74"/>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Seulement 3 % reconnaissent une capacité à détecter des anomalies ou fraudes.</w:t>
      </w:r>
    </w:p>
    <w:p w14:paraId="0A6C4173" w14:textId="233BE9C4" w:rsidR="002210A7" w:rsidRPr="00772AE8" w:rsidRDefault="002210A7" w:rsidP="00772AE8">
      <w:pPr>
        <w:pStyle w:val="Paragraphedeliste"/>
        <w:numPr>
          <w:ilvl w:val="0"/>
          <w:numId w:val="74"/>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Et 3 % pensent qu’il permet une analyse de la performance hospitalière.</w:t>
      </w:r>
    </w:p>
    <w:p w14:paraId="7617A042"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Q8 : Avez-vous connaissance du PMSI ou de systèmes similaires (DRG, NHS, etc.) ?</w:t>
      </w:r>
    </w:p>
    <w:p w14:paraId="5DCD19CA" w14:textId="620E5CDA" w:rsidR="002210A7" w:rsidRPr="00282FFC" w:rsidRDefault="00456329" w:rsidP="00282FFC">
      <w:pPr>
        <w:pStyle w:val="Lgende"/>
        <w:keepNext/>
        <w:spacing w:line="360" w:lineRule="auto"/>
        <w:jc w:val="both"/>
        <w:rPr>
          <w:rFonts w:asciiTheme="majorBidi" w:hAnsiTheme="majorBidi" w:cstheme="majorBidi"/>
          <w:color w:val="auto"/>
          <w:sz w:val="24"/>
          <w:szCs w:val="24"/>
        </w:rPr>
      </w:pPr>
      <w:bookmarkStart w:id="190" w:name="_Toc200210124"/>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Niveau de connaissance des systèmes PMSI/DRG</w:t>
      </w:r>
      <w:bookmarkEnd w:id="190"/>
    </w:p>
    <w:tbl>
      <w:tblPr>
        <w:tblW w:w="912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26"/>
        <w:gridCol w:w="1028"/>
        <w:gridCol w:w="1628"/>
        <w:gridCol w:w="1435"/>
        <w:gridCol w:w="1950"/>
        <w:gridCol w:w="2057"/>
      </w:tblGrid>
      <w:tr w:rsidR="002210A7" w:rsidRPr="00D11D21" w14:paraId="16C23D7B" w14:textId="77777777" w:rsidTr="00282FFC">
        <w:trPr>
          <w:cantSplit/>
          <w:trHeight w:val="581"/>
          <w:jc w:val="center"/>
        </w:trPr>
        <w:tc>
          <w:tcPr>
            <w:tcW w:w="2054" w:type="dxa"/>
            <w:gridSpan w:val="2"/>
            <w:tcBorders>
              <w:top w:val="single" w:sz="4" w:space="0" w:color="auto"/>
              <w:left w:val="single" w:sz="4" w:space="0" w:color="auto"/>
              <w:bottom w:val="single" w:sz="8" w:space="0" w:color="152935"/>
              <w:right w:val="nil"/>
            </w:tcBorders>
            <w:shd w:val="clear" w:color="auto" w:fill="FFFFFF"/>
            <w:vAlign w:val="bottom"/>
          </w:tcPr>
          <w:p w14:paraId="206346E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628" w:type="dxa"/>
            <w:tcBorders>
              <w:top w:val="single" w:sz="4" w:space="0" w:color="auto"/>
              <w:left w:val="nil"/>
              <w:bottom w:val="single" w:sz="8" w:space="0" w:color="152935"/>
              <w:right w:val="single" w:sz="8" w:space="0" w:color="E0E0E0"/>
            </w:tcBorders>
            <w:shd w:val="clear" w:color="auto" w:fill="FFFFFF"/>
            <w:vAlign w:val="bottom"/>
          </w:tcPr>
          <w:p w14:paraId="1BA300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435"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74AA16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95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51ECB3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2057" w:type="dxa"/>
            <w:tcBorders>
              <w:top w:val="single" w:sz="4" w:space="0" w:color="auto"/>
              <w:left w:val="single" w:sz="8" w:space="0" w:color="E0E0E0"/>
              <w:bottom w:val="single" w:sz="8" w:space="0" w:color="152935"/>
              <w:right w:val="single" w:sz="4" w:space="0" w:color="auto"/>
            </w:tcBorders>
            <w:shd w:val="clear" w:color="auto" w:fill="FFFFFF"/>
            <w:vAlign w:val="bottom"/>
          </w:tcPr>
          <w:p w14:paraId="69665B1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7ADD0A47" w14:textId="77777777" w:rsidTr="00282FFC">
        <w:trPr>
          <w:cantSplit/>
          <w:trHeight w:val="289"/>
          <w:jc w:val="center"/>
        </w:trPr>
        <w:tc>
          <w:tcPr>
            <w:tcW w:w="1026" w:type="dxa"/>
            <w:vMerge w:val="restart"/>
            <w:tcBorders>
              <w:top w:val="single" w:sz="8" w:space="0" w:color="152935"/>
              <w:left w:val="single" w:sz="4" w:space="0" w:color="auto"/>
              <w:bottom w:val="single" w:sz="8" w:space="0" w:color="152935"/>
              <w:right w:val="nil"/>
            </w:tcBorders>
            <w:shd w:val="clear" w:color="auto" w:fill="E0E0E0"/>
          </w:tcPr>
          <w:p w14:paraId="34BD58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028" w:type="dxa"/>
            <w:tcBorders>
              <w:top w:val="single" w:sz="8" w:space="0" w:color="152935"/>
              <w:left w:val="nil"/>
              <w:bottom w:val="single" w:sz="8" w:space="0" w:color="AEAEAE"/>
              <w:right w:val="nil"/>
            </w:tcBorders>
            <w:shd w:val="clear" w:color="auto" w:fill="E0E0E0"/>
          </w:tcPr>
          <w:p w14:paraId="5EF03EE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628" w:type="dxa"/>
            <w:tcBorders>
              <w:top w:val="single" w:sz="8" w:space="0" w:color="152935"/>
              <w:left w:val="nil"/>
              <w:bottom w:val="single" w:sz="8" w:space="0" w:color="AEAEAE"/>
              <w:right w:val="single" w:sz="8" w:space="0" w:color="E0E0E0"/>
            </w:tcBorders>
            <w:shd w:val="clear" w:color="auto" w:fill="FFFFFF"/>
          </w:tcPr>
          <w:p w14:paraId="41AB37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435" w:type="dxa"/>
            <w:tcBorders>
              <w:top w:val="single" w:sz="8" w:space="0" w:color="152935"/>
              <w:left w:val="single" w:sz="8" w:space="0" w:color="E0E0E0"/>
              <w:bottom w:val="single" w:sz="8" w:space="0" w:color="AEAEAE"/>
              <w:right w:val="single" w:sz="8" w:space="0" w:color="E0E0E0"/>
            </w:tcBorders>
            <w:shd w:val="clear" w:color="auto" w:fill="FFFFFF"/>
          </w:tcPr>
          <w:p w14:paraId="608D8EE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1950" w:type="dxa"/>
            <w:tcBorders>
              <w:top w:val="single" w:sz="8" w:space="0" w:color="152935"/>
              <w:left w:val="single" w:sz="8" w:space="0" w:color="E0E0E0"/>
              <w:bottom w:val="single" w:sz="8" w:space="0" w:color="AEAEAE"/>
              <w:right w:val="single" w:sz="8" w:space="0" w:color="E0E0E0"/>
            </w:tcBorders>
            <w:shd w:val="clear" w:color="auto" w:fill="FFFFFF"/>
          </w:tcPr>
          <w:p w14:paraId="31AF63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2057" w:type="dxa"/>
            <w:tcBorders>
              <w:top w:val="single" w:sz="8" w:space="0" w:color="152935"/>
              <w:left w:val="single" w:sz="8" w:space="0" w:color="E0E0E0"/>
              <w:bottom w:val="single" w:sz="8" w:space="0" w:color="AEAEAE"/>
              <w:right w:val="single" w:sz="4" w:space="0" w:color="auto"/>
            </w:tcBorders>
            <w:shd w:val="clear" w:color="auto" w:fill="FFFFFF"/>
          </w:tcPr>
          <w:p w14:paraId="3092629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r>
      <w:tr w:rsidR="002210A7" w:rsidRPr="00D11D21" w14:paraId="09592CAE" w14:textId="77777777" w:rsidTr="00282FFC">
        <w:trPr>
          <w:cantSplit/>
          <w:trHeight w:val="129"/>
          <w:jc w:val="center"/>
        </w:trPr>
        <w:tc>
          <w:tcPr>
            <w:tcW w:w="1026" w:type="dxa"/>
            <w:vMerge/>
            <w:tcBorders>
              <w:top w:val="single" w:sz="8" w:space="0" w:color="152935"/>
              <w:left w:val="single" w:sz="4" w:space="0" w:color="auto"/>
              <w:bottom w:val="single" w:sz="8" w:space="0" w:color="152935"/>
              <w:right w:val="nil"/>
            </w:tcBorders>
            <w:shd w:val="clear" w:color="auto" w:fill="E0E0E0"/>
          </w:tcPr>
          <w:p w14:paraId="0CE03451"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028" w:type="dxa"/>
            <w:tcBorders>
              <w:top w:val="single" w:sz="8" w:space="0" w:color="AEAEAE"/>
              <w:left w:val="nil"/>
              <w:bottom w:val="single" w:sz="8" w:space="0" w:color="AEAEAE"/>
              <w:right w:val="nil"/>
            </w:tcBorders>
            <w:shd w:val="clear" w:color="auto" w:fill="E0E0E0"/>
          </w:tcPr>
          <w:p w14:paraId="1043B7E8" w14:textId="40FAEDF7" w:rsidR="002210A7" w:rsidRPr="00D11D21" w:rsidRDefault="00FE1E7D"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628" w:type="dxa"/>
            <w:tcBorders>
              <w:top w:val="single" w:sz="8" w:space="0" w:color="AEAEAE"/>
              <w:left w:val="nil"/>
              <w:bottom w:val="single" w:sz="8" w:space="0" w:color="AEAEAE"/>
              <w:right w:val="single" w:sz="8" w:space="0" w:color="E0E0E0"/>
            </w:tcBorders>
            <w:shd w:val="clear" w:color="auto" w:fill="FFFFFF"/>
          </w:tcPr>
          <w:p w14:paraId="10F306C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435" w:type="dxa"/>
            <w:tcBorders>
              <w:top w:val="single" w:sz="8" w:space="0" w:color="AEAEAE"/>
              <w:left w:val="single" w:sz="8" w:space="0" w:color="E0E0E0"/>
              <w:bottom w:val="single" w:sz="8" w:space="0" w:color="AEAEAE"/>
              <w:right w:val="single" w:sz="8" w:space="0" w:color="E0E0E0"/>
            </w:tcBorders>
            <w:shd w:val="clear" w:color="auto" w:fill="FFFFFF"/>
          </w:tcPr>
          <w:p w14:paraId="56574B9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c>
          <w:tcPr>
            <w:tcW w:w="1950" w:type="dxa"/>
            <w:tcBorders>
              <w:top w:val="single" w:sz="8" w:space="0" w:color="AEAEAE"/>
              <w:left w:val="single" w:sz="8" w:space="0" w:color="E0E0E0"/>
              <w:bottom w:val="single" w:sz="8" w:space="0" w:color="AEAEAE"/>
              <w:right w:val="single" w:sz="8" w:space="0" w:color="E0E0E0"/>
            </w:tcBorders>
            <w:shd w:val="clear" w:color="auto" w:fill="FFFFFF"/>
          </w:tcPr>
          <w:p w14:paraId="6DFCD2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c>
          <w:tcPr>
            <w:tcW w:w="2057" w:type="dxa"/>
            <w:tcBorders>
              <w:top w:val="single" w:sz="8" w:space="0" w:color="AEAEAE"/>
              <w:left w:val="single" w:sz="8" w:space="0" w:color="E0E0E0"/>
              <w:bottom w:val="single" w:sz="8" w:space="0" w:color="AEAEAE"/>
              <w:right w:val="single" w:sz="4" w:space="0" w:color="auto"/>
            </w:tcBorders>
            <w:shd w:val="clear" w:color="auto" w:fill="FFFFFF"/>
          </w:tcPr>
          <w:p w14:paraId="17112F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76C0D5E9" w14:textId="77777777" w:rsidTr="00282FFC">
        <w:trPr>
          <w:cantSplit/>
          <w:trHeight w:val="129"/>
          <w:jc w:val="center"/>
        </w:trPr>
        <w:tc>
          <w:tcPr>
            <w:tcW w:w="1026" w:type="dxa"/>
            <w:vMerge/>
            <w:tcBorders>
              <w:top w:val="single" w:sz="8" w:space="0" w:color="152935"/>
              <w:left w:val="single" w:sz="4" w:space="0" w:color="auto"/>
              <w:bottom w:val="single" w:sz="4" w:space="0" w:color="auto"/>
              <w:right w:val="nil"/>
            </w:tcBorders>
            <w:shd w:val="clear" w:color="auto" w:fill="E0E0E0"/>
          </w:tcPr>
          <w:p w14:paraId="3D13D27F"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028" w:type="dxa"/>
            <w:tcBorders>
              <w:top w:val="single" w:sz="8" w:space="0" w:color="AEAEAE"/>
              <w:left w:val="nil"/>
              <w:bottom w:val="single" w:sz="4" w:space="0" w:color="auto"/>
              <w:right w:val="nil"/>
            </w:tcBorders>
            <w:shd w:val="clear" w:color="auto" w:fill="E0E0E0"/>
          </w:tcPr>
          <w:p w14:paraId="3C7F30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628" w:type="dxa"/>
            <w:tcBorders>
              <w:top w:val="single" w:sz="8" w:space="0" w:color="AEAEAE"/>
              <w:left w:val="nil"/>
              <w:bottom w:val="single" w:sz="4" w:space="0" w:color="auto"/>
              <w:right w:val="single" w:sz="8" w:space="0" w:color="E0E0E0"/>
            </w:tcBorders>
            <w:shd w:val="clear" w:color="auto" w:fill="FFFFFF"/>
          </w:tcPr>
          <w:p w14:paraId="766D9FF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435" w:type="dxa"/>
            <w:tcBorders>
              <w:top w:val="single" w:sz="8" w:space="0" w:color="AEAEAE"/>
              <w:left w:val="single" w:sz="8" w:space="0" w:color="E0E0E0"/>
              <w:bottom w:val="single" w:sz="4" w:space="0" w:color="auto"/>
              <w:right w:val="single" w:sz="8" w:space="0" w:color="E0E0E0"/>
            </w:tcBorders>
            <w:shd w:val="clear" w:color="auto" w:fill="FFFFFF"/>
          </w:tcPr>
          <w:p w14:paraId="669FA3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50" w:type="dxa"/>
            <w:tcBorders>
              <w:top w:val="single" w:sz="8" w:space="0" w:color="AEAEAE"/>
              <w:left w:val="single" w:sz="8" w:space="0" w:color="E0E0E0"/>
              <w:bottom w:val="single" w:sz="4" w:space="0" w:color="auto"/>
              <w:right w:val="single" w:sz="8" w:space="0" w:color="E0E0E0"/>
            </w:tcBorders>
            <w:shd w:val="clear" w:color="auto" w:fill="FFFFFF"/>
          </w:tcPr>
          <w:p w14:paraId="155C93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2057" w:type="dxa"/>
            <w:tcBorders>
              <w:top w:val="single" w:sz="8" w:space="0" w:color="AEAEAE"/>
              <w:left w:val="single" w:sz="8" w:space="0" w:color="E0E0E0"/>
              <w:bottom w:val="single" w:sz="4" w:space="0" w:color="auto"/>
              <w:right w:val="single" w:sz="4" w:space="0" w:color="auto"/>
            </w:tcBorders>
            <w:shd w:val="clear" w:color="auto" w:fill="FFFFFF"/>
            <w:vAlign w:val="center"/>
          </w:tcPr>
          <w:p w14:paraId="1B8C7713"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72A406CF" w14:textId="3A5605B5" w:rsidR="00456329"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7C7797CF" w14:textId="1D26F66C" w:rsidR="002210A7" w:rsidRPr="00D11D21" w:rsidRDefault="00456329" w:rsidP="00D11D21">
      <w:pPr>
        <w:pStyle w:val="Lgende"/>
        <w:keepNext/>
        <w:spacing w:line="360" w:lineRule="auto"/>
        <w:jc w:val="both"/>
        <w:rPr>
          <w:rFonts w:asciiTheme="majorBidi" w:hAnsiTheme="majorBidi" w:cstheme="majorBidi"/>
          <w:color w:val="auto"/>
          <w:sz w:val="24"/>
          <w:szCs w:val="24"/>
        </w:rPr>
      </w:pPr>
      <w:bookmarkStart w:id="191" w:name="_Toc200210081"/>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Niveau de connaissance des systèmes PMSI/DRG</w:t>
      </w:r>
      <w:bookmarkEnd w:id="191"/>
    </w:p>
    <w:p w14:paraId="1307E6ED"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211E89E2" wp14:editId="4DEC8E0D">
            <wp:extent cx="3334043" cy="1845948"/>
            <wp:effectExtent l="0" t="0" r="0" b="1905"/>
            <wp:docPr id="138" name="Imag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5957"/>
                    <a:stretch/>
                  </pic:blipFill>
                  <pic:spPr bwMode="auto">
                    <a:xfrm>
                      <a:off x="0" y="0"/>
                      <a:ext cx="3351723" cy="1855737"/>
                    </a:xfrm>
                    <a:prstGeom prst="rect">
                      <a:avLst/>
                    </a:prstGeom>
                    <a:noFill/>
                    <a:ln>
                      <a:noFill/>
                    </a:ln>
                    <a:extLst>
                      <a:ext uri="{53640926-AAD7-44D8-BBD7-CCE9431645EC}">
                        <a14:shadowObscured xmlns:a14="http://schemas.microsoft.com/office/drawing/2010/main"/>
                      </a:ext>
                    </a:extLst>
                  </pic:spPr>
                </pic:pic>
              </a:graphicData>
            </a:graphic>
          </wp:inline>
        </w:drawing>
      </w:r>
    </w:p>
    <w:p w14:paraId="3132C43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39EAC6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948C242"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La majorité des professionnels interrogés sont informés de l'existence de systèmes de classification médicale ou de financement à l'activité comme le PMSI, ce qui est un bon indicateur d'ouverture à d'autres modèles. Toutefois, un tiers reste à sensibiliser ou former à ces approches, ce qui pourrait freiner une éventuelle réforme du financement hospitalier basée sur ces systèmes.</w:t>
      </w:r>
    </w:p>
    <w:p w14:paraId="77514BD2"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Q9 : Si oui, votre structure envisage-t-elle de s’en inspirer ?</w:t>
      </w:r>
    </w:p>
    <w:p w14:paraId="04D69C39"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833DD98" w14:textId="77777777" w:rsidR="002210A7" w:rsidRPr="00D11D21" w:rsidRDefault="002210A7" w:rsidP="00D11D21">
      <w:pPr>
        <w:shd w:val="clear" w:color="auto" w:fill="FFFFFF" w:themeFill="background1"/>
        <w:ind w:firstLine="70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 xml:space="preserve">Bien qu'une grande partie des répondants n'ait pas exprimé de position claire, les réponses explicites montrent un intérêt modéré mais réel pour s’inspirer de systèmes comme le PMSI, les DRG ou le NHS. Cela indique un potentiel d’évolution vers un modèle de financement plus structuré ou axé </w:t>
      </w:r>
      <w:r w:rsidRPr="00D11D21">
        <w:rPr>
          <w:rFonts w:asciiTheme="majorBidi" w:hAnsiTheme="majorBidi" w:cstheme="majorBidi"/>
          <w:color w:val="000000" w:themeColor="text1"/>
          <w:szCs w:val="24"/>
        </w:rPr>
        <w:lastRenderedPageBreak/>
        <w:t>sur l’activité, à condition d’un meilleur accompagnement, d'une formation adéquate et d'un soutien institutionnel.</w:t>
      </w:r>
    </w:p>
    <w:p w14:paraId="38C8F479"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Q10 : Seriez-vous favorable à un modèle mixte de financement combinant budget global et financement à l’activité (T2A) ?</w:t>
      </w:r>
    </w:p>
    <w:p w14:paraId="0CCDE475" w14:textId="28F58B27" w:rsidR="002210A7" w:rsidRPr="00D11D21" w:rsidRDefault="00456329" w:rsidP="00D11D21">
      <w:pPr>
        <w:pStyle w:val="Lgende"/>
        <w:keepNext/>
        <w:spacing w:line="360" w:lineRule="auto"/>
        <w:jc w:val="both"/>
        <w:rPr>
          <w:rFonts w:asciiTheme="majorBidi" w:hAnsiTheme="majorBidi" w:cstheme="majorBidi"/>
          <w:color w:val="auto"/>
          <w:sz w:val="24"/>
          <w:szCs w:val="24"/>
        </w:rPr>
      </w:pPr>
      <w:bookmarkStart w:id="192" w:name="_Toc200210125"/>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Adhésion à un modèle mixte (budget global + T2A)</w:t>
      </w:r>
      <w:bookmarkEnd w:id="192"/>
    </w:p>
    <w:tbl>
      <w:tblPr>
        <w:tblW w:w="997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8"/>
        <w:gridCol w:w="2970"/>
        <w:gridCol w:w="1411"/>
        <w:gridCol w:w="1241"/>
        <w:gridCol w:w="1688"/>
        <w:gridCol w:w="1781"/>
      </w:tblGrid>
      <w:tr w:rsidR="002210A7" w:rsidRPr="00D11D21" w14:paraId="148A65C2" w14:textId="77777777" w:rsidTr="00282FFC">
        <w:trPr>
          <w:cantSplit/>
          <w:trHeight w:val="254"/>
          <w:jc w:val="center"/>
        </w:trPr>
        <w:tc>
          <w:tcPr>
            <w:tcW w:w="3858" w:type="dxa"/>
            <w:gridSpan w:val="2"/>
            <w:tcBorders>
              <w:top w:val="single" w:sz="4" w:space="0" w:color="auto"/>
              <w:left w:val="single" w:sz="4" w:space="0" w:color="auto"/>
              <w:bottom w:val="single" w:sz="8" w:space="0" w:color="152935"/>
              <w:right w:val="nil"/>
            </w:tcBorders>
            <w:shd w:val="clear" w:color="auto" w:fill="FFFFFF"/>
            <w:vAlign w:val="bottom"/>
          </w:tcPr>
          <w:p w14:paraId="51C2121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11" w:type="dxa"/>
            <w:tcBorders>
              <w:top w:val="single" w:sz="4" w:space="0" w:color="auto"/>
              <w:left w:val="nil"/>
              <w:bottom w:val="single" w:sz="8" w:space="0" w:color="152935"/>
              <w:right w:val="single" w:sz="8" w:space="0" w:color="E0E0E0"/>
            </w:tcBorders>
            <w:shd w:val="clear" w:color="auto" w:fill="FFFFFF"/>
            <w:vAlign w:val="bottom"/>
          </w:tcPr>
          <w:p w14:paraId="1D3C5E3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4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FF7FCE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8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7AD69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81" w:type="dxa"/>
            <w:tcBorders>
              <w:top w:val="single" w:sz="4" w:space="0" w:color="auto"/>
              <w:left w:val="single" w:sz="8" w:space="0" w:color="E0E0E0"/>
              <w:bottom w:val="single" w:sz="8" w:space="0" w:color="152935"/>
              <w:right w:val="single" w:sz="4" w:space="0" w:color="auto"/>
            </w:tcBorders>
            <w:shd w:val="clear" w:color="auto" w:fill="FFFFFF"/>
            <w:vAlign w:val="bottom"/>
          </w:tcPr>
          <w:p w14:paraId="32A8E5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04E291A2" w14:textId="77777777" w:rsidTr="00282FFC">
        <w:trPr>
          <w:cantSplit/>
          <w:trHeight w:val="510"/>
          <w:jc w:val="center"/>
        </w:trPr>
        <w:tc>
          <w:tcPr>
            <w:tcW w:w="888" w:type="dxa"/>
            <w:vMerge w:val="restart"/>
            <w:tcBorders>
              <w:top w:val="single" w:sz="8" w:space="0" w:color="152935"/>
              <w:left w:val="single" w:sz="4" w:space="0" w:color="auto"/>
              <w:bottom w:val="single" w:sz="8" w:space="0" w:color="152935"/>
              <w:right w:val="nil"/>
            </w:tcBorders>
            <w:shd w:val="clear" w:color="auto" w:fill="E0E0E0"/>
          </w:tcPr>
          <w:p w14:paraId="1C6E8C1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969" w:type="dxa"/>
            <w:tcBorders>
              <w:top w:val="single" w:sz="8" w:space="0" w:color="152935"/>
              <w:left w:val="nil"/>
              <w:bottom w:val="single" w:sz="8" w:space="0" w:color="AEAEAE"/>
              <w:right w:val="nil"/>
            </w:tcBorders>
            <w:shd w:val="clear" w:color="auto" w:fill="E0E0E0"/>
          </w:tcPr>
          <w:p w14:paraId="5800DBD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À condition que certaines conditions soient réunies (précisez) :</w:t>
            </w:r>
          </w:p>
        </w:tc>
        <w:tc>
          <w:tcPr>
            <w:tcW w:w="1411" w:type="dxa"/>
            <w:tcBorders>
              <w:top w:val="single" w:sz="8" w:space="0" w:color="152935"/>
              <w:left w:val="nil"/>
              <w:bottom w:val="single" w:sz="8" w:space="0" w:color="AEAEAE"/>
              <w:right w:val="single" w:sz="8" w:space="0" w:color="E0E0E0"/>
            </w:tcBorders>
            <w:shd w:val="clear" w:color="auto" w:fill="FFFFFF"/>
          </w:tcPr>
          <w:p w14:paraId="33FEBB9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241" w:type="dxa"/>
            <w:tcBorders>
              <w:top w:val="single" w:sz="8" w:space="0" w:color="152935"/>
              <w:left w:val="single" w:sz="8" w:space="0" w:color="E0E0E0"/>
              <w:bottom w:val="single" w:sz="8" w:space="0" w:color="AEAEAE"/>
              <w:right w:val="single" w:sz="8" w:space="0" w:color="E0E0E0"/>
            </w:tcBorders>
            <w:shd w:val="clear" w:color="auto" w:fill="FFFFFF"/>
          </w:tcPr>
          <w:p w14:paraId="4E70878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688" w:type="dxa"/>
            <w:tcBorders>
              <w:top w:val="single" w:sz="8" w:space="0" w:color="152935"/>
              <w:left w:val="single" w:sz="8" w:space="0" w:color="E0E0E0"/>
              <w:bottom w:val="single" w:sz="8" w:space="0" w:color="AEAEAE"/>
              <w:right w:val="single" w:sz="8" w:space="0" w:color="E0E0E0"/>
            </w:tcBorders>
            <w:shd w:val="clear" w:color="auto" w:fill="FFFFFF"/>
          </w:tcPr>
          <w:p w14:paraId="4E0CD5F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781" w:type="dxa"/>
            <w:tcBorders>
              <w:top w:val="single" w:sz="8" w:space="0" w:color="152935"/>
              <w:left w:val="single" w:sz="8" w:space="0" w:color="E0E0E0"/>
              <w:bottom w:val="single" w:sz="8" w:space="0" w:color="AEAEAE"/>
              <w:right w:val="single" w:sz="4" w:space="0" w:color="auto"/>
            </w:tcBorders>
            <w:shd w:val="clear" w:color="auto" w:fill="FFFFFF"/>
          </w:tcPr>
          <w:p w14:paraId="5D78F88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r>
      <w:tr w:rsidR="002210A7" w:rsidRPr="00D11D21" w14:paraId="6C112F86" w14:textId="77777777" w:rsidTr="00282FFC">
        <w:trPr>
          <w:cantSplit/>
          <w:trHeight w:val="44"/>
          <w:jc w:val="center"/>
        </w:trPr>
        <w:tc>
          <w:tcPr>
            <w:tcW w:w="888" w:type="dxa"/>
            <w:vMerge/>
            <w:tcBorders>
              <w:top w:val="single" w:sz="8" w:space="0" w:color="152935"/>
              <w:left w:val="single" w:sz="4" w:space="0" w:color="auto"/>
              <w:bottom w:val="single" w:sz="8" w:space="0" w:color="152935"/>
              <w:right w:val="nil"/>
            </w:tcBorders>
            <w:shd w:val="clear" w:color="auto" w:fill="E0E0E0"/>
          </w:tcPr>
          <w:p w14:paraId="02F9B7B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69" w:type="dxa"/>
            <w:tcBorders>
              <w:top w:val="single" w:sz="8" w:space="0" w:color="AEAEAE"/>
              <w:left w:val="nil"/>
              <w:bottom w:val="single" w:sz="8" w:space="0" w:color="AEAEAE"/>
              <w:right w:val="nil"/>
            </w:tcBorders>
            <w:shd w:val="clear" w:color="auto" w:fill="E0E0E0"/>
          </w:tcPr>
          <w:p w14:paraId="410A96DE" w14:textId="79A6CC41" w:rsidR="002210A7" w:rsidRPr="00D11D21" w:rsidRDefault="00FE1E7D"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411" w:type="dxa"/>
            <w:tcBorders>
              <w:top w:val="single" w:sz="8" w:space="0" w:color="AEAEAE"/>
              <w:left w:val="nil"/>
              <w:bottom w:val="single" w:sz="8" w:space="0" w:color="AEAEAE"/>
              <w:right w:val="single" w:sz="8" w:space="0" w:color="E0E0E0"/>
            </w:tcBorders>
            <w:shd w:val="clear" w:color="auto" w:fill="FFFFFF"/>
          </w:tcPr>
          <w:p w14:paraId="4E4A87E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28</w:t>
            </w:r>
          </w:p>
        </w:tc>
        <w:tc>
          <w:tcPr>
            <w:tcW w:w="1241" w:type="dxa"/>
            <w:tcBorders>
              <w:top w:val="single" w:sz="8" w:space="0" w:color="AEAEAE"/>
              <w:left w:val="single" w:sz="8" w:space="0" w:color="E0E0E0"/>
              <w:bottom w:val="single" w:sz="8" w:space="0" w:color="AEAEAE"/>
              <w:right w:val="single" w:sz="8" w:space="0" w:color="E0E0E0"/>
            </w:tcBorders>
            <w:shd w:val="clear" w:color="auto" w:fill="FFFFFF"/>
          </w:tcPr>
          <w:p w14:paraId="1C4BD3A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84,8</w:t>
            </w:r>
          </w:p>
        </w:tc>
        <w:tc>
          <w:tcPr>
            <w:tcW w:w="1688" w:type="dxa"/>
            <w:tcBorders>
              <w:top w:val="single" w:sz="8" w:space="0" w:color="AEAEAE"/>
              <w:left w:val="single" w:sz="8" w:space="0" w:color="E0E0E0"/>
              <w:bottom w:val="single" w:sz="8" w:space="0" w:color="AEAEAE"/>
              <w:right w:val="single" w:sz="8" w:space="0" w:color="E0E0E0"/>
            </w:tcBorders>
            <w:shd w:val="clear" w:color="auto" w:fill="FFFFFF"/>
          </w:tcPr>
          <w:p w14:paraId="24036C6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84,8</w:t>
            </w:r>
          </w:p>
        </w:tc>
        <w:tc>
          <w:tcPr>
            <w:tcW w:w="1781" w:type="dxa"/>
            <w:tcBorders>
              <w:top w:val="single" w:sz="8" w:space="0" w:color="AEAEAE"/>
              <w:left w:val="single" w:sz="8" w:space="0" w:color="E0E0E0"/>
              <w:bottom w:val="single" w:sz="8" w:space="0" w:color="AEAEAE"/>
              <w:right w:val="single" w:sz="4" w:space="0" w:color="auto"/>
            </w:tcBorders>
            <w:shd w:val="clear" w:color="auto" w:fill="FFFFFF"/>
          </w:tcPr>
          <w:p w14:paraId="3261C6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24F8B146" w14:textId="77777777" w:rsidTr="00282FFC">
        <w:trPr>
          <w:cantSplit/>
          <w:trHeight w:val="44"/>
          <w:jc w:val="center"/>
        </w:trPr>
        <w:tc>
          <w:tcPr>
            <w:tcW w:w="888" w:type="dxa"/>
            <w:vMerge/>
            <w:tcBorders>
              <w:top w:val="single" w:sz="8" w:space="0" w:color="152935"/>
              <w:left w:val="single" w:sz="4" w:space="0" w:color="auto"/>
              <w:bottom w:val="single" w:sz="4" w:space="0" w:color="auto"/>
              <w:right w:val="nil"/>
            </w:tcBorders>
            <w:shd w:val="clear" w:color="auto" w:fill="E0E0E0"/>
          </w:tcPr>
          <w:p w14:paraId="6A5907B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69" w:type="dxa"/>
            <w:tcBorders>
              <w:top w:val="single" w:sz="8" w:space="0" w:color="AEAEAE"/>
              <w:left w:val="nil"/>
              <w:bottom w:val="single" w:sz="4" w:space="0" w:color="auto"/>
              <w:right w:val="nil"/>
            </w:tcBorders>
            <w:shd w:val="clear" w:color="auto" w:fill="E0E0E0"/>
          </w:tcPr>
          <w:p w14:paraId="748AB26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11" w:type="dxa"/>
            <w:tcBorders>
              <w:top w:val="single" w:sz="8" w:space="0" w:color="AEAEAE"/>
              <w:left w:val="nil"/>
              <w:bottom w:val="single" w:sz="4" w:space="0" w:color="auto"/>
              <w:right w:val="single" w:sz="8" w:space="0" w:color="E0E0E0"/>
            </w:tcBorders>
            <w:shd w:val="clear" w:color="auto" w:fill="FFFFFF"/>
          </w:tcPr>
          <w:p w14:paraId="07EB03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41" w:type="dxa"/>
            <w:tcBorders>
              <w:top w:val="single" w:sz="8" w:space="0" w:color="AEAEAE"/>
              <w:left w:val="single" w:sz="8" w:space="0" w:color="E0E0E0"/>
              <w:bottom w:val="single" w:sz="4" w:space="0" w:color="auto"/>
              <w:right w:val="single" w:sz="8" w:space="0" w:color="E0E0E0"/>
            </w:tcBorders>
            <w:shd w:val="clear" w:color="auto" w:fill="FFFFFF"/>
          </w:tcPr>
          <w:p w14:paraId="5E03FFF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88" w:type="dxa"/>
            <w:tcBorders>
              <w:top w:val="single" w:sz="8" w:space="0" w:color="AEAEAE"/>
              <w:left w:val="single" w:sz="8" w:space="0" w:color="E0E0E0"/>
              <w:bottom w:val="single" w:sz="4" w:space="0" w:color="auto"/>
              <w:right w:val="single" w:sz="8" w:space="0" w:color="E0E0E0"/>
            </w:tcBorders>
            <w:shd w:val="clear" w:color="auto" w:fill="FFFFFF"/>
          </w:tcPr>
          <w:p w14:paraId="5A7F43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81" w:type="dxa"/>
            <w:tcBorders>
              <w:top w:val="single" w:sz="8" w:space="0" w:color="AEAEAE"/>
              <w:left w:val="single" w:sz="8" w:space="0" w:color="E0E0E0"/>
              <w:bottom w:val="single" w:sz="4" w:space="0" w:color="auto"/>
              <w:right w:val="single" w:sz="4" w:space="0" w:color="auto"/>
            </w:tcBorders>
            <w:shd w:val="clear" w:color="auto" w:fill="FFFFFF"/>
            <w:vAlign w:val="center"/>
          </w:tcPr>
          <w:p w14:paraId="5F3C3CE3"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0D18A222" w14:textId="591BA053" w:rsidR="002210A7" w:rsidRPr="00772AE8"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6D5A094B" w14:textId="4417CAC5" w:rsidR="002210A7" w:rsidRPr="00D11D21" w:rsidRDefault="00E24084" w:rsidP="00D11D21">
      <w:pPr>
        <w:pStyle w:val="Lgende"/>
        <w:keepNext/>
        <w:spacing w:line="360" w:lineRule="auto"/>
        <w:jc w:val="both"/>
        <w:rPr>
          <w:rFonts w:asciiTheme="majorBidi" w:hAnsiTheme="majorBidi" w:cstheme="majorBidi"/>
          <w:color w:val="auto"/>
          <w:sz w:val="24"/>
          <w:szCs w:val="24"/>
        </w:rPr>
      </w:pPr>
      <w:bookmarkStart w:id="193" w:name="_Toc200210082"/>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15</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Adhésion à un modèle mixte (budget global + T2A)</w:t>
      </w:r>
      <w:bookmarkEnd w:id="193"/>
    </w:p>
    <w:p w14:paraId="322378A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281C98A7" wp14:editId="28AB6551">
            <wp:extent cx="3641697" cy="1931143"/>
            <wp:effectExtent l="0" t="0" r="0" b="0"/>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8">
                      <a:extLst>
                        <a:ext uri="{28A0092B-C50C-407E-A947-70E740481C1C}">
                          <a14:useLocalDpi xmlns:a14="http://schemas.microsoft.com/office/drawing/2010/main" val="0"/>
                        </a:ext>
                      </a:extLst>
                    </a:blip>
                    <a:srcRect t="9928"/>
                    <a:stretch/>
                  </pic:blipFill>
                  <pic:spPr bwMode="auto">
                    <a:xfrm>
                      <a:off x="0" y="0"/>
                      <a:ext cx="3664998" cy="1943499"/>
                    </a:xfrm>
                    <a:prstGeom prst="rect">
                      <a:avLst/>
                    </a:prstGeom>
                    <a:noFill/>
                    <a:ln>
                      <a:noFill/>
                    </a:ln>
                    <a:extLst>
                      <a:ext uri="{53640926-AAD7-44D8-BBD7-CCE9431645EC}">
                        <a14:shadowObscured xmlns:a14="http://schemas.microsoft.com/office/drawing/2010/main"/>
                      </a:ext>
                    </a:extLst>
                  </pic:spPr>
                </pic:pic>
              </a:graphicData>
            </a:graphic>
          </wp:inline>
        </w:drawing>
      </w:r>
    </w:p>
    <w:p w14:paraId="15D7B865" w14:textId="77777777" w:rsidR="002210A7" w:rsidRPr="00D11D21" w:rsidRDefault="002210A7" w:rsidP="00D11D21">
      <w:pPr>
        <w:pStyle w:val="Paragraphedeliste"/>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FC9B07E"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7849549" w14:textId="77777777" w:rsidR="002210A7" w:rsidRPr="00D11D21" w:rsidRDefault="002210A7" w:rsidP="00D11D21">
      <w:pPr>
        <w:pStyle w:val="Paragraphedeliste"/>
        <w:numPr>
          <w:ilvl w:val="0"/>
          <w:numId w:val="75"/>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84,8 % des répondants (28 personnes) se déclarent favorables sans réserve au modèle mixte.</w:t>
      </w:r>
    </w:p>
    <w:p w14:paraId="445FDE3F" w14:textId="77777777" w:rsidR="002210A7" w:rsidRPr="00D11D21" w:rsidRDefault="002210A7" w:rsidP="00D11D21">
      <w:pPr>
        <w:pStyle w:val="Paragraphedeliste"/>
        <w:numPr>
          <w:ilvl w:val="0"/>
          <w:numId w:val="75"/>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15,2 % (5 personnes) sont favorables sous conditions, ce qui montre un soutien nuancé, probablement dépendant de modalités précises de mise en œuvre.</w:t>
      </w:r>
    </w:p>
    <w:p w14:paraId="2CDDF0BA"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Une large majorité des répondants soutient l’idée d’un modèle mixte combinant budget global et T2A. Cela traduit une volonté de modernisation du financement hospitalier, à travers un système qui maintient les avantages de la gratuité et de la stabilité, tout en introduisant une dose de performance et de responsabilisation via l’activité réelle. Les réponses conditionnelles indiquent néanmoins la nécessité de garde-fous pour assurer l’équité, la faisabilité et l'efficacité du système.</w:t>
      </w:r>
    </w:p>
    <w:p w14:paraId="5968E13E"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lastRenderedPageBreak/>
        <w:t>Q11 : Quels seraient, selon vous, les freins potentiels à une telle réforme ?</w:t>
      </w:r>
    </w:p>
    <w:p w14:paraId="3BE23F3C" w14:textId="29EB5E3D" w:rsidR="002210A7" w:rsidRPr="00772AE8" w:rsidRDefault="00456329" w:rsidP="00772AE8">
      <w:pPr>
        <w:pStyle w:val="Lgende"/>
        <w:keepNext/>
        <w:spacing w:line="360" w:lineRule="auto"/>
        <w:jc w:val="both"/>
        <w:rPr>
          <w:rFonts w:asciiTheme="majorBidi" w:hAnsiTheme="majorBidi" w:cstheme="majorBidi"/>
          <w:color w:val="auto"/>
          <w:sz w:val="24"/>
          <w:szCs w:val="24"/>
        </w:rPr>
      </w:pPr>
      <w:bookmarkStart w:id="194" w:name="_Toc200210126"/>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18</w:t>
      </w:r>
      <w:r w:rsidRPr="00D11D21">
        <w:rPr>
          <w:rFonts w:asciiTheme="majorBidi" w:hAnsiTheme="majorBidi" w:cstheme="majorBidi"/>
          <w:color w:val="auto"/>
          <w:sz w:val="24"/>
          <w:szCs w:val="24"/>
        </w:rPr>
        <w:fldChar w:fldCharType="end"/>
      </w:r>
      <w:r w:rsidR="009E7B3D" w:rsidRPr="00D11D21">
        <w:rPr>
          <w:rFonts w:asciiTheme="majorBidi" w:hAnsiTheme="majorBidi" w:cstheme="majorBidi"/>
          <w:color w:val="auto"/>
          <w:sz w:val="24"/>
          <w:szCs w:val="24"/>
        </w:rPr>
        <w:t>: Freins perçus à la réforme du financement</w:t>
      </w:r>
      <w:bookmarkEnd w:id="194"/>
    </w:p>
    <w:tbl>
      <w:tblPr>
        <w:tblW w:w="99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0"/>
        <w:gridCol w:w="2974"/>
        <w:gridCol w:w="1412"/>
        <w:gridCol w:w="1242"/>
        <w:gridCol w:w="1690"/>
        <w:gridCol w:w="1783"/>
      </w:tblGrid>
      <w:tr w:rsidR="002210A7" w:rsidRPr="00D11D21" w14:paraId="3181EFE7" w14:textId="77777777" w:rsidTr="00282FFC">
        <w:trPr>
          <w:cantSplit/>
          <w:trHeight w:val="426"/>
          <w:jc w:val="center"/>
        </w:trPr>
        <w:tc>
          <w:tcPr>
            <w:tcW w:w="3864" w:type="dxa"/>
            <w:gridSpan w:val="2"/>
            <w:tcBorders>
              <w:top w:val="single" w:sz="4" w:space="0" w:color="auto"/>
              <w:left w:val="single" w:sz="4" w:space="0" w:color="auto"/>
              <w:bottom w:val="single" w:sz="8" w:space="0" w:color="152935"/>
              <w:right w:val="nil"/>
            </w:tcBorders>
            <w:shd w:val="clear" w:color="auto" w:fill="FFFFFF"/>
            <w:vAlign w:val="bottom"/>
          </w:tcPr>
          <w:p w14:paraId="71A0AC8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12" w:type="dxa"/>
            <w:tcBorders>
              <w:top w:val="single" w:sz="4" w:space="0" w:color="auto"/>
              <w:left w:val="nil"/>
              <w:bottom w:val="single" w:sz="8" w:space="0" w:color="152935"/>
              <w:right w:val="single" w:sz="8" w:space="0" w:color="E0E0E0"/>
            </w:tcBorders>
            <w:shd w:val="clear" w:color="auto" w:fill="FFFFFF"/>
            <w:vAlign w:val="bottom"/>
          </w:tcPr>
          <w:p w14:paraId="3C08693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42"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9B8AA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9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C74126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83" w:type="dxa"/>
            <w:tcBorders>
              <w:top w:val="single" w:sz="4" w:space="0" w:color="auto"/>
              <w:left w:val="single" w:sz="8" w:space="0" w:color="E0E0E0"/>
              <w:bottom w:val="single" w:sz="8" w:space="0" w:color="152935"/>
              <w:right w:val="single" w:sz="4" w:space="0" w:color="auto"/>
            </w:tcBorders>
            <w:shd w:val="clear" w:color="auto" w:fill="FFFFFF"/>
            <w:vAlign w:val="bottom"/>
          </w:tcPr>
          <w:p w14:paraId="7BF2ED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2181E6FC" w14:textId="77777777" w:rsidTr="00282FFC">
        <w:trPr>
          <w:cantSplit/>
          <w:trHeight w:val="426"/>
          <w:jc w:val="center"/>
        </w:trPr>
        <w:tc>
          <w:tcPr>
            <w:tcW w:w="890" w:type="dxa"/>
            <w:vMerge w:val="restart"/>
            <w:tcBorders>
              <w:top w:val="single" w:sz="8" w:space="0" w:color="152935"/>
              <w:left w:val="single" w:sz="4" w:space="0" w:color="auto"/>
              <w:bottom w:val="single" w:sz="8" w:space="0" w:color="152935"/>
              <w:right w:val="nil"/>
            </w:tcBorders>
            <w:shd w:val="clear" w:color="auto" w:fill="E0E0E0"/>
          </w:tcPr>
          <w:p w14:paraId="60DD43D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973" w:type="dxa"/>
            <w:tcBorders>
              <w:top w:val="single" w:sz="8" w:space="0" w:color="152935"/>
              <w:left w:val="nil"/>
              <w:bottom w:val="single" w:sz="8" w:space="0" w:color="AEAEAE"/>
              <w:right w:val="nil"/>
            </w:tcBorders>
            <w:shd w:val="clear" w:color="auto" w:fill="E0E0E0"/>
          </w:tcPr>
          <w:p w14:paraId="2381520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Formation insuffisante du personnel</w:t>
            </w:r>
          </w:p>
        </w:tc>
        <w:tc>
          <w:tcPr>
            <w:tcW w:w="1412" w:type="dxa"/>
            <w:tcBorders>
              <w:top w:val="single" w:sz="8" w:space="0" w:color="152935"/>
              <w:left w:val="nil"/>
              <w:bottom w:val="single" w:sz="8" w:space="0" w:color="AEAEAE"/>
              <w:right w:val="single" w:sz="8" w:space="0" w:color="E0E0E0"/>
            </w:tcBorders>
            <w:shd w:val="clear" w:color="auto" w:fill="FFFFFF"/>
          </w:tcPr>
          <w:p w14:paraId="33356B4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w:t>
            </w:r>
          </w:p>
        </w:tc>
        <w:tc>
          <w:tcPr>
            <w:tcW w:w="1242" w:type="dxa"/>
            <w:tcBorders>
              <w:top w:val="single" w:sz="8" w:space="0" w:color="152935"/>
              <w:left w:val="single" w:sz="8" w:space="0" w:color="E0E0E0"/>
              <w:bottom w:val="single" w:sz="8" w:space="0" w:color="AEAEAE"/>
              <w:right w:val="single" w:sz="8" w:space="0" w:color="E0E0E0"/>
            </w:tcBorders>
            <w:shd w:val="clear" w:color="auto" w:fill="FFFFFF"/>
          </w:tcPr>
          <w:p w14:paraId="23606EB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c>
          <w:tcPr>
            <w:tcW w:w="1690" w:type="dxa"/>
            <w:tcBorders>
              <w:top w:val="single" w:sz="8" w:space="0" w:color="152935"/>
              <w:left w:val="single" w:sz="8" w:space="0" w:color="E0E0E0"/>
              <w:bottom w:val="single" w:sz="8" w:space="0" w:color="AEAEAE"/>
              <w:right w:val="single" w:sz="8" w:space="0" w:color="E0E0E0"/>
            </w:tcBorders>
            <w:shd w:val="clear" w:color="auto" w:fill="FFFFFF"/>
          </w:tcPr>
          <w:p w14:paraId="4584FF2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c>
          <w:tcPr>
            <w:tcW w:w="1783" w:type="dxa"/>
            <w:tcBorders>
              <w:top w:val="single" w:sz="8" w:space="0" w:color="152935"/>
              <w:left w:val="single" w:sz="8" w:space="0" w:color="E0E0E0"/>
              <w:bottom w:val="single" w:sz="8" w:space="0" w:color="AEAEAE"/>
              <w:right w:val="single" w:sz="4" w:space="0" w:color="auto"/>
            </w:tcBorders>
            <w:shd w:val="clear" w:color="auto" w:fill="FFFFFF"/>
          </w:tcPr>
          <w:p w14:paraId="1A3C973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r>
      <w:tr w:rsidR="002210A7" w:rsidRPr="00D11D21" w14:paraId="592196AC" w14:textId="77777777" w:rsidTr="00282FFC">
        <w:trPr>
          <w:cantSplit/>
          <w:trHeight w:val="74"/>
          <w:jc w:val="center"/>
        </w:trPr>
        <w:tc>
          <w:tcPr>
            <w:tcW w:w="890" w:type="dxa"/>
            <w:vMerge/>
            <w:tcBorders>
              <w:top w:val="single" w:sz="8" w:space="0" w:color="152935"/>
              <w:left w:val="single" w:sz="4" w:space="0" w:color="auto"/>
              <w:bottom w:val="single" w:sz="8" w:space="0" w:color="152935"/>
              <w:right w:val="nil"/>
            </w:tcBorders>
            <w:shd w:val="clear" w:color="auto" w:fill="E0E0E0"/>
          </w:tcPr>
          <w:p w14:paraId="0F87086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73" w:type="dxa"/>
            <w:tcBorders>
              <w:top w:val="single" w:sz="8" w:space="0" w:color="AEAEAE"/>
              <w:left w:val="nil"/>
              <w:bottom w:val="single" w:sz="8" w:space="0" w:color="AEAEAE"/>
              <w:right w:val="nil"/>
            </w:tcBorders>
            <w:shd w:val="clear" w:color="auto" w:fill="E0E0E0"/>
          </w:tcPr>
          <w:p w14:paraId="4A59E30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Manque de systèmes d'information efficaces</w:t>
            </w:r>
          </w:p>
        </w:tc>
        <w:tc>
          <w:tcPr>
            <w:tcW w:w="1412" w:type="dxa"/>
            <w:tcBorders>
              <w:top w:val="single" w:sz="8" w:space="0" w:color="AEAEAE"/>
              <w:left w:val="nil"/>
              <w:bottom w:val="single" w:sz="8" w:space="0" w:color="AEAEAE"/>
              <w:right w:val="single" w:sz="8" w:space="0" w:color="E0E0E0"/>
            </w:tcBorders>
            <w:shd w:val="clear" w:color="auto" w:fill="FFFFFF"/>
          </w:tcPr>
          <w:p w14:paraId="756789A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242" w:type="dxa"/>
            <w:tcBorders>
              <w:top w:val="single" w:sz="8" w:space="0" w:color="AEAEAE"/>
              <w:left w:val="single" w:sz="8" w:space="0" w:color="E0E0E0"/>
              <w:bottom w:val="single" w:sz="8" w:space="0" w:color="AEAEAE"/>
              <w:right w:val="single" w:sz="8" w:space="0" w:color="E0E0E0"/>
            </w:tcBorders>
            <w:shd w:val="clear" w:color="auto" w:fill="FFFFFF"/>
          </w:tcPr>
          <w:p w14:paraId="20191DD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7E9AAE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783" w:type="dxa"/>
            <w:tcBorders>
              <w:top w:val="single" w:sz="8" w:space="0" w:color="AEAEAE"/>
              <w:left w:val="single" w:sz="8" w:space="0" w:color="E0E0E0"/>
              <w:bottom w:val="single" w:sz="8" w:space="0" w:color="AEAEAE"/>
              <w:right w:val="single" w:sz="4" w:space="0" w:color="auto"/>
            </w:tcBorders>
            <w:shd w:val="clear" w:color="auto" w:fill="FFFFFF"/>
          </w:tcPr>
          <w:p w14:paraId="0F1CA63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r>
      <w:tr w:rsidR="002210A7" w:rsidRPr="00D11D21" w14:paraId="35A696DE" w14:textId="77777777" w:rsidTr="00282FFC">
        <w:trPr>
          <w:cantSplit/>
          <w:trHeight w:val="74"/>
          <w:jc w:val="center"/>
        </w:trPr>
        <w:tc>
          <w:tcPr>
            <w:tcW w:w="890" w:type="dxa"/>
            <w:vMerge/>
            <w:tcBorders>
              <w:top w:val="single" w:sz="8" w:space="0" w:color="152935"/>
              <w:left w:val="single" w:sz="4" w:space="0" w:color="auto"/>
              <w:bottom w:val="single" w:sz="8" w:space="0" w:color="152935"/>
              <w:right w:val="nil"/>
            </w:tcBorders>
            <w:shd w:val="clear" w:color="auto" w:fill="E0E0E0"/>
          </w:tcPr>
          <w:p w14:paraId="789E26A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73" w:type="dxa"/>
            <w:tcBorders>
              <w:top w:val="single" w:sz="8" w:space="0" w:color="AEAEAE"/>
              <w:left w:val="nil"/>
              <w:bottom w:val="single" w:sz="8" w:space="0" w:color="AEAEAE"/>
              <w:right w:val="nil"/>
            </w:tcBorders>
            <w:shd w:val="clear" w:color="auto" w:fill="E0E0E0"/>
          </w:tcPr>
          <w:p w14:paraId="663D397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Problèmes juridiques ou réglementaires</w:t>
            </w:r>
          </w:p>
        </w:tc>
        <w:tc>
          <w:tcPr>
            <w:tcW w:w="1412" w:type="dxa"/>
            <w:tcBorders>
              <w:top w:val="single" w:sz="8" w:space="0" w:color="AEAEAE"/>
              <w:left w:val="nil"/>
              <w:bottom w:val="single" w:sz="8" w:space="0" w:color="AEAEAE"/>
              <w:right w:val="single" w:sz="8" w:space="0" w:color="E0E0E0"/>
            </w:tcBorders>
            <w:shd w:val="clear" w:color="auto" w:fill="FFFFFF"/>
          </w:tcPr>
          <w:p w14:paraId="55D28CF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w:t>
            </w:r>
          </w:p>
        </w:tc>
        <w:tc>
          <w:tcPr>
            <w:tcW w:w="1242" w:type="dxa"/>
            <w:tcBorders>
              <w:top w:val="single" w:sz="8" w:space="0" w:color="AEAEAE"/>
              <w:left w:val="single" w:sz="8" w:space="0" w:color="E0E0E0"/>
              <w:bottom w:val="single" w:sz="8" w:space="0" w:color="AEAEAE"/>
              <w:right w:val="single" w:sz="8" w:space="0" w:color="E0E0E0"/>
            </w:tcBorders>
            <w:shd w:val="clear" w:color="auto" w:fill="FFFFFF"/>
          </w:tcPr>
          <w:p w14:paraId="0977519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182414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c>
          <w:tcPr>
            <w:tcW w:w="1783" w:type="dxa"/>
            <w:tcBorders>
              <w:top w:val="single" w:sz="8" w:space="0" w:color="AEAEAE"/>
              <w:left w:val="single" w:sz="8" w:space="0" w:color="E0E0E0"/>
              <w:bottom w:val="single" w:sz="8" w:space="0" w:color="AEAEAE"/>
              <w:right w:val="single" w:sz="4" w:space="0" w:color="auto"/>
            </w:tcBorders>
            <w:shd w:val="clear" w:color="auto" w:fill="FFFFFF"/>
          </w:tcPr>
          <w:p w14:paraId="3D104EA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57,6</w:t>
            </w:r>
          </w:p>
        </w:tc>
      </w:tr>
      <w:tr w:rsidR="002210A7" w:rsidRPr="00D11D21" w14:paraId="2F236F2F" w14:textId="77777777" w:rsidTr="00282FFC">
        <w:trPr>
          <w:cantSplit/>
          <w:trHeight w:val="74"/>
          <w:jc w:val="center"/>
        </w:trPr>
        <w:tc>
          <w:tcPr>
            <w:tcW w:w="890" w:type="dxa"/>
            <w:vMerge/>
            <w:tcBorders>
              <w:top w:val="single" w:sz="8" w:space="0" w:color="152935"/>
              <w:left w:val="single" w:sz="4" w:space="0" w:color="auto"/>
              <w:bottom w:val="single" w:sz="8" w:space="0" w:color="152935"/>
              <w:right w:val="nil"/>
            </w:tcBorders>
            <w:shd w:val="clear" w:color="auto" w:fill="E0E0E0"/>
          </w:tcPr>
          <w:p w14:paraId="52F6849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73" w:type="dxa"/>
            <w:tcBorders>
              <w:top w:val="single" w:sz="8" w:space="0" w:color="AEAEAE"/>
              <w:left w:val="nil"/>
              <w:bottom w:val="single" w:sz="8" w:space="0" w:color="AEAEAE"/>
              <w:right w:val="nil"/>
            </w:tcBorders>
            <w:shd w:val="clear" w:color="auto" w:fill="E0E0E0"/>
          </w:tcPr>
          <w:p w14:paraId="5649425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Résistance au changement</w:t>
            </w:r>
          </w:p>
        </w:tc>
        <w:tc>
          <w:tcPr>
            <w:tcW w:w="1412" w:type="dxa"/>
            <w:tcBorders>
              <w:top w:val="single" w:sz="8" w:space="0" w:color="AEAEAE"/>
              <w:left w:val="nil"/>
              <w:bottom w:val="single" w:sz="8" w:space="0" w:color="AEAEAE"/>
              <w:right w:val="single" w:sz="8" w:space="0" w:color="E0E0E0"/>
            </w:tcBorders>
            <w:shd w:val="clear" w:color="auto" w:fill="FFFFFF"/>
          </w:tcPr>
          <w:p w14:paraId="5382C0E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w:t>
            </w:r>
          </w:p>
        </w:tc>
        <w:tc>
          <w:tcPr>
            <w:tcW w:w="1242" w:type="dxa"/>
            <w:tcBorders>
              <w:top w:val="single" w:sz="8" w:space="0" w:color="AEAEAE"/>
              <w:left w:val="single" w:sz="8" w:space="0" w:color="E0E0E0"/>
              <w:bottom w:val="single" w:sz="8" w:space="0" w:color="AEAEAE"/>
              <w:right w:val="single" w:sz="8" w:space="0" w:color="E0E0E0"/>
            </w:tcBorders>
            <w:shd w:val="clear" w:color="auto" w:fill="FFFFFF"/>
          </w:tcPr>
          <w:p w14:paraId="5A2F015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42,4</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5853FD0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42,4</w:t>
            </w:r>
          </w:p>
        </w:tc>
        <w:tc>
          <w:tcPr>
            <w:tcW w:w="1783" w:type="dxa"/>
            <w:tcBorders>
              <w:top w:val="single" w:sz="8" w:space="0" w:color="AEAEAE"/>
              <w:left w:val="single" w:sz="8" w:space="0" w:color="E0E0E0"/>
              <w:bottom w:val="single" w:sz="8" w:space="0" w:color="AEAEAE"/>
              <w:right w:val="single" w:sz="4" w:space="0" w:color="auto"/>
            </w:tcBorders>
            <w:shd w:val="clear" w:color="auto" w:fill="FFFFFF"/>
          </w:tcPr>
          <w:p w14:paraId="291F41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497FE4F3" w14:textId="77777777" w:rsidTr="00282FFC">
        <w:trPr>
          <w:cantSplit/>
          <w:trHeight w:val="74"/>
          <w:jc w:val="center"/>
        </w:trPr>
        <w:tc>
          <w:tcPr>
            <w:tcW w:w="890" w:type="dxa"/>
            <w:vMerge/>
            <w:tcBorders>
              <w:top w:val="single" w:sz="8" w:space="0" w:color="152935"/>
              <w:left w:val="single" w:sz="4" w:space="0" w:color="auto"/>
              <w:bottom w:val="single" w:sz="4" w:space="0" w:color="auto"/>
              <w:right w:val="nil"/>
            </w:tcBorders>
            <w:shd w:val="clear" w:color="auto" w:fill="E0E0E0"/>
          </w:tcPr>
          <w:p w14:paraId="7D6D1C3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73" w:type="dxa"/>
            <w:tcBorders>
              <w:top w:val="single" w:sz="8" w:space="0" w:color="AEAEAE"/>
              <w:left w:val="nil"/>
              <w:bottom w:val="single" w:sz="4" w:space="0" w:color="auto"/>
              <w:right w:val="nil"/>
            </w:tcBorders>
            <w:shd w:val="clear" w:color="auto" w:fill="E0E0E0"/>
          </w:tcPr>
          <w:p w14:paraId="5DDF4D8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12" w:type="dxa"/>
            <w:tcBorders>
              <w:top w:val="single" w:sz="8" w:space="0" w:color="AEAEAE"/>
              <w:left w:val="nil"/>
              <w:bottom w:val="single" w:sz="4" w:space="0" w:color="auto"/>
              <w:right w:val="single" w:sz="8" w:space="0" w:color="E0E0E0"/>
            </w:tcBorders>
            <w:shd w:val="clear" w:color="auto" w:fill="FFFFFF"/>
          </w:tcPr>
          <w:p w14:paraId="5AAE2A0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42" w:type="dxa"/>
            <w:tcBorders>
              <w:top w:val="single" w:sz="8" w:space="0" w:color="AEAEAE"/>
              <w:left w:val="single" w:sz="8" w:space="0" w:color="E0E0E0"/>
              <w:bottom w:val="single" w:sz="4" w:space="0" w:color="auto"/>
              <w:right w:val="single" w:sz="8" w:space="0" w:color="E0E0E0"/>
            </w:tcBorders>
            <w:shd w:val="clear" w:color="auto" w:fill="FFFFFF"/>
          </w:tcPr>
          <w:p w14:paraId="669038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90" w:type="dxa"/>
            <w:tcBorders>
              <w:top w:val="single" w:sz="8" w:space="0" w:color="AEAEAE"/>
              <w:left w:val="single" w:sz="8" w:space="0" w:color="E0E0E0"/>
              <w:bottom w:val="single" w:sz="4" w:space="0" w:color="auto"/>
              <w:right w:val="single" w:sz="8" w:space="0" w:color="E0E0E0"/>
            </w:tcBorders>
            <w:shd w:val="clear" w:color="auto" w:fill="FFFFFF"/>
          </w:tcPr>
          <w:p w14:paraId="45C6D4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83" w:type="dxa"/>
            <w:tcBorders>
              <w:top w:val="single" w:sz="8" w:space="0" w:color="AEAEAE"/>
              <w:left w:val="single" w:sz="8" w:space="0" w:color="E0E0E0"/>
              <w:bottom w:val="single" w:sz="4" w:space="0" w:color="auto"/>
              <w:right w:val="single" w:sz="4" w:space="0" w:color="auto"/>
            </w:tcBorders>
            <w:shd w:val="clear" w:color="auto" w:fill="FFFFFF"/>
            <w:vAlign w:val="center"/>
          </w:tcPr>
          <w:p w14:paraId="77C7DD4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07011D44" w14:textId="5BB1C91F"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758F752A" w14:textId="4FE9F1AC" w:rsidR="009E7B3D" w:rsidRPr="00D11D21" w:rsidRDefault="009E7B3D" w:rsidP="00D11D21">
      <w:pPr>
        <w:pStyle w:val="Lgende"/>
        <w:keepNext/>
        <w:spacing w:line="360" w:lineRule="auto"/>
        <w:jc w:val="both"/>
        <w:rPr>
          <w:rFonts w:asciiTheme="majorBidi" w:hAnsiTheme="majorBidi" w:cstheme="majorBidi"/>
          <w:color w:val="auto"/>
          <w:sz w:val="24"/>
          <w:szCs w:val="24"/>
        </w:rPr>
      </w:pPr>
      <w:bookmarkStart w:id="195" w:name="_Toc200210083"/>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:Freins perçus à la réforme du financement</w:t>
      </w:r>
      <w:bookmarkEnd w:id="195"/>
    </w:p>
    <w:p w14:paraId="4EB37F8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19E223FF" wp14:editId="138BAA42">
            <wp:extent cx="3762375" cy="2075104"/>
            <wp:effectExtent l="0" t="0" r="0" b="1905"/>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9">
                      <a:extLst>
                        <a:ext uri="{28A0092B-C50C-407E-A947-70E740481C1C}">
                          <a14:useLocalDpi xmlns:a14="http://schemas.microsoft.com/office/drawing/2010/main" val="0"/>
                        </a:ext>
                      </a:extLst>
                    </a:blip>
                    <a:srcRect t="6318"/>
                    <a:stretch/>
                  </pic:blipFill>
                  <pic:spPr bwMode="auto">
                    <a:xfrm>
                      <a:off x="0" y="0"/>
                      <a:ext cx="3769174" cy="2078854"/>
                    </a:xfrm>
                    <a:prstGeom prst="rect">
                      <a:avLst/>
                    </a:prstGeom>
                    <a:noFill/>
                    <a:ln>
                      <a:noFill/>
                    </a:ln>
                    <a:extLst>
                      <a:ext uri="{53640926-AAD7-44D8-BBD7-CCE9431645EC}">
                        <a14:shadowObscured xmlns:a14="http://schemas.microsoft.com/office/drawing/2010/main"/>
                      </a:ext>
                    </a:extLst>
                  </pic:spPr>
                </pic:pic>
              </a:graphicData>
            </a:graphic>
          </wp:inline>
        </w:drawing>
      </w:r>
    </w:p>
    <w:p w14:paraId="572F8926"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55AD585C"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623AE4A"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Les freins principaux identifiés sont d’ordre humain (résistance au changement), organisationnel (compétences et outils), et institutionnel (cadre juridique). Une réforme efficace devra donc être accompagnée d’un plan de formation, d’un appui législatif clair et d’une modernisation numérique, pour surmonter ces obstacles et assurer son succès.</w:t>
      </w:r>
    </w:p>
    <w:p w14:paraId="51E24A2A" w14:textId="7E3F720E"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 xml:space="preserve">Q12 : Quels seraient les facteurs </w:t>
      </w:r>
      <w:r w:rsidR="00FE1E7D" w:rsidRPr="00D11D21">
        <w:rPr>
          <w:rFonts w:asciiTheme="majorBidi" w:hAnsiTheme="majorBidi" w:cstheme="majorBidi"/>
          <w:b/>
          <w:bCs/>
          <w:color w:val="000000" w:themeColor="text1"/>
          <w:szCs w:val="24"/>
        </w:rPr>
        <w:t>facilitateurs ?</w:t>
      </w:r>
    </w:p>
    <w:p w14:paraId="581C2F69" w14:textId="18BF2DF2" w:rsidR="002210A7" w:rsidRPr="00D11D21" w:rsidRDefault="00405911" w:rsidP="00D11D21">
      <w:pPr>
        <w:pStyle w:val="Lgende"/>
        <w:keepNext/>
        <w:spacing w:line="360" w:lineRule="auto"/>
        <w:jc w:val="both"/>
        <w:rPr>
          <w:rFonts w:asciiTheme="majorBidi" w:hAnsiTheme="majorBidi" w:cstheme="majorBidi"/>
          <w:color w:val="auto"/>
          <w:sz w:val="24"/>
          <w:szCs w:val="24"/>
        </w:rPr>
      </w:pPr>
      <w:bookmarkStart w:id="196" w:name="_Toc200210127"/>
      <w:r w:rsidRPr="00D11D21">
        <w:rPr>
          <w:rFonts w:asciiTheme="majorBidi" w:hAnsiTheme="majorBidi" w:cstheme="majorBidi"/>
          <w:color w:val="auto"/>
          <w:sz w:val="24"/>
          <w:szCs w:val="24"/>
        </w:rPr>
        <w:lastRenderedPageBreak/>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19</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Facteurs facilitant la réforme du financement</w:t>
      </w:r>
      <w:bookmarkEnd w:id="196"/>
    </w:p>
    <w:tbl>
      <w:tblPr>
        <w:tblW w:w="104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0"/>
        <w:gridCol w:w="3107"/>
        <w:gridCol w:w="1475"/>
        <w:gridCol w:w="1297"/>
        <w:gridCol w:w="1766"/>
        <w:gridCol w:w="1863"/>
      </w:tblGrid>
      <w:tr w:rsidR="002210A7" w:rsidRPr="00D11D21" w14:paraId="2FB352F6" w14:textId="77777777" w:rsidTr="00282FFC">
        <w:trPr>
          <w:cantSplit/>
          <w:trHeight w:val="173"/>
          <w:jc w:val="center"/>
        </w:trPr>
        <w:tc>
          <w:tcPr>
            <w:tcW w:w="4037" w:type="dxa"/>
            <w:gridSpan w:val="2"/>
            <w:tcBorders>
              <w:top w:val="single" w:sz="4" w:space="0" w:color="auto"/>
              <w:left w:val="single" w:sz="4" w:space="0" w:color="auto"/>
              <w:bottom w:val="single" w:sz="8" w:space="0" w:color="152935"/>
              <w:right w:val="nil"/>
            </w:tcBorders>
            <w:shd w:val="clear" w:color="auto" w:fill="FFFFFF"/>
            <w:vAlign w:val="bottom"/>
          </w:tcPr>
          <w:p w14:paraId="4C53B54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75" w:type="dxa"/>
            <w:tcBorders>
              <w:top w:val="single" w:sz="4" w:space="0" w:color="auto"/>
              <w:left w:val="nil"/>
              <w:bottom w:val="single" w:sz="8" w:space="0" w:color="152935"/>
              <w:right w:val="single" w:sz="8" w:space="0" w:color="E0E0E0"/>
            </w:tcBorders>
            <w:shd w:val="clear" w:color="auto" w:fill="FFFFFF"/>
            <w:vAlign w:val="bottom"/>
          </w:tcPr>
          <w:p w14:paraId="425E080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97"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C661CC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766"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46BC9C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863" w:type="dxa"/>
            <w:tcBorders>
              <w:top w:val="single" w:sz="4" w:space="0" w:color="auto"/>
              <w:left w:val="single" w:sz="8" w:space="0" w:color="E0E0E0"/>
              <w:bottom w:val="single" w:sz="8" w:space="0" w:color="152935"/>
              <w:right w:val="single" w:sz="4" w:space="0" w:color="auto"/>
            </w:tcBorders>
            <w:shd w:val="clear" w:color="auto" w:fill="FFFFFF"/>
            <w:vAlign w:val="bottom"/>
          </w:tcPr>
          <w:p w14:paraId="1628A0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5786F67A" w14:textId="77777777" w:rsidTr="00282FFC">
        <w:trPr>
          <w:cantSplit/>
          <w:trHeight w:val="173"/>
          <w:jc w:val="center"/>
        </w:trPr>
        <w:tc>
          <w:tcPr>
            <w:tcW w:w="930" w:type="dxa"/>
            <w:vMerge w:val="restart"/>
            <w:tcBorders>
              <w:top w:val="single" w:sz="8" w:space="0" w:color="152935"/>
              <w:left w:val="single" w:sz="4" w:space="0" w:color="auto"/>
              <w:bottom w:val="single" w:sz="8" w:space="0" w:color="152935"/>
              <w:right w:val="nil"/>
            </w:tcBorders>
            <w:shd w:val="clear" w:color="auto" w:fill="E0E0E0"/>
          </w:tcPr>
          <w:p w14:paraId="0D82623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106" w:type="dxa"/>
            <w:tcBorders>
              <w:top w:val="single" w:sz="8" w:space="0" w:color="152935"/>
              <w:left w:val="nil"/>
              <w:bottom w:val="single" w:sz="8" w:space="0" w:color="AEAEAE"/>
              <w:right w:val="nil"/>
            </w:tcBorders>
            <w:shd w:val="clear" w:color="auto" w:fill="E0E0E0"/>
          </w:tcPr>
          <w:p w14:paraId="5DFD95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Coopération entre hôpitaux et caisses</w:t>
            </w:r>
          </w:p>
        </w:tc>
        <w:tc>
          <w:tcPr>
            <w:tcW w:w="1475" w:type="dxa"/>
            <w:tcBorders>
              <w:top w:val="single" w:sz="8" w:space="0" w:color="152935"/>
              <w:left w:val="nil"/>
              <w:bottom w:val="single" w:sz="8" w:space="0" w:color="AEAEAE"/>
              <w:right w:val="single" w:sz="8" w:space="0" w:color="E0E0E0"/>
            </w:tcBorders>
            <w:shd w:val="clear" w:color="auto" w:fill="FFFFFF"/>
          </w:tcPr>
          <w:p w14:paraId="645BE1C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297" w:type="dxa"/>
            <w:tcBorders>
              <w:top w:val="single" w:sz="8" w:space="0" w:color="152935"/>
              <w:left w:val="single" w:sz="8" w:space="0" w:color="E0E0E0"/>
              <w:bottom w:val="single" w:sz="8" w:space="0" w:color="AEAEAE"/>
              <w:right w:val="single" w:sz="8" w:space="0" w:color="E0E0E0"/>
            </w:tcBorders>
            <w:shd w:val="clear" w:color="auto" w:fill="FFFFFF"/>
          </w:tcPr>
          <w:p w14:paraId="33F075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766" w:type="dxa"/>
            <w:tcBorders>
              <w:top w:val="single" w:sz="8" w:space="0" w:color="152935"/>
              <w:left w:val="single" w:sz="8" w:space="0" w:color="E0E0E0"/>
              <w:bottom w:val="single" w:sz="8" w:space="0" w:color="AEAEAE"/>
              <w:right w:val="single" w:sz="8" w:space="0" w:color="E0E0E0"/>
            </w:tcBorders>
            <w:shd w:val="clear" w:color="auto" w:fill="FFFFFF"/>
          </w:tcPr>
          <w:p w14:paraId="2ADFD33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863" w:type="dxa"/>
            <w:tcBorders>
              <w:top w:val="single" w:sz="8" w:space="0" w:color="152935"/>
              <w:left w:val="single" w:sz="8" w:space="0" w:color="E0E0E0"/>
              <w:bottom w:val="single" w:sz="8" w:space="0" w:color="AEAEAE"/>
              <w:right w:val="single" w:sz="4" w:space="0" w:color="auto"/>
            </w:tcBorders>
            <w:shd w:val="clear" w:color="auto" w:fill="FFFFFF"/>
          </w:tcPr>
          <w:p w14:paraId="67B64BC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r>
      <w:tr w:rsidR="002210A7" w:rsidRPr="00D11D21" w14:paraId="12E33A67" w14:textId="77777777" w:rsidTr="00282FFC">
        <w:trPr>
          <w:cantSplit/>
          <w:trHeight w:val="30"/>
          <w:jc w:val="center"/>
        </w:trPr>
        <w:tc>
          <w:tcPr>
            <w:tcW w:w="930" w:type="dxa"/>
            <w:vMerge/>
            <w:tcBorders>
              <w:top w:val="single" w:sz="8" w:space="0" w:color="152935"/>
              <w:left w:val="single" w:sz="4" w:space="0" w:color="auto"/>
              <w:bottom w:val="single" w:sz="8" w:space="0" w:color="152935"/>
              <w:right w:val="nil"/>
            </w:tcBorders>
            <w:shd w:val="clear" w:color="auto" w:fill="E0E0E0"/>
          </w:tcPr>
          <w:p w14:paraId="6FAA7B9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06" w:type="dxa"/>
            <w:tcBorders>
              <w:top w:val="single" w:sz="8" w:space="0" w:color="AEAEAE"/>
              <w:left w:val="nil"/>
              <w:bottom w:val="single" w:sz="8" w:space="0" w:color="AEAEAE"/>
              <w:right w:val="nil"/>
            </w:tcBorders>
            <w:shd w:val="clear" w:color="auto" w:fill="E0E0E0"/>
          </w:tcPr>
          <w:p w14:paraId="7A541E7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Existence d’un SI performant</w:t>
            </w:r>
          </w:p>
        </w:tc>
        <w:tc>
          <w:tcPr>
            <w:tcW w:w="1475" w:type="dxa"/>
            <w:tcBorders>
              <w:top w:val="single" w:sz="8" w:space="0" w:color="AEAEAE"/>
              <w:left w:val="nil"/>
              <w:bottom w:val="single" w:sz="8" w:space="0" w:color="AEAEAE"/>
              <w:right w:val="single" w:sz="8" w:space="0" w:color="E0E0E0"/>
            </w:tcBorders>
            <w:shd w:val="clear" w:color="auto" w:fill="FFFFFF"/>
          </w:tcPr>
          <w:p w14:paraId="082136D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97" w:type="dxa"/>
            <w:tcBorders>
              <w:top w:val="single" w:sz="8" w:space="0" w:color="AEAEAE"/>
              <w:left w:val="single" w:sz="8" w:space="0" w:color="E0E0E0"/>
              <w:bottom w:val="single" w:sz="8" w:space="0" w:color="AEAEAE"/>
              <w:right w:val="single" w:sz="8" w:space="0" w:color="E0E0E0"/>
            </w:tcBorders>
            <w:shd w:val="clear" w:color="auto" w:fill="FFFFFF"/>
          </w:tcPr>
          <w:p w14:paraId="7D4087F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766" w:type="dxa"/>
            <w:tcBorders>
              <w:top w:val="single" w:sz="8" w:space="0" w:color="AEAEAE"/>
              <w:left w:val="single" w:sz="8" w:space="0" w:color="E0E0E0"/>
              <w:bottom w:val="single" w:sz="8" w:space="0" w:color="AEAEAE"/>
              <w:right w:val="single" w:sz="8" w:space="0" w:color="E0E0E0"/>
            </w:tcBorders>
            <w:shd w:val="clear" w:color="auto" w:fill="FFFFFF"/>
          </w:tcPr>
          <w:p w14:paraId="2FAD676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863" w:type="dxa"/>
            <w:tcBorders>
              <w:top w:val="single" w:sz="8" w:space="0" w:color="AEAEAE"/>
              <w:left w:val="single" w:sz="8" w:space="0" w:color="E0E0E0"/>
              <w:bottom w:val="single" w:sz="8" w:space="0" w:color="AEAEAE"/>
              <w:right w:val="single" w:sz="4" w:space="0" w:color="auto"/>
            </w:tcBorders>
            <w:shd w:val="clear" w:color="auto" w:fill="FFFFFF"/>
          </w:tcPr>
          <w:p w14:paraId="2A657FC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21,2</w:t>
            </w:r>
          </w:p>
        </w:tc>
      </w:tr>
      <w:tr w:rsidR="002210A7" w:rsidRPr="00D11D21" w14:paraId="23956ECD" w14:textId="77777777" w:rsidTr="00282FFC">
        <w:trPr>
          <w:cantSplit/>
          <w:trHeight w:val="30"/>
          <w:jc w:val="center"/>
        </w:trPr>
        <w:tc>
          <w:tcPr>
            <w:tcW w:w="930" w:type="dxa"/>
            <w:vMerge/>
            <w:tcBorders>
              <w:top w:val="single" w:sz="8" w:space="0" w:color="152935"/>
              <w:left w:val="single" w:sz="4" w:space="0" w:color="auto"/>
              <w:bottom w:val="single" w:sz="8" w:space="0" w:color="152935"/>
              <w:right w:val="nil"/>
            </w:tcBorders>
            <w:shd w:val="clear" w:color="auto" w:fill="E0E0E0"/>
          </w:tcPr>
          <w:p w14:paraId="32443DB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06" w:type="dxa"/>
            <w:tcBorders>
              <w:top w:val="single" w:sz="8" w:space="0" w:color="AEAEAE"/>
              <w:left w:val="nil"/>
              <w:bottom w:val="single" w:sz="8" w:space="0" w:color="AEAEAE"/>
              <w:right w:val="nil"/>
            </w:tcBorders>
            <w:shd w:val="clear" w:color="auto" w:fill="E0E0E0"/>
          </w:tcPr>
          <w:p w14:paraId="7F0137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Formation et sensibilisation du personnel</w:t>
            </w:r>
          </w:p>
        </w:tc>
        <w:tc>
          <w:tcPr>
            <w:tcW w:w="1475" w:type="dxa"/>
            <w:tcBorders>
              <w:top w:val="single" w:sz="8" w:space="0" w:color="AEAEAE"/>
              <w:left w:val="nil"/>
              <w:bottom w:val="single" w:sz="8" w:space="0" w:color="AEAEAE"/>
              <w:right w:val="single" w:sz="8" w:space="0" w:color="E0E0E0"/>
            </w:tcBorders>
            <w:shd w:val="clear" w:color="auto" w:fill="FFFFFF"/>
          </w:tcPr>
          <w:p w14:paraId="6CBEF4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297" w:type="dxa"/>
            <w:tcBorders>
              <w:top w:val="single" w:sz="8" w:space="0" w:color="AEAEAE"/>
              <w:left w:val="single" w:sz="8" w:space="0" w:color="E0E0E0"/>
              <w:bottom w:val="single" w:sz="8" w:space="0" w:color="AEAEAE"/>
              <w:right w:val="single" w:sz="8" w:space="0" w:color="E0E0E0"/>
            </w:tcBorders>
            <w:shd w:val="clear" w:color="auto" w:fill="FFFFFF"/>
          </w:tcPr>
          <w:p w14:paraId="74C124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766" w:type="dxa"/>
            <w:tcBorders>
              <w:top w:val="single" w:sz="8" w:space="0" w:color="AEAEAE"/>
              <w:left w:val="single" w:sz="8" w:space="0" w:color="E0E0E0"/>
              <w:bottom w:val="single" w:sz="8" w:space="0" w:color="AEAEAE"/>
              <w:right w:val="single" w:sz="8" w:space="0" w:color="E0E0E0"/>
            </w:tcBorders>
            <w:shd w:val="clear" w:color="auto" w:fill="FFFFFF"/>
          </w:tcPr>
          <w:p w14:paraId="3091C6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863" w:type="dxa"/>
            <w:tcBorders>
              <w:top w:val="single" w:sz="8" w:space="0" w:color="AEAEAE"/>
              <w:left w:val="single" w:sz="8" w:space="0" w:color="E0E0E0"/>
              <w:bottom w:val="single" w:sz="8" w:space="0" w:color="AEAEAE"/>
              <w:right w:val="single" w:sz="4" w:space="0" w:color="auto"/>
            </w:tcBorders>
            <w:shd w:val="clear" w:color="auto" w:fill="FFFFFF"/>
          </w:tcPr>
          <w:p w14:paraId="636B39C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r>
      <w:tr w:rsidR="002210A7" w:rsidRPr="00D11D21" w14:paraId="30056519" w14:textId="77777777" w:rsidTr="00282FFC">
        <w:trPr>
          <w:cantSplit/>
          <w:trHeight w:val="30"/>
          <w:jc w:val="center"/>
        </w:trPr>
        <w:tc>
          <w:tcPr>
            <w:tcW w:w="930" w:type="dxa"/>
            <w:vMerge/>
            <w:tcBorders>
              <w:top w:val="single" w:sz="8" w:space="0" w:color="152935"/>
              <w:left w:val="single" w:sz="4" w:space="0" w:color="auto"/>
              <w:bottom w:val="single" w:sz="8" w:space="0" w:color="152935"/>
              <w:right w:val="nil"/>
            </w:tcBorders>
            <w:shd w:val="clear" w:color="auto" w:fill="E0E0E0"/>
          </w:tcPr>
          <w:p w14:paraId="36C8759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06" w:type="dxa"/>
            <w:tcBorders>
              <w:top w:val="single" w:sz="8" w:space="0" w:color="AEAEAE"/>
              <w:left w:val="nil"/>
              <w:bottom w:val="single" w:sz="8" w:space="0" w:color="AEAEAE"/>
              <w:right w:val="nil"/>
            </w:tcBorders>
            <w:shd w:val="clear" w:color="auto" w:fill="E0E0E0"/>
          </w:tcPr>
          <w:p w14:paraId="4353971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Soutien des autorités</w:t>
            </w:r>
          </w:p>
        </w:tc>
        <w:tc>
          <w:tcPr>
            <w:tcW w:w="1475" w:type="dxa"/>
            <w:tcBorders>
              <w:top w:val="single" w:sz="8" w:space="0" w:color="AEAEAE"/>
              <w:left w:val="nil"/>
              <w:bottom w:val="single" w:sz="8" w:space="0" w:color="AEAEAE"/>
              <w:right w:val="single" w:sz="8" w:space="0" w:color="E0E0E0"/>
            </w:tcBorders>
            <w:shd w:val="clear" w:color="auto" w:fill="FFFFFF"/>
          </w:tcPr>
          <w:p w14:paraId="78D73B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w:t>
            </w:r>
          </w:p>
        </w:tc>
        <w:tc>
          <w:tcPr>
            <w:tcW w:w="1297" w:type="dxa"/>
            <w:tcBorders>
              <w:top w:val="single" w:sz="8" w:space="0" w:color="AEAEAE"/>
              <w:left w:val="single" w:sz="8" w:space="0" w:color="E0E0E0"/>
              <w:bottom w:val="single" w:sz="8" w:space="0" w:color="AEAEAE"/>
              <w:right w:val="single" w:sz="8" w:space="0" w:color="E0E0E0"/>
            </w:tcBorders>
            <w:shd w:val="clear" w:color="auto" w:fill="FFFFFF"/>
          </w:tcPr>
          <w:p w14:paraId="7400127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63,6</w:t>
            </w:r>
          </w:p>
        </w:tc>
        <w:tc>
          <w:tcPr>
            <w:tcW w:w="1766" w:type="dxa"/>
            <w:tcBorders>
              <w:top w:val="single" w:sz="8" w:space="0" w:color="AEAEAE"/>
              <w:left w:val="single" w:sz="8" w:space="0" w:color="E0E0E0"/>
              <w:bottom w:val="single" w:sz="8" w:space="0" w:color="AEAEAE"/>
              <w:right w:val="single" w:sz="8" w:space="0" w:color="E0E0E0"/>
            </w:tcBorders>
            <w:shd w:val="clear" w:color="auto" w:fill="FFFFFF"/>
          </w:tcPr>
          <w:p w14:paraId="41D175E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63,6</w:t>
            </w:r>
          </w:p>
        </w:tc>
        <w:tc>
          <w:tcPr>
            <w:tcW w:w="1863" w:type="dxa"/>
            <w:tcBorders>
              <w:top w:val="single" w:sz="8" w:space="0" w:color="AEAEAE"/>
              <w:left w:val="single" w:sz="8" w:space="0" w:color="E0E0E0"/>
              <w:bottom w:val="single" w:sz="8" w:space="0" w:color="AEAEAE"/>
              <w:right w:val="single" w:sz="4" w:space="0" w:color="auto"/>
            </w:tcBorders>
            <w:shd w:val="clear" w:color="auto" w:fill="FFFFFF"/>
          </w:tcPr>
          <w:p w14:paraId="1BA5504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158C1464" w14:textId="77777777" w:rsidTr="00282FFC">
        <w:trPr>
          <w:cantSplit/>
          <w:trHeight w:val="30"/>
          <w:jc w:val="center"/>
        </w:trPr>
        <w:tc>
          <w:tcPr>
            <w:tcW w:w="930" w:type="dxa"/>
            <w:vMerge/>
            <w:tcBorders>
              <w:top w:val="single" w:sz="8" w:space="0" w:color="152935"/>
              <w:left w:val="single" w:sz="4" w:space="0" w:color="auto"/>
              <w:bottom w:val="single" w:sz="4" w:space="0" w:color="auto"/>
              <w:right w:val="nil"/>
            </w:tcBorders>
            <w:shd w:val="clear" w:color="auto" w:fill="E0E0E0"/>
          </w:tcPr>
          <w:p w14:paraId="5A04377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06" w:type="dxa"/>
            <w:tcBorders>
              <w:top w:val="single" w:sz="8" w:space="0" w:color="AEAEAE"/>
              <w:left w:val="nil"/>
              <w:bottom w:val="single" w:sz="4" w:space="0" w:color="auto"/>
              <w:right w:val="nil"/>
            </w:tcBorders>
            <w:shd w:val="clear" w:color="auto" w:fill="E0E0E0"/>
          </w:tcPr>
          <w:p w14:paraId="6ED1943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75" w:type="dxa"/>
            <w:tcBorders>
              <w:top w:val="single" w:sz="8" w:space="0" w:color="AEAEAE"/>
              <w:left w:val="nil"/>
              <w:bottom w:val="single" w:sz="4" w:space="0" w:color="auto"/>
              <w:right w:val="single" w:sz="8" w:space="0" w:color="E0E0E0"/>
            </w:tcBorders>
            <w:shd w:val="clear" w:color="auto" w:fill="FFFFFF"/>
          </w:tcPr>
          <w:p w14:paraId="7930121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97" w:type="dxa"/>
            <w:tcBorders>
              <w:top w:val="single" w:sz="8" w:space="0" w:color="AEAEAE"/>
              <w:left w:val="single" w:sz="8" w:space="0" w:color="E0E0E0"/>
              <w:bottom w:val="single" w:sz="4" w:space="0" w:color="auto"/>
              <w:right w:val="single" w:sz="8" w:space="0" w:color="E0E0E0"/>
            </w:tcBorders>
            <w:shd w:val="clear" w:color="auto" w:fill="FFFFFF"/>
          </w:tcPr>
          <w:p w14:paraId="4431FB6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66" w:type="dxa"/>
            <w:tcBorders>
              <w:top w:val="single" w:sz="8" w:space="0" w:color="AEAEAE"/>
              <w:left w:val="single" w:sz="8" w:space="0" w:color="E0E0E0"/>
              <w:bottom w:val="single" w:sz="4" w:space="0" w:color="auto"/>
              <w:right w:val="single" w:sz="8" w:space="0" w:color="E0E0E0"/>
            </w:tcBorders>
            <w:shd w:val="clear" w:color="auto" w:fill="FFFFFF"/>
          </w:tcPr>
          <w:p w14:paraId="4C86878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63" w:type="dxa"/>
            <w:tcBorders>
              <w:top w:val="single" w:sz="8" w:space="0" w:color="AEAEAE"/>
              <w:left w:val="single" w:sz="8" w:space="0" w:color="E0E0E0"/>
              <w:bottom w:val="single" w:sz="4" w:space="0" w:color="auto"/>
              <w:right w:val="single" w:sz="4" w:space="0" w:color="auto"/>
            </w:tcBorders>
            <w:shd w:val="clear" w:color="auto" w:fill="FFFFFF"/>
            <w:vAlign w:val="center"/>
          </w:tcPr>
          <w:p w14:paraId="600AB34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55EAA9DB" w14:textId="092E6F7E"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43FC9A42" w14:textId="08BD3CEB" w:rsidR="00405911" w:rsidRPr="00D11D21" w:rsidRDefault="00405911" w:rsidP="00D11D21">
      <w:pPr>
        <w:pStyle w:val="Lgende"/>
        <w:keepNext/>
        <w:spacing w:line="360" w:lineRule="auto"/>
        <w:jc w:val="both"/>
        <w:rPr>
          <w:rFonts w:asciiTheme="majorBidi" w:hAnsiTheme="majorBidi" w:cstheme="majorBidi"/>
          <w:color w:val="auto"/>
          <w:sz w:val="24"/>
          <w:szCs w:val="24"/>
        </w:rPr>
      </w:pPr>
      <w:bookmarkStart w:id="197" w:name="_Toc200210084"/>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Facteurs facilitant la réforme du financement</w:t>
      </w:r>
      <w:bookmarkEnd w:id="197"/>
    </w:p>
    <w:p w14:paraId="3B0D34B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700F576D" wp14:editId="71E21125">
            <wp:extent cx="3270294" cy="1800225"/>
            <wp:effectExtent l="0" t="0" r="6350" b="0"/>
            <wp:docPr id="141" name="Imag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6498"/>
                    <a:stretch/>
                  </pic:blipFill>
                  <pic:spPr bwMode="auto">
                    <a:xfrm>
                      <a:off x="0" y="0"/>
                      <a:ext cx="3285588" cy="1808644"/>
                    </a:xfrm>
                    <a:prstGeom prst="rect">
                      <a:avLst/>
                    </a:prstGeom>
                    <a:noFill/>
                    <a:ln>
                      <a:noFill/>
                    </a:ln>
                    <a:extLst>
                      <a:ext uri="{53640926-AAD7-44D8-BBD7-CCE9431645EC}">
                        <a14:shadowObscured xmlns:a14="http://schemas.microsoft.com/office/drawing/2010/main"/>
                      </a:ext>
                    </a:extLst>
                  </pic:spPr>
                </pic:pic>
              </a:graphicData>
            </a:graphic>
          </wp:inline>
        </w:drawing>
      </w:r>
    </w:p>
    <w:p w14:paraId="04AB2DE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CC6C79E"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0E4A415"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répondants mettent en avant plusieurs leviers clés pouvant favoriser la mise en œuvre d’un modèle mixte de financement :</w:t>
      </w:r>
    </w:p>
    <w:p w14:paraId="1E778F80" w14:textId="77777777" w:rsidR="002210A7" w:rsidRPr="00D11D21" w:rsidRDefault="002210A7" w:rsidP="00D11D21">
      <w:pPr>
        <w:pStyle w:val="Paragraphedeliste"/>
        <w:numPr>
          <w:ilvl w:val="0"/>
          <w:numId w:val="7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Le soutien des autorités est le facteur le plus cité, avec 63,6 % des réponses. Il est considéré comme indispensable pour légitimer et impulser la réforme à tous les niveaux.</w:t>
      </w:r>
    </w:p>
    <w:p w14:paraId="6BC8DB1E" w14:textId="77777777" w:rsidR="002210A7" w:rsidRPr="00D11D21" w:rsidRDefault="002210A7" w:rsidP="00D11D21">
      <w:pPr>
        <w:pStyle w:val="Paragraphedeliste"/>
        <w:numPr>
          <w:ilvl w:val="0"/>
          <w:numId w:val="7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La coopération entre hôpitaux et caisses arrive ensuite (18,2 %), signalant l’importance de la coordination institutionnelle dans le déploiement d’un nouveau système.</w:t>
      </w:r>
    </w:p>
    <w:p w14:paraId="138B01E4" w14:textId="77777777" w:rsidR="002210A7" w:rsidRPr="00D11D21" w:rsidRDefault="002210A7" w:rsidP="00D11D21">
      <w:pPr>
        <w:pStyle w:val="Paragraphedeliste"/>
        <w:numPr>
          <w:ilvl w:val="0"/>
          <w:numId w:val="7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La formation et la sensibilisation du personnel sont évoquées par 15,2 % des répondants, ce qui montre la nécessité d’un accompagnement humain pour faciliter l’appropriation du changement.</w:t>
      </w:r>
    </w:p>
    <w:p w14:paraId="27FC651D" w14:textId="696AA809" w:rsidR="002210A7" w:rsidRPr="00772AE8" w:rsidRDefault="002210A7" w:rsidP="00772AE8">
      <w:pPr>
        <w:pStyle w:val="Paragraphedeliste"/>
        <w:numPr>
          <w:ilvl w:val="0"/>
          <w:numId w:val="7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Enfin, l’existence d’un système d'information performant est citée, même si elle reste marginale (3 %), elle souligne un besoin technique crucial.</w:t>
      </w:r>
    </w:p>
    <w:p w14:paraId="18BFC10F"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Q13 : Quelles nouveautés ou éléments supplémentaires aimeriez-vous voir intégrés dans le nouveau mode de financement proposé ?</w:t>
      </w:r>
    </w:p>
    <w:p w14:paraId="2A028154" w14:textId="514196A4" w:rsidR="002210A7" w:rsidRPr="00D11D21" w:rsidRDefault="00405911" w:rsidP="00D11D21">
      <w:pPr>
        <w:pStyle w:val="Lgende"/>
        <w:keepNext/>
        <w:spacing w:line="360" w:lineRule="auto"/>
        <w:jc w:val="both"/>
        <w:rPr>
          <w:rFonts w:asciiTheme="majorBidi" w:hAnsiTheme="majorBidi" w:cstheme="majorBidi"/>
          <w:color w:val="auto"/>
          <w:sz w:val="24"/>
          <w:szCs w:val="24"/>
        </w:rPr>
      </w:pPr>
      <w:bookmarkStart w:id="198" w:name="_Toc200210128"/>
      <w:r w:rsidRPr="00D11D21">
        <w:rPr>
          <w:rFonts w:asciiTheme="majorBidi" w:hAnsiTheme="majorBidi" w:cstheme="majorBidi"/>
          <w:color w:val="auto"/>
          <w:sz w:val="24"/>
          <w:szCs w:val="24"/>
        </w:rPr>
        <w:lastRenderedPageBreak/>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20</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Attentes vis-à-vis du nouveau mode de financement</w:t>
      </w:r>
      <w:bookmarkEnd w:id="198"/>
    </w:p>
    <w:tbl>
      <w:tblPr>
        <w:tblW w:w="1089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70"/>
        <w:gridCol w:w="3246"/>
        <w:gridCol w:w="1541"/>
        <w:gridCol w:w="1355"/>
        <w:gridCol w:w="1843"/>
        <w:gridCol w:w="1944"/>
      </w:tblGrid>
      <w:tr w:rsidR="002210A7" w:rsidRPr="00D11D21" w14:paraId="7CBEA48A" w14:textId="77777777" w:rsidTr="00282FFC">
        <w:trPr>
          <w:cantSplit/>
          <w:trHeight w:val="179"/>
          <w:jc w:val="center"/>
        </w:trPr>
        <w:tc>
          <w:tcPr>
            <w:tcW w:w="4216" w:type="dxa"/>
            <w:gridSpan w:val="2"/>
            <w:tcBorders>
              <w:top w:val="single" w:sz="4" w:space="0" w:color="auto"/>
              <w:left w:val="single" w:sz="4" w:space="0" w:color="auto"/>
              <w:bottom w:val="single" w:sz="8" w:space="0" w:color="152935"/>
              <w:right w:val="nil"/>
            </w:tcBorders>
            <w:shd w:val="clear" w:color="auto" w:fill="FFFFFF"/>
            <w:vAlign w:val="bottom"/>
          </w:tcPr>
          <w:p w14:paraId="3D282F9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541" w:type="dxa"/>
            <w:tcBorders>
              <w:top w:val="single" w:sz="4" w:space="0" w:color="auto"/>
              <w:left w:val="nil"/>
              <w:bottom w:val="single" w:sz="8" w:space="0" w:color="152935"/>
              <w:right w:val="single" w:sz="8" w:space="0" w:color="E0E0E0"/>
            </w:tcBorders>
            <w:shd w:val="clear" w:color="auto" w:fill="FFFFFF"/>
            <w:vAlign w:val="bottom"/>
          </w:tcPr>
          <w:p w14:paraId="49B7411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55"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64841B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843"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D0E75E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944" w:type="dxa"/>
            <w:tcBorders>
              <w:top w:val="single" w:sz="4" w:space="0" w:color="auto"/>
              <w:left w:val="single" w:sz="8" w:space="0" w:color="E0E0E0"/>
              <w:bottom w:val="single" w:sz="8" w:space="0" w:color="152935"/>
              <w:right w:val="single" w:sz="4" w:space="0" w:color="auto"/>
            </w:tcBorders>
            <w:shd w:val="clear" w:color="auto" w:fill="FFFFFF"/>
            <w:vAlign w:val="bottom"/>
          </w:tcPr>
          <w:p w14:paraId="5ECD15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5337355A" w14:textId="77777777" w:rsidTr="00282FFC">
        <w:trPr>
          <w:cantSplit/>
          <w:trHeight w:val="269"/>
          <w:jc w:val="center"/>
        </w:trPr>
        <w:tc>
          <w:tcPr>
            <w:tcW w:w="970" w:type="dxa"/>
            <w:vMerge w:val="restart"/>
            <w:tcBorders>
              <w:top w:val="single" w:sz="8" w:space="0" w:color="152935"/>
              <w:left w:val="single" w:sz="4" w:space="0" w:color="auto"/>
              <w:bottom w:val="single" w:sz="8" w:space="0" w:color="152935"/>
              <w:right w:val="nil"/>
            </w:tcBorders>
            <w:shd w:val="clear" w:color="auto" w:fill="E0E0E0"/>
          </w:tcPr>
          <w:p w14:paraId="38BB488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245" w:type="dxa"/>
            <w:tcBorders>
              <w:top w:val="single" w:sz="8" w:space="0" w:color="152935"/>
              <w:left w:val="nil"/>
              <w:bottom w:val="single" w:sz="8" w:space="0" w:color="AEAEAE"/>
              <w:right w:val="nil"/>
            </w:tcBorders>
            <w:shd w:val="clear" w:color="auto" w:fill="E0E0E0"/>
          </w:tcPr>
          <w:p w14:paraId="03DB445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Introduction de primes liées à la qualité des soins</w:t>
            </w:r>
          </w:p>
        </w:tc>
        <w:tc>
          <w:tcPr>
            <w:tcW w:w="1541" w:type="dxa"/>
            <w:tcBorders>
              <w:top w:val="single" w:sz="8" w:space="0" w:color="152935"/>
              <w:left w:val="nil"/>
              <w:bottom w:val="single" w:sz="8" w:space="0" w:color="AEAEAE"/>
              <w:right w:val="single" w:sz="8" w:space="0" w:color="E0E0E0"/>
            </w:tcBorders>
            <w:shd w:val="clear" w:color="auto" w:fill="FFFFFF"/>
          </w:tcPr>
          <w:p w14:paraId="0DD9351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355" w:type="dxa"/>
            <w:tcBorders>
              <w:top w:val="single" w:sz="8" w:space="0" w:color="152935"/>
              <w:left w:val="single" w:sz="8" w:space="0" w:color="E0E0E0"/>
              <w:bottom w:val="single" w:sz="8" w:space="0" w:color="AEAEAE"/>
              <w:right w:val="single" w:sz="8" w:space="0" w:color="E0E0E0"/>
            </w:tcBorders>
            <w:shd w:val="clear" w:color="auto" w:fill="FFFFFF"/>
          </w:tcPr>
          <w:p w14:paraId="60D58B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12,1</w:t>
            </w:r>
          </w:p>
        </w:tc>
        <w:tc>
          <w:tcPr>
            <w:tcW w:w="1843" w:type="dxa"/>
            <w:tcBorders>
              <w:top w:val="single" w:sz="8" w:space="0" w:color="152935"/>
              <w:left w:val="single" w:sz="8" w:space="0" w:color="E0E0E0"/>
              <w:bottom w:val="single" w:sz="8" w:space="0" w:color="AEAEAE"/>
              <w:right w:val="single" w:sz="8" w:space="0" w:color="E0E0E0"/>
            </w:tcBorders>
            <w:shd w:val="clear" w:color="auto" w:fill="FFFFFF"/>
          </w:tcPr>
          <w:p w14:paraId="7B6484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12,1</w:t>
            </w:r>
          </w:p>
        </w:tc>
        <w:tc>
          <w:tcPr>
            <w:tcW w:w="1944" w:type="dxa"/>
            <w:tcBorders>
              <w:top w:val="single" w:sz="8" w:space="0" w:color="152935"/>
              <w:left w:val="single" w:sz="8" w:space="0" w:color="E0E0E0"/>
              <w:bottom w:val="single" w:sz="8" w:space="0" w:color="AEAEAE"/>
              <w:right w:val="single" w:sz="4" w:space="0" w:color="auto"/>
            </w:tcBorders>
            <w:shd w:val="clear" w:color="auto" w:fill="FFFFFF"/>
          </w:tcPr>
          <w:p w14:paraId="5A4CE69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12,1</w:t>
            </w:r>
          </w:p>
        </w:tc>
      </w:tr>
      <w:tr w:rsidR="002210A7" w:rsidRPr="00D11D21" w14:paraId="7970D342" w14:textId="77777777" w:rsidTr="00282FFC">
        <w:trPr>
          <w:cantSplit/>
          <w:trHeight w:val="30"/>
          <w:jc w:val="center"/>
        </w:trPr>
        <w:tc>
          <w:tcPr>
            <w:tcW w:w="970" w:type="dxa"/>
            <w:vMerge/>
            <w:tcBorders>
              <w:top w:val="single" w:sz="8" w:space="0" w:color="152935"/>
              <w:left w:val="single" w:sz="4" w:space="0" w:color="auto"/>
              <w:bottom w:val="single" w:sz="8" w:space="0" w:color="152935"/>
              <w:right w:val="nil"/>
            </w:tcBorders>
            <w:shd w:val="clear" w:color="auto" w:fill="E0E0E0"/>
          </w:tcPr>
          <w:p w14:paraId="0806994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45" w:type="dxa"/>
            <w:tcBorders>
              <w:top w:val="single" w:sz="8" w:space="0" w:color="AEAEAE"/>
              <w:left w:val="nil"/>
              <w:bottom w:val="single" w:sz="8" w:space="0" w:color="AEAEAE"/>
              <w:right w:val="nil"/>
            </w:tcBorders>
            <w:shd w:val="clear" w:color="auto" w:fill="E0E0E0"/>
          </w:tcPr>
          <w:p w14:paraId="0032517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Financement supplémentaire pour les spécialités médicales lourdes (réanimation, oncologie, etc.)</w:t>
            </w:r>
          </w:p>
        </w:tc>
        <w:tc>
          <w:tcPr>
            <w:tcW w:w="1541" w:type="dxa"/>
            <w:tcBorders>
              <w:top w:val="single" w:sz="8" w:space="0" w:color="AEAEAE"/>
              <w:left w:val="nil"/>
              <w:bottom w:val="single" w:sz="8" w:space="0" w:color="AEAEAE"/>
              <w:right w:val="single" w:sz="8" w:space="0" w:color="E0E0E0"/>
            </w:tcBorders>
            <w:shd w:val="clear" w:color="auto" w:fill="FFFFFF"/>
          </w:tcPr>
          <w:p w14:paraId="256C2FE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355" w:type="dxa"/>
            <w:tcBorders>
              <w:top w:val="single" w:sz="8" w:space="0" w:color="AEAEAE"/>
              <w:left w:val="single" w:sz="8" w:space="0" w:color="E0E0E0"/>
              <w:bottom w:val="single" w:sz="8" w:space="0" w:color="AEAEAE"/>
              <w:right w:val="single" w:sz="8" w:space="0" w:color="E0E0E0"/>
            </w:tcBorders>
            <w:shd w:val="clear" w:color="auto" w:fill="FFFFFF"/>
          </w:tcPr>
          <w:p w14:paraId="42776DF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843" w:type="dxa"/>
            <w:tcBorders>
              <w:top w:val="single" w:sz="8" w:space="0" w:color="AEAEAE"/>
              <w:left w:val="single" w:sz="8" w:space="0" w:color="E0E0E0"/>
              <w:bottom w:val="single" w:sz="8" w:space="0" w:color="AEAEAE"/>
              <w:right w:val="single" w:sz="8" w:space="0" w:color="E0E0E0"/>
            </w:tcBorders>
            <w:shd w:val="clear" w:color="auto" w:fill="FFFFFF"/>
          </w:tcPr>
          <w:p w14:paraId="7AC18C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944" w:type="dxa"/>
            <w:tcBorders>
              <w:top w:val="single" w:sz="8" w:space="0" w:color="AEAEAE"/>
              <w:left w:val="single" w:sz="8" w:space="0" w:color="E0E0E0"/>
              <w:bottom w:val="single" w:sz="8" w:space="0" w:color="AEAEAE"/>
              <w:right w:val="single" w:sz="4" w:space="0" w:color="auto"/>
            </w:tcBorders>
            <w:shd w:val="clear" w:color="auto" w:fill="FFFFFF"/>
          </w:tcPr>
          <w:p w14:paraId="6E34C4D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30,3</w:t>
            </w:r>
          </w:p>
        </w:tc>
      </w:tr>
      <w:tr w:rsidR="002210A7" w:rsidRPr="00D11D21" w14:paraId="785367A8" w14:textId="77777777" w:rsidTr="00282FFC">
        <w:trPr>
          <w:cantSplit/>
          <w:trHeight w:val="30"/>
          <w:jc w:val="center"/>
        </w:trPr>
        <w:tc>
          <w:tcPr>
            <w:tcW w:w="970" w:type="dxa"/>
            <w:vMerge/>
            <w:tcBorders>
              <w:top w:val="single" w:sz="8" w:space="0" w:color="152935"/>
              <w:left w:val="single" w:sz="4" w:space="0" w:color="auto"/>
              <w:bottom w:val="single" w:sz="8" w:space="0" w:color="152935"/>
              <w:right w:val="nil"/>
            </w:tcBorders>
            <w:shd w:val="clear" w:color="auto" w:fill="E0E0E0"/>
          </w:tcPr>
          <w:p w14:paraId="786572C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45" w:type="dxa"/>
            <w:tcBorders>
              <w:top w:val="single" w:sz="8" w:space="0" w:color="AEAEAE"/>
              <w:left w:val="nil"/>
              <w:bottom w:val="single" w:sz="8" w:space="0" w:color="AEAEAE"/>
              <w:right w:val="nil"/>
            </w:tcBorders>
            <w:shd w:val="clear" w:color="auto" w:fill="E0E0E0"/>
          </w:tcPr>
          <w:p w14:paraId="66F01F9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Prise en compte du volume réel d’activité de chaque service</w:t>
            </w:r>
          </w:p>
        </w:tc>
        <w:tc>
          <w:tcPr>
            <w:tcW w:w="1541" w:type="dxa"/>
            <w:tcBorders>
              <w:top w:val="single" w:sz="8" w:space="0" w:color="AEAEAE"/>
              <w:left w:val="nil"/>
              <w:bottom w:val="single" w:sz="8" w:space="0" w:color="AEAEAE"/>
              <w:right w:val="single" w:sz="8" w:space="0" w:color="E0E0E0"/>
            </w:tcBorders>
            <w:shd w:val="clear" w:color="auto" w:fill="FFFFFF"/>
          </w:tcPr>
          <w:p w14:paraId="24F9D19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355" w:type="dxa"/>
            <w:tcBorders>
              <w:top w:val="single" w:sz="8" w:space="0" w:color="AEAEAE"/>
              <w:left w:val="single" w:sz="8" w:space="0" w:color="E0E0E0"/>
              <w:bottom w:val="single" w:sz="8" w:space="0" w:color="AEAEAE"/>
              <w:right w:val="single" w:sz="8" w:space="0" w:color="E0E0E0"/>
            </w:tcBorders>
            <w:shd w:val="clear" w:color="auto" w:fill="FFFFFF"/>
          </w:tcPr>
          <w:p w14:paraId="1EEA0B2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843" w:type="dxa"/>
            <w:tcBorders>
              <w:top w:val="single" w:sz="8" w:space="0" w:color="AEAEAE"/>
              <w:left w:val="single" w:sz="8" w:space="0" w:color="E0E0E0"/>
              <w:bottom w:val="single" w:sz="8" w:space="0" w:color="AEAEAE"/>
              <w:right w:val="single" w:sz="8" w:space="0" w:color="E0E0E0"/>
            </w:tcBorders>
            <w:shd w:val="clear" w:color="auto" w:fill="FFFFFF"/>
          </w:tcPr>
          <w:p w14:paraId="13BAE90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944" w:type="dxa"/>
            <w:tcBorders>
              <w:top w:val="single" w:sz="8" w:space="0" w:color="AEAEAE"/>
              <w:left w:val="single" w:sz="8" w:space="0" w:color="E0E0E0"/>
              <w:bottom w:val="single" w:sz="8" w:space="0" w:color="AEAEAE"/>
              <w:right w:val="single" w:sz="4" w:space="0" w:color="auto"/>
            </w:tcBorders>
            <w:shd w:val="clear" w:color="auto" w:fill="FFFFFF"/>
          </w:tcPr>
          <w:p w14:paraId="048B8AA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36,4</w:t>
            </w:r>
          </w:p>
        </w:tc>
      </w:tr>
      <w:tr w:rsidR="002210A7" w:rsidRPr="00D11D21" w14:paraId="3E2F6643" w14:textId="77777777" w:rsidTr="00282FFC">
        <w:trPr>
          <w:cantSplit/>
          <w:trHeight w:val="30"/>
          <w:jc w:val="center"/>
        </w:trPr>
        <w:tc>
          <w:tcPr>
            <w:tcW w:w="970" w:type="dxa"/>
            <w:vMerge/>
            <w:tcBorders>
              <w:top w:val="single" w:sz="8" w:space="0" w:color="152935"/>
              <w:left w:val="single" w:sz="4" w:space="0" w:color="auto"/>
              <w:bottom w:val="single" w:sz="8" w:space="0" w:color="152935"/>
              <w:right w:val="nil"/>
            </w:tcBorders>
            <w:shd w:val="clear" w:color="auto" w:fill="E0E0E0"/>
          </w:tcPr>
          <w:p w14:paraId="32BC984F"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45" w:type="dxa"/>
            <w:tcBorders>
              <w:top w:val="single" w:sz="8" w:space="0" w:color="AEAEAE"/>
              <w:left w:val="nil"/>
              <w:bottom w:val="single" w:sz="8" w:space="0" w:color="AEAEAE"/>
              <w:right w:val="nil"/>
            </w:tcBorders>
            <w:shd w:val="clear" w:color="auto" w:fill="E0E0E0"/>
          </w:tcPr>
          <w:p w14:paraId="082BE7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Soutien financier spécifique pour les hôpitaux en zones défavorisées</w:t>
            </w:r>
          </w:p>
        </w:tc>
        <w:tc>
          <w:tcPr>
            <w:tcW w:w="1541" w:type="dxa"/>
            <w:tcBorders>
              <w:top w:val="single" w:sz="8" w:space="0" w:color="AEAEAE"/>
              <w:left w:val="nil"/>
              <w:bottom w:val="single" w:sz="8" w:space="0" w:color="AEAEAE"/>
              <w:right w:val="single" w:sz="8" w:space="0" w:color="E0E0E0"/>
            </w:tcBorders>
            <w:shd w:val="clear" w:color="auto" w:fill="FFFFFF"/>
          </w:tcPr>
          <w:p w14:paraId="1756C9E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355" w:type="dxa"/>
            <w:tcBorders>
              <w:top w:val="single" w:sz="8" w:space="0" w:color="AEAEAE"/>
              <w:left w:val="single" w:sz="8" w:space="0" w:color="E0E0E0"/>
              <w:bottom w:val="single" w:sz="8" w:space="0" w:color="AEAEAE"/>
              <w:right w:val="single" w:sz="8" w:space="0" w:color="E0E0E0"/>
            </w:tcBorders>
            <w:shd w:val="clear" w:color="auto" w:fill="FFFFFF"/>
          </w:tcPr>
          <w:p w14:paraId="778B64F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12,1</w:t>
            </w:r>
          </w:p>
        </w:tc>
        <w:tc>
          <w:tcPr>
            <w:tcW w:w="1843" w:type="dxa"/>
            <w:tcBorders>
              <w:top w:val="single" w:sz="8" w:space="0" w:color="AEAEAE"/>
              <w:left w:val="single" w:sz="8" w:space="0" w:color="E0E0E0"/>
              <w:bottom w:val="single" w:sz="8" w:space="0" w:color="AEAEAE"/>
              <w:right w:val="single" w:sz="8" w:space="0" w:color="E0E0E0"/>
            </w:tcBorders>
            <w:shd w:val="clear" w:color="auto" w:fill="FFFFFF"/>
          </w:tcPr>
          <w:p w14:paraId="39AD93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12,1</w:t>
            </w:r>
          </w:p>
        </w:tc>
        <w:tc>
          <w:tcPr>
            <w:tcW w:w="1944" w:type="dxa"/>
            <w:tcBorders>
              <w:top w:val="single" w:sz="8" w:space="0" w:color="AEAEAE"/>
              <w:left w:val="single" w:sz="8" w:space="0" w:color="E0E0E0"/>
              <w:bottom w:val="single" w:sz="8" w:space="0" w:color="AEAEAE"/>
              <w:right w:val="single" w:sz="4" w:space="0" w:color="auto"/>
            </w:tcBorders>
            <w:shd w:val="clear" w:color="auto" w:fill="FFFFFF"/>
          </w:tcPr>
          <w:p w14:paraId="52EF377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48,5</w:t>
            </w:r>
          </w:p>
        </w:tc>
      </w:tr>
      <w:tr w:rsidR="002210A7" w:rsidRPr="00D11D21" w14:paraId="39EA5F79" w14:textId="77777777" w:rsidTr="00282FFC">
        <w:trPr>
          <w:cantSplit/>
          <w:trHeight w:val="30"/>
          <w:jc w:val="center"/>
        </w:trPr>
        <w:tc>
          <w:tcPr>
            <w:tcW w:w="970" w:type="dxa"/>
            <w:vMerge/>
            <w:tcBorders>
              <w:top w:val="single" w:sz="8" w:space="0" w:color="152935"/>
              <w:left w:val="single" w:sz="4" w:space="0" w:color="auto"/>
              <w:bottom w:val="single" w:sz="8" w:space="0" w:color="152935"/>
              <w:right w:val="nil"/>
            </w:tcBorders>
            <w:shd w:val="clear" w:color="auto" w:fill="E0E0E0"/>
          </w:tcPr>
          <w:p w14:paraId="3B72DB4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45" w:type="dxa"/>
            <w:tcBorders>
              <w:top w:val="single" w:sz="8" w:space="0" w:color="AEAEAE"/>
              <w:left w:val="nil"/>
              <w:bottom w:val="single" w:sz="8" w:space="0" w:color="AEAEAE"/>
              <w:right w:val="nil"/>
            </w:tcBorders>
            <w:shd w:val="clear" w:color="auto" w:fill="E0E0E0"/>
          </w:tcPr>
          <w:p w14:paraId="405207F5" w14:textId="56E63881"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Incitations pour les hôpitaux à améliorer la performance, Renforcement du contrôle et de l’évaluation des </w:t>
            </w:r>
            <w:r w:rsidR="00870ECE" w:rsidRPr="00D11D21">
              <w:rPr>
                <w:rFonts w:asciiTheme="majorBidi" w:hAnsiTheme="majorBidi" w:cstheme="majorBidi"/>
                <w:color w:val="264A60"/>
                <w:szCs w:val="24"/>
              </w:rPr>
              <w:t>activités</w:t>
            </w:r>
          </w:p>
        </w:tc>
        <w:tc>
          <w:tcPr>
            <w:tcW w:w="1541" w:type="dxa"/>
            <w:tcBorders>
              <w:top w:val="single" w:sz="8" w:space="0" w:color="AEAEAE"/>
              <w:left w:val="nil"/>
              <w:bottom w:val="single" w:sz="8" w:space="0" w:color="AEAEAE"/>
              <w:right w:val="single" w:sz="8" w:space="0" w:color="E0E0E0"/>
            </w:tcBorders>
            <w:shd w:val="clear" w:color="auto" w:fill="FFFFFF"/>
          </w:tcPr>
          <w:p w14:paraId="2608167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355" w:type="dxa"/>
            <w:tcBorders>
              <w:top w:val="single" w:sz="8" w:space="0" w:color="AEAEAE"/>
              <w:left w:val="single" w:sz="8" w:space="0" w:color="E0E0E0"/>
              <w:bottom w:val="single" w:sz="8" w:space="0" w:color="AEAEAE"/>
              <w:right w:val="single" w:sz="8" w:space="0" w:color="E0E0E0"/>
            </w:tcBorders>
            <w:shd w:val="clear" w:color="auto" w:fill="FFFFFF"/>
          </w:tcPr>
          <w:p w14:paraId="1F52087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843" w:type="dxa"/>
            <w:tcBorders>
              <w:top w:val="single" w:sz="8" w:space="0" w:color="AEAEAE"/>
              <w:left w:val="single" w:sz="8" w:space="0" w:color="E0E0E0"/>
              <w:bottom w:val="single" w:sz="8" w:space="0" w:color="AEAEAE"/>
              <w:right w:val="single" w:sz="8" w:space="0" w:color="E0E0E0"/>
            </w:tcBorders>
            <w:shd w:val="clear" w:color="auto" w:fill="FFFFFF"/>
          </w:tcPr>
          <w:p w14:paraId="291B195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18,2</w:t>
            </w:r>
          </w:p>
        </w:tc>
        <w:tc>
          <w:tcPr>
            <w:tcW w:w="1944" w:type="dxa"/>
            <w:tcBorders>
              <w:top w:val="single" w:sz="8" w:space="0" w:color="AEAEAE"/>
              <w:left w:val="single" w:sz="8" w:space="0" w:color="E0E0E0"/>
              <w:bottom w:val="single" w:sz="8" w:space="0" w:color="AEAEAE"/>
              <w:right w:val="single" w:sz="4" w:space="0" w:color="auto"/>
            </w:tcBorders>
            <w:shd w:val="clear" w:color="auto" w:fill="FFFFFF"/>
          </w:tcPr>
          <w:p w14:paraId="0FA7F83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r>
      <w:tr w:rsidR="002210A7" w:rsidRPr="00D11D21" w14:paraId="6EC6AA4C" w14:textId="77777777" w:rsidTr="00282FFC">
        <w:trPr>
          <w:cantSplit/>
          <w:trHeight w:val="30"/>
          <w:jc w:val="center"/>
        </w:trPr>
        <w:tc>
          <w:tcPr>
            <w:tcW w:w="970" w:type="dxa"/>
            <w:vMerge/>
            <w:tcBorders>
              <w:top w:val="single" w:sz="8" w:space="0" w:color="152935"/>
              <w:left w:val="single" w:sz="4" w:space="0" w:color="auto"/>
              <w:bottom w:val="single" w:sz="8" w:space="0" w:color="152935"/>
              <w:right w:val="nil"/>
            </w:tcBorders>
            <w:shd w:val="clear" w:color="auto" w:fill="E0E0E0"/>
          </w:tcPr>
          <w:p w14:paraId="6F5D8AB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45" w:type="dxa"/>
            <w:tcBorders>
              <w:top w:val="single" w:sz="8" w:space="0" w:color="AEAEAE"/>
              <w:left w:val="nil"/>
              <w:bottom w:val="single" w:sz="8" w:space="0" w:color="AEAEAE"/>
              <w:right w:val="nil"/>
            </w:tcBorders>
            <w:shd w:val="clear" w:color="auto" w:fill="E0E0E0"/>
          </w:tcPr>
          <w:p w14:paraId="729F353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Renforcement du contrôle et de l’évaluation des activités hospitalières</w:t>
            </w:r>
          </w:p>
        </w:tc>
        <w:tc>
          <w:tcPr>
            <w:tcW w:w="1541" w:type="dxa"/>
            <w:tcBorders>
              <w:top w:val="single" w:sz="8" w:space="0" w:color="AEAEAE"/>
              <w:left w:val="nil"/>
              <w:bottom w:val="single" w:sz="8" w:space="0" w:color="AEAEAE"/>
              <w:right w:val="single" w:sz="8" w:space="0" w:color="E0E0E0"/>
            </w:tcBorders>
            <w:shd w:val="clear" w:color="auto" w:fill="FFFFFF"/>
          </w:tcPr>
          <w:p w14:paraId="60C97BB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355" w:type="dxa"/>
            <w:tcBorders>
              <w:top w:val="single" w:sz="8" w:space="0" w:color="AEAEAE"/>
              <w:left w:val="single" w:sz="8" w:space="0" w:color="E0E0E0"/>
              <w:bottom w:val="single" w:sz="8" w:space="0" w:color="AEAEAE"/>
              <w:right w:val="single" w:sz="8" w:space="0" w:color="E0E0E0"/>
            </w:tcBorders>
            <w:shd w:val="clear" w:color="auto" w:fill="FFFFFF"/>
          </w:tcPr>
          <w:p w14:paraId="2C9CC5C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1843" w:type="dxa"/>
            <w:tcBorders>
              <w:top w:val="single" w:sz="8" w:space="0" w:color="AEAEAE"/>
              <w:left w:val="single" w:sz="8" w:space="0" w:color="E0E0E0"/>
              <w:bottom w:val="single" w:sz="8" w:space="0" w:color="AEAEAE"/>
              <w:right w:val="single" w:sz="8" w:space="0" w:color="E0E0E0"/>
            </w:tcBorders>
            <w:shd w:val="clear" w:color="auto" w:fill="FFFFFF"/>
          </w:tcPr>
          <w:p w14:paraId="155BF4A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1944" w:type="dxa"/>
            <w:tcBorders>
              <w:top w:val="single" w:sz="8" w:space="0" w:color="AEAEAE"/>
              <w:left w:val="single" w:sz="8" w:space="0" w:color="E0E0E0"/>
              <w:bottom w:val="single" w:sz="8" w:space="0" w:color="AEAEAE"/>
              <w:right w:val="single" w:sz="4" w:space="0" w:color="auto"/>
            </w:tcBorders>
            <w:shd w:val="clear" w:color="auto" w:fill="FFFFFF"/>
          </w:tcPr>
          <w:p w14:paraId="03C6701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418F4176" w14:textId="77777777" w:rsidTr="00282FFC">
        <w:trPr>
          <w:cantSplit/>
          <w:trHeight w:val="30"/>
          <w:jc w:val="center"/>
        </w:trPr>
        <w:tc>
          <w:tcPr>
            <w:tcW w:w="970" w:type="dxa"/>
            <w:vMerge/>
            <w:tcBorders>
              <w:top w:val="single" w:sz="8" w:space="0" w:color="152935"/>
              <w:left w:val="single" w:sz="4" w:space="0" w:color="auto"/>
              <w:bottom w:val="single" w:sz="4" w:space="0" w:color="auto"/>
              <w:right w:val="nil"/>
            </w:tcBorders>
            <w:shd w:val="clear" w:color="auto" w:fill="E0E0E0"/>
          </w:tcPr>
          <w:p w14:paraId="5680093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45" w:type="dxa"/>
            <w:tcBorders>
              <w:top w:val="single" w:sz="8" w:space="0" w:color="AEAEAE"/>
              <w:left w:val="nil"/>
              <w:bottom w:val="single" w:sz="4" w:space="0" w:color="auto"/>
              <w:right w:val="nil"/>
            </w:tcBorders>
            <w:shd w:val="clear" w:color="auto" w:fill="E0E0E0"/>
          </w:tcPr>
          <w:p w14:paraId="08ED5F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541" w:type="dxa"/>
            <w:tcBorders>
              <w:top w:val="single" w:sz="8" w:space="0" w:color="AEAEAE"/>
              <w:left w:val="nil"/>
              <w:bottom w:val="single" w:sz="4" w:space="0" w:color="auto"/>
              <w:right w:val="single" w:sz="8" w:space="0" w:color="E0E0E0"/>
            </w:tcBorders>
            <w:shd w:val="clear" w:color="auto" w:fill="FFFFFF"/>
          </w:tcPr>
          <w:p w14:paraId="157DAAD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355" w:type="dxa"/>
            <w:tcBorders>
              <w:top w:val="single" w:sz="8" w:space="0" w:color="AEAEAE"/>
              <w:left w:val="single" w:sz="8" w:space="0" w:color="E0E0E0"/>
              <w:bottom w:val="single" w:sz="4" w:space="0" w:color="auto"/>
              <w:right w:val="single" w:sz="8" w:space="0" w:color="E0E0E0"/>
            </w:tcBorders>
            <w:shd w:val="clear" w:color="auto" w:fill="FFFFFF"/>
          </w:tcPr>
          <w:p w14:paraId="110F351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43" w:type="dxa"/>
            <w:tcBorders>
              <w:top w:val="single" w:sz="8" w:space="0" w:color="AEAEAE"/>
              <w:left w:val="single" w:sz="8" w:space="0" w:color="E0E0E0"/>
              <w:bottom w:val="single" w:sz="4" w:space="0" w:color="auto"/>
              <w:right w:val="single" w:sz="8" w:space="0" w:color="E0E0E0"/>
            </w:tcBorders>
            <w:shd w:val="clear" w:color="auto" w:fill="FFFFFF"/>
          </w:tcPr>
          <w:p w14:paraId="0F74CEC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44" w:type="dxa"/>
            <w:tcBorders>
              <w:top w:val="single" w:sz="8" w:space="0" w:color="AEAEAE"/>
              <w:left w:val="single" w:sz="8" w:space="0" w:color="E0E0E0"/>
              <w:bottom w:val="single" w:sz="4" w:space="0" w:color="auto"/>
              <w:right w:val="single" w:sz="4" w:space="0" w:color="auto"/>
            </w:tcBorders>
            <w:shd w:val="clear" w:color="auto" w:fill="FFFFFF"/>
            <w:vAlign w:val="center"/>
          </w:tcPr>
          <w:p w14:paraId="0F2CB7A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2FCF2F0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376136D" w14:textId="4F47E544" w:rsidR="002210A7" w:rsidRPr="00D11D21" w:rsidRDefault="0079250D" w:rsidP="00D11D21">
      <w:pPr>
        <w:pStyle w:val="Lgende"/>
        <w:keepNext/>
        <w:spacing w:line="360" w:lineRule="auto"/>
        <w:jc w:val="both"/>
        <w:rPr>
          <w:rFonts w:asciiTheme="majorBidi" w:hAnsiTheme="majorBidi" w:cstheme="majorBidi"/>
          <w:color w:val="auto"/>
          <w:sz w:val="24"/>
          <w:szCs w:val="24"/>
        </w:rPr>
      </w:pPr>
      <w:bookmarkStart w:id="199" w:name="_Toc200210085"/>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18</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Attentes vis-à-vis du nouveau mode de financement</w:t>
      </w:r>
      <w:bookmarkEnd w:id="199"/>
    </w:p>
    <w:p w14:paraId="43D43947"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070B41FC" wp14:editId="55EF0543">
            <wp:extent cx="4695825" cy="2017347"/>
            <wp:effectExtent l="0" t="0" r="0" b="2540"/>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rotWithShape="1">
                    <a:blip r:embed="rId31">
                      <a:extLst>
                        <a:ext uri="{28A0092B-C50C-407E-A947-70E740481C1C}">
                          <a14:useLocalDpi xmlns:a14="http://schemas.microsoft.com/office/drawing/2010/main" val="0"/>
                        </a:ext>
                      </a:extLst>
                    </a:blip>
                    <a:srcRect t="10661" b="16350"/>
                    <a:stretch/>
                  </pic:blipFill>
                  <pic:spPr bwMode="auto">
                    <a:xfrm>
                      <a:off x="0" y="0"/>
                      <a:ext cx="4725268" cy="2029996"/>
                    </a:xfrm>
                    <a:prstGeom prst="rect">
                      <a:avLst/>
                    </a:prstGeom>
                    <a:noFill/>
                    <a:ln>
                      <a:noFill/>
                    </a:ln>
                    <a:extLst>
                      <a:ext uri="{53640926-AAD7-44D8-BBD7-CCE9431645EC}">
                        <a14:shadowObscured xmlns:a14="http://schemas.microsoft.com/office/drawing/2010/main"/>
                      </a:ext>
                    </a:extLst>
                  </pic:spPr>
                </pic:pic>
              </a:graphicData>
            </a:graphic>
          </wp:inline>
        </w:drawing>
      </w:r>
    </w:p>
    <w:p w14:paraId="3FA63C3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76131F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lastRenderedPageBreak/>
        <w:t xml:space="preserve">Commentaire : </w:t>
      </w:r>
    </w:p>
    <w:p w14:paraId="16C6DA14" w14:textId="77777777" w:rsidR="002210A7" w:rsidRPr="00D11D21" w:rsidRDefault="002210A7" w:rsidP="00D11D21">
      <w:pPr>
        <w:shd w:val="clear" w:color="auto" w:fill="FFFFFF" w:themeFill="background1"/>
        <w:ind w:firstLine="360"/>
        <w:jc w:val="both"/>
        <w:rPr>
          <w:rFonts w:asciiTheme="majorBidi" w:hAnsiTheme="majorBidi" w:cstheme="majorBidi"/>
          <w:szCs w:val="24"/>
        </w:rPr>
      </w:pPr>
      <w:r w:rsidRPr="00D11D21">
        <w:rPr>
          <w:rFonts w:asciiTheme="majorBidi" w:hAnsiTheme="majorBidi" w:cstheme="majorBidi"/>
          <w:szCs w:val="24"/>
        </w:rPr>
        <w:t>Les répondants expriment une forte attente de renforcement du pilotage et de la régulation du système :</w:t>
      </w:r>
    </w:p>
    <w:p w14:paraId="65A8E2B7" w14:textId="77777777" w:rsidR="002210A7" w:rsidRPr="00D11D21" w:rsidRDefault="002210A7" w:rsidP="00D11D21">
      <w:pPr>
        <w:pStyle w:val="Paragraphedeliste"/>
        <w:numPr>
          <w:ilvl w:val="0"/>
          <w:numId w:val="77"/>
        </w:numPr>
        <w:shd w:val="clear" w:color="auto" w:fill="FFFFFF" w:themeFill="background1"/>
        <w:spacing w:after="160" w:line="360" w:lineRule="auto"/>
        <w:jc w:val="both"/>
        <w:rPr>
          <w:rFonts w:asciiTheme="majorBidi" w:hAnsiTheme="majorBidi" w:cstheme="majorBidi"/>
          <w:szCs w:val="24"/>
        </w:rPr>
      </w:pPr>
      <w:r w:rsidRPr="00D11D21">
        <w:rPr>
          <w:rFonts w:asciiTheme="majorBidi" w:hAnsiTheme="majorBidi" w:cstheme="majorBidi"/>
          <w:szCs w:val="24"/>
        </w:rPr>
        <w:t>Le renforcement du contrôle et de l’évaluation des activités hospitalières ressort comme la priorité principale (33,3 %), traduisant une volonté de transparence, de rigueur et d’efficacité.</w:t>
      </w:r>
    </w:p>
    <w:p w14:paraId="1B0E8231" w14:textId="77777777" w:rsidR="002210A7" w:rsidRPr="00D11D21" w:rsidRDefault="002210A7" w:rsidP="00D11D21">
      <w:pPr>
        <w:pStyle w:val="Paragraphedeliste"/>
        <w:numPr>
          <w:ilvl w:val="0"/>
          <w:numId w:val="77"/>
        </w:numPr>
        <w:shd w:val="clear" w:color="auto" w:fill="FFFFFF" w:themeFill="background1"/>
        <w:spacing w:after="160" w:line="360" w:lineRule="auto"/>
        <w:jc w:val="both"/>
        <w:rPr>
          <w:rFonts w:asciiTheme="majorBidi" w:hAnsiTheme="majorBidi" w:cstheme="majorBidi"/>
          <w:szCs w:val="24"/>
        </w:rPr>
      </w:pPr>
      <w:r w:rsidRPr="00D11D21">
        <w:rPr>
          <w:rFonts w:asciiTheme="majorBidi" w:hAnsiTheme="majorBidi" w:cstheme="majorBidi"/>
          <w:szCs w:val="24"/>
        </w:rPr>
        <w:t>Des incitations à la performance et à l’amélioration continue, couplées au renforcement du contrôle, sont également largement évoquées (18,2 %), soulignant l’intérêt pour un financement plus responsabilisant.</w:t>
      </w:r>
    </w:p>
    <w:p w14:paraId="16A54102" w14:textId="77777777" w:rsidR="002210A7" w:rsidRPr="00D11D21" w:rsidRDefault="002210A7" w:rsidP="00D11D21">
      <w:pPr>
        <w:pStyle w:val="Paragraphedeliste"/>
        <w:numPr>
          <w:ilvl w:val="0"/>
          <w:numId w:val="77"/>
        </w:numPr>
        <w:shd w:val="clear" w:color="auto" w:fill="FFFFFF" w:themeFill="background1"/>
        <w:spacing w:after="160" w:line="360" w:lineRule="auto"/>
        <w:jc w:val="both"/>
        <w:rPr>
          <w:rFonts w:asciiTheme="majorBidi" w:hAnsiTheme="majorBidi" w:cstheme="majorBidi"/>
          <w:szCs w:val="24"/>
        </w:rPr>
      </w:pPr>
      <w:r w:rsidRPr="00D11D21">
        <w:rPr>
          <w:rFonts w:asciiTheme="majorBidi" w:hAnsiTheme="majorBidi" w:cstheme="majorBidi"/>
          <w:szCs w:val="24"/>
        </w:rPr>
        <w:t>Un financement spécifique pour les spécialités médicales lourdes (réanimation, oncologie, etc.) est également réclamé par 18,2 % des répondants, afin de tenir compte des coûts réels des soins complexes.</w:t>
      </w:r>
    </w:p>
    <w:p w14:paraId="5CBBADD6" w14:textId="77777777" w:rsidR="002210A7" w:rsidRPr="00D11D21" w:rsidRDefault="002210A7" w:rsidP="00D11D21">
      <w:pPr>
        <w:pStyle w:val="Paragraphedeliste"/>
        <w:numPr>
          <w:ilvl w:val="0"/>
          <w:numId w:val="77"/>
        </w:numPr>
        <w:shd w:val="clear" w:color="auto" w:fill="FFFFFF" w:themeFill="background1"/>
        <w:spacing w:after="160" w:line="360" w:lineRule="auto"/>
        <w:jc w:val="both"/>
        <w:rPr>
          <w:rFonts w:asciiTheme="majorBidi" w:hAnsiTheme="majorBidi" w:cstheme="majorBidi"/>
          <w:szCs w:val="24"/>
        </w:rPr>
      </w:pPr>
      <w:r w:rsidRPr="00D11D21">
        <w:rPr>
          <w:rFonts w:asciiTheme="majorBidi" w:hAnsiTheme="majorBidi" w:cstheme="majorBidi"/>
          <w:szCs w:val="24"/>
        </w:rPr>
        <w:t>La prise en compte du volume réel d’activité (6,1 %) indique une ouverture vers des éléments de tarification à l’activité (T2A).</w:t>
      </w:r>
    </w:p>
    <w:p w14:paraId="2708C8DB" w14:textId="77777777" w:rsidR="002210A7" w:rsidRPr="00D11D21" w:rsidRDefault="002210A7" w:rsidP="00D11D21">
      <w:pPr>
        <w:pStyle w:val="Paragraphedeliste"/>
        <w:numPr>
          <w:ilvl w:val="0"/>
          <w:numId w:val="77"/>
        </w:numPr>
        <w:shd w:val="clear" w:color="auto" w:fill="FFFFFF" w:themeFill="background1"/>
        <w:spacing w:after="160" w:line="360" w:lineRule="auto"/>
        <w:jc w:val="both"/>
        <w:rPr>
          <w:rFonts w:asciiTheme="majorBidi" w:hAnsiTheme="majorBidi" w:cstheme="majorBidi"/>
          <w:szCs w:val="24"/>
        </w:rPr>
      </w:pPr>
      <w:r w:rsidRPr="00D11D21">
        <w:rPr>
          <w:rFonts w:asciiTheme="majorBidi" w:hAnsiTheme="majorBidi" w:cstheme="majorBidi"/>
          <w:szCs w:val="24"/>
        </w:rPr>
        <w:t>Des attentes existent aussi concernant le soutien aux zones défavorisées (12,1 %) et les primes de qualité des soins (12,1 %), montrant l’importance accordée à l’équité et à la qualité.</w:t>
      </w:r>
    </w:p>
    <w:p w14:paraId="170E326F" w14:textId="77777777" w:rsidR="002210A7" w:rsidRPr="00D11D21" w:rsidRDefault="002210A7" w:rsidP="00D11D21">
      <w:pPr>
        <w:shd w:val="clear" w:color="auto" w:fill="FFFFFF" w:themeFill="background1"/>
        <w:ind w:firstLine="360"/>
        <w:jc w:val="both"/>
        <w:rPr>
          <w:rFonts w:asciiTheme="majorBidi" w:hAnsiTheme="majorBidi" w:cstheme="majorBidi"/>
          <w:szCs w:val="24"/>
        </w:rPr>
      </w:pPr>
      <w:r w:rsidRPr="00D11D21">
        <w:rPr>
          <w:rFonts w:asciiTheme="majorBidi" w:hAnsiTheme="majorBidi" w:cstheme="majorBidi"/>
          <w:szCs w:val="24"/>
        </w:rPr>
        <w:t>En résumé, les participants appellent à un modèle hybride, plus performant, équitable, et rigoureusement contrôlé, avec une attention particulière portée aux activités spécifiques, à la qualité et à l’efficience.</w:t>
      </w:r>
    </w:p>
    <w:p w14:paraId="181DE04B" w14:textId="23BD6736" w:rsidR="0079250D" w:rsidRPr="00772AE8" w:rsidRDefault="002210A7" w:rsidP="00772AE8">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Q14 : Quel type de suivi recommanderiez-vous pour évaluer l'efficacité du nouveau mode de finan</w:t>
      </w:r>
      <w:r w:rsidR="00772AE8">
        <w:rPr>
          <w:rFonts w:asciiTheme="majorBidi" w:hAnsiTheme="majorBidi" w:cstheme="majorBidi"/>
          <w:b/>
          <w:bCs/>
          <w:color w:val="000000" w:themeColor="text1"/>
          <w:szCs w:val="24"/>
        </w:rPr>
        <w:t>cement après sa mise en place ?</w:t>
      </w:r>
    </w:p>
    <w:p w14:paraId="3AE43681" w14:textId="3F35B3FD" w:rsidR="0079250D" w:rsidRPr="00D11D21" w:rsidRDefault="0079250D" w:rsidP="00D11D21">
      <w:pPr>
        <w:pStyle w:val="Lgende"/>
        <w:keepNext/>
        <w:spacing w:line="360" w:lineRule="auto"/>
        <w:jc w:val="both"/>
        <w:rPr>
          <w:rFonts w:asciiTheme="majorBidi" w:hAnsiTheme="majorBidi" w:cstheme="majorBidi"/>
          <w:color w:val="auto"/>
          <w:sz w:val="24"/>
          <w:szCs w:val="24"/>
        </w:rPr>
      </w:pPr>
      <w:bookmarkStart w:id="200" w:name="_Toc200210129"/>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Types de suivi recommandés pour l’évaluation du système</w:t>
      </w:r>
      <w:bookmarkEnd w:id="200"/>
    </w:p>
    <w:tbl>
      <w:tblPr>
        <w:tblW w:w="100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4"/>
        <w:gridCol w:w="2992"/>
        <w:gridCol w:w="1420"/>
        <w:gridCol w:w="1248"/>
        <w:gridCol w:w="1699"/>
        <w:gridCol w:w="1793"/>
      </w:tblGrid>
      <w:tr w:rsidR="002210A7" w:rsidRPr="00D11D21" w14:paraId="662D28BB" w14:textId="77777777" w:rsidTr="005C3BEE">
        <w:trPr>
          <w:cantSplit/>
          <w:trHeight w:val="85"/>
          <w:jc w:val="center"/>
        </w:trPr>
        <w:tc>
          <w:tcPr>
            <w:tcW w:w="3886" w:type="dxa"/>
            <w:gridSpan w:val="2"/>
            <w:tcBorders>
              <w:top w:val="single" w:sz="4" w:space="0" w:color="auto"/>
              <w:left w:val="single" w:sz="4" w:space="0" w:color="auto"/>
              <w:bottom w:val="single" w:sz="8" w:space="0" w:color="152935"/>
              <w:right w:val="nil"/>
            </w:tcBorders>
            <w:shd w:val="clear" w:color="auto" w:fill="FFFFFF"/>
            <w:vAlign w:val="bottom"/>
          </w:tcPr>
          <w:p w14:paraId="01E2449E" w14:textId="77777777" w:rsidR="002210A7" w:rsidRPr="00D11D21" w:rsidRDefault="002210A7" w:rsidP="00D11D21">
            <w:pPr>
              <w:jc w:val="both"/>
              <w:rPr>
                <w:rFonts w:asciiTheme="majorBidi" w:hAnsiTheme="majorBidi" w:cstheme="majorBidi"/>
                <w:szCs w:val="24"/>
              </w:rPr>
            </w:pPr>
          </w:p>
        </w:tc>
        <w:tc>
          <w:tcPr>
            <w:tcW w:w="1420" w:type="dxa"/>
            <w:tcBorders>
              <w:top w:val="single" w:sz="4" w:space="0" w:color="auto"/>
              <w:left w:val="nil"/>
              <w:bottom w:val="single" w:sz="8" w:space="0" w:color="152935"/>
              <w:right w:val="single" w:sz="8" w:space="0" w:color="E0E0E0"/>
            </w:tcBorders>
            <w:shd w:val="clear" w:color="auto" w:fill="FFFFFF"/>
            <w:vAlign w:val="bottom"/>
          </w:tcPr>
          <w:p w14:paraId="606F13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4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04FC9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9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FE85F9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93" w:type="dxa"/>
            <w:tcBorders>
              <w:top w:val="single" w:sz="4" w:space="0" w:color="auto"/>
              <w:left w:val="single" w:sz="8" w:space="0" w:color="E0E0E0"/>
              <w:bottom w:val="single" w:sz="8" w:space="0" w:color="152935"/>
              <w:right w:val="single" w:sz="4" w:space="0" w:color="auto"/>
            </w:tcBorders>
            <w:shd w:val="clear" w:color="auto" w:fill="FFFFFF"/>
            <w:vAlign w:val="bottom"/>
          </w:tcPr>
          <w:p w14:paraId="00A8C8D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1ED1542C" w14:textId="77777777" w:rsidTr="005C3BEE">
        <w:trPr>
          <w:cantSplit/>
          <w:trHeight w:val="42"/>
          <w:jc w:val="center"/>
        </w:trPr>
        <w:tc>
          <w:tcPr>
            <w:tcW w:w="894" w:type="dxa"/>
            <w:vMerge w:val="restart"/>
            <w:tcBorders>
              <w:top w:val="single" w:sz="8" w:space="0" w:color="152935"/>
              <w:left w:val="single" w:sz="4" w:space="0" w:color="auto"/>
              <w:bottom w:val="single" w:sz="8" w:space="0" w:color="152935"/>
              <w:right w:val="nil"/>
            </w:tcBorders>
            <w:shd w:val="clear" w:color="auto" w:fill="E0E0E0"/>
          </w:tcPr>
          <w:p w14:paraId="6D80853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992" w:type="dxa"/>
            <w:tcBorders>
              <w:top w:val="single" w:sz="8" w:space="0" w:color="152935"/>
              <w:left w:val="nil"/>
              <w:bottom w:val="single" w:sz="8" w:space="0" w:color="AEAEAE"/>
              <w:right w:val="nil"/>
            </w:tcBorders>
            <w:shd w:val="clear" w:color="auto" w:fill="E0E0E0"/>
          </w:tcPr>
          <w:p w14:paraId="7683A13D" w14:textId="31F40340" w:rsidR="002210A7" w:rsidRPr="00D11D21" w:rsidRDefault="00FE1E7D"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Bilan</w:t>
            </w:r>
          </w:p>
        </w:tc>
        <w:tc>
          <w:tcPr>
            <w:tcW w:w="1420" w:type="dxa"/>
            <w:tcBorders>
              <w:top w:val="single" w:sz="8" w:space="0" w:color="152935"/>
              <w:left w:val="nil"/>
              <w:bottom w:val="single" w:sz="8" w:space="0" w:color="AEAEAE"/>
              <w:right w:val="single" w:sz="8" w:space="0" w:color="E0E0E0"/>
            </w:tcBorders>
            <w:shd w:val="clear" w:color="auto" w:fill="FFFFFF"/>
          </w:tcPr>
          <w:p w14:paraId="32CD909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48" w:type="dxa"/>
            <w:tcBorders>
              <w:top w:val="single" w:sz="8" w:space="0" w:color="152935"/>
              <w:left w:val="single" w:sz="8" w:space="0" w:color="E0E0E0"/>
              <w:bottom w:val="single" w:sz="8" w:space="0" w:color="AEAEAE"/>
              <w:right w:val="single" w:sz="8" w:space="0" w:color="E0E0E0"/>
            </w:tcBorders>
            <w:shd w:val="clear" w:color="auto" w:fill="FFFFFF"/>
          </w:tcPr>
          <w:p w14:paraId="13305B8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699" w:type="dxa"/>
            <w:tcBorders>
              <w:top w:val="single" w:sz="8" w:space="0" w:color="152935"/>
              <w:left w:val="single" w:sz="8" w:space="0" w:color="E0E0E0"/>
              <w:bottom w:val="single" w:sz="8" w:space="0" w:color="AEAEAE"/>
              <w:right w:val="single" w:sz="8" w:space="0" w:color="E0E0E0"/>
            </w:tcBorders>
            <w:shd w:val="clear" w:color="auto" w:fill="FFFFFF"/>
          </w:tcPr>
          <w:p w14:paraId="4133204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c>
          <w:tcPr>
            <w:tcW w:w="1793" w:type="dxa"/>
            <w:tcBorders>
              <w:top w:val="single" w:sz="8" w:space="0" w:color="152935"/>
              <w:left w:val="single" w:sz="8" w:space="0" w:color="E0E0E0"/>
              <w:bottom w:val="single" w:sz="8" w:space="0" w:color="AEAEAE"/>
              <w:right w:val="single" w:sz="4" w:space="0" w:color="auto"/>
            </w:tcBorders>
            <w:shd w:val="clear" w:color="auto" w:fill="FFFFFF"/>
          </w:tcPr>
          <w:p w14:paraId="616946E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w:t>
            </w:r>
          </w:p>
        </w:tc>
      </w:tr>
      <w:tr w:rsidR="002210A7" w:rsidRPr="00D11D21" w14:paraId="66156EE1" w14:textId="77777777" w:rsidTr="005C3BEE">
        <w:trPr>
          <w:cantSplit/>
          <w:trHeight w:val="14"/>
          <w:jc w:val="center"/>
        </w:trPr>
        <w:tc>
          <w:tcPr>
            <w:tcW w:w="894" w:type="dxa"/>
            <w:vMerge/>
            <w:tcBorders>
              <w:top w:val="single" w:sz="8" w:space="0" w:color="152935"/>
              <w:left w:val="single" w:sz="4" w:space="0" w:color="auto"/>
              <w:bottom w:val="single" w:sz="8" w:space="0" w:color="152935"/>
              <w:right w:val="nil"/>
            </w:tcBorders>
            <w:shd w:val="clear" w:color="auto" w:fill="E0E0E0"/>
          </w:tcPr>
          <w:p w14:paraId="5F96F06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92" w:type="dxa"/>
            <w:tcBorders>
              <w:top w:val="single" w:sz="8" w:space="0" w:color="AEAEAE"/>
              <w:left w:val="nil"/>
              <w:bottom w:val="single" w:sz="8" w:space="0" w:color="AEAEAE"/>
              <w:right w:val="nil"/>
            </w:tcBorders>
            <w:shd w:val="clear" w:color="auto" w:fill="E0E0E0"/>
          </w:tcPr>
          <w:p w14:paraId="3C927AA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Audits externes indépendants</w:t>
            </w:r>
          </w:p>
        </w:tc>
        <w:tc>
          <w:tcPr>
            <w:tcW w:w="1420" w:type="dxa"/>
            <w:tcBorders>
              <w:top w:val="single" w:sz="8" w:space="0" w:color="AEAEAE"/>
              <w:left w:val="nil"/>
              <w:bottom w:val="single" w:sz="8" w:space="0" w:color="AEAEAE"/>
              <w:right w:val="single" w:sz="8" w:space="0" w:color="E0E0E0"/>
            </w:tcBorders>
            <w:shd w:val="clear" w:color="auto" w:fill="FFFFFF"/>
          </w:tcPr>
          <w:p w14:paraId="5A778E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c>
          <w:tcPr>
            <w:tcW w:w="1248" w:type="dxa"/>
            <w:tcBorders>
              <w:top w:val="single" w:sz="8" w:space="0" w:color="AEAEAE"/>
              <w:left w:val="single" w:sz="8" w:space="0" w:color="E0E0E0"/>
              <w:bottom w:val="single" w:sz="8" w:space="0" w:color="AEAEAE"/>
              <w:right w:val="single" w:sz="8" w:space="0" w:color="E0E0E0"/>
            </w:tcBorders>
            <w:shd w:val="clear" w:color="auto" w:fill="FFFFFF"/>
          </w:tcPr>
          <w:p w14:paraId="379F521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27,3</w:t>
            </w:r>
          </w:p>
        </w:tc>
        <w:tc>
          <w:tcPr>
            <w:tcW w:w="1699" w:type="dxa"/>
            <w:tcBorders>
              <w:top w:val="single" w:sz="8" w:space="0" w:color="AEAEAE"/>
              <w:left w:val="single" w:sz="8" w:space="0" w:color="E0E0E0"/>
              <w:bottom w:val="single" w:sz="8" w:space="0" w:color="AEAEAE"/>
              <w:right w:val="single" w:sz="8" w:space="0" w:color="E0E0E0"/>
            </w:tcBorders>
            <w:shd w:val="clear" w:color="auto" w:fill="FFFFFF"/>
          </w:tcPr>
          <w:p w14:paraId="761E526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27,3</w:t>
            </w:r>
          </w:p>
        </w:tc>
        <w:tc>
          <w:tcPr>
            <w:tcW w:w="1793" w:type="dxa"/>
            <w:tcBorders>
              <w:top w:val="single" w:sz="8" w:space="0" w:color="AEAEAE"/>
              <w:left w:val="single" w:sz="8" w:space="0" w:color="E0E0E0"/>
              <w:bottom w:val="single" w:sz="8" w:space="0" w:color="AEAEAE"/>
              <w:right w:val="single" w:sz="4" w:space="0" w:color="auto"/>
            </w:tcBorders>
            <w:shd w:val="clear" w:color="auto" w:fill="FFFFFF"/>
          </w:tcPr>
          <w:p w14:paraId="044BAC1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30,3</w:t>
            </w:r>
          </w:p>
        </w:tc>
      </w:tr>
      <w:tr w:rsidR="002210A7" w:rsidRPr="00D11D21" w14:paraId="0C83DB2C" w14:textId="77777777" w:rsidTr="005C3BEE">
        <w:trPr>
          <w:cantSplit/>
          <w:trHeight w:val="14"/>
          <w:jc w:val="center"/>
        </w:trPr>
        <w:tc>
          <w:tcPr>
            <w:tcW w:w="894" w:type="dxa"/>
            <w:vMerge/>
            <w:tcBorders>
              <w:top w:val="single" w:sz="8" w:space="0" w:color="152935"/>
              <w:left w:val="single" w:sz="4" w:space="0" w:color="auto"/>
              <w:bottom w:val="single" w:sz="8" w:space="0" w:color="152935"/>
              <w:right w:val="nil"/>
            </w:tcBorders>
            <w:shd w:val="clear" w:color="auto" w:fill="E0E0E0"/>
          </w:tcPr>
          <w:p w14:paraId="5F4B91F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92" w:type="dxa"/>
            <w:tcBorders>
              <w:top w:val="single" w:sz="8" w:space="0" w:color="AEAEAE"/>
              <w:left w:val="nil"/>
              <w:bottom w:val="single" w:sz="8" w:space="0" w:color="AEAEAE"/>
              <w:right w:val="nil"/>
            </w:tcBorders>
            <w:shd w:val="clear" w:color="auto" w:fill="E0E0E0"/>
          </w:tcPr>
          <w:p w14:paraId="712C987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Comités de pilotage régionaux, Enquêtes de satisfaction des patients</w:t>
            </w:r>
          </w:p>
        </w:tc>
        <w:tc>
          <w:tcPr>
            <w:tcW w:w="1420" w:type="dxa"/>
            <w:tcBorders>
              <w:top w:val="single" w:sz="8" w:space="0" w:color="AEAEAE"/>
              <w:left w:val="nil"/>
              <w:bottom w:val="single" w:sz="8" w:space="0" w:color="AEAEAE"/>
              <w:right w:val="single" w:sz="8" w:space="0" w:color="E0E0E0"/>
            </w:tcBorders>
            <w:shd w:val="clear" w:color="auto" w:fill="FFFFFF"/>
          </w:tcPr>
          <w:p w14:paraId="56E1C2E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248" w:type="dxa"/>
            <w:tcBorders>
              <w:top w:val="single" w:sz="8" w:space="0" w:color="AEAEAE"/>
              <w:left w:val="single" w:sz="8" w:space="0" w:color="E0E0E0"/>
              <w:bottom w:val="single" w:sz="8" w:space="0" w:color="AEAEAE"/>
              <w:right w:val="single" w:sz="8" w:space="0" w:color="E0E0E0"/>
            </w:tcBorders>
            <w:shd w:val="clear" w:color="auto" w:fill="FFFFFF"/>
          </w:tcPr>
          <w:p w14:paraId="2DFE0DA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699" w:type="dxa"/>
            <w:tcBorders>
              <w:top w:val="single" w:sz="8" w:space="0" w:color="AEAEAE"/>
              <w:left w:val="single" w:sz="8" w:space="0" w:color="E0E0E0"/>
              <w:bottom w:val="single" w:sz="8" w:space="0" w:color="AEAEAE"/>
              <w:right w:val="single" w:sz="8" w:space="0" w:color="E0E0E0"/>
            </w:tcBorders>
            <w:shd w:val="clear" w:color="auto" w:fill="FFFFFF"/>
          </w:tcPr>
          <w:p w14:paraId="065F7A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15,2</w:t>
            </w:r>
          </w:p>
        </w:tc>
        <w:tc>
          <w:tcPr>
            <w:tcW w:w="1793" w:type="dxa"/>
            <w:tcBorders>
              <w:top w:val="single" w:sz="8" w:space="0" w:color="AEAEAE"/>
              <w:left w:val="single" w:sz="8" w:space="0" w:color="E0E0E0"/>
              <w:bottom w:val="single" w:sz="8" w:space="0" w:color="AEAEAE"/>
              <w:right w:val="single" w:sz="4" w:space="0" w:color="auto"/>
            </w:tcBorders>
            <w:shd w:val="clear" w:color="auto" w:fill="FFFFFF"/>
          </w:tcPr>
          <w:p w14:paraId="17F77D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45,5</w:t>
            </w:r>
          </w:p>
        </w:tc>
      </w:tr>
      <w:tr w:rsidR="002210A7" w:rsidRPr="00D11D21" w14:paraId="545142B6" w14:textId="77777777" w:rsidTr="005C3BEE">
        <w:trPr>
          <w:cantSplit/>
          <w:trHeight w:val="14"/>
          <w:jc w:val="center"/>
        </w:trPr>
        <w:tc>
          <w:tcPr>
            <w:tcW w:w="894" w:type="dxa"/>
            <w:vMerge/>
            <w:tcBorders>
              <w:top w:val="single" w:sz="8" w:space="0" w:color="152935"/>
              <w:left w:val="single" w:sz="4" w:space="0" w:color="auto"/>
              <w:bottom w:val="single" w:sz="8" w:space="0" w:color="152935"/>
              <w:right w:val="nil"/>
            </w:tcBorders>
            <w:shd w:val="clear" w:color="auto" w:fill="E0E0E0"/>
          </w:tcPr>
          <w:p w14:paraId="397BDCD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92" w:type="dxa"/>
            <w:tcBorders>
              <w:top w:val="single" w:sz="8" w:space="0" w:color="AEAEAE"/>
              <w:left w:val="nil"/>
              <w:bottom w:val="single" w:sz="8" w:space="0" w:color="AEAEAE"/>
              <w:right w:val="nil"/>
            </w:tcBorders>
            <w:shd w:val="clear" w:color="auto" w:fill="E0E0E0"/>
          </w:tcPr>
          <w:p w14:paraId="5FD4AE6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Rapports annuels obligatoires</w:t>
            </w:r>
          </w:p>
        </w:tc>
        <w:tc>
          <w:tcPr>
            <w:tcW w:w="1420" w:type="dxa"/>
            <w:tcBorders>
              <w:top w:val="single" w:sz="8" w:space="0" w:color="AEAEAE"/>
              <w:left w:val="nil"/>
              <w:bottom w:val="single" w:sz="8" w:space="0" w:color="AEAEAE"/>
              <w:right w:val="single" w:sz="8" w:space="0" w:color="E0E0E0"/>
            </w:tcBorders>
            <w:shd w:val="clear" w:color="auto" w:fill="FFFFFF"/>
          </w:tcPr>
          <w:p w14:paraId="7D336E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w:t>
            </w:r>
          </w:p>
        </w:tc>
        <w:tc>
          <w:tcPr>
            <w:tcW w:w="1248" w:type="dxa"/>
            <w:tcBorders>
              <w:top w:val="single" w:sz="8" w:space="0" w:color="AEAEAE"/>
              <w:left w:val="single" w:sz="8" w:space="0" w:color="E0E0E0"/>
              <w:bottom w:val="single" w:sz="8" w:space="0" w:color="AEAEAE"/>
              <w:right w:val="single" w:sz="8" w:space="0" w:color="E0E0E0"/>
            </w:tcBorders>
            <w:shd w:val="clear" w:color="auto" w:fill="FFFFFF"/>
          </w:tcPr>
          <w:p w14:paraId="3910B6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48,5</w:t>
            </w:r>
          </w:p>
        </w:tc>
        <w:tc>
          <w:tcPr>
            <w:tcW w:w="1699" w:type="dxa"/>
            <w:tcBorders>
              <w:top w:val="single" w:sz="8" w:space="0" w:color="AEAEAE"/>
              <w:left w:val="single" w:sz="8" w:space="0" w:color="E0E0E0"/>
              <w:bottom w:val="single" w:sz="8" w:space="0" w:color="AEAEAE"/>
              <w:right w:val="single" w:sz="8" w:space="0" w:color="E0E0E0"/>
            </w:tcBorders>
            <w:shd w:val="clear" w:color="auto" w:fill="FFFFFF"/>
          </w:tcPr>
          <w:p w14:paraId="51320ED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48,5</w:t>
            </w:r>
          </w:p>
        </w:tc>
        <w:tc>
          <w:tcPr>
            <w:tcW w:w="1793" w:type="dxa"/>
            <w:tcBorders>
              <w:top w:val="single" w:sz="8" w:space="0" w:color="AEAEAE"/>
              <w:left w:val="single" w:sz="8" w:space="0" w:color="E0E0E0"/>
              <w:bottom w:val="single" w:sz="8" w:space="0" w:color="AEAEAE"/>
              <w:right w:val="single" w:sz="4" w:space="0" w:color="auto"/>
            </w:tcBorders>
            <w:shd w:val="clear" w:color="auto" w:fill="FFFFFF"/>
          </w:tcPr>
          <w:p w14:paraId="0870394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93,9</w:t>
            </w:r>
          </w:p>
        </w:tc>
      </w:tr>
      <w:tr w:rsidR="002210A7" w:rsidRPr="00D11D21" w14:paraId="0B3D6EEC" w14:textId="77777777" w:rsidTr="005C3BEE">
        <w:trPr>
          <w:cantSplit/>
          <w:trHeight w:val="14"/>
          <w:jc w:val="center"/>
        </w:trPr>
        <w:tc>
          <w:tcPr>
            <w:tcW w:w="894" w:type="dxa"/>
            <w:vMerge/>
            <w:tcBorders>
              <w:top w:val="single" w:sz="8" w:space="0" w:color="152935"/>
              <w:left w:val="single" w:sz="4" w:space="0" w:color="auto"/>
              <w:bottom w:val="single" w:sz="8" w:space="0" w:color="152935"/>
              <w:right w:val="nil"/>
            </w:tcBorders>
            <w:shd w:val="clear" w:color="auto" w:fill="E0E0E0"/>
          </w:tcPr>
          <w:p w14:paraId="4C7920A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92" w:type="dxa"/>
            <w:tcBorders>
              <w:top w:val="single" w:sz="8" w:space="0" w:color="AEAEAE"/>
              <w:left w:val="nil"/>
              <w:bottom w:val="single" w:sz="8" w:space="0" w:color="AEAEAE"/>
              <w:right w:val="nil"/>
            </w:tcBorders>
            <w:shd w:val="clear" w:color="auto" w:fill="E0E0E0"/>
          </w:tcPr>
          <w:p w14:paraId="5DE5722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Enquêtes de satisfaction des patients</w:t>
            </w:r>
          </w:p>
        </w:tc>
        <w:tc>
          <w:tcPr>
            <w:tcW w:w="1420" w:type="dxa"/>
            <w:tcBorders>
              <w:top w:val="single" w:sz="8" w:space="0" w:color="AEAEAE"/>
              <w:left w:val="nil"/>
              <w:bottom w:val="single" w:sz="8" w:space="0" w:color="AEAEAE"/>
              <w:right w:val="single" w:sz="8" w:space="0" w:color="E0E0E0"/>
            </w:tcBorders>
            <w:shd w:val="clear" w:color="auto" w:fill="FFFFFF"/>
          </w:tcPr>
          <w:p w14:paraId="46599F8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248" w:type="dxa"/>
            <w:tcBorders>
              <w:top w:val="single" w:sz="8" w:space="0" w:color="AEAEAE"/>
              <w:left w:val="single" w:sz="8" w:space="0" w:color="E0E0E0"/>
              <w:bottom w:val="single" w:sz="8" w:space="0" w:color="AEAEAE"/>
              <w:right w:val="single" w:sz="8" w:space="0" w:color="E0E0E0"/>
            </w:tcBorders>
            <w:shd w:val="clear" w:color="auto" w:fill="FFFFFF"/>
          </w:tcPr>
          <w:p w14:paraId="7749076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699" w:type="dxa"/>
            <w:tcBorders>
              <w:top w:val="single" w:sz="8" w:space="0" w:color="AEAEAE"/>
              <w:left w:val="single" w:sz="8" w:space="0" w:color="E0E0E0"/>
              <w:bottom w:val="single" w:sz="8" w:space="0" w:color="AEAEAE"/>
              <w:right w:val="single" w:sz="8" w:space="0" w:color="E0E0E0"/>
            </w:tcBorders>
            <w:shd w:val="clear" w:color="auto" w:fill="FFFFFF"/>
          </w:tcPr>
          <w:p w14:paraId="47AEF28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w:t>
            </w:r>
          </w:p>
        </w:tc>
        <w:tc>
          <w:tcPr>
            <w:tcW w:w="1793" w:type="dxa"/>
            <w:tcBorders>
              <w:top w:val="single" w:sz="8" w:space="0" w:color="AEAEAE"/>
              <w:left w:val="single" w:sz="8" w:space="0" w:color="E0E0E0"/>
              <w:bottom w:val="single" w:sz="8" w:space="0" w:color="AEAEAE"/>
              <w:right w:val="single" w:sz="4" w:space="0" w:color="auto"/>
            </w:tcBorders>
            <w:shd w:val="clear" w:color="auto" w:fill="FFFFFF"/>
          </w:tcPr>
          <w:p w14:paraId="1D9C2B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1E071D73" w14:textId="77777777" w:rsidTr="005C3BEE">
        <w:trPr>
          <w:cantSplit/>
          <w:trHeight w:val="14"/>
          <w:jc w:val="center"/>
        </w:trPr>
        <w:tc>
          <w:tcPr>
            <w:tcW w:w="894" w:type="dxa"/>
            <w:vMerge/>
            <w:tcBorders>
              <w:top w:val="single" w:sz="8" w:space="0" w:color="152935"/>
              <w:left w:val="single" w:sz="4" w:space="0" w:color="auto"/>
              <w:bottom w:val="single" w:sz="4" w:space="0" w:color="auto"/>
              <w:right w:val="nil"/>
            </w:tcBorders>
            <w:shd w:val="clear" w:color="auto" w:fill="E0E0E0"/>
          </w:tcPr>
          <w:p w14:paraId="4ED507A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92" w:type="dxa"/>
            <w:tcBorders>
              <w:top w:val="single" w:sz="8" w:space="0" w:color="AEAEAE"/>
              <w:left w:val="nil"/>
              <w:bottom w:val="single" w:sz="4" w:space="0" w:color="auto"/>
              <w:right w:val="nil"/>
            </w:tcBorders>
            <w:shd w:val="clear" w:color="auto" w:fill="E0E0E0"/>
          </w:tcPr>
          <w:p w14:paraId="5D93B38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20" w:type="dxa"/>
            <w:tcBorders>
              <w:top w:val="single" w:sz="8" w:space="0" w:color="AEAEAE"/>
              <w:left w:val="nil"/>
              <w:bottom w:val="single" w:sz="4" w:space="0" w:color="auto"/>
              <w:right w:val="single" w:sz="8" w:space="0" w:color="E0E0E0"/>
            </w:tcBorders>
            <w:shd w:val="clear" w:color="auto" w:fill="FFFFFF"/>
          </w:tcPr>
          <w:p w14:paraId="065A8F9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248" w:type="dxa"/>
            <w:tcBorders>
              <w:top w:val="single" w:sz="8" w:space="0" w:color="AEAEAE"/>
              <w:left w:val="single" w:sz="8" w:space="0" w:color="E0E0E0"/>
              <w:bottom w:val="single" w:sz="4" w:space="0" w:color="auto"/>
              <w:right w:val="single" w:sz="8" w:space="0" w:color="E0E0E0"/>
            </w:tcBorders>
            <w:shd w:val="clear" w:color="auto" w:fill="FFFFFF"/>
          </w:tcPr>
          <w:p w14:paraId="5B4470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99" w:type="dxa"/>
            <w:tcBorders>
              <w:top w:val="single" w:sz="8" w:space="0" w:color="AEAEAE"/>
              <w:left w:val="single" w:sz="8" w:space="0" w:color="E0E0E0"/>
              <w:bottom w:val="single" w:sz="4" w:space="0" w:color="auto"/>
              <w:right w:val="single" w:sz="8" w:space="0" w:color="E0E0E0"/>
            </w:tcBorders>
            <w:shd w:val="clear" w:color="auto" w:fill="FFFFFF"/>
          </w:tcPr>
          <w:p w14:paraId="6BAAF7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93" w:type="dxa"/>
            <w:tcBorders>
              <w:top w:val="single" w:sz="8" w:space="0" w:color="AEAEAE"/>
              <w:left w:val="single" w:sz="8" w:space="0" w:color="E0E0E0"/>
              <w:bottom w:val="single" w:sz="4" w:space="0" w:color="auto"/>
              <w:right w:val="single" w:sz="4" w:space="0" w:color="auto"/>
            </w:tcBorders>
            <w:shd w:val="clear" w:color="auto" w:fill="FFFFFF"/>
            <w:vAlign w:val="center"/>
          </w:tcPr>
          <w:p w14:paraId="18F8DB7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6760A97A" w14:textId="77777777" w:rsidR="00480CC0"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lastRenderedPageBreak/>
        <w:t>Source :</w:t>
      </w:r>
      <w:r w:rsidRPr="00D11D21">
        <w:rPr>
          <w:rFonts w:asciiTheme="majorBidi" w:hAnsiTheme="majorBidi" w:cstheme="majorBidi"/>
          <w:szCs w:val="24"/>
        </w:rPr>
        <w:t xml:space="preserve"> Conception personnelle sur le logiciel SPSS 26</w:t>
      </w:r>
      <w:bookmarkStart w:id="201" w:name="_Toc200210086"/>
    </w:p>
    <w:p w14:paraId="351F9806" w14:textId="5C73F3E6" w:rsidR="002210A7" w:rsidRPr="00D11D21" w:rsidRDefault="00E649BF"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Figure </w:t>
      </w:r>
      <w:r w:rsidRPr="00D11D21">
        <w:rPr>
          <w:rFonts w:asciiTheme="majorBidi" w:hAnsiTheme="majorBidi" w:cstheme="majorBidi"/>
          <w:szCs w:val="24"/>
        </w:rPr>
        <w:fldChar w:fldCharType="begin"/>
      </w:r>
      <w:r w:rsidRPr="00D11D21">
        <w:rPr>
          <w:rFonts w:asciiTheme="majorBidi" w:hAnsiTheme="majorBidi" w:cstheme="majorBidi"/>
          <w:szCs w:val="24"/>
        </w:rPr>
        <w:instrText xml:space="preserve"> SEQ Figure \* ARABIC </w:instrText>
      </w:r>
      <w:r w:rsidRPr="00D11D21">
        <w:rPr>
          <w:rFonts w:asciiTheme="majorBidi" w:hAnsiTheme="majorBidi" w:cstheme="majorBidi"/>
          <w:szCs w:val="24"/>
        </w:rPr>
        <w:fldChar w:fldCharType="separate"/>
      </w:r>
      <w:r w:rsidR="001679A8" w:rsidRPr="00D11D21">
        <w:rPr>
          <w:rFonts w:asciiTheme="majorBidi" w:hAnsiTheme="majorBidi" w:cstheme="majorBidi"/>
          <w:noProof/>
          <w:szCs w:val="24"/>
        </w:rPr>
        <w:t>19</w:t>
      </w:r>
      <w:r w:rsidRPr="00D11D21">
        <w:rPr>
          <w:rFonts w:asciiTheme="majorBidi" w:hAnsiTheme="majorBidi" w:cstheme="majorBidi"/>
          <w:szCs w:val="24"/>
        </w:rPr>
        <w:fldChar w:fldCharType="end"/>
      </w:r>
      <w:r w:rsidRPr="00D11D21">
        <w:rPr>
          <w:rFonts w:asciiTheme="majorBidi" w:hAnsiTheme="majorBidi" w:cstheme="majorBidi"/>
          <w:szCs w:val="24"/>
        </w:rPr>
        <w:t>: Types de suivi recommandés pour l’évaluation du système</w:t>
      </w:r>
      <w:bookmarkEnd w:id="201"/>
    </w:p>
    <w:p w14:paraId="1817E81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4DA9B554" wp14:editId="699C5B4D">
            <wp:extent cx="3924300" cy="1840299"/>
            <wp:effectExtent l="0" t="0" r="0" b="7620"/>
            <wp:docPr id="185" name="Imag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rotWithShape="1">
                    <a:blip r:embed="rId32">
                      <a:extLst>
                        <a:ext uri="{28A0092B-C50C-407E-A947-70E740481C1C}">
                          <a14:useLocalDpi xmlns:a14="http://schemas.microsoft.com/office/drawing/2010/main" val="0"/>
                        </a:ext>
                      </a:extLst>
                    </a:blip>
                    <a:srcRect t="9576" b="10750"/>
                    <a:stretch/>
                  </pic:blipFill>
                  <pic:spPr bwMode="auto">
                    <a:xfrm>
                      <a:off x="0" y="0"/>
                      <a:ext cx="3963828" cy="1858836"/>
                    </a:xfrm>
                    <a:prstGeom prst="rect">
                      <a:avLst/>
                    </a:prstGeom>
                    <a:noFill/>
                    <a:ln>
                      <a:noFill/>
                    </a:ln>
                    <a:extLst>
                      <a:ext uri="{53640926-AAD7-44D8-BBD7-CCE9431645EC}">
                        <a14:shadowObscured xmlns:a14="http://schemas.microsoft.com/office/drawing/2010/main"/>
                      </a:ext>
                    </a:extLst>
                  </pic:spPr>
                </pic:pic>
              </a:graphicData>
            </a:graphic>
          </wp:inline>
        </w:drawing>
      </w:r>
    </w:p>
    <w:p w14:paraId="682E6508"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56E6DF16"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2094081" w14:textId="77777777" w:rsidR="002210A7" w:rsidRPr="00D11D21" w:rsidRDefault="002210A7" w:rsidP="00D11D21">
      <w:pPr>
        <w:numPr>
          <w:ilvl w:val="0"/>
          <w:numId w:val="78"/>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Rapports annuels obligatoires (48,5 %) :  Une majorité des répondants préconise un suivi régulier sous forme de rapports annuels pour évaluer les résultats financiers et opérationnels du système de financement.</w:t>
      </w:r>
    </w:p>
    <w:p w14:paraId="67FC9C2F" w14:textId="77777777" w:rsidR="002210A7" w:rsidRPr="00D11D21" w:rsidRDefault="002210A7" w:rsidP="00D11D21">
      <w:pPr>
        <w:numPr>
          <w:ilvl w:val="0"/>
          <w:numId w:val="78"/>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Audits externes indépendants (27,3 %) : Le recours à des audits externes est vu comme essentiel pour garantir l’objectivité et la transparence du processus d’évaluation.</w:t>
      </w:r>
    </w:p>
    <w:p w14:paraId="610092B6" w14:textId="77777777" w:rsidR="002210A7" w:rsidRPr="00D11D21" w:rsidRDefault="002210A7" w:rsidP="00D11D21">
      <w:pPr>
        <w:numPr>
          <w:ilvl w:val="0"/>
          <w:numId w:val="78"/>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Comités de pilotage régionaux et enquêtes de satisfaction des patients (15,2 %) : Il est suggéré d’instaurer des comités de pilotage pour un suivi plus localisé et une implication des patients dans l’évaluation via des enquêtes de satisfaction.</w:t>
      </w:r>
    </w:p>
    <w:p w14:paraId="6E092F93" w14:textId="77777777" w:rsidR="002210A7" w:rsidRPr="00D11D21" w:rsidRDefault="002210A7" w:rsidP="00D11D21">
      <w:pPr>
        <w:numPr>
          <w:ilvl w:val="0"/>
          <w:numId w:val="78"/>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Enquêtes de satisfaction des patients (6,1 %) : Bien que moins cité, ce suivi permettrait de mesurer l’impact du financement sur l’expérience patient et la qualité des soins.</w:t>
      </w:r>
    </w:p>
    <w:p w14:paraId="717303F9" w14:textId="77777777" w:rsidR="002210A7" w:rsidRPr="00D11D21" w:rsidRDefault="002210A7" w:rsidP="00D11D21">
      <w:pPr>
        <w:numPr>
          <w:ilvl w:val="0"/>
          <w:numId w:val="78"/>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Bilan (3,0 %) :  Un bilan périodique reste aussi une méthode possible pour une vue d’ensemble.</w:t>
      </w:r>
    </w:p>
    <w:p w14:paraId="646C651C"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répondants privilégient un suivi complet et diversifié, combinant des rapports annuels, des audits externes et des comités de pilotage, tout en intégrant des enquêtes de satisfaction pour mesurer l’impact sur la qualité des soins et l’expérience des patients.</w:t>
      </w:r>
    </w:p>
    <w:p w14:paraId="2D6FD48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36398527" w14:textId="18C83A86"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 xml:space="preserve">Q15 : Que recommanderiez-vous pour améliorer l’efficacité du financement hospitalier </w:t>
      </w:r>
      <w:r w:rsidR="00433756" w:rsidRPr="00D11D21">
        <w:rPr>
          <w:rFonts w:asciiTheme="majorBidi" w:hAnsiTheme="majorBidi" w:cstheme="majorBidi"/>
          <w:b/>
          <w:bCs/>
          <w:color w:val="000000" w:themeColor="text1"/>
          <w:szCs w:val="24"/>
        </w:rPr>
        <w:t xml:space="preserve">en </w:t>
      </w:r>
      <w:proofErr w:type="gramStart"/>
      <w:r w:rsidR="00433756" w:rsidRPr="00D11D21">
        <w:rPr>
          <w:rFonts w:asciiTheme="majorBidi" w:hAnsiTheme="majorBidi" w:cstheme="majorBidi"/>
          <w:b/>
          <w:bCs/>
          <w:color w:val="000000" w:themeColor="text1"/>
          <w:szCs w:val="24"/>
        </w:rPr>
        <w:t>Algérie</w:t>
      </w:r>
      <w:r w:rsidRPr="00D11D21">
        <w:rPr>
          <w:rFonts w:asciiTheme="majorBidi" w:hAnsiTheme="majorBidi" w:cstheme="majorBidi"/>
          <w:b/>
          <w:bCs/>
          <w:color w:val="000000" w:themeColor="text1"/>
          <w:szCs w:val="24"/>
        </w:rPr>
        <w:t>?</w:t>
      </w:r>
      <w:proofErr w:type="gramEnd"/>
    </w:p>
    <w:p w14:paraId="57B60CE5"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E19A453" w14:textId="77777777" w:rsidR="002210A7" w:rsidRPr="00D11D21" w:rsidRDefault="002210A7" w:rsidP="00D11D21">
      <w:pPr>
        <w:shd w:val="clear" w:color="auto" w:fill="FFFFFF" w:themeFill="background1"/>
        <w:ind w:firstLine="708"/>
        <w:jc w:val="both"/>
        <w:rPr>
          <w:rFonts w:asciiTheme="majorBidi" w:hAnsiTheme="majorBidi" w:cstheme="majorBidi"/>
          <w:b/>
          <w:bCs/>
          <w:color w:val="000000" w:themeColor="text1"/>
          <w:szCs w:val="24"/>
        </w:rPr>
      </w:pPr>
      <w:r w:rsidRPr="00D11D21">
        <w:rPr>
          <w:rFonts w:asciiTheme="majorBidi" w:hAnsiTheme="majorBidi" w:cstheme="majorBidi"/>
          <w:color w:val="000000" w:themeColor="text1"/>
          <w:szCs w:val="24"/>
        </w:rPr>
        <w:t xml:space="preserve">Les répondants recommandent principalement la mise en place de mécanismes de contractualisation, d’améliorer la digitalisation et les systèmes d’information, ainsi que de renforcer le suivi budgétaire pour assurer une gestion plus transparente et efficace des finances hospitalières. Des </w:t>
      </w:r>
      <w:r w:rsidRPr="00D11D21">
        <w:rPr>
          <w:rFonts w:asciiTheme="majorBidi" w:hAnsiTheme="majorBidi" w:cstheme="majorBidi"/>
          <w:color w:val="000000" w:themeColor="text1"/>
          <w:szCs w:val="24"/>
        </w:rPr>
        <w:lastRenderedPageBreak/>
        <w:t>investissements dans les infrastructures et une formation continue du personnel sont également considérés comme essentiels pour améliorer l'efficacité globale du financement hospitalier</w:t>
      </w:r>
      <w:r w:rsidRPr="00D11D21">
        <w:rPr>
          <w:rFonts w:asciiTheme="majorBidi" w:hAnsiTheme="majorBidi" w:cstheme="majorBidi"/>
          <w:b/>
          <w:bCs/>
          <w:color w:val="000000" w:themeColor="text1"/>
          <w:szCs w:val="24"/>
        </w:rPr>
        <w:t>.</w:t>
      </w:r>
    </w:p>
    <w:p w14:paraId="38C1FD03" w14:textId="2BB046D3"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Q16 : Quelle place doivent occuper les systèmes d'information dans</w:t>
      </w:r>
      <w:r w:rsidR="00433756" w:rsidRPr="00D11D21">
        <w:rPr>
          <w:rFonts w:asciiTheme="majorBidi" w:hAnsiTheme="majorBidi" w:cstheme="majorBidi"/>
          <w:b/>
          <w:bCs/>
          <w:color w:val="000000" w:themeColor="text1"/>
          <w:szCs w:val="24"/>
        </w:rPr>
        <w:t xml:space="preserve"> une future réforme, selon </w:t>
      </w:r>
      <w:proofErr w:type="gramStart"/>
      <w:r w:rsidR="00433756" w:rsidRPr="00D11D21">
        <w:rPr>
          <w:rFonts w:asciiTheme="majorBidi" w:hAnsiTheme="majorBidi" w:cstheme="majorBidi"/>
          <w:b/>
          <w:bCs/>
          <w:color w:val="000000" w:themeColor="text1"/>
          <w:szCs w:val="24"/>
        </w:rPr>
        <w:t>vous</w:t>
      </w:r>
      <w:r w:rsidRPr="00D11D21">
        <w:rPr>
          <w:rFonts w:asciiTheme="majorBidi" w:hAnsiTheme="majorBidi" w:cstheme="majorBidi"/>
          <w:b/>
          <w:bCs/>
          <w:color w:val="000000" w:themeColor="text1"/>
          <w:szCs w:val="24"/>
        </w:rPr>
        <w:t>?</w:t>
      </w:r>
      <w:proofErr w:type="gramEnd"/>
    </w:p>
    <w:p w14:paraId="0514357C"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3547DE8"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Les principales opinions des répondants que les systèmes d’information doivent jouer un rôle central et obligatoire dans une future réforme du financement hospitalier. Ils sont perçus comme des outils essentiels pour digitaliser les processus, garantir la transparence, faciliter la communication entre les différentes parties prenantes (hôpitaux, caisses, ministères) et renforcer la gouvernance du secteur hospitalier.</w:t>
      </w:r>
    </w:p>
    <w:p w14:paraId="0B6F1F67" w14:textId="63C58613" w:rsidR="002210A7" w:rsidRPr="00D11D21" w:rsidRDefault="002A2096" w:rsidP="00D11D21">
      <w:pPr>
        <w:pStyle w:val="Titre3"/>
        <w:numPr>
          <w:ilvl w:val="1"/>
          <w:numId w:val="147"/>
        </w:numPr>
        <w:spacing w:line="360" w:lineRule="auto"/>
        <w:rPr>
          <w:rFonts w:asciiTheme="majorBidi" w:hAnsiTheme="majorBidi" w:cstheme="majorBidi"/>
          <w:szCs w:val="24"/>
        </w:rPr>
      </w:pPr>
      <w:bookmarkStart w:id="202" w:name="_Toc199958915"/>
      <w:r w:rsidRPr="00D11D21">
        <w:rPr>
          <w:rFonts w:asciiTheme="majorBidi" w:hAnsiTheme="majorBidi" w:cstheme="majorBidi"/>
          <w:szCs w:val="24"/>
        </w:rPr>
        <w:t>Tris croisés</w:t>
      </w:r>
      <w:r w:rsidR="002210A7" w:rsidRPr="00D11D21">
        <w:rPr>
          <w:rFonts w:asciiTheme="majorBidi" w:hAnsiTheme="majorBidi" w:cstheme="majorBidi"/>
          <w:szCs w:val="24"/>
        </w:rPr>
        <w:t> :</w:t>
      </w:r>
      <w:bookmarkEnd w:id="202"/>
      <w:r w:rsidR="002210A7" w:rsidRPr="00D11D21">
        <w:rPr>
          <w:rFonts w:asciiTheme="majorBidi" w:hAnsiTheme="majorBidi" w:cstheme="majorBidi"/>
          <w:szCs w:val="24"/>
        </w:rPr>
        <w:t xml:space="preserve"> </w:t>
      </w:r>
    </w:p>
    <w:p w14:paraId="4484EBA9" w14:textId="0FC38022" w:rsidR="002210A7" w:rsidRPr="00D11D21" w:rsidRDefault="002210A7" w:rsidP="00D11D21">
      <w:pPr>
        <w:numPr>
          <w:ilvl w:val="0"/>
          <w:numId w:val="79"/>
        </w:num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Analyse des Relation entre l'intégration du système d'information et l'efficacité du suivi des dépenses hospitalières</w:t>
      </w:r>
    </w:p>
    <w:p w14:paraId="3A5182CB" w14:textId="77777777" w:rsidR="002210A7" w:rsidRPr="00D11D21" w:rsidRDefault="002210A7" w:rsidP="00D11D21">
      <w:pPr>
        <w:pStyle w:val="Paragraphedeliste"/>
        <w:numPr>
          <w:ilvl w:val="0"/>
          <w:numId w:val="85"/>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b/>
          <w:bCs/>
          <w:color w:val="000000" w:themeColor="text1"/>
          <w:szCs w:val="24"/>
        </w:rPr>
        <w:t xml:space="preserve">Hypothèse 1 : </w:t>
      </w:r>
      <w:r w:rsidRPr="00D11D21">
        <w:rPr>
          <w:rFonts w:asciiTheme="majorBidi" w:hAnsiTheme="majorBidi" w:cstheme="majorBidi"/>
          <w:color w:val="000000" w:themeColor="text1"/>
          <w:szCs w:val="24"/>
        </w:rPr>
        <w:t>Les caisses disposant d’un SI intégré estiment mieux suivre les dépenses hospitalières</w:t>
      </w:r>
    </w:p>
    <w:p w14:paraId="64137BC3" w14:textId="77777777" w:rsidR="002210A7" w:rsidRPr="00D11D21" w:rsidRDefault="002210A7" w:rsidP="00D11D21">
      <w:p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Pour confirmer ou infirmer cette hypothèse, nous allons croiser les questions suivantes :</w:t>
      </w:r>
    </w:p>
    <w:p w14:paraId="5A7FD5C2" w14:textId="77777777" w:rsidR="002210A7" w:rsidRPr="00D11D21" w:rsidRDefault="002210A7" w:rsidP="00D11D21">
      <w:pPr>
        <w:pStyle w:val="Paragraphedeliste"/>
        <w:numPr>
          <w:ilvl w:val="0"/>
          <w:numId w:val="79"/>
        </w:numPr>
        <w:autoSpaceDE w:val="0"/>
        <w:autoSpaceDN w:val="0"/>
        <w:adjustRightInd w:val="0"/>
        <w:spacing w:after="0" w:line="360" w:lineRule="auto"/>
        <w:jc w:val="both"/>
        <w:rPr>
          <w:rFonts w:asciiTheme="majorBidi" w:hAnsiTheme="majorBidi" w:cstheme="majorBidi"/>
          <w:b/>
          <w:bCs/>
          <w:szCs w:val="24"/>
        </w:rPr>
      </w:pPr>
      <w:r w:rsidRPr="00D11D21">
        <w:rPr>
          <w:rFonts w:asciiTheme="majorBidi" w:hAnsiTheme="majorBidi" w:cstheme="majorBidi"/>
          <w:b/>
          <w:bCs/>
          <w:szCs w:val="24"/>
        </w:rPr>
        <w:t>Relation entre l'intégration du système d'information et l'efficacité du suivi des dépenses hospitalières</w:t>
      </w:r>
    </w:p>
    <w:p w14:paraId="75385F38" w14:textId="77777777" w:rsidR="002210A7" w:rsidRPr="00D11D21" w:rsidRDefault="002210A7" w:rsidP="00D11D21">
      <w:pPr>
        <w:pStyle w:val="Paragraphedeliste"/>
        <w:numPr>
          <w:ilvl w:val="0"/>
          <w:numId w:val="80"/>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Q8 : Votre caisse utilise-t-elle un système d’information intégré pour le suivi des remboursements hospitaliers ?</w:t>
      </w:r>
    </w:p>
    <w:p w14:paraId="2849EA6B" w14:textId="6D46EDCF" w:rsidR="002210A7" w:rsidRPr="00D11D21" w:rsidRDefault="002210A7" w:rsidP="00D11D21">
      <w:pPr>
        <w:pStyle w:val="Paragraphedeliste"/>
        <w:numPr>
          <w:ilvl w:val="0"/>
          <w:numId w:val="80"/>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 xml:space="preserve">Q 10 : Le système d'information actuel permet-il un meilleur suivi des dépenses </w:t>
      </w:r>
      <w:proofErr w:type="gramStart"/>
      <w:r w:rsidR="002A2096" w:rsidRPr="00D11D21">
        <w:rPr>
          <w:rFonts w:asciiTheme="majorBidi" w:hAnsiTheme="majorBidi" w:cstheme="majorBidi"/>
          <w:szCs w:val="24"/>
        </w:rPr>
        <w:t>hospitalières?</w:t>
      </w:r>
      <w:proofErr w:type="gramEnd"/>
    </w:p>
    <w:p w14:paraId="36B2C684" w14:textId="1E49D36B" w:rsidR="002210A7" w:rsidRPr="00D11D21" w:rsidRDefault="00E649BF" w:rsidP="00D11D21">
      <w:pPr>
        <w:pStyle w:val="Lgende"/>
        <w:keepNext/>
        <w:spacing w:line="360" w:lineRule="auto"/>
        <w:jc w:val="both"/>
        <w:rPr>
          <w:rFonts w:asciiTheme="majorBidi" w:hAnsiTheme="majorBidi" w:cstheme="majorBidi"/>
          <w:color w:val="auto"/>
          <w:sz w:val="24"/>
          <w:szCs w:val="24"/>
        </w:rPr>
      </w:pPr>
      <w:bookmarkStart w:id="203" w:name="_Toc200210130"/>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Croisement de la question 8 et la question 10</w:t>
      </w:r>
      <w:bookmarkEnd w:id="203"/>
    </w:p>
    <w:tbl>
      <w:tblPr>
        <w:tblW w:w="112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37"/>
        <w:gridCol w:w="2297"/>
        <w:gridCol w:w="1402"/>
        <w:gridCol w:w="1402"/>
        <w:gridCol w:w="1402"/>
        <w:gridCol w:w="1407"/>
        <w:gridCol w:w="978"/>
      </w:tblGrid>
      <w:tr w:rsidR="002210A7" w:rsidRPr="00D11D21" w14:paraId="54F337A7" w14:textId="77777777" w:rsidTr="00282FFC">
        <w:trPr>
          <w:cantSplit/>
          <w:trHeight w:val="11"/>
          <w:jc w:val="center"/>
        </w:trPr>
        <w:tc>
          <w:tcPr>
            <w:tcW w:w="4634" w:type="dxa"/>
            <w:gridSpan w:val="2"/>
            <w:vMerge w:val="restart"/>
            <w:tcBorders>
              <w:top w:val="single" w:sz="4" w:space="0" w:color="auto"/>
              <w:left w:val="single" w:sz="4" w:space="0" w:color="auto"/>
              <w:bottom w:val="nil"/>
              <w:right w:val="nil"/>
            </w:tcBorders>
            <w:shd w:val="clear" w:color="auto" w:fill="FFFFFF"/>
            <w:vAlign w:val="bottom"/>
          </w:tcPr>
          <w:p w14:paraId="03767FE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5613" w:type="dxa"/>
            <w:gridSpan w:val="4"/>
            <w:tcBorders>
              <w:top w:val="single" w:sz="4" w:space="0" w:color="auto"/>
              <w:left w:val="nil"/>
              <w:bottom w:val="nil"/>
              <w:right w:val="single" w:sz="8" w:space="0" w:color="E0E0E0"/>
            </w:tcBorders>
            <w:shd w:val="clear" w:color="auto" w:fill="FFFFFF"/>
            <w:vAlign w:val="bottom"/>
          </w:tcPr>
          <w:p w14:paraId="7415CBD5" w14:textId="513DF022"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Q</w:t>
            </w:r>
            <w:r w:rsidR="002A2096" w:rsidRPr="00D11D21">
              <w:rPr>
                <w:rFonts w:asciiTheme="majorBidi" w:hAnsiTheme="majorBidi" w:cstheme="majorBidi"/>
                <w:color w:val="264A60"/>
                <w:szCs w:val="24"/>
              </w:rPr>
              <w:t>10 :</w:t>
            </w:r>
            <w:r w:rsidRPr="00D11D21">
              <w:rPr>
                <w:rFonts w:asciiTheme="majorBidi" w:hAnsiTheme="majorBidi" w:cstheme="majorBidi"/>
                <w:color w:val="264A60"/>
                <w:szCs w:val="24"/>
              </w:rPr>
              <w:t xml:space="preserve"> Le système d'information actuel permet-il :</w:t>
            </w:r>
          </w:p>
        </w:tc>
        <w:tc>
          <w:tcPr>
            <w:tcW w:w="978" w:type="dxa"/>
            <w:vMerge w:val="restart"/>
            <w:tcBorders>
              <w:top w:val="single" w:sz="4" w:space="0" w:color="auto"/>
              <w:left w:val="single" w:sz="8" w:space="0" w:color="E0E0E0"/>
              <w:bottom w:val="nil"/>
              <w:right w:val="single" w:sz="4" w:space="0" w:color="auto"/>
            </w:tcBorders>
            <w:shd w:val="clear" w:color="auto" w:fill="FFFFFF"/>
            <w:vAlign w:val="bottom"/>
          </w:tcPr>
          <w:p w14:paraId="0339A17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r>
      <w:tr w:rsidR="002210A7" w:rsidRPr="00D11D21" w14:paraId="777629FE" w14:textId="77777777" w:rsidTr="00282FFC">
        <w:trPr>
          <w:cantSplit/>
          <w:trHeight w:val="35"/>
          <w:jc w:val="center"/>
        </w:trPr>
        <w:tc>
          <w:tcPr>
            <w:tcW w:w="4634" w:type="dxa"/>
            <w:gridSpan w:val="2"/>
            <w:vMerge/>
            <w:tcBorders>
              <w:top w:val="nil"/>
              <w:left w:val="single" w:sz="4" w:space="0" w:color="auto"/>
              <w:bottom w:val="nil"/>
              <w:right w:val="nil"/>
            </w:tcBorders>
            <w:shd w:val="clear" w:color="auto" w:fill="FFFFFF"/>
            <w:vAlign w:val="bottom"/>
          </w:tcPr>
          <w:p w14:paraId="11AAE614" w14:textId="77777777" w:rsidR="002210A7" w:rsidRPr="00D11D21" w:rsidRDefault="002210A7" w:rsidP="00D11D21">
            <w:pPr>
              <w:autoSpaceDE w:val="0"/>
              <w:autoSpaceDN w:val="0"/>
              <w:adjustRightInd w:val="0"/>
              <w:spacing w:after="0"/>
              <w:jc w:val="both"/>
              <w:rPr>
                <w:rFonts w:asciiTheme="majorBidi" w:hAnsiTheme="majorBidi" w:cstheme="majorBidi"/>
                <w:color w:val="264A60"/>
                <w:szCs w:val="24"/>
              </w:rPr>
            </w:pPr>
          </w:p>
        </w:tc>
        <w:tc>
          <w:tcPr>
            <w:tcW w:w="1402" w:type="dxa"/>
            <w:tcBorders>
              <w:top w:val="nil"/>
              <w:left w:val="nil"/>
              <w:bottom w:val="single" w:sz="8" w:space="0" w:color="152935"/>
              <w:right w:val="single" w:sz="8" w:space="0" w:color="E0E0E0"/>
            </w:tcBorders>
            <w:shd w:val="clear" w:color="auto" w:fill="FFFFFF"/>
            <w:vAlign w:val="bottom"/>
          </w:tcPr>
          <w:p w14:paraId="644940A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Aucun de ces éléments</w:t>
            </w:r>
          </w:p>
        </w:tc>
        <w:tc>
          <w:tcPr>
            <w:tcW w:w="1402" w:type="dxa"/>
            <w:tcBorders>
              <w:top w:val="nil"/>
              <w:left w:val="single" w:sz="8" w:space="0" w:color="E0E0E0"/>
              <w:bottom w:val="single" w:sz="8" w:space="0" w:color="152935"/>
              <w:right w:val="single" w:sz="8" w:space="0" w:color="E0E0E0"/>
            </w:tcBorders>
            <w:shd w:val="clear" w:color="auto" w:fill="FFFFFF"/>
            <w:vAlign w:val="bottom"/>
          </w:tcPr>
          <w:p w14:paraId="6942AAD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L’analyse de la performance hospitalière ?</w:t>
            </w:r>
          </w:p>
        </w:tc>
        <w:tc>
          <w:tcPr>
            <w:tcW w:w="1402" w:type="dxa"/>
            <w:tcBorders>
              <w:top w:val="nil"/>
              <w:left w:val="single" w:sz="8" w:space="0" w:color="E0E0E0"/>
              <w:bottom w:val="single" w:sz="8" w:space="0" w:color="152935"/>
              <w:right w:val="single" w:sz="8" w:space="0" w:color="E0E0E0"/>
            </w:tcBorders>
            <w:shd w:val="clear" w:color="auto" w:fill="FFFFFF"/>
            <w:vAlign w:val="bottom"/>
          </w:tcPr>
          <w:p w14:paraId="3DA03E2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La détection des anomalies ou fraudes ?</w:t>
            </w:r>
          </w:p>
        </w:tc>
        <w:tc>
          <w:tcPr>
            <w:tcW w:w="1405" w:type="dxa"/>
            <w:tcBorders>
              <w:top w:val="nil"/>
              <w:left w:val="single" w:sz="8" w:space="0" w:color="E0E0E0"/>
              <w:bottom w:val="single" w:sz="8" w:space="0" w:color="152935"/>
              <w:right w:val="single" w:sz="8" w:space="0" w:color="E0E0E0"/>
            </w:tcBorders>
            <w:shd w:val="clear" w:color="auto" w:fill="FFFFFF"/>
            <w:vAlign w:val="bottom"/>
          </w:tcPr>
          <w:p w14:paraId="477D9F1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Un meilleur suivi des dépenses hospitalières ?</w:t>
            </w:r>
          </w:p>
        </w:tc>
        <w:tc>
          <w:tcPr>
            <w:tcW w:w="978" w:type="dxa"/>
            <w:vMerge/>
            <w:tcBorders>
              <w:top w:val="nil"/>
              <w:left w:val="single" w:sz="8" w:space="0" w:color="E0E0E0"/>
              <w:bottom w:val="nil"/>
              <w:right w:val="single" w:sz="4" w:space="0" w:color="auto"/>
            </w:tcBorders>
            <w:shd w:val="clear" w:color="auto" w:fill="FFFFFF"/>
            <w:vAlign w:val="bottom"/>
          </w:tcPr>
          <w:p w14:paraId="394DC472" w14:textId="77777777" w:rsidR="002210A7" w:rsidRPr="00D11D21" w:rsidRDefault="002210A7" w:rsidP="00D11D21">
            <w:pPr>
              <w:autoSpaceDE w:val="0"/>
              <w:autoSpaceDN w:val="0"/>
              <w:adjustRightInd w:val="0"/>
              <w:spacing w:after="0"/>
              <w:jc w:val="both"/>
              <w:rPr>
                <w:rFonts w:asciiTheme="majorBidi" w:hAnsiTheme="majorBidi" w:cstheme="majorBidi"/>
                <w:color w:val="264A60"/>
                <w:szCs w:val="24"/>
              </w:rPr>
            </w:pPr>
          </w:p>
        </w:tc>
      </w:tr>
      <w:tr w:rsidR="002210A7" w:rsidRPr="00D11D21" w14:paraId="6E57921B" w14:textId="77777777" w:rsidTr="00282FFC">
        <w:trPr>
          <w:cantSplit/>
          <w:trHeight w:val="11"/>
          <w:jc w:val="center"/>
        </w:trPr>
        <w:tc>
          <w:tcPr>
            <w:tcW w:w="2337" w:type="dxa"/>
            <w:vMerge w:val="restart"/>
            <w:tcBorders>
              <w:top w:val="single" w:sz="8" w:space="0" w:color="152935"/>
              <w:left w:val="single" w:sz="4" w:space="0" w:color="auto"/>
              <w:bottom w:val="single" w:sz="8" w:space="0" w:color="AEAEAE"/>
              <w:right w:val="nil"/>
            </w:tcBorders>
            <w:shd w:val="clear" w:color="auto" w:fill="E0E0E0"/>
          </w:tcPr>
          <w:p w14:paraId="0B35FAA6" w14:textId="5773ED12"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lastRenderedPageBreak/>
              <w:t>Q</w:t>
            </w:r>
            <w:r w:rsidR="002A2096" w:rsidRPr="00D11D21">
              <w:rPr>
                <w:rFonts w:asciiTheme="majorBidi" w:hAnsiTheme="majorBidi" w:cstheme="majorBidi"/>
                <w:color w:val="264A60"/>
                <w:szCs w:val="24"/>
              </w:rPr>
              <w:t>8 :</w:t>
            </w:r>
            <w:r w:rsidRPr="00D11D21">
              <w:rPr>
                <w:rFonts w:asciiTheme="majorBidi" w:hAnsiTheme="majorBidi" w:cstheme="majorBidi"/>
                <w:color w:val="264A60"/>
                <w:szCs w:val="24"/>
              </w:rPr>
              <w:t xml:space="preserve"> Votre caisse utilise-t-elle un système d'information intégré pour le suivi des remboursements hospitaliers ?</w:t>
            </w:r>
          </w:p>
        </w:tc>
        <w:tc>
          <w:tcPr>
            <w:tcW w:w="2296" w:type="dxa"/>
            <w:tcBorders>
              <w:top w:val="single" w:sz="8" w:space="0" w:color="152935"/>
              <w:left w:val="nil"/>
              <w:bottom w:val="single" w:sz="8" w:space="0" w:color="AEAEAE"/>
              <w:right w:val="nil"/>
            </w:tcBorders>
            <w:shd w:val="clear" w:color="auto" w:fill="E0E0E0"/>
          </w:tcPr>
          <w:p w14:paraId="30DD72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En cours de déploiement</w:t>
            </w:r>
          </w:p>
        </w:tc>
        <w:tc>
          <w:tcPr>
            <w:tcW w:w="1402" w:type="dxa"/>
            <w:tcBorders>
              <w:top w:val="single" w:sz="8" w:space="0" w:color="152935"/>
              <w:left w:val="nil"/>
              <w:bottom w:val="single" w:sz="8" w:space="0" w:color="AEAEAE"/>
              <w:right w:val="single" w:sz="8" w:space="0" w:color="E0E0E0"/>
            </w:tcBorders>
            <w:shd w:val="clear" w:color="auto" w:fill="FFFFFF"/>
          </w:tcPr>
          <w:p w14:paraId="3A6DE61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402" w:type="dxa"/>
            <w:tcBorders>
              <w:top w:val="single" w:sz="8" w:space="0" w:color="152935"/>
              <w:left w:val="single" w:sz="8" w:space="0" w:color="E0E0E0"/>
              <w:bottom w:val="single" w:sz="8" w:space="0" w:color="AEAEAE"/>
              <w:right w:val="single" w:sz="8" w:space="0" w:color="E0E0E0"/>
            </w:tcBorders>
            <w:shd w:val="clear" w:color="auto" w:fill="FFFFFF"/>
          </w:tcPr>
          <w:p w14:paraId="2521F4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402" w:type="dxa"/>
            <w:tcBorders>
              <w:top w:val="single" w:sz="8" w:space="0" w:color="152935"/>
              <w:left w:val="single" w:sz="8" w:space="0" w:color="E0E0E0"/>
              <w:bottom w:val="single" w:sz="8" w:space="0" w:color="AEAEAE"/>
              <w:right w:val="single" w:sz="8" w:space="0" w:color="E0E0E0"/>
            </w:tcBorders>
            <w:shd w:val="clear" w:color="auto" w:fill="FFFFFF"/>
          </w:tcPr>
          <w:p w14:paraId="22BFD9C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405" w:type="dxa"/>
            <w:tcBorders>
              <w:top w:val="single" w:sz="8" w:space="0" w:color="152935"/>
              <w:left w:val="single" w:sz="8" w:space="0" w:color="E0E0E0"/>
              <w:bottom w:val="single" w:sz="8" w:space="0" w:color="AEAEAE"/>
              <w:right w:val="single" w:sz="8" w:space="0" w:color="E0E0E0"/>
            </w:tcBorders>
            <w:shd w:val="clear" w:color="auto" w:fill="FFFFFF"/>
          </w:tcPr>
          <w:p w14:paraId="3511D7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978" w:type="dxa"/>
            <w:tcBorders>
              <w:top w:val="single" w:sz="8" w:space="0" w:color="152935"/>
              <w:left w:val="single" w:sz="8" w:space="0" w:color="E0E0E0"/>
              <w:bottom w:val="single" w:sz="8" w:space="0" w:color="AEAEAE"/>
              <w:right w:val="single" w:sz="4" w:space="0" w:color="auto"/>
            </w:tcBorders>
            <w:shd w:val="clear" w:color="auto" w:fill="FFFFFF"/>
          </w:tcPr>
          <w:p w14:paraId="0884EB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r>
      <w:tr w:rsidR="002210A7" w:rsidRPr="00D11D21" w14:paraId="7DE26206" w14:textId="77777777" w:rsidTr="00282FFC">
        <w:trPr>
          <w:cantSplit/>
          <w:trHeight w:val="11"/>
          <w:jc w:val="center"/>
        </w:trPr>
        <w:tc>
          <w:tcPr>
            <w:tcW w:w="2337" w:type="dxa"/>
            <w:vMerge/>
            <w:tcBorders>
              <w:top w:val="single" w:sz="8" w:space="0" w:color="152935"/>
              <w:left w:val="single" w:sz="4" w:space="0" w:color="auto"/>
              <w:bottom w:val="single" w:sz="8" w:space="0" w:color="AEAEAE"/>
              <w:right w:val="nil"/>
            </w:tcBorders>
            <w:shd w:val="clear" w:color="auto" w:fill="E0E0E0"/>
          </w:tcPr>
          <w:p w14:paraId="308D0634"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296" w:type="dxa"/>
            <w:tcBorders>
              <w:top w:val="single" w:sz="8" w:space="0" w:color="AEAEAE"/>
              <w:left w:val="nil"/>
              <w:bottom w:val="single" w:sz="8" w:space="0" w:color="AEAEAE"/>
              <w:right w:val="nil"/>
            </w:tcBorders>
            <w:shd w:val="clear" w:color="auto" w:fill="E0E0E0"/>
          </w:tcPr>
          <w:p w14:paraId="2D33BE0D" w14:textId="52E8DC01"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402" w:type="dxa"/>
            <w:tcBorders>
              <w:top w:val="single" w:sz="8" w:space="0" w:color="AEAEAE"/>
              <w:left w:val="nil"/>
              <w:bottom w:val="single" w:sz="8" w:space="0" w:color="AEAEAE"/>
              <w:right w:val="single" w:sz="8" w:space="0" w:color="E0E0E0"/>
            </w:tcBorders>
            <w:shd w:val="clear" w:color="auto" w:fill="FFFFFF"/>
          </w:tcPr>
          <w:p w14:paraId="350EC54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w:t>
            </w:r>
          </w:p>
        </w:tc>
        <w:tc>
          <w:tcPr>
            <w:tcW w:w="1402" w:type="dxa"/>
            <w:tcBorders>
              <w:top w:val="single" w:sz="8" w:space="0" w:color="AEAEAE"/>
              <w:left w:val="single" w:sz="8" w:space="0" w:color="E0E0E0"/>
              <w:bottom w:val="single" w:sz="8" w:space="0" w:color="AEAEAE"/>
              <w:right w:val="single" w:sz="8" w:space="0" w:color="E0E0E0"/>
            </w:tcBorders>
            <w:shd w:val="clear" w:color="auto" w:fill="FFFFFF"/>
          </w:tcPr>
          <w:p w14:paraId="12B3E6E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402" w:type="dxa"/>
            <w:tcBorders>
              <w:top w:val="single" w:sz="8" w:space="0" w:color="AEAEAE"/>
              <w:left w:val="single" w:sz="8" w:space="0" w:color="E0E0E0"/>
              <w:bottom w:val="single" w:sz="8" w:space="0" w:color="AEAEAE"/>
              <w:right w:val="single" w:sz="8" w:space="0" w:color="E0E0E0"/>
            </w:tcBorders>
            <w:shd w:val="clear" w:color="auto" w:fill="FFFFFF"/>
          </w:tcPr>
          <w:p w14:paraId="1AACF94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405" w:type="dxa"/>
            <w:tcBorders>
              <w:top w:val="single" w:sz="8" w:space="0" w:color="AEAEAE"/>
              <w:left w:val="single" w:sz="8" w:space="0" w:color="E0E0E0"/>
              <w:bottom w:val="single" w:sz="8" w:space="0" w:color="AEAEAE"/>
              <w:right w:val="single" w:sz="8" w:space="0" w:color="E0E0E0"/>
            </w:tcBorders>
            <w:shd w:val="clear" w:color="auto" w:fill="FFFFFF"/>
          </w:tcPr>
          <w:p w14:paraId="78E4648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978" w:type="dxa"/>
            <w:tcBorders>
              <w:top w:val="single" w:sz="8" w:space="0" w:color="AEAEAE"/>
              <w:left w:val="single" w:sz="8" w:space="0" w:color="E0E0E0"/>
              <w:bottom w:val="single" w:sz="8" w:space="0" w:color="AEAEAE"/>
              <w:right w:val="single" w:sz="4" w:space="0" w:color="auto"/>
            </w:tcBorders>
            <w:shd w:val="clear" w:color="auto" w:fill="FFFFFF"/>
          </w:tcPr>
          <w:p w14:paraId="6CF13DF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r>
      <w:tr w:rsidR="002210A7" w:rsidRPr="00D11D21" w14:paraId="2FC68A33" w14:textId="77777777" w:rsidTr="00282FFC">
        <w:trPr>
          <w:cantSplit/>
          <w:trHeight w:val="22"/>
          <w:jc w:val="center"/>
        </w:trPr>
        <w:tc>
          <w:tcPr>
            <w:tcW w:w="2337" w:type="dxa"/>
            <w:vMerge/>
            <w:tcBorders>
              <w:top w:val="single" w:sz="8" w:space="0" w:color="152935"/>
              <w:left w:val="single" w:sz="4" w:space="0" w:color="auto"/>
              <w:bottom w:val="single" w:sz="8" w:space="0" w:color="AEAEAE"/>
              <w:right w:val="nil"/>
            </w:tcBorders>
            <w:shd w:val="clear" w:color="auto" w:fill="E0E0E0"/>
          </w:tcPr>
          <w:p w14:paraId="70D77CC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296" w:type="dxa"/>
            <w:tcBorders>
              <w:top w:val="single" w:sz="8" w:space="0" w:color="AEAEAE"/>
              <w:left w:val="nil"/>
              <w:bottom w:val="single" w:sz="8" w:space="0" w:color="AEAEAE"/>
              <w:right w:val="nil"/>
            </w:tcBorders>
            <w:shd w:val="clear" w:color="auto" w:fill="E0E0E0"/>
          </w:tcPr>
          <w:p w14:paraId="15DB078F" w14:textId="02C3C770"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402" w:type="dxa"/>
            <w:tcBorders>
              <w:top w:val="single" w:sz="8" w:space="0" w:color="AEAEAE"/>
              <w:left w:val="nil"/>
              <w:bottom w:val="single" w:sz="8" w:space="0" w:color="AEAEAE"/>
              <w:right w:val="single" w:sz="8" w:space="0" w:color="E0E0E0"/>
            </w:tcBorders>
            <w:shd w:val="clear" w:color="auto" w:fill="FFFFFF"/>
          </w:tcPr>
          <w:p w14:paraId="0EBDB9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402" w:type="dxa"/>
            <w:tcBorders>
              <w:top w:val="single" w:sz="8" w:space="0" w:color="AEAEAE"/>
              <w:left w:val="single" w:sz="8" w:space="0" w:color="E0E0E0"/>
              <w:bottom w:val="single" w:sz="8" w:space="0" w:color="AEAEAE"/>
              <w:right w:val="single" w:sz="8" w:space="0" w:color="E0E0E0"/>
            </w:tcBorders>
            <w:shd w:val="clear" w:color="auto" w:fill="FFFFFF"/>
          </w:tcPr>
          <w:p w14:paraId="1F6F8D8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402" w:type="dxa"/>
            <w:tcBorders>
              <w:top w:val="single" w:sz="8" w:space="0" w:color="AEAEAE"/>
              <w:left w:val="single" w:sz="8" w:space="0" w:color="E0E0E0"/>
              <w:bottom w:val="single" w:sz="8" w:space="0" w:color="AEAEAE"/>
              <w:right w:val="single" w:sz="8" w:space="0" w:color="E0E0E0"/>
            </w:tcBorders>
            <w:shd w:val="clear" w:color="auto" w:fill="FFFFFF"/>
          </w:tcPr>
          <w:p w14:paraId="1595E51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405" w:type="dxa"/>
            <w:tcBorders>
              <w:top w:val="single" w:sz="8" w:space="0" w:color="AEAEAE"/>
              <w:left w:val="single" w:sz="8" w:space="0" w:color="E0E0E0"/>
              <w:bottom w:val="single" w:sz="8" w:space="0" w:color="AEAEAE"/>
              <w:right w:val="single" w:sz="8" w:space="0" w:color="E0E0E0"/>
            </w:tcBorders>
            <w:shd w:val="clear" w:color="auto" w:fill="FFFFFF"/>
          </w:tcPr>
          <w:p w14:paraId="328263C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c>
          <w:tcPr>
            <w:tcW w:w="978" w:type="dxa"/>
            <w:tcBorders>
              <w:top w:val="single" w:sz="8" w:space="0" w:color="AEAEAE"/>
              <w:left w:val="single" w:sz="8" w:space="0" w:color="E0E0E0"/>
              <w:bottom w:val="single" w:sz="8" w:space="0" w:color="AEAEAE"/>
              <w:right w:val="single" w:sz="4" w:space="0" w:color="auto"/>
            </w:tcBorders>
            <w:shd w:val="clear" w:color="auto" w:fill="FFFFFF"/>
          </w:tcPr>
          <w:p w14:paraId="4F3B44A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r>
      <w:tr w:rsidR="002210A7" w:rsidRPr="00D11D21" w14:paraId="3EC160ED" w14:textId="77777777" w:rsidTr="00282FFC">
        <w:trPr>
          <w:cantSplit/>
          <w:trHeight w:val="11"/>
          <w:jc w:val="center"/>
        </w:trPr>
        <w:tc>
          <w:tcPr>
            <w:tcW w:w="4634" w:type="dxa"/>
            <w:gridSpan w:val="2"/>
            <w:tcBorders>
              <w:top w:val="single" w:sz="8" w:space="0" w:color="AEAEAE"/>
              <w:left w:val="single" w:sz="4" w:space="0" w:color="auto"/>
              <w:bottom w:val="single" w:sz="4" w:space="0" w:color="auto"/>
              <w:right w:val="nil"/>
            </w:tcBorders>
            <w:shd w:val="clear" w:color="auto" w:fill="E0E0E0"/>
          </w:tcPr>
          <w:p w14:paraId="6EB088D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02" w:type="dxa"/>
            <w:tcBorders>
              <w:top w:val="single" w:sz="8" w:space="0" w:color="AEAEAE"/>
              <w:left w:val="nil"/>
              <w:bottom w:val="single" w:sz="4" w:space="0" w:color="auto"/>
              <w:right w:val="single" w:sz="8" w:space="0" w:color="E0E0E0"/>
            </w:tcBorders>
            <w:shd w:val="clear" w:color="auto" w:fill="FFFFFF"/>
          </w:tcPr>
          <w:p w14:paraId="057E706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19</w:t>
            </w:r>
          </w:p>
        </w:tc>
        <w:tc>
          <w:tcPr>
            <w:tcW w:w="1402" w:type="dxa"/>
            <w:tcBorders>
              <w:top w:val="single" w:sz="8" w:space="0" w:color="AEAEAE"/>
              <w:left w:val="single" w:sz="8" w:space="0" w:color="E0E0E0"/>
              <w:bottom w:val="single" w:sz="4" w:space="0" w:color="auto"/>
              <w:right w:val="single" w:sz="8" w:space="0" w:color="E0E0E0"/>
            </w:tcBorders>
            <w:shd w:val="clear" w:color="auto" w:fill="FFFFFF"/>
          </w:tcPr>
          <w:p w14:paraId="5EABFB0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402" w:type="dxa"/>
            <w:tcBorders>
              <w:top w:val="single" w:sz="8" w:space="0" w:color="AEAEAE"/>
              <w:left w:val="single" w:sz="8" w:space="0" w:color="E0E0E0"/>
              <w:bottom w:val="single" w:sz="4" w:space="0" w:color="auto"/>
              <w:right w:val="single" w:sz="8" w:space="0" w:color="E0E0E0"/>
            </w:tcBorders>
            <w:shd w:val="clear" w:color="auto" w:fill="FFFFFF"/>
          </w:tcPr>
          <w:p w14:paraId="06C96D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405" w:type="dxa"/>
            <w:tcBorders>
              <w:top w:val="single" w:sz="8" w:space="0" w:color="AEAEAE"/>
              <w:left w:val="single" w:sz="8" w:space="0" w:color="E0E0E0"/>
              <w:bottom w:val="single" w:sz="4" w:space="0" w:color="auto"/>
              <w:right w:val="single" w:sz="8" w:space="0" w:color="E0E0E0"/>
            </w:tcBorders>
            <w:shd w:val="clear" w:color="auto" w:fill="FFFFFF"/>
          </w:tcPr>
          <w:p w14:paraId="7884E39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c>
          <w:tcPr>
            <w:tcW w:w="978" w:type="dxa"/>
            <w:tcBorders>
              <w:top w:val="single" w:sz="8" w:space="0" w:color="AEAEAE"/>
              <w:left w:val="single" w:sz="8" w:space="0" w:color="E0E0E0"/>
              <w:bottom w:val="single" w:sz="4" w:space="0" w:color="auto"/>
              <w:right w:val="single" w:sz="4" w:space="0" w:color="auto"/>
            </w:tcBorders>
            <w:shd w:val="clear" w:color="auto" w:fill="FFFFFF"/>
          </w:tcPr>
          <w:p w14:paraId="1D1B636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r>
    </w:tbl>
    <w:p w14:paraId="532B1306" w14:textId="2AD718D5"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40231F77" w14:textId="6C998A4F" w:rsidR="002210A7" w:rsidRPr="00D11D21" w:rsidRDefault="002403EB" w:rsidP="00D11D21">
      <w:pPr>
        <w:pStyle w:val="Lgende"/>
        <w:keepNext/>
        <w:spacing w:line="360" w:lineRule="auto"/>
        <w:jc w:val="both"/>
        <w:rPr>
          <w:rFonts w:asciiTheme="majorBidi" w:hAnsiTheme="majorBidi" w:cstheme="majorBidi"/>
          <w:color w:val="auto"/>
          <w:sz w:val="24"/>
          <w:szCs w:val="24"/>
        </w:rPr>
      </w:pPr>
      <w:bookmarkStart w:id="204" w:name="_Toc200210131"/>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Test du Khi²</w:t>
      </w:r>
      <w:bookmarkEnd w:id="204"/>
    </w:p>
    <w:tbl>
      <w:tblPr>
        <w:tblW w:w="966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963"/>
        <w:gridCol w:w="1660"/>
        <w:gridCol w:w="1660"/>
        <w:gridCol w:w="2381"/>
      </w:tblGrid>
      <w:tr w:rsidR="002210A7" w:rsidRPr="00D11D21" w14:paraId="6A893208" w14:textId="77777777" w:rsidTr="00282FFC">
        <w:trPr>
          <w:cantSplit/>
          <w:trHeight w:val="298"/>
          <w:jc w:val="center"/>
        </w:trPr>
        <w:tc>
          <w:tcPr>
            <w:tcW w:w="9664" w:type="dxa"/>
            <w:gridSpan w:val="4"/>
            <w:tcBorders>
              <w:top w:val="single" w:sz="4" w:space="0" w:color="auto"/>
              <w:left w:val="single" w:sz="4" w:space="0" w:color="auto"/>
              <w:bottom w:val="nil"/>
              <w:right w:val="single" w:sz="4" w:space="0" w:color="auto"/>
            </w:tcBorders>
            <w:shd w:val="clear" w:color="auto" w:fill="FFFFFF"/>
            <w:vAlign w:val="center"/>
          </w:tcPr>
          <w:p w14:paraId="1E7ADD5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b/>
                <w:bCs/>
                <w:color w:val="010205"/>
                <w:szCs w:val="24"/>
              </w:rPr>
              <w:t>Chi-Square Tests</w:t>
            </w:r>
          </w:p>
        </w:tc>
      </w:tr>
      <w:tr w:rsidR="002210A7" w:rsidRPr="00D11D21" w14:paraId="78696137" w14:textId="77777777" w:rsidTr="00282FFC">
        <w:trPr>
          <w:cantSplit/>
          <w:trHeight w:val="900"/>
          <w:jc w:val="center"/>
        </w:trPr>
        <w:tc>
          <w:tcPr>
            <w:tcW w:w="3963" w:type="dxa"/>
            <w:tcBorders>
              <w:top w:val="nil"/>
              <w:left w:val="single" w:sz="4" w:space="0" w:color="auto"/>
              <w:bottom w:val="single" w:sz="8" w:space="0" w:color="152935"/>
              <w:right w:val="nil"/>
            </w:tcBorders>
            <w:shd w:val="clear" w:color="auto" w:fill="FFFFFF"/>
            <w:vAlign w:val="bottom"/>
          </w:tcPr>
          <w:p w14:paraId="2C51534B"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660" w:type="dxa"/>
            <w:tcBorders>
              <w:top w:val="nil"/>
              <w:left w:val="nil"/>
              <w:bottom w:val="single" w:sz="8" w:space="0" w:color="152935"/>
              <w:right w:val="single" w:sz="8" w:space="0" w:color="E0E0E0"/>
            </w:tcBorders>
            <w:shd w:val="clear" w:color="auto" w:fill="FFFFFF"/>
            <w:vAlign w:val="bottom"/>
          </w:tcPr>
          <w:p w14:paraId="46F53DC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Value</w:t>
            </w:r>
          </w:p>
        </w:tc>
        <w:tc>
          <w:tcPr>
            <w:tcW w:w="1660" w:type="dxa"/>
            <w:tcBorders>
              <w:top w:val="nil"/>
              <w:left w:val="single" w:sz="8" w:space="0" w:color="E0E0E0"/>
              <w:bottom w:val="single" w:sz="8" w:space="0" w:color="152935"/>
              <w:right w:val="single" w:sz="8" w:space="0" w:color="E0E0E0"/>
            </w:tcBorders>
            <w:shd w:val="clear" w:color="auto" w:fill="FFFFFF"/>
            <w:vAlign w:val="bottom"/>
          </w:tcPr>
          <w:p w14:paraId="4950242E" w14:textId="05CA714E"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Df</w:t>
            </w:r>
            <w:proofErr w:type="spellEnd"/>
          </w:p>
        </w:tc>
        <w:tc>
          <w:tcPr>
            <w:tcW w:w="2380" w:type="dxa"/>
            <w:tcBorders>
              <w:top w:val="nil"/>
              <w:left w:val="single" w:sz="8" w:space="0" w:color="E0E0E0"/>
              <w:bottom w:val="single" w:sz="8" w:space="0" w:color="152935"/>
              <w:right w:val="single" w:sz="4" w:space="0" w:color="auto"/>
            </w:tcBorders>
            <w:shd w:val="clear" w:color="auto" w:fill="FFFFFF"/>
            <w:vAlign w:val="bottom"/>
          </w:tcPr>
          <w:p w14:paraId="2288E29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Asymptotic</w:t>
            </w:r>
            <w:proofErr w:type="spellEnd"/>
            <w:r w:rsidRPr="00D11D21">
              <w:rPr>
                <w:rFonts w:asciiTheme="majorBidi" w:hAnsiTheme="majorBidi" w:cstheme="majorBidi"/>
                <w:color w:val="264A60"/>
                <w:szCs w:val="24"/>
              </w:rPr>
              <w:t xml:space="preserve"> </w:t>
            </w:r>
            <w:proofErr w:type="spellStart"/>
            <w:r w:rsidRPr="00D11D21">
              <w:rPr>
                <w:rFonts w:asciiTheme="majorBidi" w:hAnsiTheme="majorBidi" w:cstheme="majorBidi"/>
                <w:color w:val="264A60"/>
                <w:szCs w:val="24"/>
              </w:rPr>
              <w:t>Significance</w:t>
            </w:r>
            <w:proofErr w:type="spellEnd"/>
            <w:r w:rsidRPr="00D11D21">
              <w:rPr>
                <w:rFonts w:asciiTheme="majorBidi" w:hAnsiTheme="majorBidi" w:cstheme="majorBidi"/>
                <w:color w:val="264A60"/>
                <w:szCs w:val="24"/>
              </w:rPr>
              <w:t xml:space="preserve"> (2-sided)</w:t>
            </w:r>
          </w:p>
        </w:tc>
      </w:tr>
      <w:tr w:rsidR="002210A7" w:rsidRPr="00D11D21" w14:paraId="4A6E8329" w14:textId="77777777" w:rsidTr="00282FFC">
        <w:trPr>
          <w:cantSplit/>
          <w:trHeight w:val="315"/>
          <w:jc w:val="center"/>
        </w:trPr>
        <w:tc>
          <w:tcPr>
            <w:tcW w:w="3963" w:type="dxa"/>
            <w:tcBorders>
              <w:top w:val="single" w:sz="8" w:space="0" w:color="152935"/>
              <w:left w:val="single" w:sz="4" w:space="0" w:color="auto"/>
              <w:bottom w:val="single" w:sz="8" w:space="0" w:color="AEAEAE"/>
              <w:right w:val="nil"/>
            </w:tcBorders>
            <w:shd w:val="clear" w:color="auto" w:fill="E0E0E0"/>
          </w:tcPr>
          <w:p w14:paraId="7DC37B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Pearson Chi-Square</w:t>
            </w:r>
          </w:p>
        </w:tc>
        <w:tc>
          <w:tcPr>
            <w:tcW w:w="1660" w:type="dxa"/>
            <w:tcBorders>
              <w:top w:val="single" w:sz="8" w:space="0" w:color="152935"/>
              <w:left w:val="nil"/>
              <w:bottom w:val="single" w:sz="8" w:space="0" w:color="AEAEAE"/>
              <w:right w:val="single" w:sz="8" w:space="0" w:color="E0E0E0"/>
            </w:tcBorders>
            <w:shd w:val="clear" w:color="auto" w:fill="FFFFFF"/>
          </w:tcPr>
          <w:p w14:paraId="4F598B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36,281</w:t>
            </w:r>
            <w:r w:rsidRPr="00D11D21">
              <w:rPr>
                <w:rFonts w:asciiTheme="majorBidi" w:hAnsiTheme="majorBidi" w:cstheme="majorBidi"/>
                <w:color w:val="010205"/>
                <w:szCs w:val="24"/>
                <w:vertAlign w:val="superscript"/>
              </w:rPr>
              <w:t>a</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14:paraId="3955D7B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2380" w:type="dxa"/>
            <w:tcBorders>
              <w:top w:val="single" w:sz="8" w:space="0" w:color="152935"/>
              <w:left w:val="single" w:sz="8" w:space="0" w:color="E0E0E0"/>
              <w:bottom w:val="single" w:sz="8" w:space="0" w:color="AEAEAE"/>
              <w:right w:val="single" w:sz="4" w:space="0" w:color="auto"/>
            </w:tcBorders>
            <w:shd w:val="clear" w:color="auto" w:fill="FFFFFF"/>
          </w:tcPr>
          <w:p w14:paraId="2D41A54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,000</w:t>
            </w:r>
          </w:p>
        </w:tc>
      </w:tr>
      <w:tr w:rsidR="002210A7" w:rsidRPr="00D11D21" w14:paraId="3066F559" w14:textId="77777777" w:rsidTr="00282FFC">
        <w:trPr>
          <w:cantSplit/>
          <w:trHeight w:val="298"/>
          <w:jc w:val="center"/>
        </w:trPr>
        <w:tc>
          <w:tcPr>
            <w:tcW w:w="3963" w:type="dxa"/>
            <w:tcBorders>
              <w:top w:val="single" w:sz="8" w:space="0" w:color="AEAEAE"/>
              <w:left w:val="single" w:sz="4" w:space="0" w:color="auto"/>
              <w:bottom w:val="single" w:sz="8" w:space="0" w:color="AEAEAE"/>
              <w:right w:val="nil"/>
            </w:tcBorders>
            <w:shd w:val="clear" w:color="auto" w:fill="E0E0E0"/>
          </w:tcPr>
          <w:p w14:paraId="0CAAAB1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Likelihood</w:t>
            </w:r>
            <w:proofErr w:type="spellEnd"/>
            <w:r w:rsidRPr="00D11D21">
              <w:rPr>
                <w:rFonts w:asciiTheme="majorBidi" w:hAnsiTheme="majorBidi" w:cstheme="majorBidi"/>
                <w:color w:val="264A60"/>
                <w:szCs w:val="24"/>
              </w:rPr>
              <w:t xml:space="preserve"> Ratio</w:t>
            </w:r>
          </w:p>
        </w:tc>
        <w:tc>
          <w:tcPr>
            <w:tcW w:w="1660" w:type="dxa"/>
            <w:tcBorders>
              <w:top w:val="single" w:sz="8" w:space="0" w:color="AEAEAE"/>
              <w:left w:val="nil"/>
              <w:bottom w:val="single" w:sz="8" w:space="0" w:color="AEAEAE"/>
              <w:right w:val="single" w:sz="8" w:space="0" w:color="E0E0E0"/>
            </w:tcBorders>
            <w:shd w:val="clear" w:color="auto" w:fill="FFFFFF"/>
          </w:tcPr>
          <w:p w14:paraId="0A725A1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46,080</w:t>
            </w:r>
          </w:p>
        </w:tc>
        <w:tc>
          <w:tcPr>
            <w:tcW w:w="1660" w:type="dxa"/>
            <w:tcBorders>
              <w:top w:val="single" w:sz="8" w:space="0" w:color="AEAEAE"/>
              <w:left w:val="single" w:sz="8" w:space="0" w:color="E0E0E0"/>
              <w:bottom w:val="single" w:sz="8" w:space="0" w:color="AEAEAE"/>
              <w:right w:val="single" w:sz="8" w:space="0" w:color="E0E0E0"/>
            </w:tcBorders>
            <w:shd w:val="clear" w:color="auto" w:fill="FFFFFF"/>
          </w:tcPr>
          <w:p w14:paraId="5FF7CC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2380" w:type="dxa"/>
            <w:tcBorders>
              <w:top w:val="single" w:sz="8" w:space="0" w:color="AEAEAE"/>
              <w:left w:val="single" w:sz="8" w:space="0" w:color="E0E0E0"/>
              <w:bottom w:val="single" w:sz="8" w:space="0" w:color="AEAEAE"/>
              <w:right w:val="single" w:sz="4" w:space="0" w:color="auto"/>
            </w:tcBorders>
            <w:shd w:val="clear" w:color="auto" w:fill="FFFFFF"/>
          </w:tcPr>
          <w:p w14:paraId="4066521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,000</w:t>
            </w:r>
          </w:p>
        </w:tc>
      </w:tr>
      <w:tr w:rsidR="002210A7" w:rsidRPr="00D11D21" w14:paraId="06A488C0" w14:textId="77777777" w:rsidTr="00282FFC">
        <w:trPr>
          <w:cantSplit/>
          <w:trHeight w:val="298"/>
          <w:jc w:val="center"/>
        </w:trPr>
        <w:tc>
          <w:tcPr>
            <w:tcW w:w="3963" w:type="dxa"/>
            <w:tcBorders>
              <w:top w:val="single" w:sz="8" w:space="0" w:color="AEAEAE"/>
              <w:left w:val="single" w:sz="4" w:space="0" w:color="auto"/>
              <w:bottom w:val="single" w:sz="8" w:space="0" w:color="AEAEAE"/>
              <w:right w:val="nil"/>
            </w:tcBorders>
            <w:shd w:val="clear" w:color="auto" w:fill="E0E0E0"/>
          </w:tcPr>
          <w:p w14:paraId="78DF20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Linear</w:t>
            </w:r>
            <w:proofErr w:type="spellEnd"/>
            <w:r w:rsidRPr="00D11D21">
              <w:rPr>
                <w:rFonts w:asciiTheme="majorBidi" w:hAnsiTheme="majorBidi" w:cstheme="majorBidi"/>
                <w:color w:val="264A60"/>
                <w:szCs w:val="24"/>
              </w:rPr>
              <w:t>-by-</w:t>
            </w:r>
            <w:proofErr w:type="spellStart"/>
            <w:r w:rsidRPr="00D11D21">
              <w:rPr>
                <w:rFonts w:asciiTheme="majorBidi" w:hAnsiTheme="majorBidi" w:cstheme="majorBidi"/>
                <w:color w:val="264A60"/>
                <w:szCs w:val="24"/>
              </w:rPr>
              <w:t>Linear</w:t>
            </w:r>
            <w:proofErr w:type="spellEnd"/>
            <w:r w:rsidRPr="00D11D21">
              <w:rPr>
                <w:rFonts w:asciiTheme="majorBidi" w:hAnsiTheme="majorBidi" w:cstheme="majorBidi"/>
                <w:color w:val="264A60"/>
                <w:szCs w:val="24"/>
              </w:rPr>
              <w:t xml:space="preserve"> Association</w:t>
            </w:r>
          </w:p>
        </w:tc>
        <w:tc>
          <w:tcPr>
            <w:tcW w:w="1660" w:type="dxa"/>
            <w:tcBorders>
              <w:top w:val="single" w:sz="8" w:space="0" w:color="AEAEAE"/>
              <w:left w:val="nil"/>
              <w:bottom w:val="single" w:sz="8" w:space="0" w:color="AEAEAE"/>
              <w:right w:val="single" w:sz="8" w:space="0" w:color="E0E0E0"/>
            </w:tcBorders>
            <w:shd w:val="clear" w:color="auto" w:fill="FFFFFF"/>
          </w:tcPr>
          <w:p w14:paraId="22EA53A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24,411</w:t>
            </w:r>
          </w:p>
        </w:tc>
        <w:tc>
          <w:tcPr>
            <w:tcW w:w="1660" w:type="dxa"/>
            <w:tcBorders>
              <w:top w:val="single" w:sz="8" w:space="0" w:color="AEAEAE"/>
              <w:left w:val="single" w:sz="8" w:space="0" w:color="E0E0E0"/>
              <w:bottom w:val="single" w:sz="8" w:space="0" w:color="AEAEAE"/>
              <w:right w:val="single" w:sz="8" w:space="0" w:color="E0E0E0"/>
            </w:tcBorders>
            <w:shd w:val="clear" w:color="auto" w:fill="FFFFFF"/>
          </w:tcPr>
          <w:p w14:paraId="1296FD1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2380" w:type="dxa"/>
            <w:tcBorders>
              <w:top w:val="single" w:sz="8" w:space="0" w:color="AEAEAE"/>
              <w:left w:val="single" w:sz="8" w:space="0" w:color="E0E0E0"/>
              <w:bottom w:val="single" w:sz="8" w:space="0" w:color="AEAEAE"/>
              <w:right w:val="single" w:sz="4" w:space="0" w:color="auto"/>
            </w:tcBorders>
            <w:shd w:val="clear" w:color="auto" w:fill="FFFFFF"/>
          </w:tcPr>
          <w:p w14:paraId="457723C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,000</w:t>
            </w:r>
          </w:p>
        </w:tc>
      </w:tr>
      <w:tr w:rsidR="002210A7" w:rsidRPr="00D11D21" w14:paraId="26425068" w14:textId="77777777" w:rsidTr="00282FFC">
        <w:trPr>
          <w:cantSplit/>
          <w:trHeight w:val="315"/>
          <w:jc w:val="center"/>
        </w:trPr>
        <w:tc>
          <w:tcPr>
            <w:tcW w:w="3963" w:type="dxa"/>
            <w:tcBorders>
              <w:top w:val="single" w:sz="8" w:space="0" w:color="AEAEAE"/>
              <w:left w:val="single" w:sz="4" w:space="0" w:color="auto"/>
              <w:bottom w:val="single" w:sz="8" w:space="0" w:color="152935"/>
              <w:right w:val="nil"/>
            </w:tcBorders>
            <w:shd w:val="clear" w:color="auto" w:fill="E0E0E0"/>
          </w:tcPr>
          <w:p w14:paraId="711EE0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N of </w:t>
            </w: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Cases</w:t>
            </w:r>
          </w:p>
        </w:tc>
        <w:tc>
          <w:tcPr>
            <w:tcW w:w="1660" w:type="dxa"/>
            <w:tcBorders>
              <w:top w:val="single" w:sz="8" w:space="0" w:color="AEAEAE"/>
              <w:left w:val="nil"/>
              <w:bottom w:val="single" w:sz="8" w:space="0" w:color="152935"/>
              <w:right w:val="single" w:sz="8" w:space="0" w:color="E0E0E0"/>
            </w:tcBorders>
            <w:shd w:val="clear" w:color="auto" w:fill="FFFFFF"/>
          </w:tcPr>
          <w:p w14:paraId="488821A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w:t>
            </w:r>
          </w:p>
        </w:tc>
        <w:tc>
          <w:tcPr>
            <w:tcW w:w="16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981012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2380" w:type="dxa"/>
            <w:tcBorders>
              <w:top w:val="single" w:sz="8" w:space="0" w:color="AEAEAE"/>
              <w:left w:val="single" w:sz="8" w:space="0" w:color="E0E0E0"/>
              <w:bottom w:val="single" w:sz="8" w:space="0" w:color="152935"/>
              <w:right w:val="single" w:sz="4" w:space="0" w:color="auto"/>
            </w:tcBorders>
            <w:shd w:val="clear" w:color="auto" w:fill="FFFFFF"/>
            <w:vAlign w:val="center"/>
          </w:tcPr>
          <w:p w14:paraId="55151E9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r w:rsidR="002210A7" w:rsidRPr="0095621A" w14:paraId="5A61BBF6" w14:textId="77777777" w:rsidTr="00282FFC">
        <w:trPr>
          <w:cantSplit/>
          <w:trHeight w:val="599"/>
          <w:jc w:val="center"/>
        </w:trPr>
        <w:tc>
          <w:tcPr>
            <w:tcW w:w="9664" w:type="dxa"/>
            <w:gridSpan w:val="4"/>
            <w:tcBorders>
              <w:top w:val="nil"/>
              <w:left w:val="single" w:sz="4" w:space="0" w:color="auto"/>
              <w:bottom w:val="single" w:sz="4" w:space="0" w:color="auto"/>
              <w:right w:val="single" w:sz="4" w:space="0" w:color="auto"/>
            </w:tcBorders>
            <w:shd w:val="clear" w:color="auto" w:fill="FFFFFF"/>
          </w:tcPr>
          <w:p w14:paraId="591374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lang w:val="en-CA"/>
              </w:rPr>
            </w:pPr>
            <w:r w:rsidRPr="00D11D21">
              <w:rPr>
                <w:rFonts w:asciiTheme="majorBidi" w:hAnsiTheme="majorBidi" w:cstheme="majorBidi"/>
                <w:color w:val="010205"/>
                <w:szCs w:val="24"/>
                <w:lang w:val="en-CA"/>
              </w:rPr>
              <w:t>a. 9 cells (75, 0%) have expected count less than 5. The minimum expected count is, 27.</w:t>
            </w:r>
          </w:p>
        </w:tc>
      </w:tr>
    </w:tbl>
    <w:p w14:paraId="7274AE3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14CA31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4196FDC" w14:textId="77777777" w:rsidR="002210A7" w:rsidRPr="00D11D21" w:rsidRDefault="002210A7" w:rsidP="00D11D21">
      <w:pPr>
        <w:ind w:firstLine="70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 tableau montre que les caisses avec un système d'information intégré (en cours de déploiement ou déjà installé) sont perçues comme plus efficaces pour l'analyse de la performance hospitalière, la détection des fraudes et le suivi des dépenses hospitalières. Cela suggère qu'un tel système améliore la gestion et le contrôle des remboursements hospitaliers.</w:t>
      </w:r>
    </w:p>
    <w:p w14:paraId="0EE54835" w14:textId="77777777" w:rsidR="002210A7" w:rsidRPr="00D11D21" w:rsidRDefault="002210A7" w:rsidP="00D11D21">
      <w:pPr>
        <w:pStyle w:val="Paragraphedeliste"/>
        <w:numPr>
          <w:ilvl w:val="0"/>
          <w:numId w:val="81"/>
        </w:numPr>
        <w:spacing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 test Chi-Carré montre qu'il y a une relation significative entre l'utilisation d'un système d'information intégré et la perception d'une meilleure gestion des remboursements hospitaliers. Cela confirme que l'intégration d'un tel système contribue à une gestion plus efficace des finances et des performances hospitalières.</w:t>
      </w:r>
    </w:p>
    <w:p w14:paraId="0D0FCCE2" w14:textId="77777777" w:rsidR="002210A7" w:rsidRPr="00D11D21" w:rsidRDefault="002210A7" w:rsidP="00D11D21">
      <w:pPr>
        <w:pStyle w:val="Paragraphedeliste"/>
        <w:numPr>
          <w:ilvl w:val="0"/>
          <w:numId w:val="81"/>
        </w:numPr>
        <w:spacing w:after="160" w:line="360" w:lineRule="auto"/>
        <w:jc w:val="both"/>
        <w:rPr>
          <w:rFonts w:asciiTheme="majorBidi" w:hAnsiTheme="majorBidi" w:cstheme="majorBidi"/>
          <w:b/>
          <w:bCs/>
          <w:color w:val="000000" w:themeColor="text1"/>
          <w:szCs w:val="24"/>
        </w:rPr>
      </w:pPr>
      <w:r w:rsidRPr="00D11D21">
        <w:rPr>
          <w:rFonts w:asciiTheme="majorBidi" w:hAnsiTheme="majorBidi" w:cstheme="majorBidi"/>
          <w:b/>
          <w:bCs/>
          <w:szCs w:val="24"/>
        </w:rPr>
        <w:t>Ces résultats nous permettent de conclure que H1 est confirmée</w:t>
      </w:r>
      <w:r w:rsidRPr="00D11D21">
        <w:rPr>
          <w:rFonts w:asciiTheme="majorBidi" w:hAnsiTheme="majorBidi" w:cstheme="majorBidi"/>
          <w:szCs w:val="24"/>
        </w:rPr>
        <w:t xml:space="preserve"> : </w:t>
      </w:r>
      <w:r w:rsidRPr="00D11D21">
        <w:rPr>
          <w:rFonts w:asciiTheme="majorBidi" w:hAnsiTheme="majorBidi" w:cstheme="majorBidi"/>
          <w:color w:val="000000" w:themeColor="text1"/>
          <w:szCs w:val="24"/>
        </w:rPr>
        <w:t>les caisses avec un système d'information intégré estiment mieux suivre les dépenses hospitalières</w:t>
      </w:r>
    </w:p>
    <w:p w14:paraId="3233B359" w14:textId="77777777" w:rsidR="002210A7" w:rsidRPr="00D11D21" w:rsidRDefault="002210A7" w:rsidP="00D11D21">
      <w:pPr>
        <w:pStyle w:val="Titre3"/>
        <w:spacing w:line="360" w:lineRule="auto"/>
        <w:rPr>
          <w:rFonts w:asciiTheme="majorBidi" w:hAnsiTheme="majorBidi" w:cstheme="majorBidi"/>
          <w:szCs w:val="24"/>
        </w:rPr>
      </w:pPr>
      <w:bookmarkStart w:id="205" w:name="_Toc199958916"/>
      <w:r w:rsidRPr="00D11D21">
        <w:rPr>
          <w:rFonts w:asciiTheme="majorBidi" w:hAnsiTheme="majorBidi" w:cstheme="majorBidi"/>
          <w:szCs w:val="24"/>
        </w:rPr>
        <w:t>Synthèse du questionnaire CNAS</w:t>
      </w:r>
      <w:bookmarkEnd w:id="205"/>
    </w:p>
    <w:p w14:paraId="04742E7C"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lastRenderedPageBreak/>
        <w:t>L’analyse des réponses issues du questionnaire adressé à la caisse de sécurité nationale (CNAS) met en évidence une situation de transition. Une partie des caisses interrogées dispose déjà d’un système d’information intégré pour le suivi des remboursements hospitaliers, tandis que d’autres sont en phase de déploiement ou n’en disposent pas encore. Ce constat traduit une hétérogénéité du niveau de digitalisation au sein du réseau CNAS, limitant ainsi les capacités de suivi précis des dépenses hospitalières. Toutefois, les répondants ayant accès à un SI intégré déclarent une meilleure capacité à suivre et maîtriser les flux financiers liés aux prestations hospitalières. En ce sens, le lien entre SI et pilotage financier est clairement perçu. De plus, la majorité des agents interrogés reconnaissent l’intérêt d’un modèle de financement mixte, notamment s’il s’appuie sur un système d’information fiable pour objectiver l’activité des hôpitaux et en garantir la transparence.</w:t>
      </w:r>
    </w:p>
    <w:p w14:paraId="7827F3A8" w14:textId="77777777" w:rsidR="002210A7" w:rsidRPr="00D11D21" w:rsidRDefault="002210A7" w:rsidP="00D11D21">
      <w:pPr>
        <w:pStyle w:val="Titre2"/>
        <w:rPr>
          <w:rFonts w:asciiTheme="majorBidi" w:hAnsiTheme="majorBidi"/>
          <w:szCs w:val="24"/>
        </w:rPr>
      </w:pPr>
      <w:bookmarkStart w:id="206" w:name="_Toc199958917"/>
      <w:r w:rsidRPr="00D11D21">
        <w:rPr>
          <w:rFonts w:asciiTheme="majorBidi" w:hAnsiTheme="majorBidi"/>
          <w:szCs w:val="24"/>
        </w:rPr>
        <w:t>Questionnaire Établissements Hospitaliers</w:t>
      </w:r>
      <w:bookmarkEnd w:id="206"/>
    </w:p>
    <w:p w14:paraId="423C5804" w14:textId="7FFDEC73" w:rsidR="002210A7" w:rsidRPr="00D11D21" w:rsidRDefault="002210A7" w:rsidP="00D11D21">
      <w:pPr>
        <w:pStyle w:val="Titre3"/>
        <w:numPr>
          <w:ilvl w:val="1"/>
          <w:numId w:val="53"/>
        </w:numPr>
        <w:spacing w:line="360" w:lineRule="auto"/>
        <w:rPr>
          <w:rFonts w:asciiTheme="majorBidi" w:hAnsiTheme="majorBidi" w:cstheme="majorBidi"/>
          <w:szCs w:val="24"/>
          <w:lang w:val="en-CA"/>
        </w:rPr>
      </w:pPr>
      <w:bookmarkStart w:id="207" w:name="_Toc199958918"/>
      <w:r w:rsidRPr="00D11D21">
        <w:rPr>
          <w:rFonts w:asciiTheme="majorBidi" w:hAnsiTheme="majorBidi" w:cstheme="majorBidi"/>
          <w:szCs w:val="24"/>
          <w:lang w:val="en-CA"/>
        </w:rPr>
        <w:t>Tri a plat:</w:t>
      </w:r>
      <w:bookmarkEnd w:id="207"/>
      <w:r w:rsidRPr="00D11D21">
        <w:rPr>
          <w:rFonts w:asciiTheme="majorBidi" w:hAnsiTheme="majorBidi" w:cstheme="majorBidi"/>
          <w:szCs w:val="24"/>
          <w:lang w:val="en-CA"/>
        </w:rPr>
        <w:t xml:space="preserve"> </w:t>
      </w:r>
    </w:p>
    <w:p w14:paraId="200956B0" w14:textId="77777777" w:rsidR="002210A7" w:rsidRPr="00D11D21" w:rsidRDefault="002210A7" w:rsidP="00D11D21">
      <w:pPr>
        <w:pStyle w:val="Paragraphedeliste"/>
        <w:numPr>
          <w:ilvl w:val="1"/>
          <w:numId w:val="12"/>
        </w:numPr>
        <w:shd w:val="clear" w:color="auto" w:fill="FFFFFF" w:themeFill="background1"/>
        <w:spacing w:line="360" w:lineRule="auto"/>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Nom de l’établissement </w:t>
      </w:r>
    </w:p>
    <w:p w14:paraId="7FC169D3" w14:textId="419E95C5" w:rsidR="002210A7" w:rsidRPr="00D11D21" w:rsidRDefault="002403EB" w:rsidP="00D11D21">
      <w:pPr>
        <w:pStyle w:val="Lgende"/>
        <w:keepNext/>
        <w:spacing w:line="360" w:lineRule="auto"/>
        <w:jc w:val="both"/>
        <w:rPr>
          <w:rFonts w:asciiTheme="majorBidi" w:hAnsiTheme="majorBidi" w:cstheme="majorBidi"/>
          <w:color w:val="auto"/>
          <w:sz w:val="24"/>
          <w:szCs w:val="24"/>
        </w:rPr>
      </w:pPr>
      <w:bookmarkStart w:id="208" w:name="_Toc200210132"/>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répondants selon le nom de l’établissement</w:t>
      </w:r>
      <w:bookmarkEnd w:id="208"/>
    </w:p>
    <w:tbl>
      <w:tblPr>
        <w:tblW w:w="941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0"/>
        <w:gridCol w:w="2383"/>
        <w:gridCol w:w="1415"/>
        <w:gridCol w:w="1246"/>
        <w:gridCol w:w="1693"/>
        <w:gridCol w:w="1786"/>
      </w:tblGrid>
      <w:tr w:rsidR="002210A7" w:rsidRPr="00D11D21" w14:paraId="4367838F" w14:textId="77777777" w:rsidTr="00282FFC">
        <w:trPr>
          <w:cantSplit/>
          <w:trHeight w:val="495"/>
          <w:jc w:val="center"/>
        </w:trPr>
        <w:tc>
          <w:tcPr>
            <w:tcW w:w="3273" w:type="dxa"/>
            <w:gridSpan w:val="2"/>
            <w:tcBorders>
              <w:top w:val="single" w:sz="4" w:space="0" w:color="auto"/>
              <w:left w:val="single" w:sz="4" w:space="0" w:color="auto"/>
              <w:bottom w:val="single" w:sz="8" w:space="0" w:color="152935"/>
              <w:right w:val="nil"/>
            </w:tcBorders>
            <w:shd w:val="clear" w:color="auto" w:fill="FFFFFF"/>
            <w:vAlign w:val="bottom"/>
          </w:tcPr>
          <w:p w14:paraId="3A05C44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15" w:type="dxa"/>
            <w:tcBorders>
              <w:top w:val="single" w:sz="4" w:space="0" w:color="auto"/>
              <w:left w:val="nil"/>
              <w:bottom w:val="single" w:sz="8" w:space="0" w:color="152935"/>
              <w:right w:val="single" w:sz="8" w:space="0" w:color="E0E0E0"/>
            </w:tcBorders>
            <w:shd w:val="clear" w:color="auto" w:fill="FFFFFF"/>
            <w:vAlign w:val="bottom"/>
          </w:tcPr>
          <w:p w14:paraId="0A48B9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46"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3025E0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93"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CDE71F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86" w:type="dxa"/>
            <w:tcBorders>
              <w:top w:val="single" w:sz="4" w:space="0" w:color="auto"/>
              <w:left w:val="single" w:sz="8" w:space="0" w:color="E0E0E0"/>
              <w:bottom w:val="single" w:sz="8" w:space="0" w:color="152935"/>
              <w:right w:val="single" w:sz="4" w:space="0" w:color="auto"/>
            </w:tcBorders>
            <w:shd w:val="clear" w:color="auto" w:fill="FFFFFF"/>
            <w:vAlign w:val="bottom"/>
          </w:tcPr>
          <w:p w14:paraId="6CC7ADE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7CF14535" w14:textId="77777777" w:rsidTr="00282FFC">
        <w:trPr>
          <w:cantSplit/>
          <w:trHeight w:val="247"/>
          <w:jc w:val="center"/>
        </w:trPr>
        <w:tc>
          <w:tcPr>
            <w:tcW w:w="890" w:type="dxa"/>
            <w:vMerge w:val="restart"/>
            <w:tcBorders>
              <w:top w:val="single" w:sz="8" w:space="0" w:color="152935"/>
              <w:left w:val="single" w:sz="4" w:space="0" w:color="auto"/>
              <w:bottom w:val="single" w:sz="8" w:space="0" w:color="152935"/>
              <w:right w:val="nil"/>
            </w:tcBorders>
            <w:shd w:val="clear" w:color="auto" w:fill="E0E0E0"/>
          </w:tcPr>
          <w:p w14:paraId="752EDC8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382" w:type="dxa"/>
            <w:tcBorders>
              <w:top w:val="single" w:sz="8" w:space="0" w:color="152935"/>
              <w:left w:val="nil"/>
              <w:bottom w:val="single" w:sz="8" w:space="0" w:color="AEAEAE"/>
              <w:right w:val="nil"/>
            </w:tcBorders>
            <w:shd w:val="clear" w:color="auto" w:fill="E0E0E0"/>
          </w:tcPr>
          <w:p w14:paraId="21CF80F0" w14:textId="60E33B33"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Bouzidi</w:t>
            </w:r>
            <w:r w:rsidR="002210A7" w:rsidRPr="00D11D21">
              <w:rPr>
                <w:rFonts w:asciiTheme="majorBidi" w:hAnsiTheme="majorBidi" w:cstheme="majorBidi"/>
                <w:color w:val="264A60"/>
                <w:szCs w:val="24"/>
              </w:rPr>
              <w:t xml:space="preserve"> </w:t>
            </w:r>
            <w:proofErr w:type="spellStart"/>
            <w:r w:rsidR="002210A7" w:rsidRPr="00D11D21">
              <w:rPr>
                <w:rFonts w:asciiTheme="majorBidi" w:hAnsiTheme="majorBidi" w:cstheme="majorBidi"/>
                <w:color w:val="264A60"/>
                <w:szCs w:val="24"/>
              </w:rPr>
              <w:t>lakhdar</w:t>
            </w:r>
            <w:proofErr w:type="spellEnd"/>
          </w:p>
        </w:tc>
        <w:tc>
          <w:tcPr>
            <w:tcW w:w="1415" w:type="dxa"/>
            <w:tcBorders>
              <w:top w:val="single" w:sz="8" w:space="0" w:color="152935"/>
              <w:left w:val="nil"/>
              <w:bottom w:val="single" w:sz="8" w:space="0" w:color="AEAEAE"/>
              <w:right w:val="single" w:sz="8" w:space="0" w:color="E0E0E0"/>
            </w:tcBorders>
            <w:shd w:val="clear" w:color="auto" w:fill="FFFFFF"/>
          </w:tcPr>
          <w:p w14:paraId="309232C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246" w:type="dxa"/>
            <w:tcBorders>
              <w:top w:val="single" w:sz="8" w:space="0" w:color="152935"/>
              <w:left w:val="single" w:sz="8" w:space="0" w:color="E0E0E0"/>
              <w:bottom w:val="single" w:sz="8" w:space="0" w:color="AEAEAE"/>
              <w:right w:val="single" w:sz="8" w:space="0" w:color="E0E0E0"/>
            </w:tcBorders>
            <w:shd w:val="clear" w:color="auto" w:fill="FFFFFF"/>
          </w:tcPr>
          <w:p w14:paraId="73B1FF7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693" w:type="dxa"/>
            <w:tcBorders>
              <w:top w:val="single" w:sz="8" w:space="0" w:color="152935"/>
              <w:left w:val="single" w:sz="8" w:space="0" w:color="E0E0E0"/>
              <w:bottom w:val="single" w:sz="8" w:space="0" w:color="AEAEAE"/>
              <w:right w:val="single" w:sz="8" w:space="0" w:color="E0E0E0"/>
            </w:tcBorders>
            <w:shd w:val="clear" w:color="auto" w:fill="FFFFFF"/>
          </w:tcPr>
          <w:p w14:paraId="0EA23A8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786" w:type="dxa"/>
            <w:tcBorders>
              <w:top w:val="single" w:sz="8" w:space="0" w:color="152935"/>
              <w:left w:val="single" w:sz="8" w:space="0" w:color="E0E0E0"/>
              <w:bottom w:val="single" w:sz="8" w:space="0" w:color="AEAEAE"/>
              <w:right w:val="single" w:sz="4" w:space="0" w:color="auto"/>
            </w:tcBorders>
            <w:shd w:val="clear" w:color="auto" w:fill="FFFFFF"/>
          </w:tcPr>
          <w:p w14:paraId="00ACB6E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r>
      <w:tr w:rsidR="002210A7" w:rsidRPr="00D11D21" w14:paraId="3D0FB28F" w14:textId="77777777" w:rsidTr="00282FFC">
        <w:trPr>
          <w:cantSplit/>
          <w:trHeight w:val="86"/>
          <w:jc w:val="center"/>
        </w:trPr>
        <w:tc>
          <w:tcPr>
            <w:tcW w:w="890" w:type="dxa"/>
            <w:vMerge/>
            <w:tcBorders>
              <w:top w:val="single" w:sz="8" w:space="0" w:color="152935"/>
              <w:left w:val="single" w:sz="4" w:space="0" w:color="auto"/>
              <w:bottom w:val="single" w:sz="8" w:space="0" w:color="152935"/>
              <w:right w:val="nil"/>
            </w:tcBorders>
            <w:shd w:val="clear" w:color="auto" w:fill="E0E0E0"/>
          </w:tcPr>
          <w:p w14:paraId="4EF8F02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382" w:type="dxa"/>
            <w:tcBorders>
              <w:top w:val="single" w:sz="8" w:space="0" w:color="AEAEAE"/>
              <w:left w:val="nil"/>
              <w:bottom w:val="single" w:sz="8" w:space="0" w:color="AEAEAE"/>
              <w:right w:val="nil"/>
            </w:tcBorders>
            <w:shd w:val="clear" w:color="auto" w:fill="E0E0E0"/>
          </w:tcPr>
          <w:p w14:paraId="3F22BF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CHU Beni </w:t>
            </w:r>
            <w:proofErr w:type="spellStart"/>
            <w:r w:rsidRPr="00D11D21">
              <w:rPr>
                <w:rFonts w:asciiTheme="majorBidi" w:hAnsiTheme="majorBidi" w:cstheme="majorBidi"/>
                <w:color w:val="264A60"/>
                <w:szCs w:val="24"/>
              </w:rPr>
              <w:t>Messous</w:t>
            </w:r>
            <w:proofErr w:type="spellEnd"/>
          </w:p>
        </w:tc>
        <w:tc>
          <w:tcPr>
            <w:tcW w:w="1415" w:type="dxa"/>
            <w:tcBorders>
              <w:top w:val="single" w:sz="8" w:space="0" w:color="AEAEAE"/>
              <w:left w:val="nil"/>
              <w:bottom w:val="single" w:sz="8" w:space="0" w:color="AEAEAE"/>
              <w:right w:val="single" w:sz="8" w:space="0" w:color="E0E0E0"/>
            </w:tcBorders>
            <w:shd w:val="clear" w:color="auto" w:fill="FFFFFF"/>
          </w:tcPr>
          <w:p w14:paraId="33137A5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20</w:t>
            </w:r>
          </w:p>
        </w:tc>
        <w:tc>
          <w:tcPr>
            <w:tcW w:w="1246" w:type="dxa"/>
            <w:tcBorders>
              <w:top w:val="single" w:sz="8" w:space="0" w:color="AEAEAE"/>
              <w:left w:val="single" w:sz="8" w:space="0" w:color="E0E0E0"/>
              <w:bottom w:val="single" w:sz="8" w:space="0" w:color="AEAEAE"/>
              <w:right w:val="single" w:sz="8" w:space="0" w:color="E0E0E0"/>
            </w:tcBorders>
            <w:shd w:val="clear" w:color="auto" w:fill="FFFFFF"/>
          </w:tcPr>
          <w:p w14:paraId="0D4A5B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c>
          <w:tcPr>
            <w:tcW w:w="1693" w:type="dxa"/>
            <w:tcBorders>
              <w:top w:val="single" w:sz="8" w:space="0" w:color="AEAEAE"/>
              <w:left w:val="single" w:sz="8" w:space="0" w:color="E0E0E0"/>
              <w:bottom w:val="single" w:sz="8" w:space="0" w:color="AEAEAE"/>
              <w:right w:val="single" w:sz="8" w:space="0" w:color="E0E0E0"/>
            </w:tcBorders>
            <w:shd w:val="clear" w:color="auto" w:fill="FFFFFF"/>
          </w:tcPr>
          <w:p w14:paraId="78A3AC9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c>
          <w:tcPr>
            <w:tcW w:w="1786" w:type="dxa"/>
            <w:tcBorders>
              <w:top w:val="single" w:sz="8" w:space="0" w:color="AEAEAE"/>
              <w:left w:val="single" w:sz="8" w:space="0" w:color="E0E0E0"/>
              <w:bottom w:val="single" w:sz="8" w:space="0" w:color="AEAEAE"/>
              <w:right w:val="single" w:sz="4" w:space="0" w:color="auto"/>
            </w:tcBorders>
            <w:shd w:val="clear" w:color="auto" w:fill="FFFFFF"/>
          </w:tcPr>
          <w:p w14:paraId="3A21C8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3135659E" w14:textId="77777777" w:rsidTr="00282FFC">
        <w:trPr>
          <w:cantSplit/>
          <w:trHeight w:val="86"/>
          <w:jc w:val="center"/>
        </w:trPr>
        <w:tc>
          <w:tcPr>
            <w:tcW w:w="890" w:type="dxa"/>
            <w:vMerge/>
            <w:tcBorders>
              <w:top w:val="single" w:sz="8" w:space="0" w:color="152935"/>
              <w:left w:val="single" w:sz="4" w:space="0" w:color="auto"/>
              <w:bottom w:val="single" w:sz="4" w:space="0" w:color="auto"/>
              <w:right w:val="nil"/>
            </w:tcBorders>
            <w:shd w:val="clear" w:color="auto" w:fill="E0E0E0"/>
          </w:tcPr>
          <w:p w14:paraId="1E41E29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382" w:type="dxa"/>
            <w:tcBorders>
              <w:top w:val="single" w:sz="8" w:space="0" w:color="AEAEAE"/>
              <w:left w:val="nil"/>
              <w:bottom w:val="single" w:sz="4" w:space="0" w:color="auto"/>
              <w:right w:val="nil"/>
            </w:tcBorders>
            <w:shd w:val="clear" w:color="auto" w:fill="E0E0E0"/>
          </w:tcPr>
          <w:p w14:paraId="609E1E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15" w:type="dxa"/>
            <w:tcBorders>
              <w:top w:val="single" w:sz="8" w:space="0" w:color="AEAEAE"/>
              <w:left w:val="nil"/>
              <w:bottom w:val="single" w:sz="4" w:space="0" w:color="auto"/>
              <w:right w:val="single" w:sz="8" w:space="0" w:color="E0E0E0"/>
            </w:tcBorders>
            <w:shd w:val="clear" w:color="auto" w:fill="FFFFFF"/>
          </w:tcPr>
          <w:p w14:paraId="2CFD8EA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246" w:type="dxa"/>
            <w:tcBorders>
              <w:top w:val="single" w:sz="8" w:space="0" w:color="AEAEAE"/>
              <w:left w:val="single" w:sz="8" w:space="0" w:color="E0E0E0"/>
              <w:bottom w:val="single" w:sz="4" w:space="0" w:color="auto"/>
              <w:right w:val="single" w:sz="8" w:space="0" w:color="E0E0E0"/>
            </w:tcBorders>
            <w:shd w:val="clear" w:color="auto" w:fill="FFFFFF"/>
          </w:tcPr>
          <w:p w14:paraId="16572B6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93" w:type="dxa"/>
            <w:tcBorders>
              <w:top w:val="single" w:sz="8" w:space="0" w:color="AEAEAE"/>
              <w:left w:val="single" w:sz="8" w:space="0" w:color="E0E0E0"/>
              <w:bottom w:val="single" w:sz="4" w:space="0" w:color="auto"/>
              <w:right w:val="single" w:sz="8" w:space="0" w:color="E0E0E0"/>
            </w:tcBorders>
            <w:shd w:val="clear" w:color="auto" w:fill="FFFFFF"/>
          </w:tcPr>
          <w:p w14:paraId="292832B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86" w:type="dxa"/>
            <w:tcBorders>
              <w:top w:val="single" w:sz="8" w:space="0" w:color="AEAEAE"/>
              <w:left w:val="single" w:sz="8" w:space="0" w:color="E0E0E0"/>
              <w:bottom w:val="single" w:sz="4" w:space="0" w:color="auto"/>
              <w:right w:val="single" w:sz="4" w:space="0" w:color="auto"/>
            </w:tcBorders>
            <w:shd w:val="clear" w:color="auto" w:fill="FFFFFF"/>
            <w:vAlign w:val="center"/>
          </w:tcPr>
          <w:p w14:paraId="062E170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68883996"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4D160B8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50B3AEF3" w14:textId="0BB0C7E5" w:rsidR="00B4630E" w:rsidRPr="00D11D21" w:rsidRDefault="00B4630E" w:rsidP="00D11D21">
      <w:pPr>
        <w:pStyle w:val="Lgende"/>
        <w:keepNext/>
        <w:spacing w:line="360" w:lineRule="auto"/>
        <w:jc w:val="both"/>
        <w:rPr>
          <w:rFonts w:asciiTheme="majorBidi" w:hAnsiTheme="majorBidi" w:cstheme="majorBidi"/>
          <w:color w:val="auto"/>
          <w:sz w:val="24"/>
          <w:szCs w:val="24"/>
        </w:rPr>
      </w:pPr>
      <w:bookmarkStart w:id="209" w:name="_Toc200210087"/>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20</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répondants selon le nom de l’établissement</w:t>
      </w:r>
      <w:bookmarkEnd w:id="209"/>
    </w:p>
    <w:p w14:paraId="3E6AA07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0AB597C7" wp14:editId="723EE4F2">
            <wp:extent cx="3419086" cy="1685925"/>
            <wp:effectExtent l="0" t="0" r="0" b="0"/>
            <wp:docPr id="186" name="Imag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8484" b="7762"/>
                    <a:stretch/>
                  </pic:blipFill>
                  <pic:spPr bwMode="auto">
                    <a:xfrm>
                      <a:off x="0" y="0"/>
                      <a:ext cx="3446092" cy="1699241"/>
                    </a:xfrm>
                    <a:prstGeom prst="rect">
                      <a:avLst/>
                    </a:prstGeom>
                    <a:noFill/>
                    <a:ln>
                      <a:noFill/>
                    </a:ln>
                    <a:extLst>
                      <a:ext uri="{53640926-AAD7-44D8-BBD7-CCE9431645EC}">
                        <a14:shadowObscured xmlns:a14="http://schemas.microsoft.com/office/drawing/2010/main"/>
                      </a:ext>
                    </a:extLst>
                  </pic:spPr>
                </pic:pic>
              </a:graphicData>
            </a:graphic>
          </wp:inline>
        </w:drawing>
      </w:r>
    </w:p>
    <w:p w14:paraId="7A6B85CA" w14:textId="7864B8D0"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9F898FD"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2111C61A"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1E9A305"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lastRenderedPageBreak/>
        <w:t>Deux établissements sont représentés dans les réponses :</w:t>
      </w:r>
    </w:p>
    <w:p w14:paraId="3B1FCCE9" w14:textId="77777777" w:rsidR="002210A7" w:rsidRPr="00D11D21" w:rsidRDefault="002210A7" w:rsidP="00D11D21">
      <w:pPr>
        <w:numPr>
          <w:ilvl w:val="0"/>
          <w:numId w:val="54"/>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BOUZIDI Lakhdar a été cité par 22 répondants, soit 52,4 % des personnes interrogées.</w:t>
      </w:r>
    </w:p>
    <w:p w14:paraId="4E04D52B" w14:textId="77777777" w:rsidR="002210A7" w:rsidRPr="00D11D21" w:rsidRDefault="002210A7" w:rsidP="00D11D21">
      <w:pPr>
        <w:numPr>
          <w:ilvl w:val="0"/>
          <w:numId w:val="54"/>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CHU Beni </w:t>
      </w:r>
      <w:proofErr w:type="spellStart"/>
      <w:r w:rsidRPr="00D11D21">
        <w:rPr>
          <w:rFonts w:asciiTheme="majorBidi" w:hAnsiTheme="majorBidi" w:cstheme="majorBidi"/>
          <w:szCs w:val="24"/>
        </w:rPr>
        <w:t>Messous</w:t>
      </w:r>
      <w:proofErr w:type="spellEnd"/>
      <w:r w:rsidRPr="00D11D21">
        <w:rPr>
          <w:rFonts w:asciiTheme="majorBidi" w:hAnsiTheme="majorBidi" w:cstheme="majorBidi"/>
          <w:szCs w:val="24"/>
        </w:rPr>
        <w:t xml:space="preserve"> a été cité par 20 répondants, soit 47,6 %.</w:t>
      </w:r>
    </w:p>
    <w:p w14:paraId="2A72BA40"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Cela montre que les deux établissements sont presque également représentés, avec une légère majorité pour BOUZIDI Lakhdar.</w:t>
      </w:r>
    </w:p>
    <w:p w14:paraId="0E5FE4BF"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2.Type d’établissement</w:t>
      </w:r>
    </w:p>
    <w:p w14:paraId="4D426F37" w14:textId="0EAE4E27" w:rsidR="002210A7" w:rsidRPr="00D11D21" w:rsidRDefault="00B4630E" w:rsidP="00D11D21">
      <w:pPr>
        <w:pStyle w:val="Lgende"/>
        <w:keepNext/>
        <w:spacing w:line="360" w:lineRule="auto"/>
        <w:jc w:val="both"/>
        <w:rPr>
          <w:rFonts w:asciiTheme="majorBidi" w:hAnsiTheme="majorBidi" w:cstheme="majorBidi"/>
          <w:color w:val="auto"/>
          <w:sz w:val="24"/>
          <w:szCs w:val="24"/>
        </w:rPr>
      </w:pPr>
      <w:bookmarkStart w:id="210" w:name="_Toc200210133"/>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25</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types d’établissements</w:t>
      </w:r>
      <w:bookmarkEnd w:id="210"/>
    </w:p>
    <w:tbl>
      <w:tblPr>
        <w:tblW w:w="939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6"/>
        <w:gridCol w:w="2795"/>
        <w:gridCol w:w="1328"/>
        <w:gridCol w:w="1168"/>
        <w:gridCol w:w="1589"/>
        <w:gridCol w:w="1676"/>
      </w:tblGrid>
      <w:tr w:rsidR="002210A7" w:rsidRPr="00D11D21" w14:paraId="4C0F91C5" w14:textId="77777777" w:rsidTr="00282FFC">
        <w:trPr>
          <w:cantSplit/>
          <w:trHeight w:val="443"/>
          <w:jc w:val="center"/>
        </w:trPr>
        <w:tc>
          <w:tcPr>
            <w:tcW w:w="3631" w:type="dxa"/>
            <w:gridSpan w:val="2"/>
            <w:tcBorders>
              <w:top w:val="single" w:sz="4" w:space="0" w:color="auto"/>
              <w:left w:val="single" w:sz="4" w:space="0" w:color="auto"/>
              <w:bottom w:val="single" w:sz="8" w:space="0" w:color="152935"/>
              <w:right w:val="nil"/>
            </w:tcBorders>
            <w:shd w:val="clear" w:color="auto" w:fill="FFFFFF"/>
            <w:vAlign w:val="bottom"/>
          </w:tcPr>
          <w:p w14:paraId="08B160E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28" w:type="dxa"/>
            <w:tcBorders>
              <w:top w:val="single" w:sz="4" w:space="0" w:color="auto"/>
              <w:left w:val="nil"/>
              <w:bottom w:val="single" w:sz="8" w:space="0" w:color="152935"/>
              <w:right w:val="single" w:sz="8" w:space="0" w:color="E0E0E0"/>
            </w:tcBorders>
            <w:shd w:val="clear" w:color="auto" w:fill="FFFFFF"/>
            <w:vAlign w:val="bottom"/>
          </w:tcPr>
          <w:p w14:paraId="17E05D0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16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55DDC3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58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CD506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676" w:type="dxa"/>
            <w:tcBorders>
              <w:top w:val="single" w:sz="4" w:space="0" w:color="auto"/>
              <w:left w:val="single" w:sz="8" w:space="0" w:color="E0E0E0"/>
              <w:bottom w:val="single" w:sz="8" w:space="0" w:color="152935"/>
              <w:right w:val="single" w:sz="4" w:space="0" w:color="auto"/>
            </w:tcBorders>
            <w:shd w:val="clear" w:color="auto" w:fill="FFFFFF"/>
            <w:vAlign w:val="bottom"/>
          </w:tcPr>
          <w:p w14:paraId="2377F57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4FAC29B4" w14:textId="77777777" w:rsidTr="00282FFC">
        <w:trPr>
          <w:cantSplit/>
          <w:trHeight w:val="443"/>
          <w:jc w:val="center"/>
        </w:trPr>
        <w:tc>
          <w:tcPr>
            <w:tcW w:w="836" w:type="dxa"/>
            <w:vMerge w:val="restart"/>
            <w:tcBorders>
              <w:top w:val="single" w:sz="8" w:space="0" w:color="152935"/>
              <w:left w:val="single" w:sz="4" w:space="0" w:color="auto"/>
              <w:bottom w:val="single" w:sz="8" w:space="0" w:color="152935"/>
              <w:right w:val="nil"/>
            </w:tcBorders>
            <w:shd w:val="clear" w:color="auto" w:fill="E0E0E0"/>
          </w:tcPr>
          <w:p w14:paraId="0C58025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794" w:type="dxa"/>
            <w:tcBorders>
              <w:top w:val="single" w:sz="8" w:space="0" w:color="152935"/>
              <w:left w:val="nil"/>
              <w:bottom w:val="single" w:sz="8" w:space="0" w:color="AEAEAE"/>
              <w:right w:val="nil"/>
            </w:tcBorders>
            <w:shd w:val="clear" w:color="auto" w:fill="E0E0E0"/>
          </w:tcPr>
          <w:p w14:paraId="275F94C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Centre hospitalo-universitaire</w:t>
            </w:r>
          </w:p>
        </w:tc>
        <w:tc>
          <w:tcPr>
            <w:tcW w:w="1328" w:type="dxa"/>
            <w:tcBorders>
              <w:top w:val="single" w:sz="8" w:space="0" w:color="152935"/>
              <w:left w:val="nil"/>
              <w:bottom w:val="single" w:sz="8" w:space="0" w:color="AEAEAE"/>
              <w:right w:val="single" w:sz="8" w:space="0" w:color="E0E0E0"/>
            </w:tcBorders>
            <w:shd w:val="clear" w:color="auto" w:fill="FFFFFF"/>
          </w:tcPr>
          <w:p w14:paraId="18DBA5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20</w:t>
            </w:r>
          </w:p>
        </w:tc>
        <w:tc>
          <w:tcPr>
            <w:tcW w:w="1168" w:type="dxa"/>
            <w:tcBorders>
              <w:top w:val="single" w:sz="8" w:space="0" w:color="152935"/>
              <w:left w:val="single" w:sz="8" w:space="0" w:color="E0E0E0"/>
              <w:bottom w:val="single" w:sz="8" w:space="0" w:color="AEAEAE"/>
              <w:right w:val="single" w:sz="8" w:space="0" w:color="E0E0E0"/>
            </w:tcBorders>
            <w:shd w:val="clear" w:color="auto" w:fill="FFFFFF"/>
          </w:tcPr>
          <w:p w14:paraId="3D5CBE7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c>
          <w:tcPr>
            <w:tcW w:w="1589" w:type="dxa"/>
            <w:tcBorders>
              <w:top w:val="single" w:sz="8" w:space="0" w:color="152935"/>
              <w:left w:val="single" w:sz="8" w:space="0" w:color="E0E0E0"/>
              <w:bottom w:val="single" w:sz="8" w:space="0" w:color="AEAEAE"/>
              <w:right w:val="single" w:sz="8" w:space="0" w:color="E0E0E0"/>
            </w:tcBorders>
            <w:shd w:val="clear" w:color="auto" w:fill="FFFFFF"/>
          </w:tcPr>
          <w:p w14:paraId="2A038C2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c>
          <w:tcPr>
            <w:tcW w:w="1676" w:type="dxa"/>
            <w:tcBorders>
              <w:top w:val="single" w:sz="8" w:space="0" w:color="152935"/>
              <w:left w:val="single" w:sz="8" w:space="0" w:color="E0E0E0"/>
              <w:bottom w:val="single" w:sz="8" w:space="0" w:color="AEAEAE"/>
              <w:right w:val="single" w:sz="4" w:space="0" w:color="auto"/>
            </w:tcBorders>
            <w:shd w:val="clear" w:color="auto" w:fill="FFFFFF"/>
          </w:tcPr>
          <w:p w14:paraId="6524CB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r>
      <w:tr w:rsidR="002210A7" w:rsidRPr="00D11D21" w14:paraId="01EC52E5" w14:textId="77777777" w:rsidTr="00282FFC">
        <w:trPr>
          <w:cantSplit/>
          <w:trHeight w:val="521"/>
          <w:jc w:val="center"/>
        </w:trPr>
        <w:tc>
          <w:tcPr>
            <w:tcW w:w="836" w:type="dxa"/>
            <w:vMerge/>
            <w:tcBorders>
              <w:top w:val="single" w:sz="8" w:space="0" w:color="152935"/>
              <w:left w:val="single" w:sz="4" w:space="0" w:color="auto"/>
              <w:bottom w:val="single" w:sz="8" w:space="0" w:color="152935"/>
              <w:right w:val="nil"/>
            </w:tcBorders>
            <w:shd w:val="clear" w:color="auto" w:fill="E0E0E0"/>
          </w:tcPr>
          <w:p w14:paraId="1AC8C63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94" w:type="dxa"/>
            <w:tcBorders>
              <w:top w:val="single" w:sz="8" w:space="0" w:color="AEAEAE"/>
              <w:left w:val="nil"/>
              <w:bottom w:val="single" w:sz="8" w:space="0" w:color="AEAEAE"/>
              <w:right w:val="nil"/>
            </w:tcBorders>
            <w:shd w:val="clear" w:color="auto" w:fill="E0E0E0"/>
          </w:tcPr>
          <w:p w14:paraId="236A08EC" w14:textId="599D19C3"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Établissement</w:t>
            </w:r>
            <w:r w:rsidR="002210A7" w:rsidRPr="00D11D21">
              <w:rPr>
                <w:rFonts w:asciiTheme="majorBidi" w:hAnsiTheme="majorBidi" w:cstheme="majorBidi"/>
                <w:color w:val="264A60"/>
                <w:szCs w:val="24"/>
              </w:rPr>
              <w:t xml:space="preserve"> public hospitalier</w:t>
            </w:r>
          </w:p>
        </w:tc>
        <w:tc>
          <w:tcPr>
            <w:tcW w:w="1328" w:type="dxa"/>
            <w:tcBorders>
              <w:top w:val="single" w:sz="8" w:space="0" w:color="AEAEAE"/>
              <w:left w:val="nil"/>
              <w:bottom w:val="single" w:sz="8" w:space="0" w:color="AEAEAE"/>
              <w:right w:val="single" w:sz="8" w:space="0" w:color="E0E0E0"/>
            </w:tcBorders>
            <w:shd w:val="clear" w:color="auto" w:fill="FFFFFF"/>
          </w:tcPr>
          <w:p w14:paraId="35E51BC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168" w:type="dxa"/>
            <w:tcBorders>
              <w:top w:val="single" w:sz="8" w:space="0" w:color="AEAEAE"/>
              <w:left w:val="single" w:sz="8" w:space="0" w:color="E0E0E0"/>
              <w:bottom w:val="single" w:sz="8" w:space="0" w:color="AEAEAE"/>
              <w:right w:val="single" w:sz="8" w:space="0" w:color="E0E0E0"/>
            </w:tcBorders>
            <w:shd w:val="clear" w:color="auto" w:fill="FFFFFF"/>
          </w:tcPr>
          <w:p w14:paraId="316682A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589" w:type="dxa"/>
            <w:tcBorders>
              <w:top w:val="single" w:sz="8" w:space="0" w:color="AEAEAE"/>
              <w:left w:val="single" w:sz="8" w:space="0" w:color="E0E0E0"/>
              <w:bottom w:val="single" w:sz="8" w:space="0" w:color="AEAEAE"/>
              <w:right w:val="single" w:sz="8" w:space="0" w:color="E0E0E0"/>
            </w:tcBorders>
            <w:shd w:val="clear" w:color="auto" w:fill="FFFFFF"/>
          </w:tcPr>
          <w:p w14:paraId="44AFC5D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676" w:type="dxa"/>
            <w:tcBorders>
              <w:top w:val="single" w:sz="8" w:space="0" w:color="AEAEAE"/>
              <w:left w:val="single" w:sz="8" w:space="0" w:color="E0E0E0"/>
              <w:bottom w:val="single" w:sz="8" w:space="0" w:color="AEAEAE"/>
              <w:right w:val="single" w:sz="4" w:space="0" w:color="auto"/>
            </w:tcBorders>
            <w:shd w:val="clear" w:color="auto" w:fill="FFFFFF"/>
          </w:tcPr>
          <w:p w14:paraId="2646B72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71EB6FB2" w14:textId="77777777" w:rsidTr="00282FFC">
        <w:trPr>
          <w:cantSplit/>
          <w:trHeight w:val="76"/>
          <w:jc w:val="center"/>
        </w:trPr>
        <w:tc>
          <w:tcPr>
            <w:tcW w:w="836" w:type="dxa"/>
            <w:vMerge/>
            <w:tcBorders>
              <w:top w:val="single" w:sz="8" w:space="0" w:color="152935"/>
              <w:left w:val="single" w:sz="4" w:space="0" w:color="auto"/>
              <w:bottom w:val="single" w:sz="4" w:space="0" w:color="auto"/>
              <w:right w:val="nil"/>
            </w:tcBorders>
            <w:shd w:val="clear" w:color="auto" w:fill="E0E0E0"/>
          </w:tcPr>
          <w:p w14:paraId="6234CFD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794" w:type="dxa"/>
            <w:tcBorders>
              <w:top w:val="single" w:sz="8" w:space="0" w:color="AEAEAE"/>
              <w:left w:val="nil"/>
              <w:bottom w:val="single" w:sz="4" w:space="0" w:color="auto"/>
              <w:right w:val="nil"/>
            </w:tcBorders>
            <w:shd w:val="clear" w:color="auto" w:fill="E0E0E0"/>
          </w:tcPr>
          <w:p w14:paraId="1F1745B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28" w:type="dxa"/>
            <w:tcBorders>
              <w:top w:val="single" w:sz="8" w:space="0" w:color="AEAEAE"/>
              <w:left w:val="nil"/>
              <w:bottom w:val="single" w:sz="4" w:space="0" w:color="auto"/>
              <w:right w:val="single" w:sz="8" w:space="0" w:color="E0E0E0"/>
            </w:tcBorders>
            <w:shd w:val="clear" w:color="auto" w:fill="FFFFFF"/>
          </w:tcPr>
          <w:p w14:paraId="5ADAC56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168" w:type="dxa"/>
            <w:tcBorders>
              <w:top w:val="single" w:sz="8" w:space="0" w:color="AEAEAE"/>
              <w:left w:val="single" w:sz="8" w:space="0" w:color="E0E0E0"/>
              <w:bottom w:val="single" w:sz="4" w:space="0" w:color="auto"/>
              <w:right w:val="single" w:sz="8" w:space="0" w:color="E0E0E0"/>
            </w:tcBorders>
            <w:shd w:val="clear" w:color="auto" w:fill="FFFFFF"/>
          </w:tcPr>
          <w:p w14:paraId="15D3587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589" w:type="dxa"/>
            <w:tcBorders>
              <w:top w:val="single" w:sz="8" w:space="0" w:color="AEAEAE"/>
              <w:left w:val="single" w:sz="8" w:space="0" w:color="E0E0E0"/>
              <w:bottom w:val="single" w:sz="4" w:space="0" w:color="auto"/>
              <w:right w:val="single" w:sz="8" w:space="0" w:color="E0E0E0"/>
            </w:tcBorders>
            <w:shd w:val="clear" w:color="auto" w:fill="FFFFFF"/>
          </w:tcPr>
          <w:p w14:paraId="67F647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76" w:type="dxa"/>
            <w:tcBorders>
              <w:top w:val="single" w:sz="8" w:space="0" w:color="AEAEAE"/>
              <w:left w:val="single" w:sz="8" w:space="0" w:color="E0E0E0"/>
              <w:bottom w:val="single" w:sz="4" w:space="0" w:color="auto"/>
              <w:right w:val="single" w:sz="4" w:space="0" w:color="auto"/>
            </w:tcBorders>
            <w:shd w:val="clear" w:color="auto" w:fill="FFFFFF"/>
            <w:vAlign w:val="center"/>
          </w:tcPr>
          <w:p w14:paraId="6E273A1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6DC4D239" w14:textId="3FD4F2B9"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4FE6CDD7" w14:textId="0B6068EB" w:rsidR="002210A7" w:rsidRPr="00480CC0" w:rsidRDefault="00B4630E" w:rsidP="00480CC0">
      <w:pPr>
        <w:pStyle w:val="Lgende"/>
        <w:keepNext/>
        <w:spacing w:line="360" w:lineRule="auto"/>
        <w:jc w:val="both"/>
        <w:rPr>
          <w:rFonts w:asciiTheme="majorBidi" w:hAnsiTheme="majorBidi" w:cstheme="majorBidi"/>
          <w:color w:val="auto"/>
          <w:sz w:val="24"/>
          <w:szCs w:val="24"/>
        </w:rPr>
      </w:pPr>
      <w:bookmarkStart w:id="211" w:name="_Toc200210088"/>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types d’établissements</w:t>
      </w:r>
      <w:bookmarkEnd w:id="211"/>
    </w:p>
    <w:p w14:paraId="6473980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69C880FB" wp14:editId="30B6DCBC">
            <wp:extent cx="3457575" cy="1737973"/>
            <wp:effectExtent l="0" t="0" r="0" b="0"/>
            <wp:docPr id="18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7220" b="7401"/>
                    <a:stretch/>
                  </pic:blipFill>
                  <pic:spPr bwMode="auto">
                    <a:xfrm>
                      <a:off x="0" y="0"/>
                      <a:ext cx="3486412" cy="1752468"/>
                    </a:xfrm>
                    <a:prstGeom prst="rect">
                      <a:avLst/>
                    </a:prstGeom>
                    <a:noFill/>
                    <a:ln>
                      <a:noFill/>
                    </a:ln>
                    <a:extLst>
                      <a:ext uri="{53640926-AAD7-44D8-BBD7-CCE9431645EC}">
                        <a14:shadowObscured xmlns:a14="http://schemas.microsoft.com/office/drawing/2010/main"/>
                      </a:ext>
                    </a:extLst>
                  </pic:spPr>
                </pic:pic>
              </a:graphicData>
            </a:graphic>
          </wp:inline>
        </w:drawing>
      </w:r>
    </w:p>
    <w:p w14:paraId="48D1B1BF" w14:textId="2E45539F"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2F9CD5D0"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2EC355D8"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Il s'agit de la répartition des types d’établissements où travaillent les répondants :</w:t>
      </w:r>
    </w:p>
    <w:p w14:paraId="16C10BAC" w14:textId="77777777" w:rsidR="002210A7" w:rsidRPr="00D11D21" w:rsidRDefault="002210A7" w:rsidP="00D11D21">
      <w:pPr>
        <w:numPr>
          <w:ilvl w:val="0"/>
          <w:numId w:val="84"/>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Centre hospitalo-universitaire : 20 personnes ont répondu appartenir à ce type d’établissement, ce qui représente 47,6 % des réponses.</w:t>
      </w:r>
    </w:p>
    <w:p w14:paraId="06E994EA" w14:textId="77777777" w:rsidR="002210A7" w:rsidRPr="00D11D21" w:rsidRDefault="002210A7" w:rsidP="00D11D21">
      <w:pPr>
        <w:numPr>
          <w:ilvl w:val="0"/>
          <w:numId w:val="84"/>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Établissement public hospitalier : 22 personnes, soit 52,4 % des répondants.</w:t>
      </w:r>
    </w:p>
    <w:p w14:paraId="4A0276CD"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La majorité des personnes interrogées travaillent donc dans des établissements publics hospitaliers, mais la répartition entre les deux types reste assez équilibrée.</w:t>
      </w:r>
    </w:p>
    <w:p w14:paraId="5B946D3D"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682FA409" w14:textId="6A9680BE"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Fonction du répondant</w:t>
      </w:r>
      <w:r w:rsidR="005C3BEE">
        <w:rPr>
          <w:rFonts w:asciiTheme="majorBidi" w:hAnsiTheme="majorBidi" w:cstheme="majorBidi"/>
          <w:b/>
          <w:bCs/>
          <w:color w:val="000000" w:themeColor="text1"/>
          <w:szCs w:val="24"/>
        </w:rPr>
        <w:t> :</w:t>
      </w:r>
    </w:p>
    <w:p w14:paraId="06B4D62C" w14:textId="672971DE" w:rsidR="002210A7" w:rsidRPr="00D11D21" w:rsidRDefault="00B14B29" w:rsidP="00D11D21">
      <w:pPr>
        <w:pStyle w:val="Lgende"/>
        <w:keepNext/>
        <w:spacing w:line="360" w:lineRule="auto"/>
        <w:jc w:val="both"/>
        <w:rPr>
          <w:rFonts w:asciiTheme="majorBidi" w:hAnsiTheme="majorBidi" w:cstheme="majorBidi"/>
          <w:color w:val="auto"/>
          <w:sz w:val="24"/>
          <w:szCs w:val="24"/>
        </w:rPr>
      </w:pPr>
      <w:bookmarkStart w:id="212" w:name="_Toc200210134"/>
      <w:r w:rsidRPr="00D11D21">
        <w:rPr>
          <w:rFonts w:asciiTheme="majorBidi" w:hAnsiTheme="majorBidi" w:cstheme="majorBidi"/>
          <w:color w:val="auto"/>
          <w:sz w:val="24"/>
          <w:szCs w:val="24"/>
        </w:rPr>
        <w:lastRenderedPageBreak/>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fonctions des répondant</w:t>
      </w:r>
      <w:bookmarkEnd w:id="212"/>
    </w:p>
    <w:tbl>
      <w:tblPr>
        <w:tblW w:w="827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2460"/>
        <w:gridCol w:w="1169"/>
        <w:gridCol w:w="1029"/>
        <w:gridCol w:w="1399"/>
        <w:gridCol w:w="1476"/>
      </w:tblGrid>
      <w:tr w:rsidR="002210A7" w:rsidRPr="00D11D21" w14:paraId="1A181907" w14:textId="77777777" w:rsidTr="00B7491C">
        <w:trPr>
          <w:cantSplit/>
          <w:jc w:val="center"/>
        </w:trPr>
        <w:tc>
          <w:tcPr>
            <w:tcW w:w="3197" w:type="dxa"/>
            <w:gridSpan w:val="2"/>
            <w:tcBorders>
              <w:top w:val="single" w:sz="4" w:space="0" w:color="auto"/>
              <w:left w:val="single" w:sz="4" w:space="0" w:color="auto"/>
              <w:bottom w:val="single" w:sz="8" w:space="0" w:color="152935"/>
              <w:right w:val="nil"/>
            </w:tcBorders>
            <w:shd w:val="clear" w:color="auto" w:fill="FFFFFF"/>
            <w:vAlign w:val="bottom"/>
          </w:tcPr>
          <w:p w14:paraId="628914D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169" w:type="dxa"/>
            <w:tcBorders>
              <w:top w:val="single" w:sz="4" w:space="0" w:color="auto"/>
              <w:left w:val="nil"/>
              <w:bottom w:val="single" w:sz="8" w:space="0" w:color="152935"/>
              <w:right w:val="single" w:sz="8" w:space="0" w:color="E0E0E0"/>
            </w:tcBorders>
            <w:shd w:val="clear" w:color="auto" w:fill="FFFFFF"/>
            <w:vAlign w:val="bottom"/>
          </w:tcPr>
          <w:p w14:paraId="3FF1B1E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02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641F7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39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BD039B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476" w:type="dxa"/>
            <w:tcBorders>
              <w:top w:val="single" w:sz="4" w:space="0" w:color="auto"/>
              <w:left w:val="single" w:sz="8" w:space="0" w:color="E0E0E0"/>
              <w:bottom w:val="single" w:sz="8" w:space="0" w:color="152935"/>
              <w:right w:val="single" w:sz="4" w:space="0" w:color="auto"/>
            </w:tcBorders>
            <w:shd w:val="clear" w:color="auto" w:fill="FFFFFF"/>
            <w:vAlign w:val="bottom"/>
          </w:tcPr>
          <w:p w14:paraId="1E43622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5CE5E5D1" w14:textId="77777777" w:rsidTr="00B7491C">
        <w:trPr>
          <w:cantSplit/>
          <w:jc w:val="center"/>
        </w:trPr>
        <w:tc>
          <w:tcPr>
            <w:tcW w:w="737" w:type="dxa"/>
            <w:vMerge w:val="restart"/>
            <w:tcBorders>
              <w:top w:val="single" w:sz="8" w:space="0" w:color="152935"/>
              <w:left w:val="single" w:sz="4" w:space="0" w:color="auto"/>
              <w:bottom w:val="single" w:sz="8" w:space="0" w:color="152935"/>
              <w:right w:val="nil"/>
            </w:tcBorders>
            <w:shd w:val="clear" w:color="auto" w:fill="E0E0E0"/>
          </w:tcPr>
          <w:p w14:paraId="2984EC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460" w:type="dxa"/>
            <w:tcBorders>
              <w:top w:val="single" w:sz="8" w:space="0" w:color="152935"/>
              <w:left w:val="nil"/>
              <w:bottom w:val="single" w:sz="8" w:space="0" w:color="AEAEAE"/>
              <w:right w:val="nil"/>
            </w:tcBorders>
            <w:shd w:val="clear" w:color="auto" w:fill="E0E0E0"/>
          </w:tcPr>
          <w:p w14:paraId="6B680A65" w14:textId="3A0DEBAC"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Adjoint</w:t>
            </w:r>
            <w:r w:rsidR="002210A7" w:rsidRPr="00D11D21">
              <w:rPr>
                <w:rFonts w:asciiTheme="majorBidi" w:hAnsiTheme="majorBidi" w:cstheme="majorBidi"/>
                <w:color w:val="264A60"/>
                <w:szCs w:val="24"/>
              </w:rPr>
              <w:t xml:space="preserve"> administratif bureau de comptabilité</w:t>
            </w:r>
          </w:p>
        </w:tc>
        <w:tc>
          <w:tcPr>
            <w:tcW w:w="1169" w:type="dxa"/>
            <w:tcBorders>
              <w:top w:val="single" w:sz="8" w:space="0" w:color="152935"/>
              <w:left w:val="nil"/>
              <w:bottom w:val="single" w:sz="8" w:space="0" w:color="AEAEAE"/>
              <w:right w:val="single" w:sz="8" w:space="0" w:color="E0E0E0"/>
            </w:tcBorders>
            <w:shd w:val="clear" w:color="auto" w:fill="FFFFFF"/>
          </w:tcPr>
          <w:p w14:paraId="1163B8E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39B96BA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1962E70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152935"/>
              <w:left w:val="single" w:sz="8" w:space="0" w:color="E0E0E0"/>
              <w:bottom w:val="single" w:sz="8" w:space="0" w:color="AEAEAE"/>
              <w:right w:val="single" w:sz="4" w:space="0" w:color="auto"/>
            </w:tcBorders>
            <w:shd w:val="clear" w:color="auto" w:fill="FFFFFF"/>
          </w:tcPr>
          <w:p w14:paraId="0246458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r>
      <w:tr w:rsidR="002210A7" w:rsidRPr="00D11D21" w14:paraId="496A9156"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7AAE6F5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10F293CF" w14:textId="63CF6A83"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Adjoint</w:t>
            </w:r>
            <w:r w:rsidR="002210A7" w:rsidRPr="00D11D21">
              <w:rPr>
                <w:rFonts w:asciiTheme="majorBidi" w:hAnsiTheme="majorBidi" w:cstheme="majorBidi"/>
                <w:color w:val="264A60"/>
                <w:szCs w:val="24"/>
              </w:rPr>
              <w:t xml:space="preserve"> bureau de trésorerie</w:t>
            </w:r>
          </w:p>
        </w:tc>
        <w:tc>
          <w:tcPr>
            <w:tcW w:w="1169" w:type="dxa"/>
            <w:tcBorders>
              <w:top w:val="single" w:sz="8" w:space="0" w:color="AEAEAE"/>
              <w:left w:val="nil"/>
              <w:bottom w:val="single" w:sz="8" w:space="0" w:color="AEAEAE"/>
              <w:right w:val="single" w:sz="8" w:space="0" w:color="E0E0E0"/>
            </w:tcBorders>
            <w:shd w:val="clear" w:color="auto" w:fill="FFFFFF"/>
          </w:tcPr>
          <w:p w14:paraId="451D24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9FBBA0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191C225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675F2DB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r>
      <w:tr w:rsidR="002210A7" w:rsidRPr="00D11D21" w14:paraId="528C5AD5"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18567CB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48FC3919" w14:textId="6164474C"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bureau de gestion budget</w:t>
            </w:r>
          </w:p>
        </w:tc>
        <w:tc>
          <w:tcPr>
            <w:tcW w:w="1169" w:type="dxa"/>
            <w:tcBorders>
              <w:top w:val="single" w:sz="8" w:space="0" w:color="AEAEAE"/>
              <w:left w:val="nil"/>
              <w:bottom w:val="single" w:sz="8" w:space="0" w:color="AEAEAE"/>
              <w:right w:val="single" w:sz="8" w:space="0" w:color="E0E0E0"/>
            </w:tcBorders>
            <w:shd w:val="clear" w:color="auto" w:fill="FFFFFF"/>
          </w:tcPr>
          <w:p w14:paraId="0F27572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346B8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B20D7B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3600AA2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7,1</w:t>
            </w:r>
          </w:p>
        </w:tc>
      </w:tr>
      <w:tr w:rsidR="002210A7" w:rsidRPr="00D11D21" w14:paraId="4C5030C7"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6D856DD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32D4212F" w14:textId="08FDC8F7"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bureau de marché</w:t>
            </w:r>
          </w:p>
        </w:tc>
        <w:tc>
          <w:tcPr>
            <w:tcW w:w="1169" w:type="dxa"/>
            <w:tcBorders>
              <w:top w:val="single" w:sz="8" w:space="0" w:color="AEAEAE"/>
              <w:left w:val="nil"/>
              <w:bottom w:val="single" w:sz="8" w:space="0" w:color="AEAEAE"/>
              <w:right w:val="single" w:sz="8" w:space="0" w:color="E0E0E0"/>
            </w:tcBorders>
            <w:shd w:val="clear" w:color="auto" w:fill="FFFFFF"/>
          </w:tcPr>
          <w:p w14:paraId="0F09CB9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5D4063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31FF6C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2EE618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r>
      <w:tr w:rsidR="002210A7" w:rsidRPr="00D11D21" w14:paraId="00570FA1"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3B6C108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3BC28A12" w14:textId="016C039A"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bureau de prévention</w:t>
            </w:r>
          </w:p>
        </w:tc>
        <w:tc>
          <w:tcPr>
            <w:tcW w:w="1169" w:type="dxa"/>
            <w:tcBorders>
              <w:top w:val="single" w:sz="8" w:space="0" w:color="AEAEAE"/>
              <w:left w:val="nil"/>
              <w:bottom w:val="single" w:sz="8" w:space="0" w:color="AEAEAE"/>
              <w:right w:val="single" w:sz="8" w:space="0" w:color="E0E0E0"/>
            </w:tcBorders>
            <w:shd w:val="clear" w:color="auto" w:fill="FFFFFF"/>
          </w:tcPr>
          <w:p w14:paraId="3137A08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E15C8D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64C68E4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304C75F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r>
      <w:tr w:rsidR="002210A7" w:rsidRPr="00D11D21" w14:paraId="0587AD87"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26FF471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2A580326" w14:textId="5FFC2349"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centre du calcule</w:t>
            </w:r>
          </w:p>
        </w:tc>
        <w:tc>
          <w:tcPr>
            <w:tcW w:w="1169" w:type="dxa"/>
            <w:tcBorders>
              <w:top w:val="single" w:sz="8" w:space="0" w:color="AEAEAE"/>
              <w:left w:val="nil"/>
              <w:bottom w:val="single" w:sz="8" w:space="0" w:color="AEAEAE"/>
              <w:right w:val="single" w:sz="8" w:space="0" w:color="E0E0E0"/>
            </w:tcBorders>
            <w:shd w:val="clear" w:color="auto" w:fill="FFFFFF"/>
          </w:tcPr>
          <w:p w14:paraId="0D7D81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2F01E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0BBB91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6CB8B8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r>
      <w:tr w:rsidR="002210A7" w:rsidRPr="00D11D21" w14:paraId="154AD63B"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4118C0A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6DA296E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 de service équipements médicaux</w:t>
            </w:r>
          </w:p>
        </w:tc>
        <w:tc>
          <w:tcPr>
            <w:tcW w:w="1169" w:type="dxa"/>
            <w:tcBorders>
              <w:top w:val="single" w:sz="8" w:space="0" w:color="AEAEAE"/>
              <w:left w:val="nil"/>
              <w:bottom w:val="single" w:sz="8" w:space="0" w:color="AEAEAE"/>
              <w:right w:val="single" w:sz="8" w:space="0" w:color="E0E0E0"/>
            </w:tcBorders>
            <w:shd w:val="clear" w:color="auto" w:fill="FFFFFF"/>
          </w:tcPr>
          <w:p w14:paraId="1183575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6BB369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72B2F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1EBEB5A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16,7</w:t>
            </w:r>
          </w:p>
        </w:tc>
      </w:tr>
      <w:tr w:rsidR="002210A7" w:rsidRPr="00D11D21" w14:paraId="09DBF6B2"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730948C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46392493" w14:textId="1C25F593"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de service matériel</w:t>
            </w:r>
          </w:p>
        </w:tc>
        <w:tc>
          <w:tcPr>
            <w:tcW w:w="1169" w:type="dxa"/>
            <w:tcBorders>
              <w:top w:val="single" w:sz="8" w:space="0" w:color="AEAEAE"/>
              <w:left w:val="nil"/>
              <w:bottom w:val="single" w:sz="8" w:space="0" w:color="AEAEAE"/>
              <w:right w:val="single" w:sz="8" w:space="0" w:color="E0E0E0"/>
            </w:tcBorders>
            <w:shd w:val="clear" w:color="auto" w:fill="FFFFFF"/>
          </w:tcPr>
          <w:p w14:paraId="193CFD0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3C40F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39CE5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55110AE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19,0</w:t>
            </w:r>
          </w:p>
        </w:tc>
      </w:tr>
      <w:tr w:rsidR="002210A7" w:rsidRPr="00D11D21" w14:paraId="4F49084F"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5693B5A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7BAD6B5C" w14:textId="0CE7CC71"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direction de budget</w:t>
            </w:r>
          </w:p>
        </w:tc>
        <w:tc>
          <w:tcPr>
            <w:tcW w:w="1169" w:type="dxa"/>
            <w:tcBorders>
              <w:top w:val="single" w:sz="8" w:space="0" w:color="AEAEAE"/>
              <w:left w:val="nil"/>
              <w:bottom w:val="single" w:sz="8" w:space="0" w:color="AEAEAE"/>
              <w:right w:val="single" w:sz="8" w:space="0" w:color="E0E0E0"/>
            </w:tcBorders>
            <w:shd w:val="clear" w:color="auto" w:fill="FFFFFF"/>
          </w:tcPr>
          <w:p w14:paraId="46FCAD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698AB6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9F3F5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6F19E3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r>
      <w:tr w:rsidR="002210A7" w:rsidRPr="00D11D21" w14:paraId="4B7DD7F8"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3FD08E0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3EE649E9" w14:textId="553DF3AD"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Chef</w:t>
            </w:r>
            <w:r w:rsidR="002210A7" w:rsidRPr="00D11D21">
              <w:rPr>
                <w:rFonts w:asciiTheme="majorBidi" w:hAnsiTheme="majorBidi" w:cstheme="majorBidi"/>
                <w:color w:val="264A60"/>
                <w:szCs w:val="24"/>
              </w:rPr>
              <w:t xml:space="preserve"> service Trésorerie</w:t>
            </w:r>
          </w:p>
        </w:tc>
        <w:tc>
          <w:tcPr>
            <w:tcW w:w="1169" w:type="dxa"/>
            <w:tcBorders>
              <w:top w:val="single" w:sz="8" w:space="0" w:color="AEAEAE"/>
              <w:left w:val="nil"/>
              <w:bottom w:val="single" w:sz="8" w:space="0" w:color="AEAEAE"/>
              <w:right w:val="single" w:sz="8" w:space="0" w:color="E0E0E0"/>
            </w:tcBorders>
            <w:shd w:val="clear" w:color="auto" w:fill="FFFFFF"/>
          </w:tcPr>
          <w:p w14:paraId="23AE4A8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06E29E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4D4A95B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415DED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23,8</w:t>
            </w:r>
          </w:p>
        </w:tc>
      </w:tr>
      <w:tr w:rsidR="002210A7" w:rsidRPr="00D11D21" w14:paraId="62870EB7"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35D31F6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7F67C7B7" w14:textId="31DC9CE7"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Direction</w:t>
            </w:r>
            <w:r w:rsidR="002210A7" w:rsidRPr="00D11D21">
              <w:rPr>
                <w:rFonts w:asciiTheme="majorBidi" w:hAnsiTheme="majorBidi" w:cstheme="majorBidi"/>
                <w:color w:val="264A60"/>
                <w:szCs w:val="24"/>
              </w:rPr>
              <w:t xml:space="preserve"> des </w:t>
            </w:r>
            <w:r w:rsidR="00264468" w:rsidRPr="00D11D21">
              <w:rPr>
                <w:rFonts w:asciiTheme="majorBidi" w:hAnsiTheme="majorBidi" w:cstheme="majorBidi"/>
                <w:color w:val="264A60"/>
                <w:szCs w:val="24"/>
              </w:rPr>
              <w:t>Finances</w:t>
            </w:r>
          </w:p>
        </w:tc>
        <w:tc>
          <w:tcPr>
            <w:tcW w:w="1169" w:type="dxa"/>
            <w:tcBorders>
              <w:top w:val="single" w:sz="8" w:space="0" w:color="AEAEAE"/>
              <w:left w:val="nil"/>
              <w:bottom w:val="single" w:sz="8" w:space="0" w:color="AEAEAE"/>
              <w:right w:val="single" w:sz="8" w:space="0" w:color="E0E0E0"/>
            </w:tcBorders>
            <w:shd w:val="clear" w:color="auto" w:fill="FFFFFF"/>
          </w:tcPr>
          <w:p w14:paraId="4B65C4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A3E6F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684AA4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12A517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r>
      <w:tr w:rsidR="002210A7" w:rsidRPr="00D11D21" w14:paraId="1818AC6F"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724C5CEB"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7695866C" w14:textId="6E2A3587"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Économe</w:t>
            </w:r>
          </w:p>
        </w:tc>
        <w:tc>
          <w:tcPr>
            <w:tcW w:w="1169" w:type="dxa"/>
            <w:tcBorders>
              <w:top w:val="single" w:sz="8" w:space="0" w:color="AEAEAE"/>
              <w:left w:val="nil"/>
              <w:bottom w:val="single" w:sz="8" w:space="0" w:color="AEAEAE"/>
              <w:right w:val="single" w:sz="8" w:space="0" w:color="E0E0E0"/>
            </w:tcBorders>
            <w:shd w:val="clear" w:color="auto" w:fill="FFFFFF"/>
          </w:tcPr>
          <w:p w14:paraId="6152E2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3C95A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1EA71A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0BA6C67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r>
      <w:tr w:rsidR="002210A7" w:rsidRPr="00D11D21" w14:paraId="72FB171E"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059BD2B4"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45EEF598" w14:textId="17A554D8"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Finance</w:t>
            </w:r>
          </w:p>
        </w:tc>
        <w:tc>
          <w:tcPr>
            <w:tcW w:w="1169" w:type="dxa"/>
            <w:tcBorders>
              <w:top w:val="single" w:sz="8" w:space="0" w:color="AEAEAE"/>
              <w:left w:val="nil"/>
              <w:bottom w:val="single" w:sz="8" w:space="0" w:color="AEAEAE"/>
              <w:right w:val="single" w:sz="8" w:space="0" w:color="E0E0E0"/>
            </w:tcBorders>
            <w:shd w:val="clear" w:color="auto" w:fill="FFFFFF"/>
          </w:tcPr>
          <w:p w14:paraId="7B50968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DAB3F0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D9E2A7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07D0DEA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r>
      <w:tr w:rsidR="002210A7" w:rsidRPr="00D11D21" w14:paraId="0F2D01AA"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25B2C14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55AE73EC" w14:textId="78C940FC"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Médecin</w:t>
            </w:r>
            <w:r w:rsidR="002210A7" w:rsidRPr="00D11D21">
              <w:rPr>
                <w:rFonts w:asciiTheme="majorBidi" w:hAnsiTheme="majorBidi" w:cstheme="majorBidi"/>
                <w:color w:val="264A60"/>
                <w:szCs w:val="24"/>
              </w:rPr>
              <w:t xml:space="preserve"> chef de service</w:t>
            </w:r>
          </w:p>
        </w:tc>
        <w:tc>
          <w:tcPr>
            <w:tcW w:w="1169" w:type="dxa"/>
            <w:tcBorders>
              <w:top w:val="single" w:sz="8" w:space="0" w:color="AEAEAE"/>
              <w:left w:val="nil"/>
              <w:bottom w:val="single" w:sz="8" w:space="0" w:color="AEAEAE"/>
              <w:right w:val="single" w:sz="8" w:space="0" w:color="E0E0E0"/>
            </w:tcBorders>
            <w:shd w:val="clear" w:color="auto" w:fill="FFFFFF"/>
          </w:tcPr>
          <w:p w14:paraId="20A2137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4D21A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B625CC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578E750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r>
      <w:tr w:rsidR="002210A7" w:rsidRPr="00D11D21" w14:paraId="6692970F"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4CA581F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0478BFB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Médecin généraliste</w:t>
            </w:r>
          </w:p>
        </w:tc>
        <w:tc>
          <w:tcPr>
            <w:tcW w:w="1169" w:type="dxa"/>
            <w:tcBorders>
              <w:top w:val="single" w:sz="8" w:space="0" w:color="AEAEAE"/>
              <w:left w:val="nil"/>
              <w:bottom w:val="single" w:sz="8" w:space="0" w:color="AEAEAE"/>
              <w:right w:val="single" w:sz="8" w:space="0" w:color="E0E0E0"/>
            </w:tcBorders>
            <w:shd w:val="clear" w:color="auto" w:fill="FFFFFF"/>
          </w:tcPr>
          <w:p w14:paraId="275EE20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E1158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A7BC31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78F83EE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r>
      <w:tr w:rsidR="002210A7" w:rsidRPr="00D11D21" w14:paraId="03227914"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20BA04A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1B50305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Médecin spécialiste</w:t>
            </w:r>
          </w:p>
        </w:tc>
        <w:tc>
          <w:tcPr>
            <w:tcW w:w="1169" w:type="dxa"/>
            <w:tcBorders>
              <w:top w:val="single" w:sz="8" w:space="0" w:color="AEAEAE"/>
              <w:left w:val="nil"/>
              <w:bottom w:val="single" w:sz="8" w:space="0" w:color="AEAEAE"/>
              <w:right w:val="single" w:sz="8" w:space="0" w:color="E0E0E0"/>
            </w:tcBorders>
            <w:shd w:val="clear" w:color="auto" w:fill="FFFFFF"/>
          </w:tcPr>
          <w:p w14:paraId="6E5C292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0A31D3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6CA5EBB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34502ED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57,1</w:t>
            </w:r>
          </w:p>
        </w:tc>
      </w:tr>
      <w:tr w:rsidR="002210A7" w:rsidRPr="00D11D21" w14:paraId="5E58AEF5"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5C8BAED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75C0096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Médecin-chef de service</w:t>
            </w:r>
          </w:p>
        </w:tc>
        <w:tc>
          <w:tcPr>
            <w:tcW w:w="1169" w:type="dxa"/>
            <w:tcBorders>
              <w:top w:val="single" w:sz="8" w:space="0" w:color="AEAEAE"/>
              <w:left w:val="nil"/>
              <w:bottom w:val="single" w:sz="8" w:space="0" w:color="AEAEAE"/>
              <w:right w:val="single" w:sz="8" w:space="0" w:color="E0E0E0"/>
            </w:tcBorders>
            <w:shd w:val="clear" w:color="auto" w:fill="FFFFFF"/>
          </w:tcPr>
          <w:p w14:paraId="6335E9A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6522D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39B97B2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1BB7342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59,5</w:t>
            </w:r>
          </w:p>
        </w:tc>
      </w:tr>
      <w:tr w:rsidR="002210A7" w:rsidRPr="00D11D21" w14:paraId="63E308F6"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0B3CD15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37378C09" w14:textId="30178B31"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w:t>
            </w:r>
            <w:r w:rsidR="002210A7" w:rsidRPr="00D11D21">
              <w:rPr>
                <w:rFonts w:asciiTheme="majorBidi" w:hAnsiTheme="majorBidi" w:cstheme="majorBidi"/>
                <w:color w:val="264A60"/>
                <w:szCs w:val="24"/>
              </w:rPr>
              <w:t xml:space="preserve"> des engagements</w:t>
            </w:r>
          </w:p>
        </w:tc>
        <w:tc>
          <w:tcPr>
            <w:tcW w:w="1169" w:type="dxa"/>
            <w:tcBorders>
              <w:top w:val="single" w:sz="8" w:space="0" w:color="AEAEAE"/>
              <w:left w:val="nil"/>
              <w:bottom w:val="single" w:sz="8" w:space="0" w:color="AEAEAE"/>
              <w:right w:val="single" w:sz="8" w:space="0" w:color="E0E0E0"/>
            </w:tcBorders>
            <w:shd w:val="clear" w:color="auto" w:fill="FFFFFF"/>
          </w:tcPr>
          <w:p w14:paraId="69040D2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B79BA3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67E954B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7D6341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61,9</w:t>
            </w:r>
          </w:p>
        </w:tc>
      </w:tr>
      <w:tr w:rsidR="002210A7" w:rsidRPr="00D11D21" w14:paraId="6F4A544D"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17DBB67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62F29DD5" w14:textId="45DA236B"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w:t>
            </w:r>
            <w:r w:rsidR="002210A7" w:rsidRPr="00D11D21">
              <w:rPr>
                <w:rFonts w:asciiTheme="majorBidi" w:hAnsiTheme="majorBidi" w:cstheme="majorBidi"/>
                <w:color w:val="264A60"/>
                <w:szCs w:val="24"/>
              </w:rPr>
              <w:t xml:space="preserve"> des mandatement</w:t>
            </w:r>
          </w:p>
        </w:tc>
        <w:tc>
          <w:tcPr>
            <w:tcW w:w="1169" w:type="dxa"/>
            <w:tcBorders>
              <w:top w:val="single" w:sz="8" w:space="0" w:color="AEAEAE"/>
              <w:left w:val="nil"/>
              <w:bottom w:val="single" w:sz="8" w:space="0" w:color="AEAEAE"/>
              <w:right w:val="single" w:sz="8" w:space="0" w:color="E0E0E0"/>
            </w:tcBorders>
            <w:shd w:val="clear" w:color="auto" w:fill="FFFFFF"/>
          </w:tcPr>
          <w:p w14:paraId="109DE8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4F0DE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794685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13744A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64,3</w:t>
            </w:r>
          </w:p>
        </w:tc>
      </w:tr>
      <w:tr w:rsidR="002210A7" w:rsidRPr="00D11D21" w14:paraId="72899B5E"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1190FDEB"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0269E23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 des marchés</w:t>
            </w:r>
          </w:p>
        </w:tc>
        <w:tc>
          <w:tcPr>
            <w:tcW w:w="1169" w:type="dxa"/>
            <w:tcBorders>
              <w:top w:val="single" w:sz="8" w:space="0" w:color="AEAEAE"/>
              <w:left w:val="nil"/>
              <w:bottom w:val="single" w:sz="8" w:space="0" w:color="AEAEAE"/>
              <w:right w:val="single" w:sz="8" w:space="0" w:color="E0E0E0"/>
            </w:tcBorders>
            <w:shd w:val="clear" w:color="auto" w:fill="FFFFFF"/>
          </w:tcPr>
          <w:p w14:paraId="3318E4A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D09824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0D724C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68AA91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r>
      <w:tr w:rsidR="002210A7" w:rsidRPr="00D11D21" w14:paraId="611BAAF9"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241A545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21227CB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 des ressources humaines</w:t>
            </w:r>
          </w:p>
        </w:tc>
        <w:tc>
          <w:tcPr>
            <w:tcW w:w="1169" w:type="dxa"/>
            <w:tcBorders>
              <w:top w:val="single" w:sz="8" w:space="0" w:color="AEAEAE"/>
              <w:left w:val="nil"/>
              <w:bottom w:val="single" w:sz="8" w:space="0" w:color="AEAEAE"/>
              <w:right w:val="single" w:sz="8" w:space="0" w:color="E0E0E0"/>
            </w:tcBorders>
            <w:shd w:val="clear" w:color="auto" w:fill="FFFFFF"/>
          </w:tcPr>
          <w:p w14:paraId="4317AD5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E62685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0494A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36B88D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69,0</w:t>
            </w:r>
          </w:p>
        </w:tc>
      </w:tr>
      <w:tr w:rsidR="002210A7" w:rsidRPr="00D11D21" w14:paraId="23BB6FA2"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7D7AEE3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7012ADE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 des systèmes d'information de gestion</w:t>
            </w:r>
          </w:p>
        </w:tc>
        <w:tc>
          <w:tcPr>
            <w:tcW w:w="1169" w:type="dxa"/>
            <w:tcBorders>
              <w:top w:val="single" w:sz="8" w:space="0" w:color="AEAEAE"/>
              <w:left w:val="nil"/>
              <w:bottom w:val="single" w:sz="8" w:space="0" w:color="AEAEAE"/>
              <w:right w:val="single" w:sz="8" w:space="0" w:color="E0E0E0"/>
            </w:tcBorders>
            <w:shd w:val="clear" w:color="auto" w:fill="FFFFFF"/>
          </w:tcPr>
          <w:p w14:paraId="17A6F1B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A935E6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29A8C3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7E01BC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71,4</w:t>
            </w:r>
          </w:p>
        </w:tc>
      </w:tr>
      <w:tr w:rsidR="002210A7" w:rsidRPr="00D11D21" w14:paraId="705946ED"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68B655D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36091272" w14:textId="413FF66A"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w:t>
            </w:r>
            <w:r w:rsidR="002210A7" w:rsidRPr="00D11D21">
              <w:rPr>
                <w:rFonts w:asciiTheme="majorBidi" w:hAnsiTheme="majorBidi" w:cstheme="majorBidi"/>
                <w:color w:val="264A60"/>
                <w:szCs w:val="24"/>
              </w:rPr>
              <w:t xml:space="preserve"> direction comptabilité</w:t>
            </w:r>
          </w:p>
        </w:tc>
        <w:tc>
          <w:tcPr>
            <w:tcW w:w="1169" w:type="dxa"/>
            <w:tcBorders>
              <w:top w:val="single" w:sz="8" w:space="0" w:color="AEAEAE"/>
              <w:left w:val="nil"/>
              <w:bottom w:val="single" w:sz="8" w:space="0" w:color="AEAEAE"/>
              <w:right w:val="single" w:sz="8" w:space="0" w:color="E0E0E0"/>
            </w:tcBorders>
            <w:shd w:val="clear" w:color="auto" w:fill="FFFFFF"/>
          </w:tcPr>
          <w:p w14:paraId="15156F5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25E155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1E6624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4F8D07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73,8</w:t>
            </w:r>
          </w:p>
        </w:tc>
      </w:tr>
      <w:tr w:rsidR="002210A7" w:rsidRPr="00D11D21" w14:paraId="7FB75791"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2C02DC6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04CEEB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 finance et comptabilité</w:t>
            </w:r>
          </w:p>
        </w:tc>
        <w:tc>
          <w:tcPr>
            <w:tcW w:w="1169" w:type="dxa"/>
            <w:tcBorders>
              <w:top w:val="single" w:sz="8" w:space="0" w:color="AEAEAE"/>
              <w:left w:val="nil"/>
              <w:bottom w:val="single" w:sz="8" w:space="0" w:color="AEAEAE"/>
              <w:right w:val="single" w:sz="8" w:space="0" w:color="E0E0E0"/>
            </w:tcBorders>
            <w:shd w:val="clear" w:color="auto" w:fill="FFFFFF"/>
          </w:tcPr>
          <w:p w14:paraId="112CBC2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C3A0DC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A2FC3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755958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76,2</w:t>
            </w:r>
          </w:p>
        </w:tc>
      </w:tr>
      <w:tr w:rsidR="002210A7" w:rsidRPr="00D11D21" w14:paraId="60A484A5"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37A7537B"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293A6EA0" w14:textId="389B9F3C"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w:t>
            </w:r>
            <w:r w:rsidR="002210A7" w:rsidRPr="00D11D21">
              <w:rPr>
                <w:rFonts w:asciiTheme="majorBidi" w:hAnsiTheme="majorBidi" w:cstheme="majorBidi"/>
                <w:color w:val="264A60"/>
                <w:szCs w:val="24"/>
              </w:rPr>
              <w:t xml:space="preserve"> pharmacie</w:t>
            </w:r>
          </w:p>
        </w:tc>
        <w:tc>
          <w:tcPr>
            <w:tcW w:w="1169" w:type="dxa"/>
            <w:tcBorders>
              <w:top w:val="single" w:sz="8" w:space="0" w:color="AEAEAE"/>
              <w:left w:val="nil"/>
              <w:bottom w:val="single" w:sz="8" w:space="0" w:color="AEAEAE"/>
              <w:right w:val="single" w:sz="8" w:space="0" w:color="E0E0E0"/>
            </w:tcBorders>
            <w:shd w:val="clear" w:color="auto" w:fill="FFFFFF"/>
          </w:tcPr>
          <w:p w14:paraId="41B2BA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0B9146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75056C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401E2CA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78,6</w:t>
            </w:r>
          </w:p>
        </w:tc>
      </w:tr>
      <w:tr w:rsidR="002210A7" w:rsidRPr="00D11D21" w14:paraId="4F1B9367"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228196B1"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607EDB9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 SI finances &amp; gestion</w:t>
            </w:r>
          </w:p>
        </w:tc>
        <w:tc>
          <w:tcPr>
            <w:tcW w:w="1169" w:type="dxa"/>
            <w:tcBorders>
              <w:top w:val="single" w:sz="8" w:space="0" w:color="AEAEAE"/>
              <w:left w:val="nil"/>
              <w:bottom w:val="single" w:sz="8" w:space="0" w:color="AEAEAE"/>
              <w:right w:val="single" w:sz="8" w:space="0" w:color="E0E0E0"/>
            </w:tcBorders>
            <w:shd w:val="clear" w:color="auto" w:fill="FFFFFF"/>
          </w:tcPr>
          <w:p w14:paraId="7DBB21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EF37AD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DBD0B7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486E6B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81,0</w:t>
            </w:r>
          </w:p>
        </w:tc>
      </w:tr>
      <w:tr w:rsidR="002210A7" w:rsidRPr="00D11D21" w14:paraId="3BC7B739"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6FF2C4B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4F716258" w14:textId="26242150"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Responsable</w:t>
            </w:r>
            <w:r w:rsidR="002210A7" w:rsidRPr="00D11D21">
              <w:rPr>
                <w:rFonts w:asciiTheme="majorBidi" w:hAnsiTheme="majorBidi" w:cstheme="majorBidi"/>
                <w:color w:val="264A60"/>
                <w:szCs w:val="24"/>
              </w:rPr>
              <w:t xml:space="preserve"> </w:t>
            </w:r>
            <w:r w:rsidR="00A75E7A" w:rsidRPr="00D11D21">
              <w:rPr>
                <w:rFonts w:asciiTheme="majorBidi" w:hAnsiTheme="majorBidi" w:cstheme="majorBidi"/>
                <w:color w:val="264A60"/>
                <w:szCs w:val="24"/>
              </w:rPr>
              <w:t>trésorerie</w:t>
            </w:r>
          </w:p>
        </w:tc>
        <w:tc>
          <w:tcPr>
            <w:tcW w:w="1169" w:type="dxa"/>
            <w:tcBorders>
              <w:top w:val="single" w:sz="8" w:space="0" w:color="AEAEAE"/>
              <w:left w:val="nil"/>
              <w:bottom w:val="single" w:sz="8" w:space="0" w:color="AEAEAE"/>
              <w:right w:val="single" w:sz="8" w:space="0" w:color="E0E0E0"/>
            </w:tcBorders>
            <w:shd w:val="clear" w:color="auto" w:fill="FFFFFF"/>
          </w:tcPr>
          <w:p w14:paraId="4BD696E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268A41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36CD83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01AF43C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83,3</w:t>
            </w:r>
          </w:p>
        </w:tc>
      </w:tr>
      <w:tr w:rsidR="002210A7" w:rsidRPr="00D11D21" w14:paraId="07D767DC"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77CCC80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0623631B" w14:textId="5E94CF08"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Secrétariat</w:t>
            </w:r>
            <w:r w:rsidR="002210A7" w:rsidRPr="00D11D21">
              <w:rPr>
                <w:rFonts w:asciiTheme="majorBidi" w:hAnsiTheme="majorBidi" w:cstheme="majorBidi"/>
                <w:color w:val="264A60"/>
                <w:szCs w:val="24"/>
              </w:rPr>
              <w:t xml:space="preserve"> des finances</w:t>
            </w:r>
          </w:p>
        </w:tc>
        <w:tc>
          <w:tcPr>
            <w:tcW w:w="1169" w:type="dxa"/>
            <w:tcBorders>
              <w:top w:val="single" w:sz="8" w:space="0" w:color="AEAEAE"/>
              <w:left w:val="nil"/>
              <w:bottom w:val="single" w:sz="8" w:space="0" w:color="AEAEAE"/>
              <w:right w:val="single" w:sz="8" w:space="0" w:color="E0E0E0"/>
            </w:tcBorders>
            <w:shd w:val="clear" w:color="auto" w:fill="FFFFFF"/>
          </w:tcPr>
          <w:p w14:paraId="169DC84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E18C12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6B6D6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3F6103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85,7</w:t>
            </w:r>
          </w:p>
        </w:tc>
      </w:tr>
      <w:tr w:rsidR="002210A7" w:rsidRPr="00D11D21" w14:paraId="08841A6B"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6DB80C21"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48B64A72" w14:textId="1761A0CB"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Service</w:t>
            </w:r>
            <w:r w:rsidR="002210A7" w:rsidRPr="00D11D21">
              <w:rPr>
                <w:rFonts w:asciiTheme="majorBidi" w:hAnsiTheme="majorBidi" w:cstheme="majorBidi"/>
                <w:color w:val="264A60"/>
                <w:szCs w:val="24"/>
              </w:rPr>
              <w:t xml:space="preserve"> control budgétaire</w:t>
            </w:r>
          </w:p>
        </w:tc>
        <w:tc>
          <w:tcPr>
            <w:tcW w:w="1169" w:type="dxa"/>
            <w:tcBorders>
              <w:top w:val="single" w:sz="8" w:space="0" w:color="AEAEAE"/>
              <w:left w:val="nil"/>
              <w:bottom w:val="single" w:sz="8" w:space="0" w:color="AEAEAE"/>
              <w:right w:val="single" w:sz="8" w:space="0" w:color="E0E0E0"/>
            </w:tcBorders>
            <w:shd w:val="clear" w:color="auto" w:fill="FFFFFF"/>
          </w:tcPr>
          <w:p w14:paraId="1452C6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6834FA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3694CA4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05221B7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88,1</w:t>
            </w:r>
          </w:p>
        </w:tc>
      </w:tr>
      <w:tr w:rsidR="002210A7" w:rsidRPr="00D11D21" w14:paraId="6345AF27"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4EF6363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568AB06C" w14:textId="36C92DE4"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Sous-chef</w:t>
            </w:r>
            <w:r w:rsidR="002210A7" w:rsidRPr="00D11D21">
              <w:rPr>
                <w:rFonts w:asciiTheme="majorBidi" w:hAnsiTheme="majorBidi" w:cstheme="majorBidi"/>
                <w:color w:val="264A60"/>
                <w:szCs w:val="24"/>
              </w:rPr>
              <w:t xml:space="preserve"> de bureau informatique</w:t>
            </w:r>
          </w:p>
        </w:tc>
        <w:tc>
          <w:tcPr>
            <w:tcW w:w="1169" w:type="dxa"/>
            <w:tcBorders>
              <w:top w:val="single" w:sz="8" w:space="0" w:color="AEAEAE"/>
              <w:left w:val="nil"/>
              <w:bottom w:val="single" w:sz="8" w:space="0" w:color="AEAEAE"/>
              <w:right w:val="single" w:sz="8" w:space="0" w:color="E0E0E0"/>
            </w:tcBorders>
            <w:shd w:val="clear" w:color="auto" w:fill="FFFFFF"/>
          </w:tcPr>
          <w:p w14:paraId="219F14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ED990A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B8E4A1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0CBDAA9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90,5</w:t>
            </w:r>
          </w:p>
        </w:tc>
      </w:tr>
      <w:tr w:rsidR="002210A7" w:rsidRPr="00D11D21" w14:paraId="27C31A44"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035D5EA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3004432C" w14:textId="3074DFC6"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Sous-directeur</w:t>
            </w:r>
            <w:r w:rsidR="002210A7" w:rsidRPr="00D11D21">
              <w:rPr>
                <w:rFonts w:asciiTheme="majorBidi" w:hAnsiTheme="majorBidi" w:cstheme="majorBidi"/>
                <w:color w:val="264A60"/>
                <w:szCs w:val="24"/>
              </w:rPr>
              <w:t xml:space="preserve"> de finance</w:t>
            </w:r>
          </w:p>
        </w:tc>
        <w:tc>
          <w:tcPr>
            <w:tcW w:w="1169" w:type="dxa"/>
            <w:tcBorders>
              <w:top w:val="single" w:sz="8" w:space="0" w:color="AEAEAE"/>
              <w:left w:val="nil"/>
              <w:bottom w:val="single" w:sz="8" w:space="0" w:color="AEAEAE"/>
              <w:right w:val="single" w:sz="8" w:space="0" w:color="E0E0E0"/>
            </w:tcBorders>
            <w:shd w:val="clear" w:color="auto" w:fill="FFFFFF"/>
          </w:tcPr>
          <w:p w14:paraId="2E91AC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58249F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125D2B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1B5BB1D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92,9</w:t>
            </w:r>
          </w:p>
        </w:tc>
      </w:tr>
      <w:tr w:rsidR="002210A7" w:rsidRPr="00D11D21" w14:paraId="53039588"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02D3784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05B9D98B" w14:textId="6F4385BB"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Sous-directeur</w:t>
            </w:r>
            <w:r w:rsidR="002210A7" w:rsidRPr="00D11D21">
              <w:rPr>
                <w:rFonts w:asciiTheme="majorBidi" w:hAnsiTheme="majorBidi" w:cstheme="majorBidi"/>
                <w:color w:val="264A60"/>
                <w:szCs w:val="24"/>
              </w:rPr>
              <w:t xml:space="preserve"> de prestation</w:t>
            </w:r>
          </w:p>
        </w:tc>
        <w:tc>
          <w:tcPr>
            <w:tcW w:w="1169" w:type="dxa"/>
            <w:tcBorders>
              <w:top w:val="single" w:sz="8" w:space="0" w:color="AEAEAE"/>
              <w:left w:val="nil"/>
              <w:bottom w:val="single" w:sz="8" w:space="0" w:color="AEAEAE"/>
              <w:right w:val="single" w:sz="8" w:space="0" w:color="E0E0E0"/>
            </w:tcBorders>
            <w:shd w:val="clear" w:color="auto" w:fill="FFFFFF"/>
          </w:tcPr>
          <w:p w14:paraId="45DB613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C2E7DC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6E9B116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4DF88B4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95,2</w:t>
            </w:r>
          </w:p>
        </w:tc>
      </w:tr>
      <w:tr w:rsidR="002210A7" w:rsidRPr="00D11D21" w14:paraId="32FE2E3F"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4B8C567A"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61DE5884" w14:textId="7ED859A1"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w:t>
            </w:r>
            <w:r w:rsidR="002210A7" w:rsidRPr="00D11D21">
              <w:rPr>
                <w:rFonts w:asciiTheme="majorBidi" w:hAnsiTheme="majorBidi" w:cstheme="majorBidi"/>
                <w:color w:val="264A60"/>
                <w:szCs w:val="24"/>
              </w:rPr>
              <w:t>- chef service informatique</w:t>
            </w:r>
          </w:p>
        </w:tc>
        <w:tc>
          <w:tcPr>
            <w:tcW w:w="1169" w:type="dxa"/>
            <w:tcBorders>
              <w:top w:val="single" w:sz="8" w:space="0" w:color="AEAEAE"/>
              <w:left w:val="nil"/>
              <w:bottom w:val="single" w:sz="8" w:space="0" w:color="AEAEAE"/>
              <w:right w:val="single" w:sz="8" w:space="0" w:color="E0E0E0"/>
            </w:tcBorders>
            <w:shd w:val="clear" w:color="auto" w:fill="FFFFFF"/>
          </w:tcPr>
          <w:p w14:paraId="29F6A3C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5F5213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8082FB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4D1B7FA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97,6</w:t>
            </w:r>
          </w:p>
        </w:tc>
      </w:tr>
      <w:tr w:rsidR="002210A7" w:rsidRPr="00D11D21" w14:paraId="34E8B97C" w14:textId="77777777" w:rsidTr="00B7491C">
        <w:trPr>
          <w:cantSplit/>
          <w:jc w:val="center"/>
        </w:trPr>
        <w:tc>
          <w:tcPr>
            <w:tcW w:w="737" w:type="dxa"/>
            <w:vMerge/>
            <w:tcBorders>
              <w:top w:val="single" w:sz="8" w:space="0" w:color="152935"/>
              <w:left w:val="single" w:sz="4" w:space="0" w:color="auto"/>
              <w:bottom w:val="single" w:sz="8" w:space="0" w:color="152935"/>
              <w:right w:val="nil"/>
            </w:tcBorders>
            <w:shd w:val="clear" w:color="auto" w:fill="E0E0E0"/>
          </w:tcPr>
          <w:p w14:paraId="5C410046"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8" w:space="0" w:color="AEAEAE"/>
              <w:right w:val="nil"/>
            </w:tcBorders>
            <w:shd w:val="clear" w:color="auto" w:fill="E0E0E0"/>
          </w:tcPr>
          <w:p w14:paraId="44B47205" w14:textId="334FF51D"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w:t>
            </w:r>
            <w:r w:rsidR="002210A7" w:rsidRPr="00D11D21">
              <w:rPr>
                <w:rFonts w:asciiTheme="majorBidi" w:hAnsiTheme="majorBidi" w:cstheme="majorBidi"/>
                <w:color w:val="264A60"/>
                <w:szCs w:val="24"/>
              </w:rPr>
              <w:t>-direction des finances</w:t>
            </w:r>
          </w:p>
        </w:tc>
        <w:tc>
          <w:tcPr>
            <w:tcW w:w="1169" w:type="dxa"/>
            <w:tcBorders>
              <w:top w:val="single" w:sz="8" w:space="0" w:color="AEAEAE"/>
              <w:left w:val="nil"/>
              <w:bottom w:val="single" w:sz="8" w:space="0" w:color="AEAEAE"/>
              <w:right w:val="single" w:sz="8" w:space="0" w:color="E0E0E0"/>
            </w:tcBorders>
            <w:shd w:val="clear" w:color="auto" w:fill="FFFFFF"/>
          </w:tcPr>
          <w:p w14:paraId="5986F59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987AE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52BB05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476" w:type="dxa"/>
            <w:tcBorders>
              <w:top w:val="single" w:sz="8" w:space="0" w:color="AEAEAE"/>
              <w:left w:val="single" w:sz="8" w:space="0" w:color="E0E0E0"/>
              <w:bottom w:val="single" w:sz="8" w:space="0" w:color="AEAEAE"/>
              <w:right w:val="single" w:sz="4" w:space="0" w:color="auto"/>
            </w:tcBorders>
            <w:shd w:val="clear" w:color="auto" w:fill="FFFFFF"/>
          </w:tcPr>
          <w:p w14:paraId="0818A7C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7E0520C1" w14:textId="77777777" w:rsidTr="00B7491C">
        <w:trPr>
          <w:cantSplit/>
          <w:jc w:val="center"/>
        </w:trPr>
        <w:tc>
          <w:tcPr>
            <w:tcW w:w="737" w:type="dxa"/>
            <w:vMerge/>
            <w:tcBorders>
              <w:top w:val="single" w:sz="8" w:space="0" w:color="152935"/>
              <w:left w:val="single" w:sz="4" w:space="0" w:color="auto"/>
              <w:bottom w:val="single" w:sz="4" w:space="0" w:color="auto"/>
              <w:right w:val="nil"/>
            </w:tcBorders>
            <w:shd w:val="clear" w:color="auto" w:fill="E0E0E0"/>
          </w:tcPr>
          <w:p w14:paraId="5F20952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460" w:type="dxa"/>
            <w:tcBorders>
              <w:top w:val="single" w:sz="8" w:space="0" w:color="AEAEAE"/>
              <w:left w:val="nil"/>
              <w:bottom w:val="single" w:sz="4" w:space="0" w:color="auto"/>
              <w:right w:val="nil"/>
            </w:tcBorders>
            <w:shd w:val="clear" w:color="auto" w:fill="E0E0E0"/>
          </w:tcPr>
          <w:p w14:paraId="0005C69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169" w:type="dxa"/>
            <w:tcBorders>
              <w:top w:val="single" w:sz="8" w:space="0" w:color="AEAEAE"/>
              <w:left w:val="nil"/>
              <w:bottom w:val="single" w:sz="4" w:space="0" w:color="auto"/>
              <w:right w:val="single" w:sz="8" w:space="0" w:color="E0E0E0"/>
            </w:tcBorders>
            <w:shd w:val="clear" w:color="auto" w:fill="FFFFFF"/>
          </w:tcPr>
          <w:p w14:paraId="78A154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029" w:type="dxa"/>
            <w:tcBorders>
              <w:top w:val="single" w:sz="8" w:space="0" w:color="AEAEAE"/>
              <w:left w:val="single" w:sz="8" w:space="0" w:color="E0E0E0"/>
              <w:bottom w:val="single" w:sz="4" w:space="0" w:color="auto"/>
              <w:right w:val="single" w:sz="8" w:space="0" w:color="E0E0E0"/>
            </w:tcBorders>
            <w:shd w:val="clear" w:color="auto" w:fill="FFFFFF"/>
          </w:tcPr>
          <w:p w14:paraId="60390F1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399" w:type="dxa"/>
            <w:tcBorders>
              <w:top w:val="single" w:sz="8" w:space="0" w:color="AEAEAE"/>
              <w:left w:val="single" w:sz="8" w:space="0" w:color="E0E0E0"/>
              <w:bottom w:val="single" w:sz="4" w:space="0" w:color="auto"/>
              <w:right w:val="single" w:sz="8" w:space="0" w:color="E0E0E0"/>
            </w:tcBorders>
            <w:shd w:val="clear" w:color="auto" w:fill="FFFFFF"/>
          </w:tcPr>
          <w:p w14:paraId="0804C23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476" w:type="dxa"/>
            <w:tcBorders>
              <w:top w:val="single" w:sz="8" w:space="0" w:color="AEAEAE"/>
              <w:left w:val="single" w:sz="8" w:space="0" w:color="E0E0E0"/>
              <w:bottom w:val="single" w:sz="4" w:space="0" w:color="auto"/>
              <w:right w:val="single" w:sz="4" w:space="0" w:color="auto"/>
            </w:tcBorders>
            <w:shd w:val="clear" w:color="auto" w:fill="FFFFFF"/>
            <w:vAlign w:val="center"/>
          </w:tcPr>
          <w:p w14:paraId="399AADA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25C68FB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5E02451B" w14:textId="77777777" w:rsidR="00B4630E" w:rsidRPr="00D11D21" w:rsidRDefault="00B4630E" w:rsidP="00D11D21">
      <w:pPr>
        <w:autoSpaceDE w:val="0"/>
        <w:autoSpaceDN w:val="0"/>
        <w:adjustRightInd w:val="0"/>
        <w:spacing w:after="0"/>
        <w:jc w:val="both"/>
        <w:rPr>
          <w:rFonts w:asciiTheme="majorBidi" w:hAnsiTheme="majorBidi" w:cstheme="majorBidi"/>
          <w:szCs w:val="24"/>
        </w:rPr>
      </w:pPr>
    </w:p>
    <w:p w14:paraId="794514D9" w14:textId="1E31139B" w:rsidR="00127A35" w:rsidRPr="00D11D21" w:rsidRDefault="00B4630E" w:rsidP="00D11D21">
      <w:pPr>
        <w:pStyle w:val="Lgende"/>
        <w:keepNext/>
        <w:spacing w:line="360" w:lineRule="auto"/>
        <w:jc w:val="both"/>
        <w:rPr>
          <w:rFonts w:asciiTheme="majorBidi" w:hAnsiTheme="majorBidi" w:cstheme="majorBidi"/>
          <w:color w:val="auto"/>
          <w:sz w:val="24"/>
          <w:szCs w:val="24"/>
        </w:rPr>
      </w:pPr>
      <w:bookmarkStart w:id="213" w:name="_Toc200210089"/>
      <w:r w:rsidRPr="00D11D21">
        <w:rPr>
          <w:rFonts w:asciiTheme="majorBidi" w:hAnsiTheme="majorBidi" w:cstheme="majorBidi"/>
          <w:color w:val="auto"/>
          <w:sz w:val="24"/>
          <w:szCs w:val="24"/>
        </w:rPr>
        <w:lastRenderedPageBreak/>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fonctions des répondant</w:t>
      </w:r>
      <w:bookmarkEnd w:id="213"/>
    </w:p>
    <w:p w14:paraId="37DA5A4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14577509" wp14:editId="22FF8E75">
            <wp:extent cx="4490049" cy="2172832"/>
            <wp:effectExtent l="0" t="0" r="6350" b="0"/>
            <wp:docPr id="188" name="Imag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35">
                      <a:extLst>
                        <a:ext uri="{28A0092B-C50C-407E-A947-70E740481C1C}">
                          <a14:useLocalDpi xmlns:a14="http://schemas.microsoft.com/office/drawing/2010/main" val="0"/>
                        </a:ext>
                      </a:extLst>
                    </a:blip>
                    <a:srcRect t="6679"/>
                    <a:stretch/>
                  </pic:blipFill>
                  <pic:spPr bwMode="auto">
                    <a:xfrm>
                      <a:off x="0" y="0"/>
                      <a:ext cx="4600338" cy="2226203"/>
                    </a:xfrm>
                    <a:prstGeom prst="rect">
                      <a:avLst/>
                    </a:prstGeom>
                    <a:noFill/>
                    <a:ln>
                      <a:noFill/>
                    </a:ln>
                    <a:extLst>
                      <a:ext uri="{53640926-AAD7-44D8-BBD7-CCE9431645EC}">
                        <a14:shadowObscured xmlns:a14="http://schemas.microsoft.com/office/drawing/2010/main"/>
                      </a:ext>
                    </a:extLst>
                  </pic:spPr>
                </pic:pic>
              </a:graphicData>
            </a:graphic>
          </wp:inline>
        </w:drawing>
      </w:r>
    </w:p>
    <w:p w14:paraId="4EC74F6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4F3F1AC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2F3531B" w14:textId="77777777" w:rsidR="002210A7" w:rsidRPr="00D11D21" w:rsidRDefault="002210A7" w:rsidP="00D11D21">
      <w:pPr>
        <w:numPr>
          <w:ilvl w:val="0"/>
          <w:numId w:val="55"/>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La majorité des fonctions sont représentées par une seule personne (soit 2,4 % par fonction).</w:t>
      </w:r>
    </w:p>
    <w:p w14:paraId="0BC81498" w14:textId="77777777" w:rsidR="002210A7" w:rsidRPr="00D11D21" w:rsidRDefault="002210A7" w:rsidP="00D11D21">
      <w:pPr>
        <w:numPr>
          <w:ilvl w:val="0"/>
          <w:numId w:val="55"/>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Les fonctions les plus représentées sont :</w:t>
      </w:r>
    </w:p>
    <w:p w14:paraId="15CAC045" w14:textId="77777777" w:rsidR="002210A7" w:rsidRPr="00D11D21" w:rsidRDefault="002210A7" w:rsidP="00D11D21">
      <w:pPr>
        <w:pStyle w:val="Paragraphedeliste"/>
        <w:numPr>
          <w:ilvl w:val="1"/>
          <w:numId w:val="5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Médecin généraliste : 5 personnes (11,9 %)</w:t>
      </w:r>
    </w:p>
    <w:p w14:paraId="1E3EE19F" w14:textId="77777777" w:rsidR="002210A7" w:rsidRPr="00D11D21" w:rsidRDefault="002210A7" w:rsidP="00D11D21">
      <w:pPr>
        <w:pStyle w:val="Paragraphedeliste"/>
        <w:numPr>
          <w:ilvl w:val="1"/>
          <w:numId w:val="5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Médecin spécialiste : 4 personnes (9,5 %)</w:t>
      </w:r>
    </w:p>
    <w:p w14:paraId="6D626055" w14:textId="77777777" w:rsidR="002210A7" w:rsidRPr="00D11D21" w:rsidRDefault="002210A7" w:rsidP="00D11D21">
      <w:pPr>
        <w:pStyle w:val="Paragraphedeliste"/>
        <w:numPr>
          <w:ilvl w:val="1"/>
          <w:numId w:val="56"/>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Économe : 2 personnes (4,8 %)</w:t>
      </w:r>
    </w:p>
    <w:p w14:paraId="72169955"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Tous les autres postes (comme chef de service, responsable de différents départements, adjoints, etc.) sont représentés chacun par un seul répondant.</w:t>
      </w:r>
    </w:p>
    <w:p w14:paraId="5E5C1B31" w14:textId="17B36F01" w:rsidR="00127A35"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L’échantillon est composé de profils très variés, issus à la fois de fonctions médicales, administratives, financières et informatiques. Cette diversité reflète une approche globale de l’étude, intégrant plusieurs départements d’un établissement hospitalier.</w:t>
      </w:r>
    </w:p>
    <w:p w14:paraId="2D7B94C7" w14:textId="77777777" w:rsidR="002210A7" w:rsidRPr="00D11D21" w:rsidRDefault="002210A7" w:rsidP="00D11D21">
      <w:pPr>
        <w:autoSpaceDE w:val="0"/>
        <w:autoSpaceDN w:val="0"/>
        <w:adjustRightInd w:val="0"/>
        <w:spacing w:after="0"/>
        <w:jc w:val="both"/>
        <w:rPr>
          <w:rFonts w:asciiTheme="majorBidi" w:hAnsiTheme="majorBidi" w:cstheme="majorBidi"/>
          <w:b/>
          <w:bCs/>
          <w:color w:val="000000" w:themeColor="text1"/>
          <w:szCs w:val="24"/>
        </w:rPr>
      </w:pPr>
    </w:p>
    <w:p w14:paraId="790754A1" w14:textId="261FAEB5" w:rsidR="002210A7" w:rsidRPr="00D11D21" w:rsidRDefault="002210A7" w:rsidP="00D11D21">
      <w:pPr>
        <w:autoSpaceDE w:val="0"/>
        <w:autoSpaceDN w:val="0"/>
        <w:adjustRightInd w:val="0"/>
        <w:spacing w:after="0"/>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 :</w:t>
      </w:r>
      <w:r w:rsidRPr="00D11D21">
        <w:rPr>
          <w:rFonts w:asciiTheme="majorBidi" w:hAnsiTheme="majorBidi" w:cstheme="majorBidi"/>
          <w:b/>
          <w:bCs/>
          <w:color w:val="000000" w:themeColor="text1"/>
          <w:szCs w:val="24"/>
        </w:rPr>
        <w:t xml:space="preserve"> Quel est le mode de financement principal de votre établissement ?</w:t>
      </w:r>
    </w:p>
    <w:p w14:paraId="16E0E3C6" w14:textId="596184FE" w:rsidR="002210A7" w:rsidRPr="00772AE8" w:rsidRDefault="00A605B0" w:rsidP="00772AE8">
      <w:pPr>
        <w:pStyle w:val="Lgende"/>
        <w:keepNext/>
        <w:spacing w:line="360" w:lineRule="auto"/>
        <w:jc w:val="both"/>
        <w:rPr>
          <w:rFonts w:asciiTheme="majorBidi" w:hAnsiTheme="majorBidi" w:cstheme="majorBidi"/>
          <w:color w:val="auto"/>
          <w:sz w:val="24"/>
          <w:szCs w:val="24"/>
        </w:rPr>
      </w:pPr>
      <w:bookmarkStart w:id="214" w:name="_Toc200210135"/>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modes de financement principaux</w:t>
      </w:r>
      <w:bookmarkEnd w:id="214"/>
    </w:p>
    <w:tbl>
      <w:tblPr>
        <w:tblW w:w="727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461"/>
        <w:gridCol w:w="1169"/>
        <w:gridCol w:w="1030"/>
        <w:gridCol w:w="1399"/>
        <w:gridCol w:w="1476"/>
      </w:tblGrid>
      <w:tr w:rsidR="002210A7" w:rsidRPr="00D11D21" w14:paraId="7A112A1A" w14:textId="77777777" w:rsidTr="00B7491C">
        <w:trPr>
          <w:cantSplit/>
          <w:jc w:val="center"/>
        </w:trPr>
        <w:tc>
          <w:tcPr>
            <w:tcW w:w="2197" w:type="dxa"/>
            <w:gridSpan w:val="2"/>
            <w:tcBorders>
              <w:top w:val="single" w:sz="4" w:space="0" w:color="auto"/>
              <w:left w:val="single" w:sz="4" w:space="0" w:color="auto"/>
              <w:bottom w:val="single" w:sz="8" w:space="0" w:color="152935"/>
              <w:right w:val="nil"/>
            </w:tcBorders>
            <w:shd w:val="clear" w:color="auto" w:fill="FFFFFF"/>
            <w:vAlign w:val="bottom"/>
          </w:tcPr>
          <w:p w14:paraId="4C8EE1B8" w14:textId="77777777" w:rsidR="002210A7" w:rsidRPr="00D11D21" w:rsidRDefault="002210A7" w:rsidP="00D11D21">
            <w:pPr>
              <w:jc w:val="both"/>
              <w:rPr>
                <w:rFonts w:asciiTheme="majorBidi" w:hAnsiTheme="majorBidi" w:cstheme="majorBidi"/>
                <w:szCs w:val="24"/>
              </w:rPr>
            </w:pPr>
          </w:p>
        </w:tc>
        <w:tc>
          <w:tcPr>
            <w:tcW w:w="1169" w:type="dxa"/>
            <w:tcBorders>
              <w:top w:val="single" w:sz="4" w:space="0" w:color="auto"/>
              <w:left w:val="nil"/>
              <w:bottom w:val="single" w:sz="8" w:space="0" w:color="152935"/>
              <w:right w:val="single" w:sz="8" w:space="0" w:color="E0E0E0"/>
            </w:tcBorders>
            <w:shd w:val="clear" w:color="auto" w:fill="FFFFFF"/>
            <w:vAlign w:val="bottom"/>
          </w:tcPr>
          <w:p w14:paraId="207631E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03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16622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39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633FA3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476" w:type="dxa"/>
            <w:tcBorders>
              <w:top w:val="single" w:sz="4" w:space="0" w:color="auto"/>
              <w:left w:val="single" w:sz="8" w:space="0" w:color="E0E0E0"/>
              <w:bottom w:val="single" w:sz="8" w:space="0" w:color="152935"/>
              <w:right w:val="single" w:sz="4" w:space="0" w:color="auto"/>
            </w:tcBorders>
            <w:shd w:val="clear" w:color="auto" w:fill="FFFFFF"/>
            <w:vAlign w:val="bottom"/>
          </w:tcPr>
          <w:p w14:paraId="43143A6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2AC84773" w14:textId="77777777" w:rsidTr="00B7491C">
        <w:trPr>
          <w:cantSplit/>
          <w:jc w:val="center"/>
        </w:trPr>
        <w:tc>
          <w:tcPr>
            <w:tcW w:w="736" w:type="dxa"/>
            <w:tcBorders>
              <w:top w:val="single" w:sz="8" w:space="0" w:color="152935"/>
              <w:left w:val="single" w:sz="4" w:space="0" w:color="auto"/>
              <w:bottom w:val="single" w:sz="4" w:space="0" w:color="auto"/>
              <w:right w:val="nil"/>
            </w:tcBorders>
            <w:shd w:val="clear" w:color="auto" w:fill="E0E0E0"/>
          </w:tcPr>
          <w:p w14:paraId="7F89197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461" w:type="dxa"/>
            <w:tcBorders>
              <w:top w:val="single" w:sz="8" w:space="0" w:color="152935"/>
              <w:left w:val="nil"/>
              <w:bottom w:val="single" w:sz="4" w:space="0" w:color="auto"/>
              <w:right w:val="nil"/>
            </w:tcBorders>
            <w:shd w:val="clear" w:color="auto" w:fill="E0E0E0"/>
          </w:tcPr>
          <w:p w14:paraId="49A3959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Budget global</w:t>
            </w:r>
          </w:p>
        </w:tc>
        <w:tc>
          <w:tcPr>
            <w:tcW w:w="1169" w:type="dxa"/>
            <w:tcBorders>
              <w:top w:val="single" w:sz="8" w:space="0" w:color="152935"/>
              <w:left w:val="nil"/>
              <w:bottom w:val="single" w:sz="4" w:space="0" w:color="auto"/>
              <w:right w:val="single" w:sz="8" w:space="0" w:color="E0E0E0"/>
            </w:tcBorders>
            <w:shd w:val="clear" w:color="auto" w:fill="FFFFFF"/>
          </w:tcPr>
          <w:p w14:paraId="23ADCE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030" w:type="dxa"/>
            <w:tcBorders>
              <w:top w:val="single" w:sz="8" w:space="0" w:color="152935"/>
              <w:left w:val="single" w:sz="8" w:space="0" w:color="E0E0E0"/>
              <w:bottom w:val="single" w:sz="4" w:space="0" w:color="auto"/>
              <w:right w:val="single" w:sz="8" w:space="0" w:color="E0E0E0"/>
            </w:tcBorders>
            <w:shd w:val="clear" w:color="auto" w:fill="FFFFFF"/>
          </w:tcPr>
          <w:p w14:paraId="5DDF2F2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399" w:type="dxa"/>
            <w:tcBorders>
              <w:top w:val="single" w:sz="8" w:space="0" w:color="152935"/>
              <w:left w:val="single" w:sz="8" w:space="0" w:color="E0E0E0"/>
              <w:bottom w:val="single" w:sz="4" w:space="0" w:color="auto"/>
              <w:right w:val="single" w:sz="8" w:space="0" w:color="E0E0E0"/>
            </w:tcBorders>
            <w:shd w:val="clear" w:color="auto" w:fill="FFFFFF"/>
          </w:tcPr>
          <w:p w14:paraId="562180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476" w:type="dxa"/>
            <w:tcBorders>
              <w:top w:val="single" w:sz="8" w:space="0" w:color="152935"/>
              <w:left w:val="single" w:sz="8" w:space="0" w:color="E0E0E0"/>
              <w:bottom w:val="single" w:sz="4" w:space="0" w:color="auto"/>
              <w:right w:val="single" w:sz="4" w:space="0" w:color="auto"/>
            </w:tcBorders>
            <w:shd w:val="clear" w:color="auto" w:fill="FFFFFF"/>
          </w:tcPr>
          <w:p w14:paraId="5E562B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bl>
    <w:p w14:paraId="6069C0C5" w14:textId="22B966B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10687EC" w14:textId="5E3D00DE" w:rsidR="00B14B29" w:rsidRPr="00D11D21" w:rsidRDefault="00127A35" w:rsidP="00D11D21">
      <w:pPr>
        <w:pStyle w:val="Lgende"/>
        <w:keepNext/>
        <w:spacing w:line="360" w:lineRule="auto"/>
        <w:jc w:val="both"/>
        <w:rPr>
          <w:rFonts w:asciiTheme="majorBidi" w:hAnsiTheme="majorBidi" w:cstheme="majorBidi"/>
          <w:color w:val="auto"/>
          <w:sz w:val="24"/>
          <w:szCs w:val="24"/>
        </w:rPr>
      </w:pPr>
      <w:bookmarkStart w:id="215" w:name="_Toc200210090"/>
      <w:r w:rsidRPr="00D11D21">
        <w:rPr>
          <w:rFonts w:asciiTheme="majorBidi" w:hAnsiTheme="majorBidi" w:cstheme="majorBidi"/>
          <w:color w:val="auto"/>
          <w:sz w:val="24"/>
          <w:szCs w:val="24"/>
        </w:rPr>
        <w:lastRenderedPageBreak/>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modes de financement principaux</w:t>
      </w:r>
      <w:bookmarkEnd w:id="215"/>
    </w:p>
    <w:p w14:paraId="21DEB5D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5DC67FA3" wp14:editId="735576AE">
            <wp:extent cx="3361133" cy="1857375"/>
            <wp:effectExtent l="0" t="0" r="0" b="0"/>
            <wp:docPr id="18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6137"/>
                    <a:stretch/>
                  </pic:blipFill>
                  <pic:spPr bwMode="auto">
                    <a:xfrm>
                      <a:off x="0" y="0"/>
                      <a:ext cx="3361133" cy="1857375"/>
                    </a:xfrm>
                    <a:prstGeom prst="rect">
                      <a:avLst/>
                    </a:prstGeom>
                    <a:noFill/>
                    <a:ln>
                      <a:noFill/>
                    </a:ln>
                    <a:extLst>
                      <a:ext uri="{53640926-AAD7-44D8-BBD7-CCE9431645EC}">
                        <a14:shadowObscured xmlns:a14="http://schemas.microsoft.com/office/drawing/2010/main"/>
                      </a:ext>
                    </a:extLst>
                  </pic:spPr>
                </pic:pic>
              </a:graphicData>
            </a:graphic>
          </wp:inline>
        </w:drawing>
      </w:r>
    </w:p>
    <w:p w14:paraId="77F3DC0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614D646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1AA42B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5BCE82DB"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Il y a une uniformité totale dans le mode de gestion budgétaire parmi les établissements concernés par l’enquête : tous utilisent le budget global. Cela peut indiquer une politique budgétaire standardisée à l’échelle des établissements publics de santé inclus dans l’étude.</w:t>
      </w:r>
    </w:p>
    <w:p w14:paraId="1C7EE89F"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Q2 : Le financement actuel permet-il de couvrir l’ensemble des dépenses de fonctionnement de votre établissement ?</w:t>
      </w:r>
    </w:p>
    <w:p w14:paraId="0FC0C143" w14:textId="1B53005A" w:rsidR="002210A7" w:rsidRPr="00D11D21" w:rsidRDefault="006C2D88" w:rsidP="00D11D21">
      <w:pPr>
        <w:pStyle w:val="Lgende"/>
        <w:keepNext/>
        <w:spacing w:line="360" w:lineRule="auto"/>
        <w:jc w:val="both"/>
        <w:rPr>
          <w:rFonts w:asciiTheme="majorBidi" w:hAnsiTheme="majorBidi" w:cstheme="majorBidi"/>
          <w:color w:val="auto"/>
          <w:sz w:val="24"/>
          <w:szCs w:val="24"/>
        </w:rPr>
      </w:pPr>
      <w:bookmarkStart w:id="216" w:name="_Toc200210136"/>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28</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réponses sur la couverture des dépenses de fonctionnement</w:t>
      </w:r>
      <w:bookmarkEnd w:id="216"/>
    </w:p>
    <w:tbl>
      <w:tblPr>
        <w:tblW w:w="933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1"/>
        <w:gridCol w:w="1828"/>
        <w:gridCol w:w="1510"/>
        <w:gridCol w:w="1330"/>
        <w:gridCol w:w="1807"/>
        <w:gridCol w:w="1906"/>
      </w:tblGrid>
      <w:tr w:rsidR="002210A7" w:rsidRPr="00D11D21" w14:paraId="1256BD2E" w14:textId="77777777" w:rsidTr="00282FFC">
        <w:trPr>
          <w:cantSplit/>
          <w:trHeight w:val="530"/>
          <w:jc w:val="center"/>
        </w:trPr>
        <w:tc>
          <w:tcPr>
            <w:tcW w:w="2779" w:type="dxa"/>
            <w:gridSpan w:val="2"/>
            <w:tcBorders>
              <w:top w:val="single" w:sz="4" w:space="0" w:color="auto"/>
              <w:left w:val="single" w:sz="4" w:space="0" w:color="auto"/>
              <w:bottom w:val="single" w:sz="8" w:space="0" w:color="152935"/>
              <w:right w:val="nil"/>
            </w:tcBorders>
            <w:shd w:val="clear" w:color="auto" w:fill="FFFFFF"/>
            <w:vAlign w:val="bottom"/>
          </w:tcPr>
          <w:p w14:paraId="70C2DF4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510" w:type="dxa"/>
            <w:tcBorders>
              <w:top w:val="single" w:sz="4" w:space="0" w:color="auto"/>
              <w:left w:val="nil"/>
              <w:bottom w:val="single" w:sz="8" w:space="0" w:color="152935"/>
              <w:right w:val="single" w:sz="8" w:space="0" w:color="E0E0E0"/>
            </w:tcBorders>
            <w:shd w:val="clear" w:color="auto" w:fill="FFFFFF"/>
            <w:vAlign w:val="bottom"/>
          </w:tcPr>
          <w:p w14:paraId="7EFDCDD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3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9CE798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807"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11A55A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906" w:type="dxa"/>
            <w:tcBorders>
              <w:top w:val="single" w:sz="4" w:space="0" w:color="auto"/>
              <w:left w:val="single" w:sz="8" w:space="0" w:color="E0E0E0"/>
              <w:bottom w:val="single" w:sz="8" w:space="0" w:color="152935"/>
              <w:right w:val="single" w:sz="4" w:space="0" w:color="auto"/>
            </w:tcBorders>
            <w:shd w:val="clear" w:color="auto" w:fill="FFFFFF"/>
            <w:vAlign w:val="bottom"/>
          </w:tcPr>
          <w:p w14:paraId="5A55381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6B412124" w14:textId="77777777" w:rsidTr="00282FFC">
        <w:trPr>
          <w:cantSplit/>
          <w:trHeight w:val="264"/>
          <w:jc w:val="center"/>
        </w:trPr>
        <w:tc>
          <w:tcPr>
            <w:tcW w:w="951" w:type="dxa"/>
            <w:vMerge w:val="restart"/>
            <w:tcBorders>
              <w:top w:val="single" w:sz="8" w:space="0" w:color="152935"/>
              <w:left w:val="single" w:sz="4" w:space="0" w:color="auto"/>
              <w:bottom w:val="single" w:sz="8" w:space="0" w:color="152935"/>
              <w:right w:val="nil"/>
            </w:tcBorders>
            <w:shd w:val="clear" w:color="auto" w:fill="E0E0E0"/>
          </w:tcPr>
          <w:p w14:paraId="24A43ED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828" w:type="dxa"/>
            <w:tcBorders>
              <w:top w:val="single" w:sz="8" w:space="0" w:color="152935"/>
              <w:left w:val="nil"/>
              <w:bottom w:val="single" w:sz="8" w:space="0" w:color="AEAEAE"/>
              <w:right w:val="nil"/>
            </w:tcBorders>
            <w:shd w:val="clear" w:color="auto" w:fill="E0E0E0"/>
          </w:tcPr>
          <w:p w14:paraId="4C0C841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510" w:type="dxa"/>
            <w:tcBorders>
              <w:top w:val="single" w:sz="8" w:space="0" w:color="152935"/>
              <w:left w:val="nil"/>
              <w:bottom w:val="single" w:sz="8" w:space="0" w:color="AEAEAE"/>
              <w:right w:val="single" w:sz="8" w:space="0" w:color="E0E0E0"/>
            </w:tcBorders>
            <w:shd w:val="clear" w:color="auto" w:fill="FFFFFF"/>
          </w:tcPr>
          <w:p w14:paraId="173558F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330" w:type="dxa"/>
            <w:tcBorders>
              <w:top w:val="single" w:sz="8" w:space="0" w:color="152935"/>
              <w:left w:val="single" w:sz="8" w:space="0" w:color="E0E0E0"/>
              <w:bottom w:val="single" w:sz="8" w:space="0" w:color="AEAEAE"/>
              <w:right w:val="single" w:sz="8" w:space="0" w:color="E0E0E0"/>
            </w:tcBorders>
            <w:shd w:val="clear" w:color="auto" w:fill="FFFFFF"/>
          </w:tcPr>
          <w:p w14:paraId="74A24B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807" w:type="dxa"/>
            <w:tcBorders>
              <w:top w:val="single" w:sz="8" w:space="0" w:color="152935"/>
              <w:left w:val="single" w:sz="8" w:space="0" w:color="E0E0E0"/>
              <w:bottom w:val="single" w:sz="8" w:space="0" w:color="AEAEAE"/>
              <w:right w:val="single" w:sz="8" w:space="0" w:color="E0E0E0"/>
            </w:tcBorders>
            <w:shd w:val="clear" w:color="auto" w:fill="FFFFFF"/>
          </w:tcPr>
          <w:p w14:paraId="112DC27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906" w:type="dxa"/>
            <w:tcBorders>
              <w:top w:val="single" w:sz="8" w:space="0" w:color="152935"/>
              <w:left w:val="single" w:sz="8" w:space="0" w:color="E0E0E0"/>
              <w:bottom w:val="single" w:sz="8" w:space="0" w:color="AEAEAE"/>
              <w:right w:val="single" w:sz="4" w:space="0" w:color="auto"/>
            </w:tcBorders>
            <w:shd w:val="clear" w:color="auto" w:fill="FFFFFF"/>
          </w:tcPr>
          <w:p w14:paraId="238974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r>
      <w:tr w:rsidR="002210A7" w:rsidRPr="00D11D21" w14:paraId="0CF8F6E8" w14:textId="77777777" w:rsidTr="00282FFC">
        <w:trPr>
          <w:cantSplit/>
          <w:trHeight w:val="91"/>
          <w:jc w:val="center"/>
        </w:trPr>
        <w:tc>
          <w:tcPr>
            <w:tcW w:w="951" w:type="dxa"/>
            <w:vMerge/>
            <w:tcBorders>
              <w:top w:val="single" w:sz="8" w:space="0" w:color="152935"/>
              <w:left w:val="single" w:sz="4" w:space="0" w:color="auto"/>
              <w:bottom w:val="single" w:sz="8" w:space="0" w:color="152935"/>
              <w:right w:val="nil"/>
            </w:tcBorders>
            <w:shd w:val="clear" w:color="auto" w:fill="E0E0E0"/>
          </w:tcPr>
          <w:p w14:paraId="3CA165BA"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828" w:type="dxa"/>
            <w:tcBorders>
              <w:top w:val="single" w:sz="8" w:space="0" w:color="AEAEAE"/>
              <w:left w:val="nil"/>
              <w:bottom w:val="single" w:sz="8" w:space="0" w:color="AEAEAE"/>
              <w:right w:val="nil"/>
            </w:tcBorders>
            <w:shd w:val="clear" w:color="auto" w:fill="E0E0E0"/>
          </w:tcPr>
          <w:p w14:paraId="16C86FF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510" w:type="dxa"/>
            <w:tcBorders>
              <w:top w:val="single" w:sz="8" w:space="0" w:color="AEAEAE"/>
              <w:left w:val="nil"/>
              <w:bottom w:val="single" w:sz="8" w:space="0" w:color="AEAEAE"/>
              <w:right w:val="single" w:sz="8" w:space="0" w:color="E0E0E0"/>
            </w:tcBorders>
            <w:shd w:val="clear" w:color="auto" w:fill="FFFFFF"/>
          </w:tcPr>
          <w:p w14:paraId="227BC6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25</w:t>
            </w:r>
          </w:p>
        </w:tc>
        <w:tc>
          <w:tcPr>
            <w:tcW w:w="1330" w:type="dxa"/>
            <w:tcBorders>
              <w:top w:val="single" w:sz="8" w:space="0" w:color="AEAEAE"/>
              <w:left w:val="single" w:sz="8" w:space="0" w:color="E0E0E0"/>
              <w:bottom w:val="single" w:sz="8" w:space="0" w:color="AEAEAE"/>
              <w:right w:val="single" w:sz="8" w:space="0" w:color="E0E0E0"/>
            </w:tcBorders>
            <w:shd w:val="clear" w:color="auto" w:fill="FFFFFF"/>
          </w:tcPr>
          <w:p w14:paraId="01713A3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59,5</w:t>
            </w:r>
          </w:p>
        </w:tc>
        <w:tc>
          <w:tcPr>
            <w:tcW w:w="1807" w:type="dxa"/>
            <w:tcBorders>
              <w:top w:val="single" w:sz="8" w:space="0" w:color="AEAEAE"/>
              <w:left w:val="single" w:sz="8" w:space="0" w:color="E0E0E0"/>
              <w:bottom w:val="single" w:sz="8" w:space="0" w:color="AEAEAE"/>
              <w:right w:val="single" w:sz="8" w:space="0" w:color="E0E0E0"/>
            </w:tcBorders>
            <w:shd w:val="clear" w:color="auto" w:fill="FFFFFF"/>
          </w:tcPr>
          <w:p w14:paraId="6FD386A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59,5</w:t>
            </w:r>
          </w:p>
        </w:tc>
        <w:tc>
          <w:tcPr>
            <w:tcW w:w="1906" w:type="dxa"/>
            <w:tcBorders>
              <w:top w:val="single" w:sz="8" w:space="0" w:color="AEAEAE"/>
              <w:left w:val="single" w:sz="8" w:space="0" w:color="E0E0E0"/>
              <w:bottom w:val="single" w:sz="8" w:space="0" w:color="AEAEAE"/>
              <w:right w:val="single" w:sz="4" w:space="0" w:color="auto"/>
            </w:tcBorders>
            <w:shd w:val="clear" w:color="auto" w:fill="FFFFFF"/>
          </w:tcPr>
          <w:p w14:paraId="20E1AEB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69,0</w:t>
            </w:r>
          </w:p>
        </w:tc>
      </w:tr>
      <w:tr w:rsidR="002210A7" w:rsidRPr="00D11D21" w14:paraId="13E28413" w14:textId="77777777" w:rsidTr="00282FFC">
        <w:trPr>
          <w:cantSplit/>
          <w:trHeight w:val="91"/>
          <w:jc w:val="center"/>
        </w:trPr>
        <w:tc>
          <w:tcPr>
            <w:tcW w:w="951" w:type="dxa"/>
            <w:vMerge/>
            <w:tcBorders>
              <w:top w:val="single" w:sz="8" w:space="0" w:color="152935"/>
              <w:left w:val="single" w:sz="4" w:space="0" w:color="auto"/>
              <w:bottom w:val="single" w:sz="8" w:space="0" w:color="152935"/>
              <w:right w:val="nil"/>
            </w:tcBorders>
            <w:shd w:val="clear" w:color="auto" w:fill="E0E0E0"/>
          </w:tcPr>
          <w:p w14:paraId="4624D3E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828" w:type="dxa"/>
            <w:tcBorders>
              <w:top w:val="single" w:sz="8" w:space="0" w:color="AEAEAE"/>
              <w:left w:val="nil"/>
              <w:bottom w:val="single" w:sz="8" w:space="0" w:color="AEAEAE"/>
              <w:right w:val="nil"/>
            </w:tcBorders>
            <w:shd w:val="clear" w:color="auto" w:fill="E0E0E0"/>
          </w:tcPr>
          <w:p w14:paraId="0DE1686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Partiellement</w:t>
            </w:r>
          </w:p>
        </w:tc>
        <w:tc>
          <w:tcPr>
            <w:tcW w:w="1510" w:type="dxa"/>
            <w:tcBorders>
              <w:top w:val="single" w:sz="8" w:space="0" w:color="AEAEAE"/>
              <w:left w:val="nil"/>
              <w:bottom w:val="single" w:sz="8" w:space="0" w:color="AEAEAE"/>
              <w:right w:val="single" w:sz="8" w:space="0" w:color="E0E0E0"/>
            </w:tcBorders>
            <w:shd w:val="clear" w:color="auto" w:fill="FFFFFF"/>
          </w:tcPr>
          <w:p w14:paraId="1B6E44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13</w:t>
            </w:r>
          </w:p>
        </w:tc>
        <w:tc>
          <w:tcPr>
            <w:tcW w:w="1330" w:type="dxa"/>
            <w:tcBorders>
              <w:top w:val="single" w:sz="8" w:space="0" w:color="AEAEAE"/>
              <w:left w:val="single" w:sz="8" w:space="0" w:color="E0E0E0"/>
              <w:bottom w:val="single" w:sz="8" w:space="0" w:color="AEAEAE"/>
              <w:right w:val="single" w:sz="8" w:space="0" w:color="E0E0E0"/>
            </w:tcBorders>
            <w:shd w:val="clear" w:color="auto" w:fill="FFFFFF"/>
          </w:tcPr>
          <w:p w14:paraId="7057235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c>
          <w:tcPr>
            <w:tcW w:w="1807" w:type="dxa"/>
            <w:tcBorders>
              <w:top w:val="single" w:sz="8" w:space="0" w:color="AEAEAE"/>
              <w:left w:val="single" w:sz="8" w:space="0" w:color="E0E0E0"/>
              <w:bottom w:val="single" w:sz="8" w:space="0" w:color="AEAEAE"/>
              <w:right w:val="single" w:sz="8" w:space="0" w:color="E0E0E0"/>
            </w:tcBorders>
            <w:shd w:val="clear" w:color="auto" w:fill="FFFFFF"/>
          </w:tcPr>
          <w:p w14:paraId="59F2D7D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c>
          <w:tcPr>
            <w:tcW w:w="1906" w:type="dxa"/>
            <w:tcBorders>
              <w:top w:val="single" w:sz="8" w:space="0" w:color="AEAEAE"/>
              <w:left w:val="single" w:sz="8" w:space="0" w:color="E0E0E0"/>
              <w:bottom w:val="single" w:sz="8" w:space="0" w:color="AEAEAE"/>
              <w:right w:val="single" w:sz="4" w:space="0" w:color="auto"/>
            </w:tcBorders>
            <w:shd w:val="clear" w:color="auto" w:fill="FFFFFF"/>
          </w:tcPr>
          <w:p w14:paraId="544FC91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0425CB2B" w14:textId="77777777" w:rsidTr="00282FFC">
        <w:trPr>
          <w:cantSplit/>
          <w:trHeight w:val="91"/>
          <w:jc w:val="center"/>
        </w:trPr>
        <w:tc>
          <w:tcPr>
            <w:tcW w:w="951" w:type="dxa"/>
            <w:vMerge/>
            <w:tcBorders>
              <w:top w:val="single" w:sz="8" w:space="0" w:color="152935"/>
              <w:left w:val="single" w:sz="4" w:space="0" w:color="auto"/>
              <w:bottom w:val="single" w:sz="4" w:space="0" w:color="auto"/>
              <w:right w:val="nil"/>
            </w:tcBorders>
            <w:shd w:val="clear" w:color="auto" w:fill="E0E0E0"/>
          </w:tcPr>
          <w:p w14:paraId="73F1850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828" w:type="dxa"/>
            <w:tcBorders>
              <w:top w:val="single" w:sz="8" w:space="0" w:color="AEAEAE"/>
              <w:left w:val="nil"/>
              <w:bottom w:val="single" w:sz="4" w:space="0" w:color="auto"/>
              <w:right w:val="nil"/>
            </w:tcBorders>
            <w:shd w:val="clear" w:color="auto" w:fill="E0E0E0"/>
          </w:tcPr>
          <w:p w14:paraId="138912E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510" w:type="dxa"/>
            <w:tcBorders>
              <w:top w:val="single" w:sz="8" w:space="0" w:color="AEAEAE"/>
              <w:left w:val="nil"/>
              <w:bottom w:val="single" w:sz="4" w:space="0" w:color="auto"/>
              <w:right w:val="single" w:sz="8" w:space="0" w:color="E0E0E0"/>
            </w:tcBorders>
            <w:shd w:val="clear" w:color="auto" w:fill="FFFFFF"/>
          </w:tcPr>
          <w:p w14:paraId="0CA69B4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330" w:type="dxa"/>
            <w:tcBorders>
              <w:top w:val="single" w:sz="8" w:space="0" w:color="AEAEAE"/>
              <w:left w:val="single" w:sz="8" w:space="0" w:color="E0E0E0"/>
              <w:bottom w:val="single" w:sz="4" w:space="0" w:color="auto"/>
              <w:right w:val="single" w:sz="8" w:space="0" w:color="E0E0E0"/>
            </w:tcBorders>
            <w:shd w:val="clear" w:color="auto" w:fill="FFFFFF"/>
          </w:tcPr>
          <w:p w14:paraId="6E9EF21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07" w:type="dxa"/>
            <w:tcBorders>
              <w:top w:val="single" w:sz="8" w:space="0" w:color="AEAEAE"/>
              <w:left w:val="single" w:sz="8" w:space="0" w:color="E0E0E0"/>
              <w:bottom w:val="single" w:sz="4" w:space="0" w:color="auto"/>
              <w:right w:val="single" w:sz="8" w:space="0" w:color="E0E0E0"/>
            </w:tcBorders>
            <w:shd w:val="clear" w:color="auto" w:fill="FFFFFF"/>
          </w:tcPr>
          <w:p w14:paraId="62B94DC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06" w:type="dxa"/>
            <w:tcBorders>
              <w:top w:val="single" w:sz="8" w:space="0" w:color="AEAEAE"/>
              <w:left w:val="single" w:sz="8" w:space="0" w:color="E0E0E0"/>
              <w:bottom w:val="single" w:sz="4" w:space="0" w:color="auto"/>
              <w:right w:val="single" w:sz="4" w:space="0" w:color="auto"/>
            </w:tcBorders>
            <w:shd w:val="clear" w:color="auto" w:fill="FFFFFF"/>
            <w:vAlign w:val="center"/>
          </w:tcPr>
          <w:p w14:paraId="79E93F1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12FCECC2" w14:textId="77777777" w:rsidR="00480CC0"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bookmarkStart w:id="217" w:name="_Toc200210091"/>
    </w:p>
    <w:p w14:paraId="7EFAD6E8" w14:textId="14DA3A58" w:rsidR="002210A7" w:rsidRPr="00D11D21" w:rsidRDefault="00A605B0"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Figure </w:t>
      </w:r>
      <w:r w:rsidRPr="00D11D21">
        <w:rPr>
          <w:rFonts w:asciiTheme="majorBidi" w:hAnsiTheme="majorBidi" w:cstheme="majorBidi"/>
          <w:szCs w:val="24"/>
        </w:rPr>
        <w:fldChar w:fldCharType="begin"/>
      </w:r>
      <w:r w:rsidRPr="00D11D21">
        <w:rPr>
          <w:rFonts w:asciiTheme="majorBidi" w:hAnsiTheme="majorBidi" w:cstheme="majorBidi"/>
          <w:szCs w:val="24"/>
        </w:rPr>
        <w:instrText xml:space="preserve"> SEQ Figure \* ARABIC </w:instrText>
      </w:r>
      <w:r w:rsidRPr="00D11D21">
        <w:rPr>
          <w:rFonts w:asciiTheme="majorBidi" w:hAnsiTheme="majorBidi" w:cstheme="majorBidi"/>
          <w:szCs w:val="24"/>
        </w:rPr>
        <w:fldChar w:fldCharType="separate"/>
      </w:r>
      <w:r w:rsidR="001679A8" w:rsidRPr="00D11D21">
        <w:rPr>
          <w:rFonts w:asciiTheme="majorBidi" w:hAnsiTheme="majorBidi" w:cstheme="majorBidi"/>
          <w:noProof/>
          <w:szCs w:val="24"/>
        </w:rPr>
        <w:t>24</w:t>
      </w:r>
      <w:r w:rsidRPr="00D11D21">
        <w:rPr>
          <w:rFonts w:asciiTheme="majorBidi" w:hAnsiTheme="majorBidi" w:cstheme="majorBidi"/>
          <w:szCs w:val="24"/>
        </w:rPr>
        <w:fldChar w:fldCharType="end"/>
      </w:r>
      <w:r w:rsidRPr="00D11D21">
        <w:rPr>
          <w:rFonts w:asciiTheme="majorBidi" w:hAnsiTheme="majorBidi" w:cstheme="majorBidi"/>
          <w:szCs w:val="24"/>
        </w:rPr>
        <w:t>: Répartition de couverture des dépenses de fonctionnement</w:t>
      </w:r>
      <w:bookmarkEnd w:id="217"/>
    </w:p>
    <w:p w14:paraId="7813763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lastRenderedPageBreak/>
        <w:drawing>
          <wp:inline distT="0" distB="0" distL="0" distR="0" wp14:anchorId="721BBA94" wp14:editId="2CD1A572">
            <wp:extent cx="4000500" cy="2134167"/>
            <wp:effectExtent l="0" t="0" r="0" b="0"/>
            <wp:docPr id="190" name="Imag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37">
                      <a:extLst>
                        <a:ext uri="{28A0092B-C50C-407E-A947-70E740481C1C}">
                          <a14:useLocalDpi xmlns:a14="http://schemas.microsoft.com/office/drawing/2010/main" val="0"/>
                        </a:ext>
                      </a:extLst>
                    </a:blip>
                    <a:srcRect t="9386"/>
                    <a:stretch/>
                  </pic:blipFill>
                  <pic:spPr bwMode="auto">
                    <a:xfrm>
                      <a:off x="0" y="0"/>
                      <a:ext cx="4018871" cy="2143968"/>
                    </a:xfrm>
                    <a:prstGeom prst="rect">
                      <a:avLst/>
                    </a:prstGeom>
                    <a:noFill/>
                    <a:ln>
                      <a:noFill/>
                    </a:ln>
                    <a:extLst>
                      <a:ext uri="{53640926-AAD7-44D8-BBD7-CCE9431645EC}">
                        <a14:shadowObscured xmlns:a14="http://schemas.microsoft.com/office/drawing/2010/main"/>
                      </a:ext>
                    </a:extLst>
                  </pic:spPr>
                </pic:pic>
              </a:graphicData>
            </a:graphic>
          </wp:inline>
        </w:drawing>
      </w:r>
    </w:p>
    <w:p w14:paraId="25E6961D" w14:textId="70F902EA" w:rsidR="00F62101"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1A19908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61CA7B82" w14:textId="77777777" w:rsidR="002210A7" w:rsidRPr="00D11D21" w:rsidRDefault="002210A7" w:rsidP="00D11D21">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La majorité des répondants (près de 60 %) jugent que la condition est respectée, tandis qu’environ 1/3 pensent qu’elle l’est seulement partiellement. Une minorité (moins de 10 %) estime qu’elle ne l’est pas du tout. Cela suggère que, bien qu’il y ait une tendance positive, des améliorations sont encore nécessaires pour une ple</w:t>
      </w:r>
      <w:r w:rsidR="00F62101" w:rsidRPr="00D11D21">
        <w:rPr>
          <w:rFonts w:asciiTheme="majorBidi" w:hAnsiTheme="majorBidi" w:cstheme="majorBidi"/>
          <w:szCs w:val="24"/>
        </w:rPr>
        <w:t>ine satisfaction ou conformité.</w:t>
      </w:r>
    </w:p>
    <w:p w14:paraId="2FF11CB8" w14:textId="13927270"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3 :</w:t>
      </w:r>
      <w:r w:rsidRPr="00D11D21">
        <w:rPr>
          <w:rFonts w:asciiTheme="majorBidi" w:hAnsiTheme="majorBidi" w:cstheme="majorBidi"/>
          <w:b/>
          <w:bCs/>
          <w:color w:val="000000" w:themeColor="text1"/>
          <w:szCs w:val="24"/>
        </w:rPr>
        <w:t xml:space="preserve"> Comment jugez-vous la transparence du processus de financement actuel ?</w:t>
      </w:r>
    </w:p>
    <w:p w14:paraId="003E6141" w14:textId="1A55D8AA" w:rsidR="002210A7" w:rsidRPr="00D11D21" w:rsidRDefault="00485947" w:rsidP="00D11D21">
      <w:pPr>
        <w:pStyle w:val="Lgende"/>
        <w:keepNext/>
        <w:spacing w:line="360" w:lineRule="auto"/>
        <w:jc w:val="both"/>
        <w:rPr>
          <w:rFonts w:asciiTheme="majorBidi" w:hAnsiTheme="majorBidi" w:cstheme="majorBidi"/>
          <w:color w:val="auto"/>
          <w:sz w:val="24"/>
          <w:szCs w:val="24"/>
        </w:rPr>
      </w:pPr>
      <w:bookmarkStart w:id="218" w:name="_Toc200210137"/>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29</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jugements sur la transparence du financement</w:t>
      </w:r>
      <w:bookmarkEnd w:id="218"/>
    </w:p>
    <w:tbl>
      <w:tblPr>
        <w:tblW w:w="99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4"/>
        <w:gridCol w:w="2955"/>
        <w:gridCol w:w="1403"/>
        <w:gridCol w:w="1235"/>
        <w:gridCol w:w="1679"/>
        <w:gridCol w:w="1772"/>
      </w:tblGrid>
      <w:tr w:rsidR="002210A7" w:rsidRPr="00D11D21" w14:paraId="31952589" w14:textId="77777777" w:rsidTr="00282FFC">
        <w:trPr>
          <w:cantSplit/>
          <w:trHeight w:val="470"/>
          <w:jc w:val="center"/>
        </w:trPr>
        <w:tc>
          <w:tcPr>
            <w:tcW w:w="3839" w:type="dxa"/>
            <w:gridSpan w:val="2"/>
            <w:tcBorders>
              <w:top w:val="single" w:sz="4" w:space="0" w:color="auto"/>
              <w:left w:val="single" w:sz="4" w:space="0" w:color="auto"/>
              <w:bottom w:val="single" w:sz="8" w:space="0" w:color="152935"/>
              <w:right w:val="nil"/>
            </w:tcBorders>
            <w:shd w:val="clear" w:color="auto" w:fill="FFFFFF"/>
            <w:vAlign w:val="bottom"/>
          </w:tcPr>
          <w:p w14:paraId="7425AAA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03" w:type="dxa"/>
            <w:tcBorders>
              <w:top w:val="single" w:sz="4" w:space="0" w:color="auto"/>
              <w:left w:val="nil"/>
              <w:bottom w:val="single" w:sz="8" w:space="0" w:color="152935"/>
              <w:right w:val="single" w:sz="8" w:space="0" w:color="E0E0E0"/>
            </w:tcBorders>
            <w:shd w:val="clear" w:color="auto" w:fill="FFFFFF"/>
            <w:vAlign w:val="bottom"/>
          </w:tcPr>
          <w:p w14:paraId="64103F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35"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E733F5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7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065217E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72" w:type="dxa"/>
            <w:tcBorders>
              <w:top w:val="single" w:sz="4" w:space="0" w:color="auto"/>
              <w:left w:val="single" w:sz="8" w:space="0" w:color="E0E0E0"/>
              <w:bottom w:val="single" w:sz="8" w:space="0" w:color="152935"/>
              <w:right w:val="single" w:sz="4" w:space="0" w:color="auto"/>
            </w:tcBorders>
            <w:shd w:val="clear" w:color="auto" w:fill="FFFFFF"/>
            <w:vAlign w:val="bottom"/>
          </w:tcPr>
          <w:p w14:paraId="166B688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56019B68" w14:textId="77777777" w:rsidTr="00282FFC">
        <w:trPr>
          <w:cantSplit/>
          <w:trHeight w:val="470"/>
          <w:jc w:val="center"/>
        </w:trPr>
        <w:tc>
          <w:tcPr>
            <w:tcW w:w="884" w:type="dxa"/>
            <w:vMerge w:val="restart"/>
            <w:tcBorders>
              <w:top w:val="single" w:sz="8" w:space="0" w:color="152935"/>
              <w:left w:val="single" w:sz="4" w:space="0" w:color="auto"/>
              <w:bottom w:val="single" w:sz="8" w:space="0" w:color="152935"/>
              <w:right w:val="nil"/>
            </w:tcBorders>
            <w:shd w:val="clear" w:color="auto" w:fill="E0E0E0"/>
          </w:tcPr>
          <w:p w14:paraId="41CDB83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954" w:type="dxa"/>
            <w:tcBorders>
              <w:top w:val="single" w:sz="8" w:space="0" w:color="152935"/>
              <w:left w:val="nil"/>
              <w:bottom w:val="single" w:sz="8" w:space="0" w:color="AEAEAE"/>
              <w:right w:val="nil"/>
            </w:tcBorders>
            <w:shd w:val="clear" w:color="auto" w:fill="E0E0E0"/>
          </w:tcPr>
          <w:p w14:paraId="0C21A9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Moyennement transparente</w:t>
            </w:r>
          </w:p>
        </w:tc>
        <w:tc>
          <w:tcPr>
            <w:tcW w:w="1403" w:type="dxa"/>
            <w:tcBorders>
              <w:top w:val="single" w:sz="8" w:space="0" w:color="152935"/>
              <w:left w:val="nil"/>
              <w:bottom w:val="single" w:sz="8" w:space="0" w:color="AEAEAE"/>
              <w:right w:val="single" w:sz="8" w:space="0" w:color="E0E0E0"/>
            </w:tcBorders>
            <w:shd w:val="clear" w:color="auto" w:fill="FFFFFF"/>
          </w:tcPr>
          <w:p w14:paraId="027E7BD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w:t>
            </w:r>
          </w:p>
        </w:tc>
        <w:tc>
          <w:tcPr>
            <w:tcW w:w="1235" w:type="dxa"/>
            <w:tcBorders>
              <w:top w:val="single" w:sz="8" w:space="0" w:color="152935"/>
              <w:left w:val="single" w:sz="8" w:space="0" w:color="E0E0E0"/>
              <w:bottom w:val="single" w:sz="8" w:space="0" w:color="AEAEAE"/>
              <w:right w:val="single" w:sz="8" w:space="0" w:color="E0E0E0"/>
            </w:tcBorders>
            <w:shd w:val="clear" w:color="auto" w:fill="FFFFFF"/>
          </w:tcPr>
          <w:p w14:paraId="4961F1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42,9</w:t>
            </w:r>
          </w:p>
        </w:tc>
        <w:tc>
          <w:tcPr>
            <w:tcW w:w="1679" w:type="dxa"/>
            <w:tcBorders>
              <w:top w:val="single" w:sz="8" w:space="0" w:color="152935"/>
              <w:left w:val="single" w:sz="8" w:space="0" w:color="E0E0E0"/>
              <w:bottom w:val="single" w:sz="8" w:space="0" w:color="AEAEAE"/>
              <w:right w:val="single" w:sz="8" w:space="0" w:color="E0E0E0"/>
            </w:tcBorders>
            <w:shd w:val="clear" w:color="auto" w:fill="FFFFFF"/>
          </w:tcPr>
          <w:p w14:paraId="4D71E22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42,9</w:t>
            </w:r>
          </w:p>
        </w:tc>
        <w:tc>
          <w:tcPr>
            <w:tcW w:w="1772" w:type="dxa"/>
            <w:tcBorders>
              <w:top w:val="single" w:sz="8" w:space="0" w:color="152935"/>
              <w:left w:val="single" w:sz="8" w:space="0" w:color="E0E0E0"/>
              <w:bottom w:val="single" w:sz="8" w:space="0" w:color="AEAEAE"/>
              <w:right w:val="single" w:sz="4" w:space="0" w:color="auto"/>
            </w:tcBorders>
            <w:shd w:val="clear" w:color="auto" w:fill="FFFFFF"/>
          </w:tcPr>
          <w:p w14:paraId="24FE975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42,9</w:t>
            </w:r>
          </w:p>
        </w:tc>
      </w:tr>
      <w:tr w:rsidR="002210A7" w:rsidRPr="00D11D21" w14:paraId="4957F924" w14:textId="77777777" w:rsidTr="00282FFC">
        <w:trPr>
          <w:cantSplit/>
          <w:trHeight w:val="81"/>
          <w:jc w:val="center"/>
        </w:trPr>
        <w:tc>
          <w:tcPr>
            <w:tcW w:w="884" w:type="dxa"/>
            <w:vMerge/>
            <w:tcBorders>
              <w:top w:val="single" w:sz="8" w:space="0" w:color="152935"/>
              <w:left w:val="single" w:sz="4" w:space="0" w:color="auto"/>
              <w:bottom w:val="single" w:sz="8" w:space="0" w:color="152935"/>
              <w:right w:val="nil"/>
            </w:tcBorders>
            <w:shd w:val="clear" w:color="auto" w:fill="E0E0E0"/>
          </w:tcPr>
          <w:p w14:paraId="16B3CFB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54" w:type="dxa"/>
            <w:tcBorders>
              <w:top w:val="single" w:sz="8" w:space="0" w:color="AEAEAE"/>
              <w:left w:val="nil"/>
              <w:bottom w:val="single" w:sz="8" w:space="0" w:color="AEAEAE"/>
              <w:right w:val="nil"/>
            </w:tcBorders>
            <w:shd w:val="clear" w:color="auto" w:fill="E0E0E0"/>
          </w:tcPr>
          <w:p w14:paraId="0B340D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Pas du tout transparente</w:t>
            </w:r>
          </w:p>
        </w:tc>
        <w:tc>
          <w:tcPr>
            <w:tcW w:w="1403" w:type="dxa"/>
            <w:tcBorders>
              <w:top w:val="single" w:sz="8" w:space="0" w:color="AEAEAE"/>
              <w:left w:val="nil"/>
              <w:bottom w:val="single" w:sz="8" w:space="0" w:color="AEAEAE"/>
              <w:right w:val="single" w:sz="8" w:space="0" w:color="E0E0E0"/>
            </w:tcBorders>
            <w:shd w:val="clear" w:color="auto" w:fill="FFFFFF"/>
          </w:tcPr>
          <w:p w14:paraId="6707E9C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235" w:type="dxa"/>
            <w:tcBorders>
              <w:top w:val="single" w:sz="8" w:space="0" w:color="AEAEAE"/>
              <w:left w:val="single" w:sz="8" w:space="0" w:color="E0E0E0"/>
              <w:bottom w:val="single" w:sz="8" w:space="0" w:color="AEAEAE"/>
              <w:right w:val="single" w:sz="8" w:space="0" w:color="E0E0E0"/>
            </w:tcBorders>
            <w:shd w:val="clear" w:color="auto" w:fill="FFFFFF"/>
          </w:tcPr>
          <w:p w14:paraId="35A09A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679" w:type="dxa"/>
            <w:tcBorders>
              <w:top w:val="single" w:sz="8" w:space="0" w:color="AEAEAE"/>
              <w:left w:val="single" w:sz="8" w:space="0" w:color="E0E0E0"/>
              <w:bottom w:val="single" w:sz="8" w:space="0" w:color="AEAEAE"/>
              <w:right w:val="single" w:sz="8" w:space="0" w:color="E0E0E0"/>
            </w:tcBorders>
            <w:shd w:val="clear" w:color="auto" w:fill="FFFFFF"/>
          </w:tcPr>
          <w:p w14:paraId="6D64B7A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772" w:type="dxa"/>
            <w:tcBorders>
              <w:top w:val="single" w:sz="8" w:space="0" w:color="AEAEAE"/>
              <w:left w:val="single" w:sz="8" w:space="0" w:color="E0E0E0"/>
              <w:bottom w:val="single" w:sz="8" w:space="0" w:color="AEAEAE"/>
              <w:right w:val="single" w:sz="4" w:space="0" w:color="auto"/>
            </w:tcBorders>
            <w:shd w:val="clear" w:color="auto" w:fill="FFFFFF"/>
          </w:tcPr>
          <w:p w14:paraId="4BE5C8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r>
      <w:tr w:rsidR="002210A7" w:rsidRPr="00D11D21" w14:paraId="70BB20F9" w14:textId="77777777" w:rsidTr="00282FFC">
        <w:trPr>
          <w:cantSplit/>
          <w:trHeight w:val="81"/>
          <w:jc w:val="center"/>
        </w:trPr>
        <w:tc>
          <w:tcPr>
            <w:tcW w:w="884" w:type="dxa"/>
            <w:vMerge/>
            <w:tcBorders>
              <w:top w:val="single" w:sz="8" w:space="0" w:color="152935"/>
              <w:left w:val="single" w:sz="4" w:space="0" w:color="auto"/>
              <w:bottom w:val="single" w:sz="8" w:space="0" w:color="152935"/>
              <w:right w:val="nil"/>
            </w:tcBorders>
            <w:shd w:val="clear" w:color="auto" w:fill="E0E0E0"/>
          </w:tcPr>
          <w:p w14:paraId="4EFDA3A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54" w:type="dxa"/>
            <w:tcBorders>
              <w:top w:val="single" w:sz="8" w:space="0" w:color="AEAEAE"/>
              <w:left w:val="nil"/>
              <w:bottom w:val="single" w:sz="8" w:space="0" w:color="AEAEAE"/>
              <w:right w:val="nil"/>
            </w:tcBorders>
            <w:shd w:val="clear" w:color="auto" w:fill="E0E0E0"/>
          </w:tcPr>
          <w:p w14:paraId="737C4C1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Peu transparente</w:t>
            </w:r>
          </w:p>
        </w:tc>
        <w:tc>
          <w:tcPr>
            <w:tcW w:w="1403" w:type="dxa"/>
            <w:tcBorders>
              <w:top w:val="single" w:sz="8" w:space="0" w:color="AEAEAE"/>
              <w:left w:val="nil"/>
              <w:bottom w:val="single" w:sz="8" w:space="0" w:color="AEAEAE"/>
              <w:right w:val="single" w:sz="8" w:space="0" w:color="E0E0E0"/>
            </w:tcBorders>
            <w:shd w:val="clear" w:color="auto" w:fill="FFFFFF"/>
          </w:tcPr>
          <w:p w14:paraId="02808D1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20</w:t>
            </w:r>
          </w:p>
        </w:tc>
        <w:tc>
          <w:tcPr>
            <w:tcW w:w="1235" w:type="dxa"/>
            <w:tcBorders>
              <w:top w:val="single" w:sz="8" w:space="0" w:color="AEAEAE"/>
              <w:left w:val="single" w:sz="8" w:space="0" w:color="E0E0E0"/>
              <w:bottom w:val="single" w:sz="8" w:space="0" w:color="AEAEAE"/>
              <w:right w:val="single" w:sz="8" w:space="0" w:color="E0E0E0"/>
            </w:tcBorders>
            <w:shd w:val="clear" w:color="auto" w:fill="FFFFFF"/>
          </w:tcPr>
          <w:p w14:paraId="18B25B3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c>
          <w:tcPr>
            <w:tcW w:w="1679" w:type="dxa"/>
            <w:tcBorders>
              <w:top w:val="single" w:sz="8" w:space="0" w:color="AEAEAE"/>
              <w:left w:val="single" w:sz="8" w:space="0" w:color="E0E0E0"/>
              <w:bottom w:val="single" w:sz="8" w:space="0" w:color="AEAEAE"/>
              <w:right w:val="single" w:sz="8" w:space="0" w:color="E0E0E0"/>
            </w:tcBorders>
            <w:shd w:val="clear" w:color="auto" w:fill="FFFFFF"/>
          </w:tcPr>
          <w:p w14:paraId="0D612F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c>
          <w:tcPr>
            <w:tcW w:w="1772" w:type="dxa"/>
            <w:tcBorders>
              <w:top w:val="single" w:sz="8" w:space="0" w:color="AEAEAE"/>
              <w:left w:val="single" w:sz="8" w:space="0" w:color="E0E0E0"/>
              <w:bottom w:val="single" w:sz="8" w:space="0" w:color="AEAEAE"/>
              <w:right w:val="single" w:sz="4" w:space="0" w:color="auto"/>
            </w:tcBorders>
            <w:shd w:val="clear" w:color="auto" w:fill="FFFFFF"/>
          </w:tcPr>
          <w:p w14:paraId="646779D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647D7FED" w14:textId="77777777" w:rsidTr="00282FFC">
        <w:trPr>
          <w:cantSplit/>
          <w:trHeight w:val="81"/>
          <w:jc w:val="center"/>
        </w:trPr>
        <w:tc>
          <w:tcPr>
            <w:tcW w:w="884" w:type="dxa"/>
            <w:vMerge/>
            <w:tcBorders>
              <w:top w:val="single" w:sz="8" w:space="0" w:color="152935"/>
              <w:left w:val="single" w:sz="4" w:space="0" w:color="auto"/>
              <w:bottom w:val="single" w:sz="4" w:space="0" w:color="auto"/>
              <w:right w:val="nil"/>
            </w:tcBorders>
            <w:shd w:val="clear" w:color="auto" w:fill="E0E0E0"/>
          </w:tcPr>
          <w:p w14:paraId="55ECDCC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954" w:type="dxa"/>
            <w:tcBorders>
              <w:top w:val="single" w:sz="8" w:space="0" w:color="AEAEAE"/>
              <w:left w:val="nil"/>
              <w:bottom w:val="single" w:sz="4" w:space="0" w:color="auto"/>
              <w:right w:val="nil"/>
            </w:tcBorders>
            <w:shd w:val="clear" w:color="auto" w:fill="E0E0E0"/>
          </w:tcPr>
          <w:p w14:paraId="7ADF977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03" w:type="dxa"/>
            <w:tcBorders>
              <w:top w:val="single" w:sz="8" w:space="0" w:color="AEAEAE"/>
              <w:left w:val="nil"/>
              <w:bottom w:val="single" w:sz="4" w:space="0" w:color="auto"/>
              <w:right w:val="single" w:sz="8" w:space="0" w:color="E0E0E0"/>
            </w:tcBorders>
            <w:shd w:val="clear" w:color="auto" w:fill="FFFFFF"/>
          </w:tcPr>
          <w:p w14:paraId="6EC3694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235" w:type="dxa"/>
            <w:tcBorders>
              <w:top w:val="single" w:sz="8" w:space="0" w:color="AEAEAE"/>
              <w:left w:val="single" w:sz="8" w:space="0" w:color="E0E0E0"/>
              <w:bottom w:val="single" w:sz="4" w:space="0" w:color="auto"/>
              <w:right w:val="single" w:sz="8" w:space="0" w:color="E0E0E0"/>
            </w:tcBorders>
            <w:shd w:val="clear" w:color="auto" w:fill="FFFFFF"/>
          </w:tcPr>
          <w:p w14:paraId="59AAC5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79" w:type="dxa"/>
            <w:tcBorders>
              <w:top w:val="single" w:sz="8" w:space="0" w:color="AEAEAE"/>
              <w:left w:val="single" w:sz="8" w:space="0" w:color="E0E0E0"/>
              <w:bottom w:val="single" w:sz="4" w:space="0" w:color="auto"/>
              <w:right w:val="single" w:sz="8" w:space="0" w:color="E0E0E0"/>
            </w:tcBorders>
            <w:shd w:val="clear" w:color="auto" w:fill="FFFFFF"/>
          </w:tcPr>
          <w:p w14:paraId="0758371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72" w:type="dxa"/>
            <w:tcBorders>
              <w:top w:val="single" w:sz="8" w:space="0" w:color="AEAEAE"/>
              <w:left w:val="single" w:sz="8" w:space="0" w:color="E0E0E0"/>
              <w:bottom w:val="single" w:sz="4" w:space="0" w:color="auto"/>
              <w:right w:val="single" w:sz="4" w:space="0" w:color="auto"/>
            </w:tcBorders>
            <w:shd w:val="clear" w:color="auto" w:fill="FFFFFF"/>
            <w:vAlign w:val="center"/>
          </w:tcPr>
          <w:p w14:paraId="5E46FDA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236179F3" w14:textId="77777777" w:rsidR="00480CC0"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bookmarkStart w:id="219" w:name="_Toc200210092"/>
    </w:p>
    <w:p w14:paraId="0C0FC72B" w14:textId="33BAE149" w:rsidR="003C1C8A" w:rsidRPr="00D11D21" w:rsidRDefault="003C1C8A"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Figure </w:t>
      </w:r>
      <w:r w:rsidRPr="00D11D21">
        <w:rPr>
          <w:rFonts w:asciiTheme="majorBidi" w:hAnsiTheme="majorBidi" w:cstheme="majorBidi"/>
          <w:szCs w:val="24"/>
        </w:rPr>
        <w:fldChar w:fldCharType="begin"/>
      </w:r>
      <w:r w:rsidRPr="00D11D21">
        <w:rPr>
          <w:rFonts w:asciiTheme="majorBidi" w:hAnsiTheme="majorBidi" w:cstheme="majorBidi"/>
          <w:szCs w:val="24"/>
        </w:rPr>
        <w:instrText xml:space="preserve"> SEQ Figure \* ARABIC </w:instrText>
      </w:r>
      <w:r w:rsidRPr="00D11D21">
        <w:rPr>
          <w:rFonts w:asciiTheme="majorBidi" w:hAnsiTheme="majorBidi" w:cstheme="majorBidi"/>
          <w:szCs w:val="24"/>
        </w:rPr>
        <w:fldChar w:fldCharType="separate"/>
      </w:r>
      <w:r w:rsidR="001679A8" w:rsidRPr="00D11D21">
        <w:rPr>
          <w:rFonts w:asciiTheme="majorBidi" w:hAnsiTheme="majorBidi" w:cstheme="majorBidi"/>
          <w:noProof/>
          <w:szCs w:val="24"/>
        </w:rPr>
        <w:t>25</w:t>
      </w:r>
      <w:r w:rsidRPr="00D11D21">
        <w:rPr>
          <w:rFonts w:asciiTheme="majorBidi" w:hAnsiTheme="majorBidi" w:cstheme="majorBidi"/>
          <w:szCs w:val="24"/>
        </w:rPr>
        <w:fldChar w:fldCharType="end"/>
      </w:r>
      <w:r w:rsidRPr="00D11D21">
        <w:rPr>
          <w:rFonts w:asciiTheme="majorBidi" w:hAnsiTheme="majorBidi" w:cstheme="majorBidi"/>
          <w:szCs w:val="24"/>
        </w:rPr>
        <w:t xml:space="preserve"> : Répartition des jugements sur la transparence du financement</w:t>
      </w:r>
      <w:bookmarkEnd w:id="219"/>
    </w:p>
    <w:p w14:paraId="33531232" w14:textId="57620EF4"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01C4CCA0" wp14:editId="5D7DF17B">
            <wp:extent cx="3727374" cy="2047875"/>
            <wp:effectExtent l="0" t="0" r="6985" b="0"/>
            <wp:docPr id="191" name="Imag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6679"/>
                    <a:stretch/>
                  </pic:blipFill>
                  <pic:spPr bwMode="auto">
                    <a:xfrm>
                      <a:off x="0" y="0"/>
                      <a:ext cx="3767847" cy="2070112"/>
                    </a:xfrm>
                    <a:prstGeom prst="rect">
                      <a:avLst/>
                    </a:prstGeom>
                    <a:noFill/>
                    <a:ln>
                      <a:noFill/>
                    </a:ln>
                    <a:extLst>
                      <a:ext uri="{53640926-AAD7-44D8-BBD7-CCE9431645EC}">
                        <a14:shadowObscured xmlns:a14="http://schemas.microsoft.com/office/drawing/2010/main"/>
                      </a:ext>
                    </a:extLst>
                  </pic:spPr>
                </pic:pic>
              </a:graphicData>
            </a:graphic>
          </wp:inline>
        </w:drawing>
      </w:r>
    </w:p>
    <w:p w14:paraId="7938DF77" w14:textId="3D1DDEF1" w:rsidR="00433756"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lastRenderedPageBreak/>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3587B485"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2251A2C"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La perception globale du processus de financement est largement négative :</w:t>
      </w:r>
    </w:p>
    <w:p w14:paraId="5469EB3E" w14:textId="77777777" w:rsidR="002210A7" w:rsidRPr="00D11D21" w:rsidRDefault="002210A7" w:rsidP="00D11D21">
      <w:pPr>
        <w:numPr>
          <w:ilvl w:val="0"/>
          <w:numId w:val="57"/>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Aucune des personnes interrogées ne le considère comme totalement transparent.</w:t>
      </w:r>
    </w:p>
    <w:p w14:paraId="7E727A84" w14:textId="77777777" w:rsidR="002210A7" w:rsidRPr="00D11D21" w:rsidRDefault="002210A7" w:rsidP="00D11D21">
      <w:pPr>
        <w:numPr>
          <w:ilvl w:val="0"/>
          <w:numId w:val="57"/>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Près de 90 % des répondants jugent le processus peu ou moyennement transparent, ce qui met en évidence un manque de clarté ou de visibilité dans la gestion des financements.</w:t>
      </w:r>
    </w:p>
    <w:p w14:paraId="27A78ACC" w14:textId="53591E65" w:rsidR="002210A7" w:rsidRPr="005C3BEE" w:rsidRDefault="002210A7" w:rsidP="005C3BEE">
      <w:pPr>
        <w:numPr>
          <w:ilvl w:val="0"/>
          <w:numId w:val="57"/>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Cela suggère une nécessité d’améliorer la communication et la transparence autour des mécanismes budgétaires.</w:t>
      </w:r>
    </w:p>
    <w:p w14:paraId="61847C7D" w14:textId="2A2B7E9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4 :</w:t>
      </w:r>
      <w:r w:rsidRPr="00D11D21">
        <w:rPr>
          <w:rFonts w:asciiTheme="majorBidi" w:hAnsiTheme="majorBidi" w:cstheme="majorBidi"/>
          <w:b/>
          <w:bCs/>
          <w:color w:val="000000" w:themeColor="text1"/>
          <w:szCs w:val="24"/>
        </w:rPr>
        <w:t xml:space="preserve"> Quels sont les principaux défis liés au financement dans votre établissement ?</w:t>
      </w:r>
    </w:p>
    <w:p w14:paraId="32A8B315" w14:textId="6C7FF640" w:rsidR="002210A7" w:rsidRPr="00D11D21" w:rsidRDefault="00485947" w:rsidP="00D11D21">
      <w:pPr>
        <w:pStyle w:val="Lgende"/>
        <w:keepNext/>
        <w:spacing w:line="360" w:lineRule="auto"/>
        <w:jc w:val="both"/>
        <w:rPr>
          <w:rFonts w:asciiTheme="majorBidi" w:hAnsiTheme="majorBidi" w:cstheme="majorBidi"/>
          <w:color w:val="auto"/>
          <w:sz w:val="24"/>
          <w:szCs w:val="24"/>
        </w:rPr>
      </w:pPr>
      <w:bookmarkStart w:id="220" w:name="_Toc200210138"/>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30</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principaux défis liés au financement</w:t>
      </w:r>
      <w:bookmarkEnd w:id="220"/>
    </w:p>
    <w:tbl>
      <w:tblPr>
        <w:tblW w:w="94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6"/>
        <w:gridCol w:w="2824"/>
        <w:gridCol w:w="1342"/>
        <w:gridCol w:w="1181"/>
        <w:gridCol w:w="1606"/>
        <w:gridCol w:w="1694"/>
      </w:tblGrid>
      <w:tr w:rsidR="002210A7" w:rsidRPr="00D11D21" w14:paraId="54D96C41" w14:textId="77777777" w:rsidTr="00282FFC">
        <w:trPr>
          <w:cantSplit/>
          <w:trHeight w:val="630"/>
          <w:jc w:val="center"/>
        </w:trPr>
        <w:tc>
          <w:tcPr>
            <w:tcW w:w="3670" w:type="dxa"/>
            <w:gridSpan w:val="2"/>
            <w:tcBorders>
              <w:top w:val="single" w:sz="4" w:space="0" w:color="auto"/>
              <w:left w:val="single" w:sz="4" w:space="0" w:color="auto"/>
              <w:bottom w:val="single" w:sz="8" w:space="0" w:color="152935"/>
              <w:right w:val="nil"/>
            </w:tcBorders>
            <w:shd w:val="clear" w:color="auto" w:fill="FFFFFF"/>
            <w:vAlign w:val="bottom"/>
          </w:tcPr>
          <w:p w14:paraId="0CEB072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42" w:type="dxa"/>
            <w:tcBorders>
              <w:top w:val="single" w:sz="4" w:space="0" w:color="auto"/>
              <w:left w:val="nil"/>
              <w:bottom w:val="single" w:sz="8" w:space="0" w:color="152935"/>
              <w:right w:val="single" w:sz="8" w:space="0" w:color="E0E0E0"/>
            </w:tcBorders>
            <w:shd w:val="clear" w:color="auto" w:fill="FFFFFF"/>
            <w:vAlign w:val="bottom"/>
          </w:tcPr>
          <w:p w14:paraId="2F7DDA1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18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0A24F21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06"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668ED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694" w:type="dxa"/>
            <w:tcBorders>
              <w:top w:val="single" w:sz="4" w:space="0" w:color="auto"/>
              <w:left w:val="single" w:sz="8" w:space="0" w:color="E0E0E0"/>
              <w:bottom w:val="single" w:sz="8" w:space="0" w:color="152935"/>
              <w:right w:val="single" w:sz="4" w:space="0" w:color="auto"/>
            </w:tcBorders>
            <w:shd w:val="clear" w:color="auto" w:fill="FFFFFF"/>
            <w:vAlign w:val="bottom"/>
          </w:tcPr>
          <w:p w14:paraId="427670F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26A5C9BD" w14:textId="77777777" w:rsidTr="00282FFC">
        <w:trPr>
          <w:cantSplit/>
          <w:trHeight w:val="315"/>
          <w:jc w:val="center"/>
        </w:trPr>
        <w:tc>
          <w:tcPr>
            <w:tcW w:w="846" w:type="dxa"/>
            <w:vMerge w:val="restart"/>
            <w:tcBorders>
              <w:top w:val="single" w:sz="8" w:space="0" w:color="152935"/>
              <w:left w:val="single" w:sz="4" w:space="0" w:color="auto"/>
              <w:bottom w:val="single" w:sz="8" w:space="0" w:color="152935"/>
              <w:right w:val="nil"/>
            </w:tcBorders>
            <w:shd w:val="clear" w:color="auto" w:fill="E0E0E0"/>
          </w:tcPr>
          <w:p w14:paraId="341AEB5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824" w:type="dxa"/>
            <w:tcBorders>
              <w:top w:val="single" w:sz="8" w:space="0" w:color="152935"/>
              <w:left w:val="nil"/>
              <w:bottom w:val="single" w:sz="8" w:space="0" w:color="AEAEAE"/>
              <w:right w:val="nil"/>
            </w:tcBorders>
            <w:shd w:val="clear" w:color="auto" w:fill="E0E0E0"/>
          </w:tcPr>
          <w:p w14:paraId="07C3D19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Insuffisance des budgets</w:t>
            </w:r>
          </w:p>
        </w:tc>
        <w:tc>
          <w:tcPr>
            <w:tcW w:w="1342" w:type="dxa"/>
            <w:tcBorders>
              <w:top w:val="single" w:sz="8" w:space="0" w:color="152935"/>
              <w:left w:val="nil"/>
              <w:bottom w:val="single" w:sz="8" w:space="0" w:color="AEAEAE"/>
              <w:right w:val="single" w:sz="8" w:space="0" w:color="E0E0E0"/>
            </w:tcBorders>
            <w:shd w:val="clear" w:color="auto" w:fill="FFFFFF"/>
          </w:tcPr>
          <w:p w14:paraId="7E4B2A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181" w:type="dxa"/>
            <w:tcBorders>
              <w:top w:val="single" w:sz="8" w:space="0" w:color="152935"/>
              <w:left w:val="single" w:sz="8" w:space="0" w:color="E0E0E0"/>
              <w:bottom w:val="single" w:sz="8" w:space="0" w:color="AEAEAE"/>
              <w:right w:val="single" w:sz="8" w:space="0" w:color="E0E0E0"/>
            </w:tcBorders>
            <w:shd w:val="clear" w:color="auto" w:fill="FFFFFF"/>
          </w:tcPr>
          <w:p w14:paraId="2499ED8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606" w:type="dxa"/>
            <w:tcBorders>
              <w:top w:val="single" w:sz="8" w:space="0" w:color="152935"/>
              <w:left w:val="single" w:sz="8" w:space="0" w:color="E0E0E0"/>
              <w:bottom w:val="single" w:sz="8" w:space="0" w:color="AEAEAE"/>
              <w:right w:val="single" w:sz="8" w:space="0" w:color="E0E0E0"/>
            </w:tcBorders>
            <w:shd w:val="clear" w:color="auto" w:fill="FFFFFF"/>
          </w:tcPr>
          <w:p w14:paraId="403AFB3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694" w:type="dxa"/>
            <w:tcBorders>
              <w:top w:val="single" w:sz="8" w:space="0" w:color="152935"/>
              <w:left w:val="single" w:sz="8" w:space="0" w:color="E0E0E0"/>
              <w:bottom w:val="single" w:sz="8" w:space="0" w:color="AEAEAE"/>
              <w:right w:val="single" w:sz="4" w:space="0" w:color="auto"/>
            </w:tcBorders>
            <w:shd w:val="clear" w:color="auto" w:fill="FFFFFF"/>
          </w:tcPr>
          <w:p w14:paraId="31C3266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r>
      <w:tr w:rsidR="002210A7" w:rsidRPr="00D11D21" w14:paraId="168372A8" w14:textId="77777777" w:rsidTr="00282FFC">
        <w:trPr>
          <w:cantSplit/>
          <w:trHeight w:val="109"/>
          <w:jc w:val="center"/>
        </w:trPr>
        <w:tc>
          <w:tcPr>
            <w:tcW w:w="846" w:type="dxa"/>
            <w:vMerge/>
            <w:tcBorders>
              <w:top w:val="single" w:sz="8" w:space="0" w:color="152935"/>
              <w:left w:val="single" w:sz="4" w:space="0" w:color="auto"/>
              <w:bottom w:val="single" w:sz="8" w:space="0" w:color="152935"/>
              <w:right w:val="nil"/>
            </w:tcBorders>
            <w:shd w:val="clear" w:color="auto" w:fill="E0E0E0"/>
          </w:tcPr>
          <w:p w14:paraId="41391C9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24" w:type="dxa"/>
            <w:tcBorders>
              <w:top w:val="single" w:sz="8" w:space="0" w:color="AEAEAE"/>
              <w:left w:val="nil"/>
              <w:bottom w:val="single" w:sz="8" w:space="0" w:color="AEAEAE"/>
              <w:right w:val="nil"/>
            </w:tcBorders>
            <w:shd w:val="clear" w:color="auto" w:fill="E0E0E0"/>
          </w:tcPr>
          <w:p w14:paraId="470AD14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Manque de visibilité sur les fonds</w:t>
            </w:r>
          </w:p>
        </w:tc>
        <w:tc>
          <w:tcPr>
            <w:tcW w:w="1342" w:type="dxa"/>
            <w:tcBorders>
              <w:top w:val="single" w:sz="8" w:space="0" w:color="AEAEAE"/>
              <w:left w:val="nil"/>
              <w:bottom w:val="single" w:sz="8" w:space="0" w:color="AEAEAE"/>
              <w:right w:val="single" w:sz="8" w:space="0" w:color="E0E0E0"/>
            </w:tcBorders>
            <w:shd w:val="clear" w:color="auto" w:fill="FFFFFF"/>
          </w:tcPr>
          <w:p w14:paraId="050A82E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181" w:type="dxa"/>
            <w:tcBorders>
              <w:top w:val="single" w:sz="8" w:space="0" w:color="AEAEAE"/>
              <w:left w:val="single" w:sz="8" w:space="0" w:color="E0E0E0"/>
              <w:bottom w:val="single" w:sz="8" w:space="0" w:color="AEAEAE"/>
              <w:right w:val="single" w:sz="8" w:space="0" w:color="E0E0E0"/>
            </w:tcBorders>
            <w:shd w:val="clear" w:color="auto" w:fill="FFFFFF"/>
          </w:tcPr>
          <w:p w14:paraId="7F4BCA8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606" w:type="dxa"/>
            <w:tcBorders>
              <w:top w:val="single" w:sz="8" w:space="0" w:color="AEAEAE"/>
              <w:left w:val="single" w:sz="8" w:space="0" w:color="E0E0E0"/>
              <w:bottom w:val="single" w:sz="8" w:space="0" w:color="AEAEAE"/>
              <w:right w:val="single" w:sz="8" w:space="0" w:color="E0E0E0"/>
            </w:tcBorders>
            <w:shd w:val="clear" w:color="auto" w:fill="FFFFFF"/>
          </w:tcPr>
          <w:p w14:paraId="19A580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694" w:type="dxa"/>
            <w:tcBorders>
              <w:top w:val="single" w:sz="8" w:space="0" w:color="AEAEAE"/>
              <w:left w:val="single" w:sz="8" w:space="0" w:color="E0E0E0"/>
              <w:bottom w:val="single" w:sz="8" w:space="0" w:color="AEAEAE"/>
              <w:right w:val="single" w:sz="4" w:space="0" w:color="auto"/>
            </w:tcBorders>
            <w:shd w:val="clear" w:color="auto" w:fill="FFFFFF"/>
          </w:tcPr>
          <w:p w14:paraId="7D35DD9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r>
      <w:tr w:rsidR="002210A7" w:rsidRPr="00D11D21" w14:paraId="0231E8C4" w14:textId="77777777" w:rsidTr="00282FFC">
        <w:trPr>
          <w:cantSplit/>
          <w:trHeight w:val="109"/>
          <w:jc w:val="center"/>
        </w:trPr>
        <w:tc>
          <w:tcPr>
            <w:tcW w:w="846" w:type="dxa"/>
            <w:vMerge/>
            <w:tcBorders>
              <w:top w:val="single" w:sz="8" w:space="0" w:color="152935"/>
              <w:left w:val="single" w:sz="4" w:space="0" w:color="auto"/>
              <w:bottom w:val="single" w:sz="8" w:space="0" w:color="152935"/>
              <w:right w:val="nil"/>
            </w:tcBorders>
            <w:shd w:val="clear" w:color="auto" w:fill="E0E0E0"/>
          </w:tcPr>
          <w:p w14:paraId="4BD2478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24" w:type="dxa"/>
            <w:tcBorders>
              <w:top w:val="single" w:sz="8" w:space="0" w:color="AEAEAE"/>
              <w:left w:val="nil"/>
              <w:bottom w:val="single" w:sz="8" w:space="0" w:color="AEAEAE"/>
              <w:right w:val="nil"/>
            </w:tcBorders>
            <w:shd w:val="clear" w:color="auto" w:fill="E0E0E0"/>
          </w:tcPr>
          <w:p w14:paraId="5D0E34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Retards de versement</w:t>
            </w:r>
          </w:p>
        </w:tc>
        <w:tc>
          <w:tcPr>
            <w:tcW w:w="1342" w:type="dxa"/>
            <w:tcBorders>
              <w:top w:val="single" w:sz="8" w:space="0" w:color="AEAEAE"/>
              <w:left w:val="nil"/>
              <w:bottom w:val="single" w:sz="8" w:space="0" w:color="AEAEAE"/>
              <w:right w:val="single" w:sz="8" w:space="0" w:color="E0E0E0"/>
            </w:tcBorders>
            <w:shd w:val="clear" w:color="auto" w:fill="FFFFFF"/>
          </w:tcPr>
          <w:p w14:paraId="04F07B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17</w:t>
            </w:r>
          </w:p>
        </w:tc>
        <w:tc>
          <w:tcPr>
            <w:tcW w:w="1181" w:type="dxa"/>
            <w:tcBorders>
              <w:top w:val="single" w:sz="8" w:space="0" w:color="AEAEAE"/>
              <w:left w:val="single" w:sz="8" w:space="0" w:color="E0E0E0"/>
              <w:bottom w:val="single" w:sz="8" w:space="0" w:color="AEAEAE"/>
              <w:right w:val="single" w:sz="8" w:space="0" w:color="E0E0E0"/>
            </w:tcBorders>
            <w:shd w:val="clear" w:color="auto" w:fill="FFFFFF"/>
          </w:tcPr>
          <w:p w14:paraId="18B7B80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40,5</w:t>
            </w:r>
          </w:p>
        </w:tc>
        <w:tc>
          <w:tcPr>
            <w:tcW w:w="1606" w:type="dxa"/>
            <w:tcBorders>
              <w:top w:val="single" w:sz="8" w:space="0" w:color="AEAEAE"/>
              <w:left w:val="single" w:sz="8" w:space="0" w:color="E0E0E0"/>
              <w:bottom w:val="single" w:sz="8" w:space="0" w:color="AEAEAE"/>
              <w:right w:val="single" w:sz="8" w:space="0" w:color="E0E0E0"/>
            </w:tcBorders>
            <w:shd w:val="clear" w:color="auto" w:fill="FFFFFF"/>
          </w:tcPr>
          <w:p w14:paraId="5B1BCA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40,5</w:t>
            </w:r>
          </w:p>
        </w:tc>
        <w:tc>
          <w:tcPr>
            <w:tcW w:w="1694" w:type="dxa"/>
            <w:tcBorders>
              <w:top w:val="single" w:sz="8" w:space="0" w:color="AEAEAE"/>
              <w:left w:val="single" w:sz="8" w:space="0" w:color="E0E0E0"/>
              <w:bottom w:val="single" w:sz="8" w:space="0" w:color="AEAEAE"/>
              <w:right w:val="single" w:sz="4" w:space="0" w:color="auto"/>
            </w:tcBorders>
            <w:shd w:val="clear" w:color="auto" w:fill="FFFFFF"/>
          </w:tcPr>
          <w:p w14:paraId="5423F31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76,2</w:t>
            </w:r>
          </w:p>
        </w:tc>
      </w:tr>
      <w:tr w:rsidR="002210A7" w:rsidRPr="00D11D21" w14:paraId="3A3D5AF9" w14:textId="77777777" w:rsidTr="00282FFC">
        <w:trPr>
          <w:cantSplit/>
          <w:trHeight w:val="109"/>
          <w:jc w:val="center"/>
        </w:trPr>
        <w:tc>
          <w:tcPr>
            <w:tcW w:w="846" w:type="dxa"/>
            <w:vMerge/>
            <w:tcBorders>
              <w:top w:val="single" w:sz="8" w:space="0" w:color="152935"/>
              <w:left w:val="single" w:sz="4" w:space="0" w:color="auto"/>
              <w:bottom w:val="single" w:sz="8" w:space="0" w:color="152935"/>
              <w:right w:val="nil"/>
            </w:tcBorders>
            <w:shd w:val="clear" w:color="auto" w:fill="E0E0E0"/>
          </w:tcPr>
          <w:p w14:paraId="4FBB632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24" w:type="dxa"/>
            <w:tcBorders>
              <w:top w:val="single" w:sz="8" w:space="0" w:color="AEAEAE"/>
              <w:left w:val="nil"/>
              <w:bottom w:val="single" w:sz="8" w:space="0" w:color="AEAEAE"/>
              <w:right w:val="nil"/>
            </w:tcBorders>
            <w:shd w:val="clear" w:color="auto" w:fill="E0E0E0"/>
          </w:tcPr>
          <w:p w14:paraId="62D7684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Rigidité des procédures</w:t>
            </w:r>
          </w:p>
        </w:tc>
        <w:tc>
          <w:tcPr>
            <w:tcW w:w="1342" w:type="dxa"/>
            <w:tcBorders>
              <w:top w:val="single" w:sz="8" w:space="0" w:color="AEAEAE"/>
              <w:left w:val="nil"/>
              <w:bottom w:val="single" w:sz="8" w:space="0" w:color="AEAEAE"/>
              <w:right w:val="single" w:sz="8" w:space="0" w:color="E0E0E0"/>
            </w:tcBorders>
            <w:shd w:val="clear" w:color="auto" w:fill="FFFFFF"/>
          </w:tcPr>
          <w:p w14:paraId="7CC80A2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w:t>
            </w:r>
          </w:p>
        </w:tc>
        <w:tc>
          <w:tcPr>
            <w:tcW w:w="1181" w:type="dxa"/>
            <w:tcBorders>
              <w:top w:val="single" w:sz="8" w:space="0" w:color="AEAEAE"/>
              <w:left w:val="single" w:sz="8" w:space="0" w:color="E0E0E0"/>
              <w:bottom w:val="single" w:sz="8" w:space="0" w:color="AEAEAE"/>
              <w:right w:val="single" w:sz="8" w:space="0" w:color="E0E0E0"/>
            </w:tcBorders>
            <w:shd w:val="clear" w:color="auto" w:fill="FFFFFF"/>
          </w:tcPr>
          <w:p w14:paraId="2139D03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23,8</w:t>
            </w:r>
          </w:p>
        </w:tc>
        <w:tc>
          <w:tcPr>
            <w:tcW w:w="1606" w:type="dxa"/>
            <w:tcBorders>
              <w:top w:val="single" w:sz="8" w:space="0" w:color="AEAEAE"/>
              <w:left w:val="single" w:sz="8" w:space="0" w:color="E0E0E0"/>
              <w:bottom w:val="single" w:sz="8" w:space="0" w:color="AEAEAE"/>
              <w:right w:val="single" w:sz="8" w:space="0" w:color="E0E0E0"/>
            </w:tcBorders>
            <w:shd w:val="clear" w:color="auto" w:fill="FFFFFF"/>
          </w:tcPr>
          <w:p w14:paraId="41F565E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23,8</w:t>
            </w:r>
          </w:p>
        </w:tc>
        <w:tc>
          <w:tcPr>
            <w:tcW w:w="1694" w:type="dxa"/>
            <w:tcBorders>
              <w:top w:val="single" w:sz="8" w:space="0" w:color="AEAEAE"/>
              <w:left w:val="single" w:sz="8" w:space="0" w:color="E0E0E0"/>
              <w:bottom w:val="single" w:sz="8" w:space="0" w:color="AEAEAE"/>
              <w:right w:val="single" w:sz="4" w:space="0" w:color="auto"/>
            </w:tcBorders>
            <w:shd w:val="clear" w:color="auto" w:fill="FFFFFF"/>
          </w:tcPr>
          <w:p w14:paraId="7E5266C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4BC1D402" w14:textId="77777777" w:rsidTr="00282FFC">
        <w:trPr>
          <w:cantSplit/>
          <w:trHeight w:val="109"/>
          <w:jc w:val="center"/>
        </w:trPr>
        <w:tc>
          <w:tcPr>
            <w:tcW w:w="846" w:type="dxa"/>
            <w:vMerge/>
            <w:tcBorders>
              <w:top w:val="single" w:sz="8" w:space="0" w:color="152935"/>
              <w:left w:val="single" w:sz="4" w:space="0" w:color="auto"/>
              <w:bottom w:val="single" w:sz="4" w:space="0" w:color="auto"/>
              <w:right w:val="nil"/>
            </w:tcBorders>
            <w:shd w:val="clear" w:color="auto" w:fill="E0E0E0"/>
          </w:tcPr>
          <w:p w14:paraId="5ED7E05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24" w:type="dxa"/>
            <w:tcBorders>
              <w:top w:val="single" w:sz="8" w:space="0" w:color="AEAEAE"/>
              <w:left w:val="nil"/>
              <w:bottom w:val="single" w:sz="4" w:space="0" w:color="auto"/>
              <w:right w:val="nil"/>
            </w:tcBorders>
            <w:shd w:val="clear" w:color="auto" w:fill="E0E0E0"/>
          </w:tcPr>
          <w:p w14:paraId="1AC65A4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42" w:type="dxa"/>
            <w:tcBorders>
              <w:top w:val="single" w:sz="8" w:space="0" w:color="AEAEAE"/>
              <w:left w:val="nil"/>
              <w:bottom w:val="single" w:sz="4" w:space="0" w:color="auto"/>
              <w:right w:val="single" w:sz="8" w:space="0" w:color="E0E0E0"/>
            </w:tcBorders>
            <w:shd w:val="clear" w:color="auto" w:fill="FFFFFF"/>
          </w:tcPr>
          <w:p w14:paraId="4682F6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181" w:type="dxa"/>
            <w:tcBorders>
              <w:top w:val="single" w:sz="8" w:space="0" w:color="AEAEAE"/>
              <w:left w:val="single" w:sz="8" w:space="0" w:color="E0E0E0"/>
              <w:bottom w:val="single" w:sz="4" w:space="0" w:color="auto"/>
              <w:right w:val="single" w:sz="8" w:space="0" w:color="E0E0E0"/>
            </w:tcBorders>
            <w:shd w:val="clear" w:color="auto" w:fill="FFFFFF"/>
          </w:tcPr>
          <w:p w14:paraId="293CD40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06" w:type="dxa"/>
            <w:tcBorders>
              <w:top w:val="single" w:sz="8" w:space="0" w:color="AEAEAE"/>
              <w:left w:val="single" w:sz="8" w:space="0" w:color="E0E0E0"/>
              <w:bottom w:val="single" w:sz="4" w:space="0" w:color="auto"/>
              <w:right w:val="single" w:sz="8" w:space="0" w:color="E0E0E0"/>
            </w:tcBorders>
            <w:shd w:val="clear" w:color="auto" w:fill="FFFFFF"/>
          </w:tcPr>
          <w:p w14:paraId="1D9F2AA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94" w:type="dxa"/>
            <w:tcBorders>
              <w:top w:val="single" w:sz="8" w:space="0" w:color="AEAEAE"/>
              <w:left w:val="single" w:sz="8" w:space="0" w:color="E0E0E0"/>
              <w:bottom w:val="single" w:sz="4" w:space="0" w:color="auto"/>
              <w:right w:val="single" w:sz="4" w:space="0" w:color="auto"/>
            </w:tcBorders>
            <w:shd w:val="clear" w:color="auto" w:fill="FFFFFF"/>
            <w:vAlign w:val="center"/>
          </w:tcPr>
          <w:p w14:paraId="7E34D44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65EF2D9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1289E08C" w14:textId="5EA58691" w:rsidR="002210A7" w:rsidRPr="00D11D21" w:rsidRDefault="00002E1E" w:rsidP="00D11D21">
      <w:pPr>
        <w:pStyle w:val="Lgende"/>
        <w:keepNext/>
        <w:spacing w:line="360" w:lineRule="auto"/>
        <w:jc w:val="both"/>
        <w:rPr>
          <w:rFonts w:asciiTheme="majorBidi" w:hAnsiTheme="majorBidi" w:cstheme="majorBidi"/>
          <w:color w:val="auto"/>
          <w:sz w:val="24"/>
          <w:szCs w:val="24"/>
        </w:rPr>
      </w:pPr>
      <w:bookmarkStart w:id="221" w:name="_Toc200210093"/>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principaux défis liés au financement</w:t>
      </w:r>
      <w:bookmarkEnd w:id="221"/>
    </w:p>
    <w:p w14:paraId="6E914D7F" w14:textId="29AD3C32"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4C673D8F" wp14:editId="184B63CF">
            <wp:extent cx="4352925" cy="2396191"/>
            <wp:effectExtent l="0" t="0" r="0" b="4445"/>
            <wp:docPr id="192" name="Imag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39">
                      <a:extLst>
                        <a:ext uri="{28A0092B-C50C-407E-A947-70E740481C1C}">
                          <a14:useLocalDpi xmlns:a14="http://schemas.microsoft.com/office/drawing/2010/main" val="0"/>
                        </a:ext>
                      </a:extLst>
                    </a:blip>
                    <a:srcRect t="6498"/>
                    <a:stretch/>
                  </pic:blipFill>
                  <pic:spPr bwMode="auto">
                    <a:xfrm>
                      <a:off x="0" y="0"/>
                      <a:ext cx="4400630" cy="2422452"/>
                    </a:xfrm>
                    <a:prstGeom prst="rect">
                      <a:avLst/>
                    </a:prstGeom>
                    <a:noFill/>
                    <a:ln>
                      <a:noFill/>
                    </a:ln>
                    <a:extLst>
                      <a:ext uri="{53640926-AAD7-44D8-BBD7-CCE9431645EC}">
                        <a14:shadowObscured xmlns:a14="http://schemas.microsoft.com/office/drawing/2010/main"/>
                      </a:ext>
                    </a:extLst>
                  </pic:spPr>
                </pic:pic>
              </a:graphicData>
            </a:graphic>
          </wp:inline>
        </w:drawing>
      </w:r>
    </w:p>
    <w:p w14:paraId="40A46F4D" w14:textId="2080A6B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7F4EA965"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18D9BD5" w14:textId="706F917D" w:rsidR="002210A7" w:rsidRPr="00D11D21" w:rsidRDefault="002210A7" w:rsidP="00772AE8">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lastRenderedPageBreak/>
        <w:t>Le principal défi rencontré par les établissements est lié aux retards dans le versement des fonds, suivi par une insuffisance budgétaire et la rigidité des procédures. Le manque de visibilité est moins souvent mentionné, mais il reste un point de préoccupation. Ces résultats indiquent une nécessité d’optimiser la fluidité, la transparence et la flexibilité du financement pour améliorer la gestion</w:t>
      </w:r>
      <w:r w:rsidR="00772AE8">
        <w:rPr>
          <w:rFonts w:asciiTheme="majorBidi" w:hAnsiTheme="majorBidi" w:cstheme="majorBidi"/>
          <w:szCs w:val="24"/>
        </w:rPr>
        <w:t xml:space="preserve"> financière des établissements.</w:t>
      </w:r>
    </w:p>
    <w:p w14:paraId="70A0193C" w14:textId="517E4B74"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5 :</w:t>
      </w:r>
      <w:r w:rsidRPr="00D11D21">
        <w:rPr>
          <w:rFonts w:asciiTheme="majorBidi" w:hAnsiTheme="majorBidi" w:cstheme="majorBidi"/>
          <w:b/>
          <w:bCs/>
          <w:color w:val="000000" w:themeColor="text1"/>
          <w:szCs w:val="24"/>
        </w:rPr>
        <w:t xml:space="preserve"> Que pensez-vous de l’efficacité et de l’équité du système de financement actuel (budget global</w:t>
      </w:r>
      <w:proofErr w:type="gramStart"/>
      <w:r w:rsidR="002A2096" w:rsidRPr="00D11D21">
        <w:rPr>
          <w:rFonts w:asciiTheme="majorBidi" w:hAnsiTheme="majorBidi" w:cstheme="majorBidi"/>
          <w:b/>
          <w:bCs/>
          <w:color w:val="000000" w:themeColor="text1"/>
          <w:szCs w:val="24"/>
        </w:rPr>
        <w:t>)?</w:t>
      </w:r>
      <w:proofErr w:type="gramEnd"/>
    </w:p>
    <w:p w14:paraId="48F5115A"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CA77B97"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La majorité des répondants jugent le système de financement actuel (budget global) comme insuffisamment efficace et équitable. Bien que certains estiment qu'il assure une stabilité financière et soit adapté pour les dépenses courantes, de nombreuses critiques émergent. Le système est perçu comme dépassé, mal adapté aux besoins réels des établissements, et trop centralisé. Il existe des inégalités entre services ou zones géographiques, et une mauvaise optimisation des ressources. En conséquence, une réforme est largement souhaitée pour améliorer l’adaptation aux évolutions actuelles et garantir une meilleure performance et équité.</w:t>
      </w:r>
    </w:p>
    <w:p w14:paraId="403D3E26" w14:textId="075F17D9"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6 :</w:t>
      </w:r>
      <w:r w:rsidRPr="00D11D21">
        <w:rPr>
          <w:rFonts w:asciiTheme="majorBidi" w:hAnsiTheme="majorBidi" w:cstheme="majorBidi"/>
          <w:b/>
          <w:bCs/>
          <w:color w:val="000000" w:themeColor="text1"/>
          <w:szCs w:val="24"/>
        </w:rPr>
        <w:t xml:space="preserve"> Quels avantages trouvez-vous dans le système actuel ?</w:t>
      </w:r>
    </w:p>
    <w:p w14:paraId="08862009"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1C879FC9"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Les avantages du système actuel de financement, selon les répondants, incluent principalement la garantie d’accès aux soins pour tous, avec une gratuité des soins pour les patients et une égalité dans l’accès aux services de santé publics. Il offre également une stabilité financière et budgétaire pour les établissements, permettant une prévision facile et un contrôle des dépenses. De plus, il est considéré comme simple à gérer, avec une administration simplifiée et un processus connu de tous. Certains répondants soulignent aussi l’absence de concurrence entre services, la répartition équitable des ressources, et la continuité des soins assurée par le système.</w:t>
      </w:r>
    </w:p>
    <w:p w14:paraId="1A09A36F"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Q7 : Quels inconvénients identifiez-vous ?</w:t>
      </w:r>
    </w:p>
    <w:p w14:paraId="7ECFA2C0"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EA3A040"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 xml:space="preserve">Les inconvénients du système de financement actuel identifiés par les répondants incluent plusieurs aspects négatifs. Un des problèmes majeurs est le manque de visibilité sur les besoins réels des établissements, ce qui complique la gestion et le contrôle des finances. De plus, les retards fréquents dans les versements des financements bloquent certaines activités et entraînent des difficultés de gestion en cas de hausse d’activité ou de crise. Le système est également perçu comme un frein à l’innovation </w:t>
      </w:r>
      <w:r w:rsidRPr="00D11D21">
        <w:rPr>
          <w:rFonts w:asciiTheme="majorBidi" w:hAnsiTheme="majorBidi" w:cstheme="majorBidi"/>
          <w:color w:val="000000" w:themeColor="text1"/>
          <w:szCs w:val="24"/>
        </w:rPr>
        <w:lastRenderedPageBreak/>
        <w:t>et à la performance, en raison d’un manque d’incitation à améliorer la qualité des soins, et il favorise souvent l’immobilisme. En outre, la faible qualité perçue des soins due à un manque de moyens et de matériel et l'absence de contrôle ou de suivi précis sont des problèmes fréquemment mentionnés. Enfin, le système semble inadapté aux exigences actuelles du secteur de la santé, et il existe un risque de surcharge des structures sans moyens proportionnels à la charge de travail.</w:t>
      </w:r>
    </w:p>
    <w:p w14:paraId="6647A4DE"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Q8 : Disposez-vous d’un système d’information (SI) intégré pour la gestion financière ?</w:t>
      </w:r>
    </w:p>
    <w:p w14:paraId="65EC85F0" w14:textId="15464623" w:rsidR="002210A7" w:rsidRPr="00282FFC" w:rsidRDefault="00485947" w:rsidP="00282FFC">
      <w:pPr>
        <w:pStyle w:val="Lgende"/>
        <w:keepNext/>
        <w:spacing w:line="360" w:lineRule="auto"/>
        <w:jc w:val="both"/>
        <w:rPr>
          <w:rFonts w:asciiTheme="majorBidi" w:hAnsiTheme="majorBidi" w:cstheme="majorBidi"/>
          <w:sz w:val="24"/>
          <w:szCs w:val="24"/>
        </w:rPr>
      </w:pPr>
      <w:bookmarkStart w:id="222" w:name="_Toc200210139"/>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réponses sur la présence d’un SI intégré pour la gestion financière</w:t>
      </w:r>
      <w:bookmarkEnd w:id="222"/>
    </w:p>
    <w:tbl>
      <w:tblPr>
        <w:tblW w:w="1006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25"/>
        <w:gridCol w:w="1973"/>
        <w:gridCol w:w="1629"/>
        <w:gridCol w:w="1435"/>
        <w:gridCol w:w="1949"/>
        <w:gridCol w:w="2057"/>
      </w:tblGrid>
      <w:tr w:rsidR="002210A7" w:rsidRPr="00D11D21" w14:paraId="48541370" w14:textId="77777777" w:rsidTr="00282FFC">
        <w:trPr>
          <w:cantSplit/>
          <w:trHeight w:val="455"/>
          <w:jc w:val="center"/>
        </w:trPr>
        <w:tc>
          <w:tcPr>
            <w:tcW w:w="2998" w:type="dxa"/>
            <w:gridSpan w:val="2"/>
            <w:tcBorders>
              <w:top w:val="single" w:sz="4" w:space="0" w:color="auto"/>
              <w:left w:val="single" w:sz="4" w:space="0" w:color="auto"/>
              <w:bottom w:val="single" w:sz="8" w:space="0" w:color="152935"/>
              <w:right w:val="nil"/>
            </w:tcBorders>
            <w:shd w:val="clear" w:color="auto" w:fill="FFFFFF"/>
            <w:vAlign w:val="bottom"/>
          </w:tcPr>
          <w:p w14:paraId="3DDB287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629" w:type="dxa"/>
            <w:tcBorders>
              <w:top w:val="single" w:sz="4" w:space="0" w:color="auto"/>
              <w:left w:val="nil"/>
              <w:bottom w:val="single" w:sz="8" w:space="0" w:color="152935"/>
              <w:right w:val="single" w:sz="8" w:space="0" w:color="E0E0E0"/>
            </w:tcBorders>
            <w:shd w:val="clear" w:color="auto" w:fill="FFFFFF"/>
            <w:vAlign w:val="bottom"/>
          </w:tcPr>
          <w:p w14:paraId="1BAC6D1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435"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0E201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94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9724F2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2057" w:type="dxa"/>
            <w:tcBorders>
              <w:top w:val="single" w:sz="4" w:space="0" w:color="auto"/>
              <w:left w:val="single" w:sz="8" w:space="0" w:color="E0E0E0"/>
              <w:bottom w:val="single" w:sz="8" w:space="0" w:color="152935"/>
              <w:right w:val="single" w:sz="4" w:space="0" w:color="auto"/>
            </w:tcBorders>
            <w:shd w:val="clear" w:color="auto" w:fill="FFFFFF"/>
            <w:vAlign w:val="bottom"/>
          </w:tcPr>
          <w:p w14:paraId="715441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068E44B5" w14:textId="77777777" w:rsidTr="00282FFC">
        <w:trPr>
          <w:cantSplit/>
          <w:trHeight w:val="227"/>
          <w:jc w:val="center"/>
        </w:trPr>
        <w:tc>
          <w:tcPr>
            <w:tcW w:w="1025" w:type="dxa"/>
            <w:vMerge w:val="restart"/>
            <w:tcBorders>
              <w:top w:val="single" w:sz="8" w:space="0" w:color="152935"/>
              <w:left w:val="single" w:sz="4" w:space="0" w:color="auto"/>
              <w:bottom w:val="single" w:sz="8" w:space="0" w:color="152935"/>
              <w:right w:val="nil"/>
            </w:tcBorders>
            <w:shd w:val="clear" w:color="auto" w:fill="E0E0E0"/>
          </w:tcPr>
          <w:p w14:paraId="5C7A983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972" w:type="dxa"/>
            <w:tcBorders>
              <w:top w:val="single" w:sz="8" w:space="0" w:color="152935"/>
              <w:left w:val="nil"/>
              <w:bottom w:val="single" w:sz="8" w:space="0" w:color="AEAEAE"/>
              <w:right w:val="nil"/>
            </w:tcBorders>
            <w:shd w:val="clear" w:color="auto" w:fill="E0E0E0"/>
          </w:tcPr>
          <w:p w14:paraId="662E385D" w14:textId="599C36CC"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629" w:type="dxa"/>
            <w:tcBorders>
              <w:top w:val="single" w:sz="8" w:space="0" w:color="152935"/>
              <w:left w:val="nil"/>
              <w:bottom w:val="single" w:sz="8" w:space="0" w:color="AEAEAE"/>
              <w:right w:val="single" w:sz="8" w:space="0" w:color="E0E0E0"/>
            </w:tcBorders>
            <w:shd w:val="clear" w:color="auto" w:fill="FFFFFF"/>
          </w:tcPr>
          <w:p w14:paraId="1635457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435" w:type="dxa"/>
            <w:tcBorders>
              <w:top w:val="single" w:sz="8" w:space="0" w:color="152935"/>
              <w:left w:val="single" w:sz="8" w:space="0" w:color="E0E0E0"/>
              <w:bottom w:val="single" w:sz="8" w:space="0" w:color="AEAEAE"/>
              <w:right w:val="single" w:sz="8" w:space="0" w:color="E0E0E0"/>
            </w:tcBorders>
            <w:shd w:val="clear" w:color="auto" w:fill="FFFFFF"/>
          </w:tcPr>
          <w:p w14:paraId="14B5CAF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949" w:type="dxa"/>
            <w:tcBorders>
              <w:top w:val="single" w:sz="8" w:space="0" w:color="152935"/>
              <w:left w:val="single" w:sz="8" w:space="0" w:color="E0E0E0"/>
              <w:bottom w:val="single" w:sz="8" w:space="0" w:color="AEAEAE"/>
              <w:right w:val="single" w:sz="8" w:space="0" w:color="E0E0E0"/>
            </w:tcBorders>
            <w:shd w:val="clear" w:color="auto" w:fill="FFFFFF"/>
          </w:tcPr>
          <w:p w14:paraId="1D38CB3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2057" w:type="dxa"/>
            <w:tcBorders>
              <w:top w:val="single" w:sz="8" w:space="0" w:color="152935"/>
              <w:left w:val="single" w:sz="8" w:space="0" w:color="E0E0E0"/>
              <w:bottom w:val="single" w:sz="8" w:space="0" w:color="AEAEAE"/>
              <w:right w:val="single" w:sz="4" w:space="0" w:color="auto"/>
            </w:tcBorders>
            <w:shd w:val="clear" w:color="auto" w:fill="FFFFFF"/>
          </w:tcPr>
          <w:p w14:paraId="26D9A4A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r>
      <w:tr w:rsidR="002210A7" w:rsidRPr="00D11D21" w14:paraId="5B82E521" w14:textId="77777777" w:rsidTr="00282FFC">
        <w:trPr>
          <w:cantSplit/>
          <w:trHeight w:val="78"/>
          <w:jc w:val="center"/>
        </w:trPr>
        <w:tc>
          <w:tcPr>
            <w:tcW w:w="1025" w:type="dxa"/>
            <w:vMerge/>
            <w:tcBorders>
              <w:top w:val="single" w:sz="8" w:space="0" w:color="152935"/>
              <w:left w:val="single" w:sz="4" w:space="0" w:color="auto"/>
              <w:bottom w:val="single" w:sz="8" w:space="0" w:color="152935"/>
              <w:right w:val="nil"/>
            </w:tcBorders>
            <w:shd w:val="clear" w:color="auto" w:fill="E0E0E0"/>
          </w:tcPr>
          <w:p w14:paraId="1AEE836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972" w:type="dxa"/>
            <w:tcBorders>
              <w:top w:val="single" w:sz="8" w:space="0" w:color="AEAEAE"/>
              <w:left w:val="nil"/>
              <w:bottom w:val="single" w:sz="8" w:space="0" w:color="AEAEAE"/>
              <w:right w:val="nil"/>
            </w:tcBorders>
            <w:shd w:val="clear" w:color="auto" w:fill="E0E0E0"/>
          </w:tcPr>
          <w:p w14:paraId="4B341AB3" w14:textId="68B05AAB"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629" w:type="dxa"/>
            <w:tcBorders>
              <w:top w:val="single" w:sz="8" w:space="0" w:color="AEAEAE"/>
              <w:left w:val="nil"/>
              <w:bottom w:val="single" w:sz="8" w:space="0" w:color="AEAEAE"/>
              <w:right w:val="single" w:sz="8" w:space="0" w:color="E0E0E0"/>
            </w:tcBorders>
            <w:shd w:val="clear" w:color="auto" w:fill="FFFFFF"/>
          </w:tcPr>
          <w:p w14:paraId="28F130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w:t>
            </w:r>
          </w:p>
        </w:tc>
        <w:tc>
          <w:tcPr>
            <w:tcW w:w="1435" w:type="dxa"/>
            <w:tcBorders>
              <w:top w:val="single" w:sz="8" w:space="0" w:color="AEAEAE"/>
              <w:left w:val="single" w:sz="8" w:space="0" w:color="E0E0E0"/>
              <w:bottom w:val="single" w:sz="8" w:space="0" w:color="AEAEAE"/>
              <w:right w:val="single" w:sz="8" w:space="0" w:color="E0E0E0"/>
            </w:tcBorders>
            <w:shd w:val="clear" w:color="auto" w:fill="FFFFFF"/>
          </w:tcPr>
          <w:p w14:paraId="47E8FD6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1949" w:type="dxa"/>
            <w:tcBorders>
              <w:top w:val="single" w:sz="8" w:space="0" w:color="AEAEAE"/>
              <w:left w:val="single" w:sz="8" w:space="0" w:color="E0E0E0"/>
              <w:bottom w:val="single" w:sz="8" w:space="0" w:color="AEAEAE"/>
              <w:right w:val="single" w:sz="8" w:space="0" w:color="E0E0E0"/>
            </w:tcBorders>
            <w:shd w:val="clear" w:color="auto" w:fill="FFFFFF"/>
          </w:tcPr>
          <w:p w14:paraId="504E8B0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2057" w:type="dxa"/>
            <w:tcBorders>
              <w:top w:val="single" w:sz="8" w:space="0" w:color="AEAEAE"/>
              <w:left w:val="single" w:sz="8" w:space="0" w:color="E0E0E0"/>
              <w:bottom w:val="single" w:sz="8" w:space="0" w:color="AEAEAE"/>
              <w:right w:val="single" w:sz="4" w:space="0" w:color="auto"/>
            </w:tcBorders>
            <w:shd w:val="clear" w:color="auto" w:fill="FFFFFF"/>
          </w:tcPr>
          <w:p w14:paraId="703926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85,7</w:t>
            </w:r>
          </w:p>
        </w:tc>
      </w:tr>
      <w:tr w:rsidR="002210A7" w:rsidRPr="00D11D21" w14:paraId="545D75C7" w14:textId="77777777" w:rsidTr="00282FFC">
        <w:trPr>
          <w:cantSplit/>
          <w:trHeight w:val="78"/>
          <w:jc w:val="center"/>
        </w:trPr>
        <w:tc>
          <w:tcPr>
            <w:tcW w:w="1025" w:type="dxa"/>
            <w:vMerge/>
            <w:tcBorders>
              <w:top w:val="single" w:sz="8" w:space="0" w:color="152935"/>
              <w:left w:val="single" w:sz="4" w:space="0" w:color="auto"/>
              <w:bottom w:val="single" w:sz="8" w:space="0" w:color="152935"/>
              <w:right w:val="nil"/>
            </w:tcBorders>
            <w:shd w:val="clear" w:color="auto" w:fill="E0E0E0"/>
          </w:tcPr>
          <w:p w14:paraId="479D0751"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972" w:type="dxa"/>
            <w:tcBorders>
              <w:top w:val="single" w:sz="8" w:space="0" w:color="AEAEAE"/>
              <w:left w:val="nil"/>
              <w:bottom w:val="single" w:sz="8" w:space="0" w:color="AEAEAE"/>
              <w:right w:val="nil"/>
            </w:tcBorders>
            <w:shd w:val="clear" w:color="auto" w:fill="E0E0E0"/>
          </w:tcPr>
          <w:p w14:paraId="6E2E909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Partiellement</w:t>
            </w:r>
          </w:p>
        </w:tc>
        <w:tc>
          <w:tcPr>
            <w:tcW w:w="1629" w:type="dxa"/>
            <w:tcBorders>
              <w:top w:val="single" w:sz="8" w:space="0" w:color="AEAEAE"/>
              <w:left w:val="nil"/>
              <w:bottom w:val="single" w:sz="8" w:space="0" w:color="AEAEAE"/>
              <w:right w:val="single" w:sz="8" w:space="0" w:color="E0E0E0"/>
            </w:tcBorders>
            <w:shd w:val="clear" w:color="auto" w:fill="FFFFFF"/>
          </w:tcPr>
          <w:p w14:paraId="0B6D7C0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435" w:type="dxa"/>
            <w:tcBorders>
              <w:top w:val="single" w:sz="8" w:space="0" w:color="AEAEAE"/>
              <w:left w:val="single" w:sz="8" w:space="0" w:color="E0E0E0"/>
              <w:bottom w:val="single" w:sz="8" w:space="0" w:color="AEAEAE"/>
              <w:right w:val="single" w:sz="8" w:space="0" w:color="E0E0E0"/>
            </w:tcBorders>
            <w:shd w:val="clear" w:color="auto" w:fill="FFFFFF"/>
          </w:tcPr>
          <w:p w14:paraId="023BA8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949" w:type="dxa"/>
            <w:tcBorders>
              <w:top w:val="single" w:sz="8" w:space="0" w:color="AEAEAE"/>
              <w:left w:val="single" w:sz="8" w:space="0" w:color="E0E0E0"/>
              <w:bottom w:val="single" w:sz="8" w:space="0" w:color="AEAEAE"/>
              <w:right w:val="single" w:sz="8" w:space="0" w:color="E0E0E0"/>
            </w:tcBorders>
            <w:shd w:val="clear" w:color="auto" w:fill="FFFFFF"/>
          </w:tcPr>
          <w:p w14:paraId="45B0AB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2057" w:type="dxa"/>
            <w:tcBorders>
              <w:top w:val="single" w:sz="8" w:space="0" w:color="AEAEAE"/>
              <w:left w:val="single" w:sz="8" w:space="0" w:color="E0E0E0"/>
              <w:bottom w:val="single" w:sz="8" w:space="0" w:color="AEAEAE"/>
              <w:right w:val="single" w:sz="4" w:space="0" w:color="auto"/>
            </w:tcBorders>
            <w:shd w:val="clear" w:color="auto" w:fill="FFFFFF"/>
          </w:tcPr>
          <w:p w14:paraId="25A8B61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11B6E659" w14:textId="77777777" w:rsidTr="00282FFC">
        <w:trPr>
          <w:cantSplit/>
          <w:trHeight w:val="78"/>
          <w:jc w:val="center"/>
        </w:trPr>
        <w:tc>
          <w:tcPr>
            <w:tcW w:w="1025" w:type="dxa"/>
            <w:vMerge/>
            <w:tcBorders>
              <w:top w:val="single" w:sz="8" w:space="0" w:color="152935"/>
              <w:left w:val="single" w:sz="4" w:space="0" w:color="auto"/>
              <w:bottom w:val="single" w:sz="4" w:space="0" w:color="auto"/>
              <w:right w:val="nil"/>
            </w:tcBorders>
            <w:shd w:val="clear" w:color="auto" w:fill="E0E0E0"/>
          </w:tcPr>
          <w:p w14:paraId="207C37B3"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972" w:type="dxa"/>
            <w:tcBorders>
              <w:top w:val="single" w:sz="8" w:space="0" w:color="AEAEAE"/>
              <w:left w:val="nil"/>
              <w:bottom w:val="single" w:sz="4" w:space="0" w:color="auto"/>
              <w:right w:val="nil"/>
            </w:tcBorders>
            <w:shd w:val="clear" w:color="auto" w:fill="E0E0E0"/>
          </w:tcPr>
          <w:p w14:paraId="587190C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629" w:type="dxa"/>
            <w:tcBorders>
              <w:top w:val="single" w:sz="8" w:space="0" w:color="AEAEAE"/>
              <w:left w:val="nil"/>
              <w:bottom w:val="single" w:sz="4" w:space="0" w:color="auto"/>
              <w:right w:val="single" w:sz="8" w:space="0" w:color="E0E0E0"/>
            </w:tcBorders>
            <w:shd w:val="clear" w:color="auto" w:fill="FFFFFF"/>
          </w:tcPr>
          <w:p w14:paraId="17CC692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435" w:type="dxa"/>
            <w:tcBorders>
              <w:top w:val="single" w:sz="8" w:space="0" w:color="AEAEAE"/>
              <w:left w:val="single" w:sz="8" w:space="0" w:color="E0E0E0"/>
              <w:bottom w:val="single" w:sz="4" w:space="0" w:color="auto"/>
              <w:right w:val="single" w:sz="8" w:space="0" w:color="E0E0E0"/>
            </w:tcBorders>
            <w:shd w:val="clear" w:color="auto" w:fill="FFFFFF"/>
          </w:tcPr>
          <w:p w14:paraId="17EAD9D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49" w:type="dxa"/>
            <w:tcBorders>
              <w:top w:val="single" w:sz="8" w:space="0" w:color="AEAEAE"/>
              <w:left w:val="single" w:sz="8" w:space="0" w:color="E0E0E0"/>
              <w:bottom w:val="single" w:sz="4" w:space="0" w:color="auto"/>
              <w:right w:val="single" w:sz="8" w:space="0" w:color="E0E0E0"/>
            </w:tcBorders>
            <w:shd w:val="clear" w:color="auto" w:fill="FFFFFF"/>
          </w:tcPr>
          <w:p w14:paraId="27B4747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2057" w:type="dxa"/>
            <w:tcBorders>
              <w:top w:val="single" w:sz="8" w:space="0" w:color="AEAEAE"/>
              <w:left w:val="single" w:sz="8" w:space="0" w:color="E0E0E0"/>
              <w:bottom w:val="single" w:sz="4" w:space="0" w:color="auto"/>
              <w:right w:val="single" w:sz="4" w:space="0" w:color="auto"/>
            </w:tcBorders>
            <w:shd w:val="clear" w:color="auto" w:fill="FFFFFF"/>
            <w:vAlign w:val="center"/>
          </w:tcPr>
          <w:p w14:paraId="50E58F4A"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7498F997" w14:textId="33EA05F1" w:rsidR="00630941"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3FE119A6" w14:textId="08DC4F13" w:rsidR="002210A7" w:rsidRPr="00D11D21" w:rsidRDefault="00630941" w:rsidP="00D11D21">
      <w:pPr>
        <w:pStyle w:val="Lgende"/>
        <w:keepNext/>
        <w:spacing w:line="360" w:lineRule="auto"/>
        <w:jc w:val="both"/>
        <w:rPr>
          <w:rFonts w:asciiTheme="majorBidi" w:hAnsiTheme="majorBidi" w:cstheme="majorBidi"/>
          <w:color w:val="auto"/>
          <w:sz w:val="24"/>
          <w:szCs w:val="24"/>
        </w:rPr>
      </w:pPr>
      <w:bookmarkStart w:id="223" w:name="_Toc200210094"/>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 la présence d’un SI intégré pour la gestion financière</w:t>
      </w:r>
      <w:bookmarkEnd w:id="223"/>
    </w:p>
    <w:p w14:paraId="0EA8DAB9" w14:textId="46FBC841" w:rsidR="002210A7" w:rsidRPr="00D11D21" w:rsidRDefault="002210A7" w:rsidP="00480CC0">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43BF9862" wp14:editId="1AE774F3">
            <wp:extent cx="3997082" cy="1946495"/>
            <wp:effectExtent l="0" t="0" r="3810" b="0"/>
            <wp:docPr id="193" name="Imag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40">
                      <a:extLst>
                        <a:ext uri="{28A0092B-C50C-407E-A947-70E740481C1C}">
                          <a14:useLocalDpi xmlns:a14="http://schemas.microsoft.com/office/drawing/2010/main" val="0"/>
                        </a:ext>
                      </a:extLst>
                    </a:blip>
                    <a:srcRect t="6137"/>
                    <a:stretch/>
                  </pic:blipFill>
                  <pic:spPr bwMode="auto">
                    <a:xfrm>
                      <a:off x="0" y="0"/>
                      <a:ext cx="4064752" cy="1979449"/>
                    </a:xfrm>
                    <a:prstGeom prst="rect">
                      <a:avLst/>
                    </a:prstGeom>
                    <a:noFill/>
                    <a:ln>
                      <a:noFill/>
                    </a:ln>
                    <a:extLst>
                      <a:ext uri="{53640926-AAD7-44D8-BBD7-CCE9431645EC}">
                        <a14:shadowObscured xmlns:a14="http://schemas.microsoft.com/office/drawing/2010/main"/>
                      </a:ext>
                    </a:extLst>
                  </pic:spPr>
                </pic:pic>
              </a:graphicData>
            </a:graphic>
          </wp:inline>
        </w:drawing>
      </w:r>
    </w:p>
    <w:p w14:paraId="49387EB2" w14:textId="00523B78"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w:t>
      </w:r>
      <w:r w:rsidR="00772AE8">
        <w:rPr>
          <w:rFonts w:asciiTheme="majorBidi" w:hAnsiTheme="majorBidi" w:cstheme="majorBidi"/>
          <w:szCs w:val="24"/>
        </w:rPr>
        <w:t xml:space="preserve"> sur le logiciel SPSS 26</w:t>
      </w:r>
    </w:p>
    <w:p w14:paraId="176152CD"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43D5330" w14:textId="2CB210B5" w:rsidR="00433756" w:rsidRPr="00D11D21"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Concernant la gestion financière, 52,4% des répondants disposent d'un système d'information (SI) intégré, tandis que 33,3% n'en ont pas, et 14,3% ont un système partiellement intégré. Cela montre une majorité d'établissements avec une forme de système, bien que des améliorations puissent être nécessaires pour un</w:t>
      </w:r>
      <w:r w:rsidR="00433756" w:rsidRPr="00D11D21">
        <w:rPr>
          <w:rFonts w:asciiTheme="majorBidi" w:hAnsiTheme="majorBidi" w:cstheme="majorBidi"/>
          <w:szCs w:val="24"/>
        </w:rPr>
        <w:t>e gestion entièrement intégrée.</w:t>
      </w:r>
    </w:p>
    <w:p w14:paraId="7E35D326"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Q9 : Si oui, ce SI est-il interconnecté avec ?</w:t>
      </w:r>
    </w:p>
    <w:p w14:paraId="78DA78A5" w14:textId="70322408" w:rsidR="002210A7" w:rsidRPr="00772AE8" w:rsidRDefault="00AF3238" w:rsidP="00772AE8">
      <w:pPr>
        <w:pStyle w:val="Lgende"/>
        <w:keepNext/>
        <w:spacing w:line="360" w:lineRule="auto"/>
        <w:jc w:val="both"/>
        <w:rPr>
          <w:rFonts w:asciiTheme="majorBidi" w:hAnsiTheme="majorBidi" w:cstheme="majorBidi"/>
          <w:color w:val="auto"/>
          <w:sz w:val="24"/>
          <w:szCs w:val="24"/>
        </w:rPr>
      </w:pPr>
      <w:bookmarkStart w:id="224" w:name="_Toc200210140"/>
      <w:r w:rsidRPr="00D11D21">
        <w:rPr>
          <w:rFonts w:asciiTheme="majorBidi" w:hAnsiTheme="majorBidi" w:cstheme="majorBidi"/>
          <w:color w:val="auto"/>
          <w:sz w:val="24"/>
          <w:szCs w:val="24"/>
        </w:rPr>
        <w:lastRenderedPageBreak/>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réponses sur l'interconnexion du SI</w:t>
      </w:r>
      <w:bookmarkEnd w:id="224"/>
    </w:p>
    <w:tbl>
      <w:tblPr>
        <w:tblW w:w="66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814"/>
        <w:gridCol w:w="1169"/>
        <w:gridCol w:w="1030"/>
        <w:gridCol w:w="1399"/>
        <w:gridCol w:w="1476"/>
      </w:tblGrid>
      <w:tr w:rsidR="002210A7" w:rsidRPr="00D11D21" w14:paraId="623E3E5A" w14:textId="77777777" w:rsidTr="00B7491C">
        <w:trPr>
          <w:cantSplit/>
          <w:jc w:val="center"/>
        </w:trPr>
        <w:tc>
          <w:tcPr>
            <w:tcW w:w="1551" w:type="dxa"/>
            <w:gridSpan w:val="2"/>
            <w:tcBorders>
              <w:top w:val="single" w:sz="4" w:space="0" w:color="auto"/>
              <w:left w:val="single" w:sz="4" w:space="0" w:color="auto"/>
              <w:bottom w:val="single" w:sz="8" w:space="0" w:color="152935"/>
              <w:right w:val="nil"/>
            </w:tcBorders>
            <w:shd w:val="clear" w:color="auto" w:fill="FFFFFF"/>
            <w:vAlign w:val="bottom"/>
          </w:tcPr>
          <w:p w14:paraId="70533DC3"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169" w:type="dxa"/>
            <w:tcBorders>
              <w:top w:val="single" w:sz="4" w:space="0" w:color="auto"/>
              <w:left w:val="nil"/>
              <w:bottom w:val="single" w:sz="8" w:space="0" w:color="152935"/>
              <w:right w:val="single" w:sz="8" w:space="0" w:color="E0E0E0"/>
            </w:tcBorders>
            <w:shd w:val="clear" w:color="auto" w:fill="FFFFFF"/>
            <w:vAlign w:val="bottom"/>
          </w:tcPr>
          <w:p w14:paraId="44754A5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03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2B2BA9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39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DADD0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476" w:type="dxa"/>
            <w:tcBorders>
              <w:top w:val="single" w:sz="4" w:space="0" w:color="auto"/>
              <w:left w:val="single" w:sz="8" w:space="0" w:color="E0E0E0"/>
              <w:bottom w:val="single" w:sz="8" w:space="0" w:color="152935"/>
              <w:right w:val="single" w:sz="4" w:space="0" w:color="auto"/>
            </w:tcBorders>
            <w:shd w:val="clear" w:color="auto" w:fill="FFFFFF"/>
            <w:vAlign w:val="bottom"/>
          </w:tcPr>
          <w:p w14:paraId="103527A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2301C59D" w14:textId="77777777" w:rsidTr="00B7491C">
        <w:trPr>
          <w:cantSplit/>
          <w:jc w:val="center"/>
        </w:trPr>
        <w:tc>
          <w:tcPr>
            <w:tcW w:w="737" w:type="dxa"/>
            <w:tcBorders>
              <w:top w:val="single" w:sz="8" w:space="0" w:color="152935"/>
              <w:left w:val="single" w:sz="4" w:space="0" w:color="auto"/>
              <w:bottom w:val="single" w:sz="4" w:space="0" w:color="auto"/>
              <w:right w:val="nil"/>
            </w:tcBorders>
            <w:shd w:val="clear" w:color="auto" w:fill="E0E0E0"/>
          </w:tcPr>
          <w:p w14:paraId="08EAED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814" w:type="dxa"/>
            <w:tcBorders>
              <w:top w:val="single" w:sz="8" w:space="0" w:color="152935"/>
              <w:left w:val="nil"/>
              <w:bottom w:val="single" w:sz="4" w:space="0" w:color="auto"/>
              <w:right w:val="nil"/>
            </w:tcBorders>
            <w:shd w:val="clear" w:color="auto" w:fill="E0E0E0"/>
          </w:tcPr>
          <w:p w14:paraId="37B9074F" w14:textId="3A24015E"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Aucun</w:t>
            </w:r>
          </w:p>
        </w:tc>
        <w:tc>
          <w:tcPr>
            <w:tcW w:w="1169" w:type="dxa"/>
            <w:tcBorders>
              <w:top w:val="single" w:sz="8" w:space="0" w:color="152935"/>
              <w:left w:val="nil"/>
              <w:bottom w:val="single" w:sz="4" w:space="0" w:color="auto"/>
              <w:right w:val="single" w:sz="8" w:space="0" w:color="E0E0E0"/>
            </w:tcBorders>
            <w:shd w:val="clear" w:color="auto" w:fill="FFFFFF"/>
          </w:tcPr>
          <w:p w14:paraId="505A39F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030" w:type="dxa"/>
            <w:tcBorders>
              <w:top w:val="single" w:sz="8" w:space="0" w:color="152935"/>
              <w:left w:val="single" w:sz="8" w:space="0" w:color="E0E0E0"/>
              <w:bottom w:val="single" w:sz="4" w:space="0" w:color="auto"/>
              <w:right w:val="single" w:sz="8" w:space="0" w:color="E0E0E0"/>
            </w:tcBorders>
            <w:shd w:val="clear" w:color="auto" w:fill="FFFFFF"/>
          </w:tcPr>
          <w:p w14:paraId="306E918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399" w:type="dxa"/>
            <w:tcBorders>
              <w:top w:val="single" w:sz="8" w:space="0" w:color="152935"/>
              <w:left w:val="single" w:sz="8" w:space="0" w:color="E0E0E0"/>
              <w:bottom w:val="single" w:sz="4" w:space="0" w:color="auto"/>
              <w:right w:val="single" w:sz="8" w:space="0" w:color="E0E0E0"/>
            </w:tcBorders>
            <w:shd w:val="clear" w:color="auto" w:fill="FFFFFF"/>
          </w:tcPr>
          <w:p w14:paraId="1CD17E8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476" w:type="dxa"/>
            <w:tcBorders>
              <w:top w:val="single" w:sz="8" w:space="0" w:color="152935"/>
              <w:left w:val="single" w:sz="8" w:space="0" w:color="E0E0E0"/>
              <w:bottom w:val="single" w:sz="4" w:space="0" w:color="auto"/>
              <w:right w:val="single" w:sz="4" w:space="0" w:color="auto"/>
            </w:tcBorders>
            <w:shd w:val="clear" w:color="auto" w:fill="FFFFFF"/>
          </w:tcPr>
          <w:p w14:paraId="2BEFA10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bl>
    <w:p w14:paraId="1606EEBB"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2301357B"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13612887" w14:textId="306772F0" w:rsidR="00630941" w:rsidRPr="00D11D21" w:rsidRDefault="00630941" w:rsidP="00D11D21">
      <w:pPr>
        <w:pStyle w:val="Lgende"/>
        <w:keepNext/>
        <w:spacing w:line="360" w:lineRule="auto"/>
        <w:jc w:val="both"/>
        <w:rPr>
          <w:rFonts w:asciiTheme="majorBidi" w:hAnsiTheme="majorBidi" w:cstheme="majorBidi"/>
          <w:color w:val="auto"/>
          <w:sz w:val="24"/>
          <w:szCs w:val="24"/>
        </w:rPr>
      </w:pPr>
      <w:bookmarkStart w:id="225" w:name="_Toc200210095"/>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28</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réponses sur l'interconnexion du SI</w:t>
      </w:r>
      <w:bookmarkEnd w:id="225"/>
    </w:p>
    <w:p w14:paraId="7CED9113"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194E4461" wp14:editId="1E6066D3">
            <wp:extent cx="3248025" cy="1786882"/>
            <wp:effectExtent l="0" t="0" r="0" b="4445"/>
            <wp:docPr id="194" name="Imag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6556"/>
                    <a:stretch/>
                  </pic:blipFill>
                  <pic:spPr bwMode="auto">
                    <a:xfrm>
                      <a:off x="0" y="0"/>
                      <a:ext cx="3285890" cy="1807713"/>
                    </a:xfrm>
                    <a:prstGeom prst="rect">
                      <a:avLst/>
                    </a:prstGeom>
                    <a:noFill/>
                    <a:ln>
                      <a:noFill/>
                    </a:ln>
                    <a:extLst>
                      <a:ext uri="{53640926-AAD7-44D8-BBD7-CCE9431645EC}">
                        <a14:shadowObscured xmlns:a14="http://schemas.microsoft.com/office/drawing/2010/main"/>
                      </a:ext>
                    </a:extLst>
                  </pic:spPr>
                </pic:pic>
              </a:graphicData>
            </a:graphic>
          </wp:inline>
        </w:drawing>
      </w:r>
    </w:p>
    <w:p w14:paraId="70B845E3" w14:textId="2DDC8B8A"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85E1BBC"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238F5048" w14:textId="6F2EC278" w:rsidR="002210A7" w:rsidRPr="00D11D21"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Tous les répondants (100%) ont indiqué que leur système d'information (SI) n'est pas interconnecté avec d'autres systèmes. Cela suggère un manque d'intégration et de communication entre les systèmes utili</w:t>
      </w:r>
      <w:r w:rsidR="00772AE8">
        <w:rPr>
          <w:rFonts w:asciiTheme="majorBidi" w:hAnsiTheme="majorBidi" w:cstheme="majorBidi"/>
          <w:szCs w:val="24"/>
        </w:rPr>
        <w:t>sés pour la gestion financière.</w:t>
      </w:r>
    </w:p>
    <w:p w14:paraId="4C07A083"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Q10 : Existe-t-il une plateforme numérique interconnectée entre votre structure et les institutions de financement ? </w:t>
      </w:r>
    </w:p>
    <w:p w14:paraId="5BA5B0EF" w14:textId="294BF997" w:rsidR="002210A7" w:rsidRPr="00D11D21" w:rsidRDefault="00AF3238" w:rsidP="00D11D21">
      <w:pPr>
        <w:pStyle w:val="Lgende"/>
        <w:keepNext/>
        <w:spacing w:line="360" w:lineRule="auto"/>
        <w:jc w:val="both"/>
        <w:rPr>
          <w:rFonts w:asciiTheme="majorBidi" w:hAnsiTheme="majorBidi" w:cstheme="majorBidi"/>
          <w:sz w:val="24"/>
          <w:szCs w:val="24"/>
        </w:rPr>
      </w:pPr>
      <w:bookmarkStart w:id="226" w:name="_Toc200210141"/>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réponses sur l'existence d'une plateforme numérique interconnectée</w:t>
      </w:r>
      <w:bookmarkEnd w:id="226"/>
    </w:p>
    <w:tbl>
      <w:tblPr>
        <w:tblW w:w="958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79"/>
        <w:gridCol w:w="1079"/>
        <w:gridCol w:w="1712"/>
        <w:gridCol w:w="1507"/>
        <w:gridCol w:w="2049"/>
        <w:gridCol w:w="2161"/>
      </w:tblGrid>
      <w:tr w:rsidR="002210A7" w:rsidRPr="00D11D21" w14:paraId="11B7C223" w14:textId="77777777" w:rsidTr="00282FFC">
        <w:trPr>
          <w:cantSplit/>
          <w:trHeight w:val="594"/>
          <w:jc w:val="center"/>
        </w:trPr>
        <w:tc>
          <w:tcPr>
            <w:tcW w:w="2158" w:type="dxa"/>
            <w:gridSpan w:val="2"/>
            <w:tcBorders>
              <w:top w:val="single" w:sz="4" w:space="0" w:color="auto"/>
              <w:left w:val="single" w:sz="4" w:space="0" w:color="auto"/>
              <w:bottom w:val="single" w:sz="8" w:space="0" w:color="152935"/>
              <w:right w:val="nil"/>
            </w:tcBorders>
            <w:shd w:val="clear" w:color="auto" w:fill="FFFFFF"/>
            <w:vAlign w:val="bottom"/>
          </w:tcPr>
          <w:p w14:paraId="7E819783" w14:textId="77777777" w:rsidR="002210A7" w:rsidRPr="00D11D21" w:rsidRDefault="002210A7" w:rsidP="00D11D21">
            <w:pPr>
              <w:jc w:val="both"/>
              <w:rPr>
                <w:rFonts w:asciiTheme="majorBidi" w:hAnsiTheme="majorBidi" w:cstheme="majorBidi"/>
                <w:szCs w:val="24"/>
              </w:rPr>
            </w:pPr>
          </w:p>
        </w:tc>
        <w:tc>
          <w:tcPr>
            <w:tcW w:w="1712" w:type="dxa"/>
            <w:tcBorders>
              <w:top w:val="single" w:sz="4" w:space="0" w:color="auto"/>
              <w:left w:val="nil"/>
              <w:bottom w:val="single" w:sz="8" w:space="0" w:color="152935"/>
              <w:right w:val="single" w:sz="8" w:space="0" w:color="E0E0E0"/>
            </w:tcBorders>
            <w:shd w:val="clear" w:color="auto" w:fill="FFFFFF"/>
            <w:vAlign w:val="bottom"/>
          </w:tcPr>
          <w:p w14:paraId="4C9E82D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507"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80F1E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204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722E86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2161" w:type="dxa"/>
            <w:tcBorders>
              <w:top w:val="single" w:sz="4" w:space="0" w:color="auto"/>
              <w:left w:val="single" w:sz="8" w:space="0" w:color="E0E0E0"/>
              <w:bottom w:val="single" w:sz="8" w:space="0" w:color="152935"/>
              <w:right w:val="single" w:sz="4" w:space="0" w:color="auto"/>
            </w:tcBorders>
            <w:shd w:val="clear" w:color="auto" w:fill="FFFFFF"/>
            <w:vAlign w:val="bottom"/>
          </w:tcPr>
          <w:p w14:paraId="113AA42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72E3B0FB" w14:textId="77777777" w:rsidTr="00282FFC">
        <w:trPr>
          <w:cantSplit/>
          <w:trHeight w:val="297"/>
          <w:jc w:val="center"/>
        </w:trPr>
        <w:tc>
          <w:tcPr>
            <w:tcW w:w="1079" w:type="dxa"/>
            <w:vMerge w:val="restart"/>
            <w:tcBorders>
              <w:top w:val="single" w:sz="8" w:space="0" w:color="152935"/>
              <w:left w:val="single" w:sz="4" w:space="0" w:color="auto"/>
              <w:bottom w:val="single" w:sz="8" w:space="0" w:color="152935"/>
              <w:right w:val="nil"/>
            </w:tcBorders>
            <w:shd w:val="clear" w:color="auto" w:fill="E0E0E0"/>
          </w:tcPr>
          <w:p w14:paraId="519F700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079" w:type="dxa"/>
            <w:tcBorders>
              <w:top w:val="single" w:sz="8" w:space="0" w:color="152935"/>
              <w:left w:val="nil"/>
              <w:bottom w:val="single" w:sz="8" w:space="0" w:color="AEAEAE"/>
              <w:right w:val="nil"/>
            </w:tcBorders>
            <w:shd w:val="clear" w:color="auto" w:fill="E0E0E0"/>
          </w:tcPr>
          <w:p w14:paraId="6C98FEE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712" w:type="dxa"/>
            <w:tcBorders>
              <w:top w:val="single" w:sz="8" w:space="0" w:color="152935"/>
              <w:left w:val="nil"/>
              <w:bottom w:val="single" w:sz="8" w:space="0" w:color="AEAEAE"/>
              <w:right w:val="single" w:sz="8" w:space="0" w:color="E0E0E0"/>
            </w:tcBorders>
            <w:shd w:val="clear" w:color="auto" w:fill="FFFFFF"/>
          </w:tcPr>
          <w:p w14:paraId="4476C4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41</w:t>
            </w:r>
          </w:p>
        </w:tc>
        <w:tc>
          <w:tcPr>
            <w:tcW w:w="1507" w:type="dxa"/>
            <w:tcBorders>
              <w:top w:val="single" w:sz="8" w:space="0" w:color="152935"/>
              <w:left w:val="single" w:sz="8" w:space="0" w:color="E0E0E0"/>
              <w:bottom w:val="single" w:sz="8" w:space="0" w:color="AEAEAE"/>
              <w:right w:val="single" w:sz="8" w:space="0" w:color="E0E0E0"/>
            </w:tcBorders>
            <w:shd w:val="clear" w:color="auto" w:fill="FFFFFF"/>
          </w:tcPr>
          <w:p w14:paraId="1B679A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97,6</w:t>
            </w:r>
          </w:p>
        </w:tc>
        <w:tc>
          <w:tcPr>
            <w:tcW w:w="2049" w:type="dxa"/>
            <w:tcBorders>
              <w:top w:val="single" w:sz="8" w:space="0" w:color="152935"/>
              <w:left w:val="single" w:sz="8" w:space="0" w:color="E0E0E0"/>
              <w:bottom w:val="single" w:sz="8" w:space="0" w:color="AEAEAE"/>
              <w:right w:val="single" w:sz="8" w:space="0" w:color="E0E0E0"/>
            </w:tcBorders>
            <w:shd w:val="clear" w:color="auto" w:fill="FFFFFF"/>
          </w:tcPr>
          <w:p w14:paraId="70AE418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97,6</w:t>
            </w:r>
          </w:p>
        </w:tc>
        <w:tc>
          <w:tcPr>
            <w:tcW w:w="2161" w:type="dxa"/>
            <w:tcBorders>
              <w:top w:val="single" w:sz="8" w:space="0" w:color="152935"/>
              <w:left w:val="single" w:sz="8" w:space="0" w:color="E0E0E0"/>
              <w:bottom w:val="single" w:sz="8" w:space="0" w:color="AEAEAE"/>
              <w:right w:val="single" w:sz="4" w:space="0" w:color="auto"/>
            </w:tcBorders>
            <w:shd w:val="clear" w:color="auto" w:fill="FFFFFF"/>
          </w:tcPr>
          <w:p w14:paraId="68146E9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97,6</w:t>
            </w:r>
          </w:p>
        </w:tc>
      </w:tr>
      <w:tr w:rsidR="002210A7" w:rsidRPr="00D11D21" w14:paraId="63E8EA07" w14:textId="77777777" w:rsidTr="00282FFC">
        <w:trPr>
          <w:cantSplit/>
          <w:trHeight w:val="133"/>
          <w:jc w:val="center"/>
        </w:trPr>
        <w:tc>
          <w:tcPr>
            <w:tcW w:w="1079" w:type="dxa"/>
            <w:vMerge/>
            <w:tcBorders>
              <w:top w:val="single" w:sz="8" w:space="0" w:color="152935"/>
              <w:left w:val="single" w:sz="4" w:space="0" w:color="auto"/>
              <w:bottom w:val="single" w:sz="8" w:space="0" w:color="152935"/>
              <w:right w:val="nil"/>
            </w:tcBorders>
            <w:shd w:val="clear" w:color="auto" w:fill="E0E0E0"/>
          </w:tcPr>
          <w:p w14:paraId="24097F6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079" w:type="dxa"/>
            <w:tcBorders>
              <w:top w:val="single" w:sz="8" w:space="0" w:color="AEAEAE"/>
              <w:left w:val="nil"/>
              <w:bottom w:val="single" w:sz="8" w:space="0" w:color="AEAEAE"/>
              <w:right w:val="nil"/>
            </w:tcBorders>
            <w:shd w:val="clear" w:color="auto" w:fill="E0E0E0"/>
          </w:tcPr>
          <w:p w14:paraId="1B6858D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712" w:type="dxa"/>
            <w:tcBorders>
              <w:top w:val="single" w:sz="8" w:space="0" w:color="AEAEAE"/>
              <w:left w:val="nil"/>
              <w:bottom w:val="single" w:sz="8" w:space="0" w:color="AEAEAE"/>
              <w:right w:val="single" w:sz="8" w:space="0" w:color="E0E0E0"/>
            </w:tcBorders>
            <w:shd w:val="clear" w:color="auto" w:fill="FFFFFF"/>
          </w:tcPr>
          <w:p w14:paraId="0D244D0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507" w:type="dxa"/>
            <w:tcBorders>
              <w:top w:val="single" w:sz="8" w:space="0" w:color="AEAEAE"/>
              <w:left w:val="single" w:sz="8" w:space="0" w:color="E0E0E0"/>
              <w:bottom w:val="single" w:sz="8" w:space="0" w:color="AEAEAE"/>
              <w:right w:val="single" w:sz="8" w:space="0" w:color="E0E0E0"/>
            </w:tcBorders>
            <w:shd w:val="clear" w:color="auto" w:fill="FFFFFF"/>
          </w:tcPr>
          <w:p w14:paraId="44ACC09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2049" w:type="dxa"/>
            <w:tcBorders>
              <w:top w:val="single" w:sz="8" w:space="0" w:color="AEAEAE"/>
              <w:left w:val="single" w:sz="8" w:space="0" w:color="E0E0E0"/>
              <w:bottom w:val="single" w:sz="8" w:space="0" w:color="AEAEAE"/>
              <w:right w:val="single" w:sz="8" w:space="0" w:color="E0E0E0"/>
            </w:tcBorders>
            <w:shd w:val="clear" w:color="auto" w:fill="FFFFFF"/>
          </w:tcPr>
          <w:p w14:paraId="32663F8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2161" w:type="dxa"/>
            <w:tcBorders>
              <w:top w:val="single" w:sz="8" w:space="0" w:color="AEAEAE"/>
              <w:left w:val="single" w:sz="8" w:space="0" w:color="E0E0E0"/>
              <w:bottom w:val="single" w:sz="8" w:space="0" w:color="AEAEAE"/>
              <w:right w:val="single" w:sz="4" w:space="0" w:color="auto"/>
            </w:tcBorders>
            <w:shd w:val="clear" w:color="auto" w:fill="FFFFFF"/>
          </w:tcPr>
          <w:p w14:paraId="179FAE2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2C9760B3" w14:textId="77777777" w:rsidTr="00282FFC">
        <w:trPr>
          <w:cantSplit/>
          <w:trHeight w:val="133"/>
          <w:jc w:val="center"/>
        </w:trPr>
        <w:tc>
          <w:tcPr>
            <w:tcW w:w="1079" w:type="dxa"/>
            <w:vMerge/>
            <w:tcBorders>
              <w:top w:val="single" w:sz="8" w:space="0" w:color="152935"/>
              <w:left w:val="single" w:sz="4" w:space="0" w:color="auto"/>
              <w:bottom w:val="single" w:sz="4" w:space="0" w:color="auto"/>
              <w:right w:val="nil"/>
            </w:tcBorders>
            <w:shd w:val="clear" w:color="auto" w:fill="E0E0E0"/>
          </w:tcPr>
          <w:p w14:paraId="796702E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079" w:type="dxa"/>
            <w:tcBorders>
              <w:top w:val="single" w:sz="8" w:space="0" w:color="AEAEAE"/>
              <w:left w:val="nil"/>
              <w:bottom w:val="single" w:sz="4" w:space="0" w:color="auto"/>
              <w:right w:val="nil"/>
            </w:tcBorders>
            <w:shd w:val="clear" w:color="auto" w:fill="E0E0E0"/>
          </w:tcPr>
          <w:p w14:paraId="7FE75B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712" w:type="dxa"/>
            <w:tcBorders>
              <w:top w:val="single" w:sz="8" w:space="0" w:color="AEAEAE"/>
              <w:left w:val="nil"/>
              <w:bottom w:val="single" w:sz="4" w:space="0" w:color="auto"/>
              <w:right w:val="single" w:sz="8" w:space="0" w:color="E0E0E0"/>
            </w:tcBorders>
            <w:shd w:val="clear" w:color="auto" w:fill="FFFFFF"/>
          </w:tcPr>
          <w:p w14:paraId="69ADC91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507" w:type="dxa"/>
            <w:tcBorders>
              <w:top w:val="single" w:sz="8" w:space="0" w:color="AEAEAE"/>
              <w:left w:val="single" w:sz="8" w:space="0" w:color="E0E0E0"/>
              <w:bottom w:val="single" w:sz="4" w:space="0" w:color="auto"/>
              <w:right w:val="single" w:sz="8" w:space="0" w:color="E0E0E0"/>
            </w:tcBorders>
            <w:shd w:val="clear" w:color="auto" w:fill="FFFFFF"/>
          </w:tcPr>
          <w:p w14:paraId="4B093D5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2049" w:type="dxa"/>
            <w:tcBorders>
              <w:top w:val="single" w:sz="8" w:space="0" w:color="AEAEAE"/>
              <w:left w:val="single" w:sz="8" w:space="0" w:color="E0E0E0"/>
              <w:bottom w:val="single" w:sz="4" w:space="0" w:color="auto"/>
              <w:right w:val="single" w:sz="8" w:space="0" w:color="E0E0E0"/>
            </w:tcBorders>
            <w:shd w:val="clear" w:color="auto" w:fill="FFFFFF"/>
          </w:tcPr>
          <w:p w14:paraId="3C84253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2161" w:type="dxa"/>
            <w:tcBorders>
              <w:top w:val="single" w:sz="8" w:space="0" w:color="AEAEAE"/>
              <w:left w:val="single" w:sz="8" w:space="0" w:color="E0E0E0"/>
              <w:bottom w:val="single" w:sz="4" w:space="0" w:color="auto"/>
              <w:right w:val="single" w:sz="4" w:space="0" w:color="auto"/>
            </w:tcBorders>
            <w:shd w:val="clear" w:color="auto" w:fill="FFFFFF"/>
            <w:vAlign w:val="center"/>
          </w:tcPr>
          <w:p w14:paraId="3493FE8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23DDF092" w14:textId="63351E93" w:rsidR="00630941"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w:t>
      </w:r>
      <w:r w:rsidR="00433756" w:rsidRPr="00D11D21">
        <w:rPr>
          <w:rFonts w:asciiTheme="majorBidi" w:hAnsiTheme="majorBidi" w:cstheme="majorBidi"/>
          <w:szCs w:val="24"/>
        </w:rPr>
        <w:t xml:space="preserve"> 26</w:t>
      </w:r>
    </w:p>
    <w:p w14:paraId="3CC3A16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191CD63C" w14:textId="5CE1E99F" w:rsidR="00C27A16" w:rsidRPr="00D11D21" w:rsidRDefault="00C27A16" w:rsidP="00D11D21">
      <w:pPr>
        <w:pStyle w:val="Lgende"/>
        <w:keepNext/>
        <w:spacing w:line="360" w:lineRule="auto"/>
        <w:jc w:val="both"/>
        <w:rPr>
          <w:rFonts w:asciiTheme="majorBidi" w:hAnsiTheme="majorBidi" w:cstheme="majorBidi"/>
          <w:color w:val="auto"/>
          <w:sz w:val="24"/>
          <w:szCs w:val="24"/>
        </w:rPr>
      </w:pPr>
      <w:bookmarkStart w:id="227" w:name="_Toc200210096"/>
      <w:r w:rsidRPr="00D11D21">
        <w:rPr>
          <w:rFonts w:asciiTheme="majorBidi" w:hAnsiTheme="majorBidi" w:cstheme="majorBidi"/>
          <w:color w:val="auto"/>
          <w:sz w:val="24"/>
          <w:szCs w:val="24"/>
        </w:rPr>
        <w:lastRenderedPageBreak/>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29</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L'existence d'une plateforme numérique interconnectée</w:t>
      </w:r>
      <w:bookmarkEnd w:id="227"/>
    </w:p>
    <w:p w14:paraId="62F767A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613AB28C" wp14:editId="025B6400">
            <wp:extent cx="3803039" cy="2028825"/>
            <wp:effectExtent l="0" t="0" r="6985" b="0"/>
            <wp:docPr id="195" name="Imag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42">
                      <a:extLst>
                        <a:ext uri="{28A0092B-C50C-407E-A947-70E740481C1C}">
                          <a14:useLocalDpi xmlns:a14="http://schemas.microsoft.com/office/drawing/2010/main" val="0"/>
                        </a:ext>
                      </a:extLst>
                    </a:blip>
                    <a:srcRect t="9386"/>
                    <a:stretch/>
                  </pic:blipFill>
                  <pic:spPr bwMode="auto">
                    <a:xfrm>
                      <a:off x="0" y="0"/>
                      <a:ext cx="3846729" cy="2052133"/>
                    </a:xfrm>
                    <a:prstGeom prst="rect">
                      <a:avLst/>
                    </a:prstGeom>
                    <a:noFill/>
                    <a:ln>
                      <a:noFill/>
                    </a:ln>
                    <a:extLst>
                      <a:ext uri="{53640926-AAD7-44D8-BBD7-CCE9431645EC}">
                        <a14:shadowObscured xmlns:a14="http://schemas.microsoft.com/office/drawing/2010/main"/>
                      </a:ext>
                    </a:extLst>
                  </pic:spPr>
                </pic:pic>
              </a:graphicData>
            </a:graphic>
          </wp:inline>
        </w:drawing>
      </w:r>
    </w:p>
    <w:p w14:paraId="39735D9C" w14:textId="58139561" w:rsidR="002210A7" w:rsidRPr="00D11D21" w:rsidRDefault="002210A7" w:rsidP="005C3BEE">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19DAEDA2"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7EDB3005"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La grande majorité des répondants (97,6%) ont indiqué qu'il n'existe pas de plateforme numérique interconnectée entre leur structure et les institutions de financement. Seul un répondant (2,4%) a indiqué qu'une telle plateforme existe. Cela reflète une absence d'automatisation et de communication numérique entre les établissements et les institutions de financement.</w:t>
      </w:r>
    </w:p>
    <w:p w14:paraId="39CE3DA8" w14:textId="183DEC95"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11 :</w:t>
      </w:r>
      <w:r w:rsidRPr="00D11D21">
        <w:rPr>
          <w:rFonts w:asciiTheme="majorBidi" w:hAnsiTheme="majorBidi" w:cstheme="majorBidi"/>
          <w:b/>
          <w:bCs/>
          <w:color w:val="000000" w:themeColor="text1"/>
          <w:szCs w:val="24"/>
        </w:rPr>
        <w:t xml:space="preserve"> Si oui, laquelle ?</w:t>
      </w:r>
    </w:p>
    <w:p w14:paraId="38202A07"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4F919C5"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Dans la question 14, la majorité des répondants (64,3%) ont indiqué qu'ils n'ont pas de réponse concernant la plateforme numérique interconnectée. Par ailleurs, 35,7% ont précisé que non, il n'existe pas de telle plateforme. Cela montre que, même dans les cas où il existe une plateforme, elle n'est pas bien définie ou largement utilisée.</w:t>
      </w:r>
    </w:p>
    <w:p w14:paraId="235E827E" w14:textId="444B2275"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12 :</w:t>
      </w:r>
      <w:r w:rsidRPr="00D11D21">
        <w:rPr>
          <w:rFonts w:asciiTheme="majorBidi" w:hAnsiTheme="majorBidi" w:cstheme="majorBidi"/>
          <w:b/>
          <w:bCs/>
          <w:color w:val="000000" w:themeColor="text1"/>
          <w:szCs w:val="24"/>
        </w:rPr>
        <w:t xml:space="preserve"> Quels sont, selon vous, les apports d’un bon système d’information dans la gestion du financement ?</w:t>
      </w:r>
    </w:p>
    <w:p w14:paraId="7BC0F323"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43C7DFA"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La majorité des répondants soulignent les bénéfices significatifs d'un bon système d'information (SI) dans la gestion financière, notamment la réduction des erreurs humaines (11,9%), l'optimisation des ressources (11,9%), et la meilleure prise de décision (11,9%). Ces réponses reflètent une volonté de rendre la gestion plus transparente et fluide. En outre, des aspects tels que la facilitation de l'audit et du contrôle et la planification stratégique plus efficace sont également mentionnés par un certain nombre de répondants, soulignant que la mise en place d'un SI intégré peut renforcer la coordination, réduire les erreurs administratives et améliorer la transparence financière.</w:t>
      </w:r>
    </w:p>
    <w:p w14:paraId="0FB9A7D4" w14:textId="636016DE"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lastRenderedPageBreak/>
        <w:t>Q</w:t>
      </w:r>
      <w:r w:rsidR="002A2096" w:rsidRPr="00D11D21">
        <w:rPr>
          <w:rFonts w:asciiTheme="majorBidi" w:hAnsiTheme="majorBidi" w:cstheme="majorBidi"/>
          <w:b/>
          <w:bCs/>
          <w:color w:val="000000" w:themeColor="text1"/>
          <w:szCs w:val="24"/>
        </w:rPr>
        <w:t>13 :</w:t>
      </w:r>
      <w:r w:rsidRPr="00D11D21">
        <w:rPr>
          <w:rFonts w:asciiTheme="majorBidi" w:hAnsiTheme="majorBidi" w:cstheme="majorBidi"/>
          <w:b/>
          <w:bCs/>
          <w:color w:val="000000" w:themeColor="text1"/>
          <w:szCs w:val="24"/>
        </w:rPr>
        <w:t xml:space="preserve"> Seriez-vous favorable à une réforme du mode de financement actuel ?</w:t>
      </w:r>
    </w:p>
    <w:p w14:paraId="1959A597" w14:textId="59B9F4AE" w:rsidR="002210A7" w:rsidRPr="00282FFC" w:rsidRDefault="00A5407E" w:rsidP="00282FFC">
      <w:pPr>
        <w:pStyle w:val="Lgende"/>
        <w:keepNext/>
        <w:spacing w:line="360" w:lineRule="auto"/>
        <w:jc w:val="both"/>
        <w:rPr>
          <w:rFonts w:asciiTheme="majorBidi" w:hAnsiTheme="majorBidi" w:cstheme="majorBidi"/>
          <w:sz w:val="24"/>
          <w:szCs w:val="24"/>
        </w:rPr>
      </w:pPr>
      <w:bookmarkStart w:id="228" w:name="_Toc200210142"/>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réponses sur la faveur pour une réforme du mode de financement</w:t>
      </w:r>
      <w:bookmarkEnd w:id="228"/>
    </w:p>
    <w:tbl>
      <w:tblPr>
        <w:tblW w:w="1101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6"/>
        <w:gridCol w:w="1967"/>
        <w:gridCol w:w="1821"/>
        <w:gridCol w:w="1604"/>
        <w:gridCol w:w="2181"/>
        <w:gridCol w:w="2299"/>
      </w:tblGrid>
      <w:tr w:rsidR="002210A7" w:rsidRPr="00D11D21" w14:paraId="62E27BD3" w14:textId="77777777" w:rsidTr="00282FFC">
        <w:trPr>
          <w:cantSplit/>
          <w:trHeight w:val="395"/>
          <w:jc w:val="center"/>
        </w:trPr>
        <w:tc>
          <w:tcPr>
            <w:tcW w:w="3113" w:type="dxa"/>
            <w:gridSpan w:val="2"/>
            <w:tcBorders>
              <w:top w:val="single" w:sz="4" w:space="0" w:color="auto"/>
              <w:left w:val="single" w:sz="4" w:space="0" w:color="auto"/>
              <w:bottom w:val="single" w:sz="8" w:space="0" w:color="152935"/>
              <w:right w:val="nil"/>
            </w:tcBorders>
            <w:shd w:val="clear" w:color="auto" w:fill="FFFFFF"/>
            <w:vAlign w:val="bottom"/>
          </w:tcPr>
          <w:p w14:paraId="1F3253A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821" w:type="dxa"/>
            <w:tcBorders>
              <w:top w:val="single" w:sz="4" w:space="0" w:color="auto"/>
              <w:left w:val="nil"/>
              <w:bottom w:val="single" w:sz="8" w:space="0" w:color="152935"/>
              <w:right w:val="single" w:sz="8" w:space="0" w:color="E0E0E0"/>
            </w:tcBorders>
            <w:shd w:val="clear" w:color="auto" w:fill="FFFFFF"/>
            <w:vAlign w:val="bottom"/>
          </w:tcPr>
          <w:p w14:paraId="68BFA6D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60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1B70BEB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218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F51D4F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2299" w:type="dxa"/>
            <w:tcBorders>
              <w:top w:val="single" w:sz="4" w:space="0" w:color="auto"/>
              <w:left w:val="single" w:sz="8" w:space="0" w:color="E0E0E0"/>
              <w:bottom w:val="single" w:sz="8" w:space="0" w:color="152935"/>
              <w:right w:val="single" w:sz="4" w:space="0" w:color="auto"/>
            </w:tcBorders>
            <w:shd w:val="clear" w:color="auto" w:fill="FFFFFF"/>
            <w:vAlign w:val="bottom"/>
          </w:tcPr>
          <w:p w14:paraId="1164CB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73382BDC" w14:textId="77777777" w:rsidTr="00282FFC">
        <w:trPr>
          <w:cantSplit/>
          <w:trHeight w:val="197"/>
          <w:jc w:val="center"/>
        </w:trPr>
        <w:tc>
          <w:tcPr>
            <w:tcW w:w="1146" w:type="dxa"/>
            <w:vMerge w:val="restart"/>
            <w:tcBorders>
              <w:top w:val="single" w:sz="8" w:space="0" w:color="152935"/>
              <w:left w:val="single" w:sz="4" w:space="0" w:color="auto"/>
              <w:bottom w:val="single" w:sz="8" w:space="0" w:color="152935"/>
              <w:right w:val="nil"/>
            </w:tcBorders>
            <w:shd w:val="clear" w:color="auto" w:fill="E0E0E0"/>
          </w:tcPr>
          <w:p w14:paraId="25B53B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1967" w:type="dxa"/>
            <w:tcBorders>
              <w:top w:val="single" w:sz="8" w:space="0" w:color="152935"/>
              <w:left w:val="nil"/>
              <w:bottom w:val="single" w:sz="8" w:space="0" w:color="AEAEAE"/>
              <w:right w:val="nil"/>
            </w:tcBorders>
            <w:shd w:val="clear" w:color="auto" w:fill="E0E0E0"/>
          </w:tcPr>
          <w:p w14:paraId="34A71C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Ne sait pas</w:t>
            </w:r>
          </w:p>
        </w:tc>
        <w:tc>
          <w:tcPr>
            <w:tcW w:w="1821" w:type="dxa"/>
            <w:tcBorders>
              <w:top w:val="single" w:sz="8" w:space="0" w:color="152935"/>
              <w:left w:val="nil"/>
              <w:bottom w:val="single" w:sz="8" w:space="0" w:color="AEAEAE"/>
              <w:right w:val="single" w:sz="8" w:space="0" w:color="E0E0E0"/>
            </w:tcBorders>
            <w:shd w:val="clear" w:color="auto" w:fill="FFFFFF"/>
          </w:tcPr>
          <w:p w14:paraId="0A048A4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604" w:type="dxa"/>
            <w:tcBorders>
              <w:top w:val="single" w:sz="8" w:space="0" w:color="152935"/>
              <w:left w:val="single" w:sz="8" w:space="0" w:color="E0E0E0"/>
              <w:bottom w:val="single" w:sz="8" w:space="0" w:color="AEAEAE"/>
              <w:right w:val="single" w:sz="8" w:space="0" w:color="E0E0E0"/>
            </w:tcBorders>
            <w:shd w:val="clear" w:color="auto" w:fill="FFFFFF"/>
          </w:tcPr>
          <w:p w14:paraId="6B3935F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2181" w:type="dxa"/>
            <w:tcBorders>
              <w:top w:val="single" w:sz="8" w:space="0" w:color="152935"/>
              <w:left w:val="single" w:sz="8" w:space="0" w:color="E0E0E0"/>
              <w:bottom w:val="single" w:sz="8" w:space="0" w:color="AEAEAE"/>
              <w:right w:val="single" w:sz="8" w:space="0" w:color="E0E0E0"/>
            </w:tcBorders>
            <w:shd w:val="clear" w:color="auto" w:fill="FFFFFF"/>
          </w:tcPr>
          <w:p w14:paraId="0CD8D1E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2299" w:type="dxa"/>
            <w:tcBorders>
              <w:top w:val="single" w:sz="8" w:space="0" w:color="152935"/>
              <w:left w:val="single" w:sz="8" w:space="0" w:color="E0E0E0"/>
              <w:bottom w:val="single" w:sz="8" w:space="0" w:color="AEAEAE"/>
              <w:right w:val="single" w:sz="4" w:space="0" w:color="auto"/>
            </w:tcBorders>
            <w:shd w:val="clear" w:color="auto" w:fill="FFFFFF"/>
          </w:tcPr>
          <w:p w14:paraId="74F8433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r>
      <w:tr w:rsidR="002210A7" w:rsidRPr="00D11D21" w14:paraId="64027CBA" w14:textId="77777777" w:rsidTr="00282FFC">
        <w:trPr>
          <w:cantSplit/>
          <w:trHeight w:val="67"/>
          <w:jc w:val="center"/>
        </w:trPr>
        <w:tc>
          <w:tcPr>
            <w:tcW w:w="1146" w:type="dxa"/>
            <w:vMerge/>
            <w:tcBorders>
              <w:top w:val="single" w:sz="8" w:space="0" w:color="152935"/>
              <w:left w:val="single" w:sz="4" w:space="0" w:color="auto"/>
              <w:bottom w:val="single" w:sz="8" w:space="0" w:color="152935"/>
              <w:right w:val="nil"/>
            </w:tcBorders>
            <w:shd w:val="clear" w:color="auto" w:fill="E0E0E0"/>
          </w:tcPr>
          <w:p w14:paraId="4CF799D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967" w:type="dxa"/>
            <w:tcBorders>
              <w:top w:val="single" w:sz="8" w:space="0" w:color="AEAEAE"/>
              <w:left w:val="nil"/>
              <w:bottom w:val="single" w:sz="8" w:space="0" w:color="AEAEAE"/>
              <w:right w:val="nil"/>
            </w:tcBorders>
            <w:shd w:val="clear" w:color="auto" w:fill="E0E0E0"/>
          </w:tcPr>
          <w:p w14:paraId="51D4F3B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821" w:type="dxa"/>
            <w:tcBorders>
              <w:top w:val="single" w:sz="8" w:space="0" w:color="AEAEAE"/>
              <w:left w:val="nil"/>
              <w:bottom w:val="single" w:sz="8" w:space="0" w:color="AEAEAE"/>
              <w:right w:val="single" w:sz="8" w:space="0" w:color="E0E0E0"/>
            </w:tcBorders>
            <w:shd w:val="clear" w:color="auto" w:fill="FFFFFF"/>
          </w:tcPr>
          <w:p w14:paraId="719698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604" w:type="dxa"/>
            <w:tcBorders>
              <w:top w:val="single" w:sz="8" w:space="0" w:color="AEAEAE"/>
              <w:left w:val="single" w:sz="8" w:space="0" w:color="E0E0E0"/>
              <w:bottom w:val="single" w:sz="8" w:space="0" w:color="AEAEAE"/>
              <w:right w:val="single" w:sz="8" w:space="0" w:color="E0E0E0"/>
            </w:tcBorders>
            <w:shd w:val="clear" w:color="auto" w:fill="FFFFFF"/>
          </w:tcPr>
          <w:p w14:paraId="3975E06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2181" w:type="dxa"/>
            <w:tcBorders>
              <w:top w:val="single" w:sz="8" w:space="0" w:color="AEAEAE"/>
              <w:left w:val="single" w:sz="8" w:space="0" w:color="E0E0E0"/>
              <w:bottom w:val="single" w:sz="8" w:space="0" w:color="AEAEAE"/>
              <w:right w:val="single" w:sz="8" w:space="0" w:color="E0E0E0"/>
            </w:tcBorders>
            <w:shd w:val="clear" w:color="auto" w:fill="FFFFFF"/>
          </w:tcPr>
          <w:p w14:paraId="7A2F29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2299" w:type="dxa"/>
            <w:tcBorders>
              <w:top w:val="single" w:sz="8" w:space="0" w:color="AEAEAE"/>
              <w:left w:val="single" w:sz="8" w:space="0" w:color="E0E0E0"/>
              <w:bottom w:val="single" w:sz="8" w:space="0" w:color="AEAEAE"/>
              <w:right w:val="single" w:sz="4" w:space="0" w:color="auto"/>
            </w:tcBorders>
            <w:shd w:val="clear" w:color="auto" w:fill="FFFFFF"/>
          </w:tcPr>
          <w:p w14:paraId="7E537D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r>
      <w:tr w:rsidR="002210A7" w:rsidRPr="00D11D21" w14:paraId="7600BF01" w14:textId="77777777" w:rsidTr="00282FFC">
        <w:trPr>
          <w:cantSplit/>
          <w:trHeight w:val="67"/>
          <w:jc w:val="center"/>
        </w:trPr>
        <w:tc>
          <w:tcPr>
            <w:tcW w:w="1146" w:type="dxa"/>
            <w:vMerge/>
            <w:tcBorders>
              <w:top w:val="single" w:sz="8" w:space="0" w:color="152935"/>
              <w:left w:val="single" w:sz="4" w:space="0" w:color="auto"/>
              <w:bottom w:val="single" w:sz="8" w:space="0" w:color="152935"/>
              <w:right w:val="nil"/>
            </w:tcBorders>
            <w:shd w:val="clear" w:color="auto" w:fill="E0E0E0"/>
          </w:tcPr>
          <w:p w14:paraId="4E77D4B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967" w:type="dxa"/>
            <w:tcBorders>
              <w:top w:val="single" w:sz="8" w:space="0" w:color="AEAEAE"/>
              <w:left w:val="nil"/>
              <w:bottom w:val="single" w:sz="8" w:space="0" w:color="AEAEAE"/>
              <w:right w:val="nil"/>
            </w:tcBorders>
            <w:shd w:val="clear" w:color="auto" w:fill="E0E0E0"/>
          </w:tcPr>
          <w:p w14:paraId="6627846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821" w:type="dxa"/>
            <w:tcBorders>
              <w:top w:val="single" w:sz="8" w:space="0" w:color="AEAEAE"/>
              <w:left w:val="nil"/>
              <w:bottom w:val="single" w:sz="8" w:space="0" w:color="AEAEAE"/>
              <w:right w:val="single" w:sz="8" w:space="0" w:color="E0E0E0"/>
            </w:tcBorders>
            <w:shd w:val="clear" w:color="auto" w:fill="FFFFFF"/>
          </w:tcPr>
          <w:p w14:paraId="1510730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29</w:t>
            </w:r>
          </w:p>
        </w:tc>
        <w:tc>
          <w:tcPr>
            <w:tcW w:w="1604" w:type="dxa"/>
            <w:tcBorders>
              <w:top w:val="single" w:sz="8" w:space="0" w:color="AEAEAE"/>
              <w:left w:val="single" w:sz="8" w:space="0" w:color="E0E0E0"/>
              <w:bottom w:val="single" w:sz="8" w:space="0" w:color="AEAEAE"/>
              <w:right w:val="single" w:sz="8" w:space="0" w:color="E0E0E0"/>
            </w:tcBorders>
            <w:shd w:val="clear" w:color="auto" w:fill="FFFFFF"/>
          </w:tcPr>
          <w:p w14:paraId="331908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69,0</w:t>
            </w:r>
          </w:p>
        </w:tc>
        <w:tc>
          <w:tcPr>
            <w:tcW w:w="2181" w:type="dxa"/>
            <w:tcBorders>
              <w:top w:val="single" w:sz="8" w:space="0" w:color="AEAEAE"/>
              <w:left w:val="single" w:sz="8" w:space="0" w:color="E0E0E0"/>
              <w:bottom w:val="single" w:sz="8" w:space="0" w:color="AEAEAE"/>
              <w:right w:val="single" w:sz="8" w:space="0" w:color="E0E0E0"/>
            </w:tcBorders>
            <w:shd w:val="clear" w:color="auto" w:fill="FFFFFF"/>
          </w:tcPr>
          <w:p w14:paraId="625557B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69,0</w:t>
            </w:r>
          </w:p>
        </w:tc>
        <w:tc>
          <w:tcPr>
            <w:tcW w:w="2299" w:type="dxa"/>
            <w:tcBorders>
              <w:top w:val="single" w:sz="8" w:space="0" w:color="AEAEAE"/>
              <w:left w:val="single" w:sz="8" w:space="0" w:color="E0E0E0"/>
              <w:bottom w:val="single" w:sz="8" w:space="0" w:color="AEAEAE"/>
              <w:right w:val="single" w:sz="4" w:space="0" w:color="auto"/>
            </w:tcBorders>
            <w:shd w:val="clear" w:color="auto" w:fill="FFFFFF"/>
          </w:tcPr>
          <w:p w14:paraId="7F12241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01BE1C8B" w14:textId="77777777" w:rsidTr="00282FFC">
        <w:trPr>
          <w:cantSplit/>
          <w:trHeight w:val="67"/>
          <w:jc w:val="center"/>
        </w:trPr>
        <w:tc>
          <w:tcPr>
            <w:tcW w:w="1146" w:type="dxa"/>
            <w:vMerge/>
            <w:tcBorders>
              <w:top w:val="single" w:sz="8" w:space="0" w:color="152935"/>
              <w:left w:val="single" w:sz="4" w:space="0" w:color="auto"/>
              <w:bottom w:val="single" w:sz="4" w:space="0" w:color="auto"/>
              <w:right w:val="nil"/>
            </w:tcBorders>
            <w:shd w:val="clear" w:color="auto" w:fill="E0E0E0"/>
          </w:tcPr>
          <w:p w14:paraId="15AC926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967" w:type="dxa"/>
            <w:tcBorders>
              <w:top w:val="single" w:sz="8" w:space="0" w:color="AEAEAE"/>
              <w:left w:val="nil"/>
              <w:bottom w:val="single" w:sz="4" w:space="0" w:color="auto"/>
              <w:right w:val="nil"/>
            </w:tcBorders>
            <w:shd w:val="clear" w:color="auto" w:fill="E0E0E0"/>
          </w:tcPr>
          <w:p w14:paraId="1879822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821" w:type="dxa"/>
            <w:tcBorders>
              <w:top w:val="single" w:sz="8" w:space="0" w:color="AEAEAE"/>
              <w:left w:val="nil"/>
              <w:bottom w:val="single" w:sz="4" w:space="0" w:color="auto"/>
              <w:right w:val="single" w:sz="8" w:space="0" w:color="E0E0E0"/>
            </w:tcBorders>
            <w:shd w:val="clear" w:color="auto" w:fill="FFFFFF"/>
          </w:tcPr>
          <w:p w14:paraId="08834BB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604" w:type="dxa"/>
            <w:tcBorders>
              <w:top w:val="single" w:sz="8" w:space="0" w:color="AEAEAE"/>
              <w:left w:val="single" w:sz="8" w:space="0" w:color="E0E0E0"/>
              <w:bottom w:val="single" w:sz="4" w:space="0" w:color="auto"/>
              <w:right w:val="single" w:sz="8" w:space="0" w:color="E0E0E0"/>
            </w:tcBorders>
            <w:shd w:val="clear" w:color="auto" w:fill="FFFFFF"/>
          </w:tcPr>
          <w:p w14:paraId="2FFB954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2181" w:type="dxa"/>
            <w:tcBorders>
              <w:top w:val="single" w:sz="8" w:space="0" w:color="AEAEAE"/>
              <w:left w:val="single" w:sz="8" w:space="0" w:color="E0E0E0"/>
              <w:bottom w:val="single" w:sz="4" w:space="0" w:color="auto"/>
              <w:right w:val="single" w:sz="8" w:space="0" w:color="E0E0E0"/>
            </w:tcBorders>
            <w:shd w:val="clear" w:color="auto" w:fill="FFFFFF"/>
          </w:tcPr>
          <w:p w14:paraId="61998A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2299" w:type="dxa"/>
            <w:tcBorders>
              <w:top w:val="single" w:sz="8" w:space="0" w:color="AEAEAE"/>
              <w:left w:val="single" w:sz="8" w:space="0" w:color="E0E0E0"/>
              <w:bottom w:val="single" w:sz="4" w:space="0" w:color="auto"/>
              <w:right w:val="single" w:sz="4" w:space="0" w:color="auto"/>
            </w:tcBorders>
            <w:shd w:val="clear" w:color="auto" w:fill="FFFFFF"/>
            <w:vAlign w:val="center"/>
          </w:tcPr>
          <w:p w14:paraId="5A6F7A9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7559AA61"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p w14:paraId="33B3D574" w14:textId="411CFB34"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327F78F4" w14:textId="4DC2E3ED" w:rsidR="002210A7" w:rsidRPr="00D11D21" w:rsidRDefault="00C27A16" w:rsidP="00D11D21">
      <w:pPr>
        <w:pStyle w:val="Lgende"/>
        <w:keepNext/>
        <w:spacing w:line="360" w:lineRule="auto"/>
        <w:jc w:val="both"/>
        <w:rPr>
          <w:rFonts w:asciiTheme="majorBidi" w:hAnsiTheme="majorBidi" w:cstheme="majorBidi"/>
          <w:color w:val="auto"/>
          <w:sz w:val="24"/>
          <w:szCs w:val="24"/>
        </w:rPr>
      </w:pPr>
      <w:bookmarkStart w:id="229" w:name="_Toc200210097"/>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30</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faveurs pour une réforme du mode de financement</w:t>
      </w:r>
      <w:bookmarkEnd w:id="229"/>
    </w:p>
    <w:p w14:paraId="1987D0DC" w14:textId="3B50CCA3"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7A184047" wp14:editId="0F66DA8F">
            <wp:extent cx="3886200" cy="2143398"/>
            <wp:effectExtent l="0" t="0" r="0" b="9525"/>
            <wp:docPr id="199" name="Imag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43">
                      <a:extLst>
                        <a:ext uri="{28A0092B-C50C-407E-A947-70E740481C1C}">
                          <a14:useLocalDpi xmlns:a14="http://schemas.microsoft.com/office/drawing/2010/main" val="0"/>
                        </a:ext>
                      </a:extLst>
                    </a:blip>
                    <a:srcRect t="6318"/>
                    <a:stretch/>
                  </pic:blipFill>
                  <pic:spPr bwMode="auto">
                    <a:xfrm>
                      <a:off x="0" y="0"/>
                      <a:ext cx="3895613" cy="2148590"/>
                    </a:xfrm>
                    <a:prstGeom prst="rect">
                      <a:avLst/>
                    </a:prstGeom>
                    <a:noFill/>
                    <a:ln>
                      <a:noFill/>
                    </a:ln>
                    <a:extLst>
                      <a:ext uri="{53640926-AAD7-44D8-BBD7-CCE9431645EC}">
                        <a14:shadowObscured xmlns:a14="http://schemas.microsoft.com/office/drawing/2010/main"/>
                      </a:ext>
                    </a:extLst>
                  </pic:spPr>
                </pic:pic>
              </a:graphicData>
            </a:graphic>
          </wp:inline>
        </w:drawing>
      </w:r>
    </w:p>
    <w:p w14:paraId="462FDCB9" w14:textId="1D6EC8AE"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35336FE9"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22739B62" w14:textId="494F37D4" w:rsidR="002210A7" w:rsidRPr="00D11D21"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La majorité des répondants (69%) se montrent favorables à une réforme du mode de financement actuel, tandis que 26,2% ne se prononcent pas et 4,8% s'y opposent. Cela indique une volonté générale de réformer le système actuel pour mieux répondre aux</w:t>
      </w:r>
      <w:r w:rsidR="00772AE8">
        <w:rPr>
          <w:rFonts w:asciiTheme="majorBidi" w:hAnsiTheme="majorBidi" w:cstheme="majorBidi"/>
          <w:szCs w:val="24"/>
        </w:rPr>
        <w:t xml:space="preserve"> besoins de gestion financière.</w:t>
      </w:r>
    </w:p>
    <w:p w14:paraId="481CCDE0" w14:textId="72DD4915"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14 :</w:t>
      </w:r>
      <w:r w:rsidRPr="00D11D21">
        <w:rPr>
          <w:rFonts w:asciiTheme="majorBidi" w:hAnsiTheme="majorBidi" w:cstheme="majorBidi"/>
          <w:b/>
          <w:bCs/>
          <w:color w:val="000000" w:themeColor="text1"/>
          <w:szCs w:val="24"/>
        </w:rPr>
        <w:t xml:space="preserve"> Quels avantages percevriez-vous à l’introduction d’un financement partiel à l’activité (comme la T2A) dans votre établissement ?</w:t>
      </w:r>
    </w:p>
    <w:p w14:paraId="1412EAF6" w14:textId="524E1A60" w:rsidR="002210A7" w:rsidRPr="00D11D21" w:rsidRDefault="00A5407E" w:rsidP="00D11D21">
      <w:pPr>
        <w:pStyle w:val="Lgende"/>
        <w:keepNext/>
        <w:spacing w:line="360" w:lineRule="auto"/>
        <w:jc w:val="both"/>
        <w:rPr>
          <w:rFonts w:asciiTheme="majorBidi" w:hAnsiTheme="majorBidi" w:cstheme="majorBidi"/>
          <w:color w:val="auto"/>
          <w:sz w:val="24"/>
          <w:szCs w:val="24"/>
        </w:rPr>
      </w:pPr>
      <w:bookmarkStart w:id="230" w:name="_Toc200210143"/>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35</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avantages perçus du financement partiel à l’activité</w:t>
      </w:r>
      <w:bookmarkEnd w:id="230"/>
    </w:p>
    <w:tbl>
      <w:tblPr>
        <w:tblW w:w="105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8"/>
        <w:gridCol w:w="3138"/>
        <w:gridCol w:w="1488"/>
        <w:gridCol w:w="1311"/>
        <w:gridCol w:w="1782"/>
        <w:gridCol w:w="1881"/>
      </w:tblGrid>
      <w:tr w:rsidR="002210A7" w:rsidRPr="00D11D21" w14:paraId="24F68F85" w14:textId="77777777" w:rsidTr="00282FFC">
        <w:trPr>
          <w:cantSplit/>
          <w:trHeight w:val="224"/>
          <w:jc w:val="center"/>
        </w:trPr>
        <w:tc>
          <w:tcPr>
            <w:tcW w:w="4076" w:type="dxa"/>
            <w:gridSpan w:val="2"/>
            <w:tcBorders>
              <w:top w:val="single" w:sz="4" w:space="0" w:color="auto"/>
              <w:left w:val="single" w:sz="4" w:space="0" w:color="auto"/>
              <w:bottom w:val="single" w:sz="8" w:space="0" w:color="152935"/>
              <w:right w:val="nil"/>
            </w:tcBorders>
            <w:shd w:val="clear" w:color="auto" w:fill="FFFFFF"/>
            <w:vAlign w:val="bottom"/>
          </w:tcPr>
          <w:p w14:paraId="34CC9804" w14:textId="77777777" w:rsidR="002210A7" w:rsidRPr="00D11D21" w:rsidRDefault="002210A7" w:rsidP="00D11D21">
            <w:pPr>
              <w:jc w:val="both"/>
              <w:rPr>
                <w:rFonts w:asciiTheme="majorBidi" w:hAnsiTheme="majorBidi" w:cstheme="majorBidi"/>
                <w:szCs w:val="24"/>
              </w:rPr>
            </w:pPr>
          </w:p>
        </w:tc>
        <w:tc>
          <w:tcPr>
            <w:tcW w:w="1488" w:type="dxa"/>
            <w:tcBorders>
              <w:top w:val="single" w:sz="4" w:space="0" w:color="auto"/>
              <w:left w:val="nil"/>
              <w:bottom w:val="single" w:sz="8" w:space="0" w:color="152935"/>
              <w:right w:val="single" w:sz="8" w:space="0" w:color="E0E0E0"/>
            </w:tcBorders>
            <w:shd w:val="clear" w:color="auto" w:fill="FFFFFF"/>
            <w:vAlign w:val="bottom"/>
          </w:tcPr>
          <w:p w14:paraId="27F0913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1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2FFDAE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782"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C7E77C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881" w:type="dxa"/>
            <w:tcBorders>
              <w:top w:val="single" w:sz="4" w:space="0" w:color="auto"/>
              <w:left w:val="single" w:sz="8" w:space="0" w:color="E0E0E0"/>
              <w:bottom w:val="single" w:sz="8" w:space="0" w:color="152935"/>
              <w:right w:val="single" w:sz="4" w:space="0" w:color="auto"/>
            </w:tcBorders>
            <w:shd w:val="clear" w:color="auto" w:fill="FFFFFF"/>
            <w:vAlign w:val="bottom"/>
          </w:tcPr>
          <w:p w14:paraId="5AC7258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5639EBC8" w14:textId="77777777" w:rsidTr="00282FFC">
        <w:trPr>
          <w:cantSplit/>
          <w:trHeight w:val="224"/>
          <w:jc w:val="center"/>
        </w:trPr>
        <w:tc>
          <w:tcPr>
            <w:tcW w:w="938" w:type="dxa"/>
            <w:vMerge w:val="restart"/>
            <w:tcBorders>
              <w:top w:val="single" w:sz="8" w:space="0" w:color="152935"/>
              <w:left w:val="single" w:sz="4" w:space="0" w:color="auto"/>
              <w:bottom w:val="single" w:sz="8" w:space="0" w:color="152935"/>
              <w:right w:val="nil"/>
            </w:tcBorders>
            <w:shd w:val="clear" w:color="auto" w:fill="E0E0E0"/>
          </w:tcPr>
          <w:p w14:paraId="21ECAA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137" w:type="dxa"/>
            <w:tcBorders>
              <w:top w:val="single" w:sz="8" w:space="0" w:color="152935"/>
              <w:left w:val="nil"/>
              <w:bottom w:val="single" w:sz="8" w:space="0" w:color="AEAEAE"/>
              <w:right w:val="nil"/>
            </w:tcBorders>
            <w:shd w:val="clear" w:color="auto" w:fill="E0E0E0"/>
          </w:tcPr>
          <w:p w14:paraId="0F427CD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Amélioration de la qualité des soins</w:t>
            </w:r>
          </w:p>
        </w:tc>
        <w:tc>
          <w:tcPr>
            <w:tcW w:w="1488" w:type="dxa"/>
            <w:tcBorders>
              <w:top w:val="single" w:sz="8" w:space="0" w:color="152935"/>
              <w:left w:val="nil"/>
              <w:bottom w:val="single" w:sz="8" w:space="0" w:color="AEAEAE"/>
              <w:right w:val="single" w:sz="8" w:space="0" w:color="E0E0E0"/>
            </w:tcBorders>
            <w:shd w:val="clear" w:color="auto" w:fill="FFFFFF"/>
          </w:tcPr>
          <w:p w14:paraId="04BB4E5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311" w:type="dxa"/>
            <w:tcBorders>
              <w:top w:val="single" w:sz="8" w:space="0" w:color="152935"/>
              <w:left w:val="single" w:sz="8" w:space="0" w:color="E0E0E0"/>
              <w:bottom w:val="single" w:sz="8" w:space="0" w:color="AEAEAE"/>
              <w:right w:val="single" w:sz="8" w:space="0" w:color="E0E0E0"/>
            </w:tcBorders>
            <w:shd w:val="clear" w:color="auto" w:fill="FFFFFF"/>
          </w:tcPr>
          <w:p w14:paraId="20B864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782" w:type="dxa"/>
            <w:tcBorders>
              <w:top w:val="single" w:sz="8" w:space="0" w:color="152935"/>
              <w:left w:val="single" w:sz="8" w:space="0" w:color="E0E0E0"/>
              <w:bottom w:val="single" w:sz="8" w:space="0" w:color="AEAEAE"/>
              <w:right w:val="single" w:sz="8" w:space="0" w:color="E0E0E0"/>
            </w:tcBorders>
            <w:shd w:val="clear" w:color="auto" w:fill="FFFFFF"/>
          </w:tcPr>
          <w:p w14:paraId="5D058AD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881" w:type="dxa"/>
            <w:tcBorders>
              <w:top w:val="single" w:sz="8" w:space="0" w:color="152935"/>
              <w:left w:val="single" w:sz="8" w:space="0" w:color="E0E0E0"/>
              <w:bottom w:val="single" w:sz="8" w:space="0" w:color="AEAEAE"/>
              <w:right w:val="single" w:sz="4" w:space="0" w:color="auto"/>
            </w:tcBorders>
            <w:shd w:val="clear" w:color="auto" w:fill="FFFFFF"/>
          </w:tcPr>
          <w:p w14:paraId="38ACBF7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r>
      <w:tr w:rsidR="002210A7" w:rsidRPr="00D11D21" w14:paraId="6EFD0B2D" w14:textId="77777777" w:rsidTr="00282FFC">
        <w:trPr>
          <w:cantSplit/>
          <w:trHeight w:val="38"/>
          <w:jc w:val="center"/>
        </w:trPr>
        <w:tc>
          <w:tcPr>
            <w:tcW w:w="938" w:type="dxa"/>
            <w:vMerge/>
            <w:tcBorders>
              <w:top w:val="single" w:sz="8" w:space="0" w:color="152935"/>
              <w:left w:val="single" w:sz="4" w:space="0" w:color="auto"/>
              <w:bottom w:val="single" w:sz="8" w:space="0" w:color="152935"/>
              <w:right w:val="nil"/>
            </w:tcBorders>
            <w:shd w:val="clear" w:color="auto" w:fill="E0E0E0"/>
          </w:tcPr>
          <w:p w14:paraId="0717304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8" w:space="0" w:color="AEAEAE"/>
              <w:right w:val="nil"/>
            </w:tcBorders>
            <w:shd w:val="clear" w:color="auto" w:fill="E0E0E0"/>
          </w:tcPr>
          <w:p w14:paraId="1FA4A8E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Meilleure transparence budgétaire</w:t>
            </w:r>
          </w:p>
        </w:tc>
        <w:tc>
          <w:tcPr>
            <w:tcW w:w="1488" w:type="dxa"/>
            <w:tcBorders>
              <w:top w:val="single" w:sz="8" w:space="0" w:color="AEAEAE"/>
              <w:left w:val="nil"/>
              <w:bottom w:val="single" w:sz="8" w:space="0" w:color="AEAEAE"/>
              <w:right w:val="single" w:sz="8" w:space="0" w:color="E0E0E0"/>
            </w:tcBorders>
            <w:shd w:val="clear" w:color="auto" w:fill="FFFFFF"/>
          </w:tcPr>
          <w:p w14:paraId="0AEF8E5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w:t>
            </w:r>
          </w:p>
        </w:tc>
        <w:tc>
          <w:tcPr>
            <w:tcW w:w="1311" w:type="dxa"/>
            <w:tcBorders>
              <w:top w:val="single" w:sz="8" w:space="0" w:color="AEAEAE"/>
              <w:left w:val="single" w:sz="8" w:space="0" w:color="E0E0E0"/>
              <w:bottom w:val="single" w:sz="8" w:space="0" w:color="AEAEAE"/>
              <w:right w:val="single" w:sz="8" w:space="0" w:color="E0E0E0"/>
            </w:tcBorders>
            <w:shd w:val="clear" w:color="auto" w:fill="FFFFFF"/>
          </w:tcPr>
          <w:p w14:paraId="233467D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1782" w:type="dxa"/>
            <w:tcBorders>
              <w:top w:val="single" w:sz="8" w:space="0" w:color="AEAEAE"/>
              <w:left w:val="single" w:sz="8" w:space="0" w:color="E0E0E0"/>
              <w:bottom w:val="single" w:sz="8" w:space="0" w:color="AEAEAE"/>
              <w:right w:val="single" w:sz="8" w:space="0" w:color="E0E0E0"/>
            </w:tcBorders>
            <w:shd w:val="clear" w:color="auto" w:fill="FFFFFF"/>
          </w:tcPr>
          <w:p w14:paraId="2C805A7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33,3</w:t>
            </w:r>
          </w:p>
        </w:tc>
        <w:tc>
          <w:tcPr>
            <w:tcW w:w="1881" w:type="dxa"/>
            <w:tcBorders>
              <w:top w:val="single" w:sz="8" w:space="0" w:color="AEAEAE"/>
              <w:left w:val="single" w:sz="8" w:space="0" w:color="E0E0E0"/>
              <w:bottom w:val="single" w:sz="8" w:space="0" w:color="AEAEAE"/>
              <w:right w:val="single" w:sz="4" w:space="0" w:color="auto"/>
            </w:tcBorders>
            <w:shd w:val="clear" w:color="auto" w:fill="FFFFFF"/>
          </w:tcPr>
          <w:p w14:paraId="531BDD1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59,5</w:t>
            </w:r>
          </w:p>
        </w:tc>
      </w:tr>
      <w:tr w:rsidR="002210A7" w:rsidRPr="00D11D21" w14:paraId="409E8A99" w14:textId="77777777" w:rsidTr="00282FFC">
        <w:trPr>
          <w:cantSplit/>
          <w:trHeight w:val="38"/>
          <w:jc w:val="center"/>
        </w:trPr>
        <w:tc>
          <w:tcPr>
            <w:tcW w:w="938" w:type="dxa"/>
            <w:vMerge/>
            <w:tcBorders>
              <w:top w:val="single" w:sz="8" w:space="0" w:color="152935"/>
              <w:left w:val="single" w:sz="4" w:space="0" w:color="auto"/>
              <w:bottom w:val="single" w:sz="8" w:space="0" w:color="152935"/>
              <w:right w:val="nil"/>
            </w:tcBorders>
            <w:shd w:val="clear" w:color="auto" w:fill="E0E0E0"/>
          </w:tcPr>
          <w:p w14:paraId="7CA29F0D"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8" w:space="0" w:color="AEAEAE"/>
              <w:right w:val="nil"/>
            </w:tcBorders>
            <w:shd w:val="clear" w:color="auto" w:fill="E0E0E0"/>
          </w:tcPr>
          <w:p w14:paraId="05BCB08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Motivation à l’efficience</w:t>
            </w:r>
          </w:p>
        </w:tc>
        <w:tc>
          <w:tcPr>
            <w:tcW w:w="1488" w:type="dxa"/>
            <w:tcBorders>
              <w:top w:val="single" w:sz="8" w:space="0" w:color="AEAEAE"/>
              <w:left w:val="nil"/>
              <w:bottom w:val="single" w:sz="8" w:space="0" w:color="AEAEAE"/>
              <w:right w:val="single" w:sz="8" w:space="0" w:color="E0E0E0"/>
            </w:tcBorders>
            <w:shd w:val="clear" w:color="auto" w:fill="FFFFFF"/>
          </w:tcPr>
          <w:p w14:paraId="32CD202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311" w:type="dxa"/>
            <w:tcBorders>
              <w:top w:val="single" w:sz="8" w:space="0" w:color="AEAEAE"/>
              <w:left w:val="single" w:sz="8" w:space="0" w:color="E0E0E0"/>
              <w:bottom w:val="single" w:sz="8" w:space="0" w:color="AEAEAE"/>
              <w:right w:val="single" w:sz="8" w:space="0" w:color="E0E0E0"/>
            </w:tcBorders>
            <w:shd w:val="clear" w:color="auto" w:fill="FFFFFF"/>
          </w:tcPr>
          <w:p w14:paraId="025774B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782" w:type="dxa"/>
            <w:tcBorders>
              <w:top w:val="single" w:sz="8" w:space="0" w:color="AEAEAE"/>
              <w:left w:val="single" w:sz="8" w:space="0" w:color="E0E0E0"/>
              <w:bottom w:val="single" w:sz="8" w:space="0" w:color="AEAEAE"/>
              <w:right w:val="single" w:sz="8" w:space="0" w:color="E0E0E0"/>
            </w:tcBorders>
            <w:shd w:val="clear" w:color="auto" w:fill="FFFFFF"/>
          </w:tcPr>
          <w:p w14:paraId="7024CC8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881" w:type="dxa"/>
            <w:tcBorders>
              <w:top w:val="single" w:sz="8" w:space="0" w:color="AEAEAE"/>
              <w:left w:val="single" w:sz="8" w:space="0" w:color="E0E0E0"/>
              <w:bottom w:val="single" w:sz="8" w:space="0" w:color="AEAEAE"/>
              <w:right w:val="single" w:sz="4" w:space="0" w:color="auto"/>
            </w:tcBorders>
            <w:shd w:val="clear" w:color="auto" w:fill="FFFFFF"/>
          </w:tcPr>
          <w:p w14:paraId="4EC6EDD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85,7</w:t>
            </w:r>
          </w:p>
        </w:tc>
      </w:tr>
      <w:tr w:rsidR="002210A7" w:rsidRPr="00D11D21" w14:paraId="0935D9E5" w14:textId="77777777" w:rsidTr="00282FFC">
        <w:trPr>
          <w:cantSplit/>
          <w:trHeight w:val="38"/>
          <w:jc w:val="center"/>
        </w:trPr>
        <w:tc>
          <w:tcPr>
            <w:tcW w:w="938" w:type="dxa"/>
            <w:vMerge/>
            <w:tcBorders>
              <w:top w:val="single" w:sz="8" w:space="0" w:color="152935"/>
              <w:left w:val="single" w:sz="4" w:space="0" w:color="auto"/>
              <w:bottom w:val="single" w:sz="8" w:space="0" w:color="152935"/>
              <w:right w:val="nil"/>
            </w:tcBorders>
            <w:shd w:val="clear" w:color="auto" w:fill="E0E0E0"/>
          </w:tcPr>
          <w:p w14:paraId="1D37EC5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8" w:space="0" w:color="AEAEAE"/>
              <w:right w:val="nil"/>
            </w:tcBorders>
            <w:shd w:val="clear" w:color="auto" w:fill="E0E0E0"/>
          </w:tcPr>
          <w:p w14:paraId="0572C0D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Répartition équitable des ressources</w:t>
            </w:r>
          </w:p>
        </w:tc>
        <w:tc>
          <w:tcPr>
            <w:tcW w:w="1488" w:type="dxa"/>
            <w:tcBorders>
              <w:top w:val="single" w:sz="8" w:space="0" w:color="AEAEAE"/>
              <w:left w:val="nil"/>
              <w:bottom w:val="single" w:sz="8" w:space="0" w:color="AEAEAE"/>
              <w:right w:val="single" w:sz="8" w:space="0" w:color="E0E0E0"/>
            </w:tcBorders>
            <w:shd w:val="clear" w:color="auto" w:fill="FFFFFF"/>
          </w:tcPr>
          <w:p w14:paraId="1E5DB06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311" w:type="dxa"/>
            <w:tcBorders>
              <w:top w:val="single" w:sz="8" w:space="0" w:color="AEAEAE"/>
              <w:left w:val="single" w:sz="8" w:space="0" w:color="E0E0E0"/>
              <w:bottom w:val="single" w:sz="8" w:space="0" w:color="AEAEAE"/>
              <w:right w:val="single" w:sz="8" w:space="0" w:color="E0E0E0"/>
            </w:tcBorders>
            <w:shd w:val="clear" w:color="auto" w:fill="FFFFFF"/>
          </w:tcPr>
          <w:p w14:paraId="0B45629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782" w:type="dxa"/>
            <w:tcBorders>
              <w:top w:val="single" w:sz="8" w:space="0" w:color="AEAEAE"/>
              <w:left w:val="single" w:sz="8" w:space="0" w:color="E0E0E0"/>
              <w:bottom w:val="single" w:sz="8" w:space="0" w:color="AEAEAE"/>
              <w:right w:val="single" w:sz="8" w:space="0" w:color="E0E0E0"/>
            </w:tcBorders>
            <w:shd w:val="clear" w:color="auto" w:fill="FFFFFF"/>
          </w:tcPr>
          <w:p w14:paraId="7FE5234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881" w:type="dxa"/>
            <w:tcBorders>
              <w:top w:val="single" w:sz="8" w:space="0" w:color="AEAEAE"/>
              <w:left w:val="single" w:sz="8" w:space="0" w:color="E0E0E0"/>
              <w:bottom w:val="single" w:sz="8" w:space="0" w:color="AEAEAE"/>
              <w:right w:val="single" w:sz="4" w:space="0" w:color="auto"/>
            </w:tcBorders>
            <w:shd w:val="clear" w:color="auto" w:fill="FFFFFF"/>
          </w:tcPr>
          <w:p w14:paraId="14868F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36F9DC97" w14:textId="77777777" w:rsidTr="00282FFC">
        <w:trPr>
          <w:cantSplit/>
          <w:trHeight w:val="38"/>
          <w:jc w:val="center"/>
        </w:trPr>
        <w:tc>
          <w:tcPr>
            <w:tcW w:w="938" w:type="dxa"/>
            <w:vMerge/>
            <w:tcBorders>
              <w:top w:val="single" w:sz="8" w:space="0" w:color="152935"/>
              <w:left w:val="single" w:sz="4" w:space="0" w:color="auto"/>
              <w:bottom w:val="single" w:sz="4" w:space="0" w:color="auto"/>
              <w:right w:val="nil"/>
            </w:tcBorders>
            <w:shd w:val="clear" w:color="auto" w:fill="E0E0E0"/>
          </w:tcPr>
          <w:p w14:paraId="71F4DF2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4" w:space="0" w:color="auto"/>
              <w:right w:val="nil"/>
            </w:tcBorders>
            <w:shd w:val="clear" w:color="auto" w:fill="E0E0E0"/>
          </w:tcPr>
          <w:p w14:paraId="5A211D5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88" w:type="dxa"/>
            <w:tcBorders>
              <w:top w:val="single" w:sz="8" w:space="0" w:color="AEAEAE"/>
              <w:left w:val="nil"/>
              <w:bottom w:val="single" w:sz="4" w:space="0" w:color="auto"/>
              <w:right w:val="single" w:sz="8" w:space="0" w:color="E0E0E0"/>
            </w:tcBorders>
            <w:shd w:val="clear" w:color="auto" w:fill="FFFFFF"/>
          </w:tcPr>
          <w:p w14:paraId="436FE53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311" w:type="dxa"/>
            <w:tcBorders>
              <w:top w:val="single" w:sz="8" w:space="0" w:color="AEAEAE"/>
              <w:left w:val="single" w:sz="8" w:space="0" w:color="E0E0E0"/>
              <w:bottom w:val="single" w:sz="4" w:space="0" w:color="auto"/>
              <w:right w:val="single" w:sz="8" w:space="0" w:color="E0E0E0"/>
            </w:tcBorders>
            <w:shd w:val="clear" w:color="auto" w:fill="FFFFFF"/>
          </w:tcPr>
          <w:p w14:paraId="36B9D29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82" w:type="dxa"/>
            <w:tcBorders>
              <w:top w:val="single" w:sz="8" w:space="0" w:color="AEAEAE"/>
              <w:left w:val="single" w:sz="8" w:space="0" w:color="E0E0E0"/>
              <w:bottom w:val="single" w:sz="4" w:space="0" w:color="auto"/>
              <w:right w:val="single" w:sz="8" w:space="0" w:color="E0E0E0"/>
            </w:tcBorders>
            <w:shd w:val="clear" w:color="auto" w:fill="FFFFFF"/>
          </w:tcPr>
          <w:p w14:paraId="11D1A42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81" w:type="dxa"/>
            <w:tcBorders>
              <w:top w:val="single" w:sz="8" w:space="0" w:color="AEAEAE"/>
              <w:left w:val="single" w:sz="8" w:space="0" w:color="E0E0E0"/>
              <w:bottom w:val="single" w:sz="4" w:space="0" w:color="auto"/>
              <w:right w:val="single" w:sz="4" w:space="0" w:color="auto"/>
            </w:tcBorders>
            <w:shd w:val="clear" w:color="auto" w:fill="FFFFFF"/>
            <w:vAlign w:val="center"/>
          </w:tcPr>
          <w:p w14:paraId="329270B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2A905FBA" w14:textId="77777777" w:rsidR="002210A7" w:rsidRPr="00D11D21" w:rsidRDefault="002210A7" w:rsidP="00D11D21">
      <w:pPr>
        <w:autoSpaceDE w:val="0"/>
        <w:autoSpaceDN w:val="0"/>
        <w:adjustRightInd w:val="0"/>
        <w:spacing w:after="0"/>
        <w:jc w:val="both"/>
        <w:rPr>
          <w:rFonts w:asciiTheme="majorBidi" w:hAnsiTheme="majorBidi" w:cstheme="majorBidi"/>
          <w:noProof/>
          <w:szCs w:val="24"/>
          <w:lang w:eastAsia="fr-FR"/>
        </w:rPr>
      </w:pPr>
    </w:p>
    <w:p w14:paraId="7FB5385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64020CC" w14:textId="77777777" w:rsidR="002210A7" w:rsidRPr="00D11D21" w:rsidRDefault="002210A7" w:rsidP="00D11D21">
      <w:pPr>
        <w:autoSpaceDE w:val="0"/>
        <w:autoSpaceDN w:val="0"/>
        <w:adjustRightInd w:val="0"/>
        <w:spacing w:after="0"/>
        <w:jc w:val="both"/>
        <w:rPr>
          <w:rFonts w:asciiTheme="majorBidi" w:hAnsiTheme="majorBidi" w:cstheme="majorBidi"/>
          <w:noProof/>
          <w:szCs w:val="24"/>
          <w:lang w:eastAsia="fr-FR"/>
        </w:rPr>
      </w:pPr>
    </w:p>
    <w:p w14:paraId="705B86B3" w14:textId="7DC49D95" w:rsidR="002210A7" w:rsidRPr="00D11D21" w:rsidRDefault="00C27A16" w:rsidP="00D11D21">
      <w:pPr>
        <w:pStyle w:val="Lgende"/>
        <w:keepNext/>
        <w:spacing w:line="360" w:lineRule="auto"/>
        <w:jc w:val="both"/>
        <w:rPr>
          <w:rFonts w:asciiTheme="majorBidi" w:hAnsiTheme="majorBidi" w:cstheme="majorBidi"/>
          <w:color w:val="auto"/>
          <w:sz w:val="24"/>
          <w:szCs w:val="24"/>
        </w:rPr>
      </w:pPr>
      <w:bookmarkStart w:id="231" w:name="_Toc200210098"/>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31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avantages perçus du financement partiel à l’activité</w:t>
      </w:r>
      <w:bookmarkEnd w:id="231"/>
    </w:p>
    <w:p w14:paraId="234DE157" w14:textId="2244DB11"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77DB4FAD" wp14:editId="338C94BD">
            <wp:extent cx="3781425" cy="2013277"/>
            <wp:effectExtent l="0" t="0" r="0" b="6350"/>
            <wp:docPr id="200"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44">
                      <a:extLst>
                        <a:ext uri="{28A0092B-C50C-407E-A947-70E740481C1C}">
                          <a14:useLocalDpi xmlns:a14="http://schemas.microsoft.com/office/drawing/2010/main" val="0"/>
                        </a:ext>
                      </a:extLst>
                    </a:blip>
                    <a:srcRect t="9566"/>
                    <a:stretch/>
                  </pic:blipFill>
                  <pic:spPr bwMode="auto">
                    <a:xfrm>
                      <a:off x="0" y="0"/>
                      <a:ext cx="3790433" cy="2018073"/>
                    </a:xfrm>
                    <a:prstGeom prst="rect">
                      <a:avLst/>
                    </a:prstGeom>
                    <a:noFill/>
                    <a:ln>
                      <a:noFill/>
                    </a:ln>
                    <a:extLst>
                      <a:ext uri="{53640926-AAD7-44D8-BBD7-CCE9431645EC}">
                        <a14:shadowObscured xmlns:a14="http://schemas.microsoft.com/office/drawing/2010/main"/>
                      </a:ext>
                    </a:extLst>
                  </pic:spPr>
                </pic:pic>
              </a:graphicData>
            </a:graphic>
          </wp:inline>
        </w:drawing>
      </w:r>
    </w:p>
    <w:p w14:paraId="5FEA9010" w14:textId="1B7755CF"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44A5AA07"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084B3B83" w14:textId="46991D37" w:rsidR="002210A7" w:rsidRPr="00772AE8" w:rsidRDefault="002210A7" w:rsidP="00772AE8">
      <w:pPr>
        <w:autoSpaceDE w:val="0"/>
        <w:autoSpaceDN w:val="0"/>
        <w:adjustRightInd w:val="0"/>
        <w:spacing w:after="0"/>
        <w:ind w:firstLine="708"/>
        <w:jc w:val="both"/>
        <w:rPr>
          <w:rFonts w:asciiTheme="majorBidi" w:hAnsiTheme="majorBidi" w:cstheme="majorBidi"/>
          <w:szCs w:val="24"/>
        </w:rPr>
      </w:pPr>
      <w:r w:rsidRPr="00D11D21">
        <w:rPr>
          <w:rFonts w:asciiTheme="majorBidi" w:hAnsiTheme="majorBidi" w:cstheme="majorBidi"/>
          <w:szCs w:val="24"/>
        </w:rPr>
        <w:t>Les avantages perçus par les répondants à l'introduction d'un financement partiel à l'activité (comme la T2A) sont principalement une meilleure transparence budgétaire (33,3%), suivie de l'amélioration de la qualité des soins et de la motivation à l'efficience, chacune obtenant 26,2%. Enfin, 14,3% des répondants estiment que cela favoriserait une répart</w:t>
      </w:r>
      <w:r w:rsidR="00772AE8">
        <w:rPr>
          <w:rFonts w:asciiTheme="majorBidi" w:hAnsiTheme="majorBidi" w:cstheme="majorBidi"/>
          <w:szCs w:val="24"/>
        </w:rPr>
        <w:t>ition équitable des ressources.</w:t>
      </w:r>
    </w:p>
    <w:p w14:paraId="4936C93C" w14:textId="6CC9DB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15 :</w:t>
      </w:r>
      <w:r w:rsidRPr="00D11D21">
        <w:rPr>
          <w:rFonts w:asciiTheme="majorBidi" w:hAnsiTheme="majorBidi" w:cstheme="majorBidi"/>
          <w:b/>
          <w:bCs/>
          <w:color w:val="000000" w:themeColor="text1"/>
          <w:szCs w:val="24"/>
        </w:rPr>
        <w:t xml:space="preserve"> Quels risques ou limites percevez-vous à cette réforme ?</w:t>
      </w:r>
    </w:p>
    <w:p w14:paraId="55D2E8EC"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173E95AE" w14:textId="77777777" w:rsidR="002210A7" w:rsidRPr="00D11D21" w:rsidRDefault="002210A7" w:rsidP="00D11D21">
      <w:pPr>
        <w:shd w:val="clear" w:color="auto" w:fill="FFFFFF" w:themeFill="background1"/>
        <w:ind w:firstLine="360"/>
        <w:jc w:val="both"/>
        <w:rPr>
          <w:rFonts w:asciiTheme="majorBidi" w:hAnsiTheme="majorBidi" w:cstheme="majorBidi"/>
          <w:b/>
          <w:bCs/>
          <w:color w:val="000000" w:themeColor="text1"/>
          <w:szCs w:val="24"/>
        </w:rPr>
      </w:pPr>
      <w:r w:rsidRPr="00D11D21">
        <w:rPr>
          <w:rFonts w:asciiTheme="majorBidi" w:hAnsiTheme="majorBidi" w:cstheme="majorBidi"/>
          <w:color w:val="000000" w:themeColor="text1"/>
          <w:szCs w:val="24"/>
        </w:rPr>
        <w:t>Les risques ou limites perçus à la réforme du mode de financement actuel sont principalement :</w:t>
      </w:r>
    </w:p>
    <w:p w14:paraId="5700F5EC" w14:textId="77777777" w:rsidR="002210A7" w:rsidRPr="00D11D21" w:rsidRDefault="002210A7" w:rsidP="00D11D21">
      <w:pPr>
        <w:pStyle w:val="Paragraphedeliste"/>
        <w:numPr>
          <w:ilvl w:val="0"/>
          <w:numId w:val="58"/>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Résistance au changement et résistance du personnel (4,8% chacun).</w:t>
      </w:r>
    </w:p>
    <w:p w14:paraId="5AE74409" w14:textId="77777777" w:rsidR="002210A7" w:rsidRPr="00D11D21" w:rsidRDefault="002210A7" w:rsidP="00D11D21">
      <w:pPr>
        <w:pStyle w:val="Paragraphedeliste"/>
        <w:numPr>
          <w:ilvl w:val="0"/>
          <w:numId w:val="58"/>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Manque de formation du personnel (2,4%).</w:t>
      </w:r>
    </w:p>
    <w:p w14:paraId="7529FD49" w14:textId="77777777" w:rsidR="002210A7" w:rsidRPr="00D11D21" w:rsidRDefault="002210A7" w:rsidP="00D11D21">
      <w:pPr>
        <w:pStyle w:val="Paragraphedeliste"/>
        <w:numPr>
          <w:ilvl w:val="0"/>
          <w:numId w:val="58"/>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Complexité de mise en œuvre, y compris la résistance du personnel (2,4%).</w:t>
      </w:r>
    </w:p>
    <w:p w14:paraId="66E6C890" w14:textId="77777777" w:rsidR="002210A7" w:rsidRPr="00D11D21" w:rsidRDefault="002210A7" w:rsidP="00D11D21">
      <w:pPr>
        <w:pStyle w:val="Paragraphedeliste"/>
        <w:numPr>
          <w:ilvl w:val="0"/>
          <w:numId w:val="58"/>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Coût élevé de mise en œuvre et incertitude sur les critères de financement (2,4% chacun).</w:t>
      </w:r>
    </w:p>
    <w:p w14:paraId="3EA91DA5" w14:textId="77777777" w:rsidR="002210A7" w:rsidRPr="00D11D21" w:rsidRDefault="002210A7" w:rsidP="00D11D21">
      <w:pPr>
        <w:pStyle w:val="Paragraphedeliste"/>
        <w:numPr>
          <w:ilvl w:val="0"/>
          <w:numId w:val="58"/>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lastRenderedPageBreak/>
        <w:t>Risque de privilégier la quantité à la qualité des soins, avec une pression pour augmenter artificiellement le nombre d'actes (2,4%).</w:t>
      </w:r>
    </w:p>
    <w:p w14:paraId="78E31AE7" w14:textId="77777777" w:rsidR="002210A7" w:rsidRPr="00D11D21" w:rsidRDefault="002210A7" w:rsidP="00D11D21">
      <w:pPr>
        <w:pStyle w:val="Paragraphedeliste"/>
        <w:numPr>
          <w:ilvl w:val="0"/>
          <w:numId w:val="58"/>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Manque de coordination entre services (2,4%).</w:t>
      </w:r>
    </w:p>
    <w:p w14:paraId="3B8C1990" w14:textId="77777777" w:rsidR="002210A7" w:rsidRPr="00D11D21" w:rsidRDefault="002210A7" w:rsidP="00D11D21">
      <w:pPr>
        <w:shd w:val="clear" w:color="auto" w:fill="FFFFFF" w:themeFill="background1"/>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Les autres risques incluent des aspects techniques et organisationnels comme la complexité des systèmes, l'absence d'un système d'information performant, et la fermeture potentielle de certains services.</w:t>
      </w:r>
    </w:p>
    <w:p w14:paraId="08BD76B8" w14:textId="027B336A" w:rsidR="002210A7" w:rsidRPr="00D11D21" w:rsidRDefault="002210A7" w:rsidP="00D11D21">
      <w:pPr>
        <w:shd w:val="clear" w:color="auto" w:fill="FFFFFF" w:themeFill="background1"/>
        <w:jc w:val="both"/>
        <w:rPr>
          <w:rFonts w:asciiTheme="majorBidi" w:hAnsiTheme="majorBidi" w:cstheme="majorBidi"/>
          <w:b/>
          <w:bCs/>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16 :</w:t>
      </w:r>
      <w:r w:rsidRPr="00D11D21">
        <w:rPr>
          <w:rFonts w:asciiTheme="majorBidi" w:hAnsiTheme="majorBidi" w:cstheme="majorBidi"/>
          <w:b/>
          <w:bCs/>
          <w:color w:val="000000" w:themeColor="text1"/>
          <w:szCs w:val="24"/>
        </w:rPr>
        <w:t xml:space="preserve"> Pensez-vous qu’un système de financement mixte (budget global + T2A) serait applicable </w:t>
      </w:r>
      <w:r w:rsidRPr="00D11D21">
        <w:rPr>
          <w:rFonts w:asciiTheme="majorBidi" w:hAnsiTheme="majorBidi" w:cstheme="majorBidi"/>
          <w:b/>
          <w:bCs/>
          <w:szCs w:val="24"/>
        </w:rPr>
        <w:t>dans votre structure ?</w:t>
      </w:r>
    </w:p>
    <w:p w14:paraId="37E4A7A5" w14:textId="0FA92BC7" w:rsidR="002210A7" w:rsidRPr="00D11D21" w:rsidRDefault="00A5407E" w:rsidP="00D11D21">
      <w:pPr>
        <w:pStyle w:val="Lgende"/>
        <w:keepNext/>
        <w:spacing w:line="360" w:lineRule="auto"/>
        <w:jc w:val="both"/>
        <w:rPr>
          <w:rFonts w:asciiTheme="majorBidi" w:hAnsiTheme="majorBidi" w:cstheme="majorBidi"/>
          <w:color w:val="auto"/>
          <w:sz w:val="24"/>
          <w:szCs w:val="24"/>
        </w:rPr>
      </w:pPr>
      <w:bookmarkStart w:id="232" w:name="_Toc200210144"/>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réponses sur l'applicabilité d'un financement mixte</w:t>
      </w:r>
      <w:bookmarkEnd w:id="232"/>
    </w:p>
    <w:tbl>
      <w:tblPr>
        <w:tblW w:w="105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9"/>
        <w:gridCol w:w="3137"/>
        <w:gridCol w:w="1490"/>
        <w:gridCol w:w="1311"/>
        <w:gridCol w:w="1783"/>
        <w:gridCol w:w="1881"/>
      </w:tblGrid>
      <w:tr w:rsidR="002210A7" w:rsidRPr="00D11D21" w14:paraId="59352583" w14:textId="77777777" w:rsidTr="00282FFC">
        <w:trPr>
          <w:cantSplit/>
          <w:trHeight w:val="400"/>
          <w:jc w:val="center"/>
        </w:trPr>
        <w:tc>
          <w:tcPr>
            <w:tcW w:w="4076" w:type="dxa"/>
            <w:gridSpan w:val="2"/>
            <w:tcBorders>
              <w:top w:val="single" w:sz="4" w:space="0" w:color="auto"/>
              <w:left w:val="single" w:sz="4" w:space="0" w:color="auto"/>
              <w:bottom w:val="single" w:sz="8" w:space="0" w:color="152935"/>
              <w:right w:val="nil"/>
            </w:tcBorders>
            <w:shd w:val="clear" w:color="auto" w:fill="FFFFFF"/>
            <w:vAlign w:val="bottom"/>
          </w:tcPr>
          <w:p w14:paraId="5A0041B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490" w:type="dxa"/>
            <w:tcBorders>
              <w:top w:val="single" w:sz="4" w:space="0" w:color="auto"/>
              <w:left w:val="nil"/>
              <w:bottom w:val="single" w:sz="8" w:space="0" w:color="152935"/>
              <w:right w:val="single" w:sz="8" w:space="0" w:color="E0E0E0"/>
            </w:tcBorders>
            <w:shd w:val="clear" w:color="auto" w:fill="FFFFFF"/>
            <w:vAlign w:val="bottom"/>
          </w:tcPr>
          <w:p w14:paraId="56E56B4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11"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A51A1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783"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8B2ED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881" w:type="dxa"/>
            <w:tcBorders>
              <w:top w:val="single" w:sz="4" w:space="0" w:color="auto"/>
              <w:left w:val="single" w:sz="8" w:space="0" w:color="E0E0E0"/>
              <w:bottom w:val="single" w:sz="8" w:space="0" w:color="152935"/>
              <w:right w:val="single" w:sz="4" w:space="0" w:color="auto"/>
            </w:tcBorders>
            <w:shd w:val="clear" w:color="auto" w:fill="FFFFFF"/>
            <w:vAlign w:val="bottom"/>
          </w:tcPr>
          <w:p w14:paraId="334AD75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4721AFD4" w14:textId="77777777" w:rsidTr="00282FFC">
        <w:trPr>
          <w:cantSplit/>
          <w:trHeight w:val="200"/>
          <w:jc w:val="center"/>
        </w:trPr>
        <w:tc>
          <w:tcPr>
            <w:tcW w:w="939" w:type="dxa"/>
            <w:vMerge w:val="restart"/>
            <w:tcBorders>
              <w:top w:val="single" w:sz="8" w:space="0" w:color="152935"/>
              <w:left w:val="single" w:sz="4" w:space="0" w:color="auto"/>
              <w:bottom w:val="single" w:sz="8" w:space="0" w:color="152935"/>
              <w:right w:val="nil"/>
            </w:tcBorders>
            <w:shd w:val="clear" w:color="auto" w:fill="E0E0E0"/>
          </w:tcPr>
          <w:p w14:paraId="66ECEFC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137" w:type="dxa"/>
            <w:tcBorders>
              <w:top w:val="single" w:sz="8" w:space="0" w:color="152935"/>
              <w:left w:val="nil"/>
              <w:bottom w:val="single" w:sz="8" w:space="0" w:color="AEAEAE"/>
              <w:right w:val="nil"/>
            </w:tcBorders>
            <w:shd w:val="clear" w:color="auto" w:fill="E0E0E0"/>
          </w:tcPr>
          <w:p w14:paraId="2AB863D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490" w:type="dxa"/>
            <w:tcBorders>
              <w:top w:val="single" w:sz="8" w:space="0" w:color="152935"/>
              <w:left w:val="nil"/>
              <w:bottom w:val="single" w:sz="8" w:space="0" w:color="AEAEAE"/>
              <w:right w:val="single" w:sz="8" w:space="0" w:color="E0E0E0"/>
            </w:tcBorders>
            <w:shd w:val="clear" w:color="auto" w:fill="FFFFFF"/>
          </w:tcPr>
          <w:p w14:paraId="7EDA025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311" w:type="dxa"/>
            <w:tcBorders>
              <w:top w:val="single" w:sz="8" w:space="0" w:color="152935"/>
              <w:left w:val="single" w:sz="8" w:space="0" w:color="E0E0E0"/>
              <w:bottom w:val="single" w:sz="8" w:space="0" w:color="AEAEAE"/>
              <w:right w:val="single" w:sz="8" w:space="0" w:color="E0E0E0"/>
            </w:tcBorders>
            <w:shd w:val="clear" w:color="auto" w:fill="FFFFFF"/>
          </w:tcPr>
          <w:p w14:paraId="0C97E2E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783" w:type="dxa"/>
            <w:tcBorders>
              <w:top w:val="single" w:sz="8" w:space="0" w:color="152935"/>
              <w:left w:val="single" w:sz="8" w:space="0" w:color="E0E0E0"/>
              <w:bottom w:val="single" w:sz="8" w:space="0" w:color="AEAEAE"/>
              <w:right w:val="single" w:sz="8" w:space="0" w:color="E0E0E0"/>
            </w:tcBorders>
            <w:shd w:val="clear" w:color="auto" w:fill="FFFFFF"/>
          </w:tcPr>
          <w:p w14:paraId="39E772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881" w:type="dxa"/>
            <w:tcBorders>
              <w:top w:val="single" w:sz="8" w:space="0" w:color="152935"/>
              <w:left w:val="single" w:sz="8" w:space="0" w:color="E0E0E0"/>
              <w:bottom w:val="single" w:sz="8" w:space="0" w:color="AEAEAE"/>
              <w:right w:val="single" w:sz="4" w:space="0" w:color="auto"/>
            </w:tcBorders>
            <w:shd w:val="clear" w:color="auto" w:fill="FFFFFF"/>
          </w:tcPr>
          <w:p w14:paraId="7F14417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r>
      <w:tr w:rsidR="002210A7" w:rsidRPr="00D11D21" w14:paraId="412196AB" w14:textId="77777777" w:rsidTr="00282FFC">
        <w:trPr>
          <w:cantSplit/>
          <w:trHeight w:val="69"/>
          <w:jc w:val="center"/>
        </w:trPr>
        <w:tc>
          <w:tcPr>
            <w:tcW w:w="939" w:type="dxa"/>
            <w:vMerge/>
            <w:tcBorders>
              <w:top w:val="single" w:sz="8" w:space="0" w:color="152935"/>
              <w:left w:val="single" w:sz="4" w:space="0" w:color="auto"/>
              <w:bottom w:val="single" w:sz="8" w:space="0" w:color="152935"/>
              <w:right w:val="nil"/>
            </w:tcBorders>
            <w:shd w:val="clear" w:color="auto" w:fill="E0E0E0"/>
          </w:tcPr>
          <w:p w14:paraId="72633A3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8" w:space="0" w:color="AEAEAE"/>
              <w:right w:val="nil"/>
            </w:tcBorders>
            <w:shd w:val="clear" w:color="auto" w:fill="E0E0E0"/>
          </w:tcPr>
          <w:p w14:paraId="63BE61B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490" w:type="dxa"/>
            <w:tcBorders>
              <w:top w:val="single" w:sz="8" w:space="0" w:color="AEAEAE"/>
              <w:left w:val="nil"/>
              <w:bottom w:val="single" w:sz="8" w:space="0" w:color="AEAEAE"/>
              <w:right w:val="single" w:sz="8" w:space="0" w:color="E0E0E0"/>
            </w:tcBorders>
            <w:shd w:val="clear" w:color="auto" w:fill="FFFFFF"/>
          </w:tcPr>
          <w:p w14:paraId="19B8B4B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311" w:type="dxa"/>
            <w:tcBorders>
              <w:top w:val="single" w:sz="8" w:space="0" w:color="AEAEAE"/>
              <w:left w:val="single" w:sz="8" w:space="0" w:color="E0E0E0"/>
              <w:bottom w:val="single" w:sz="8" w:space="0" w:color="AEAEAE"/>
              <w:right w:val="single" w:sz="8" w:space="0" w:color="E0E0E0"/>
            </w:tcBorders>
            <w:shd w:val="clear" w:color="auto" w:fill="FFFFFF"/>
          </w:tcPr>
          <w:p w14:paraId="5DFA235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783" w:type="dxa"/>
            <w:tcBorders>
              <w:top w:val="single" w:sz="8" w:space="0" w:color="AEAEAE"/>
              <w:left w:val="single" w:sz="8" w:space="0" w:color="E0E0E0"/>
              <w:bottom w:val="single" w:sz="8" w:space="0" w:color="AEAEAE"/>
              <w:right w:val="single" w:sz="8" w:space="0" w:color="E0E0E0"/>
            </w:tcBorders>
            <w:shd w:val="clear" w:color="auto" w:fill="FFFFFF"/>
          </w:tcPr>
          <w:p w14:paraId="602A2C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52,4</w:t>
            </w:r>
          </w:p>
        </w:tc>
        <w:tc>
          <w:tcPr>
            <w:tcW w:w="1881" w:type="dxa"/>
            <w:tcBorders>
              <w:top w:val="single" w:sz="8" w:space="0" w:color="AEAEAE"/>
              <w:left w:val="single" w:sz="8" w:space="0" w:color="E0E0E0"/>
              <w:bottom w:val="single" w:sz="8" w:space="0" w:color="AEAEAE"/>
              <w:right w:val="single" w:sz="4" w:space="0" w:color="auto"/>
            </w:tcBorders>
            <w:shd w:val="clear" w:color="auto" w:fill="FFFFFF"/>
          </w:tcPr>
          <w:p w14:paraId="4CFDD6A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64,3</w:t>
            </w:r>
          </w:p>
        </w:tc>
      </w:tr>
      <w:tr w:rsidR="002210A7" w:rsidRPr="00D11D21" w14:paraId="72656597" w14:textId="77777777" w:rsidTr="00282FFC">
        <w:trPr>
          <w:cantSplit/>
          <w:trHeight w:val="69"/>
          <w:jc w:val="center"/>
        </w:trPr>
        <w:tc>
          <w:tcPr>
            <w:tcW w:w="939" w:type="dxa"/>
            <w:vMerge/>
            <w:tcBorders>
              <w:top w:val="single" w:sz="8" w:space="0" w:color="152935"/>
              <w:left w:val="single" w:sz="4" w:space="0" w:color="auto"/>
              <w:bottom w:val="single" w:sz="8" w:space="0" w:color="152935"/>
              <w:right w:val="nil"/>
            </w:tcBorders>
            <w:shd w:val="clear" w:color="auto" w:fill="E0E0E0"/>
          </w:tcPr>
          <w:p w14:paraId="409E069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8" w:space="0" w:color="AEAEAE"/>
              <w:right w:val="nil"/>
            </w:tcBorders>
            <w:shd w:val="clear" w:color="auto" w:fill="E0E0E0"/>
          </w:tcPr>
          <w:p w14:paraId="096EF0D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Sous certaines conditions</w:t>
            </w:r>
          </w:p>
        </w:tc>
        <w:tc>
          <w:tcPr>
            <w:tcW w:w="1490" w:type="dxa"/>
            <w:tcBorders>
              <w:top w:val="single" w:sz="8" w:space="0" w:color="AEAEAE"/>
              <w:left w:val="nil"/>
              <w:bottom w:val="single" w:sz="8" w:space="0" w:color="AEAEAE"/>
              <w:right w:val="single" w:sz="8" w:space="0" w:color="E0E0E0"/>
            </w:tcBorders>
            <w:shd w:val="clear" w:color="auto" w:fill="FFFFFF"/>
          </w:tcPr>
          <w:p w14:paraId="001983B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w:t>
            </w:r>
          </w:p>
        </w:tc>
        <w:tc>
          <w:tcPr>
            <w:tcW w:w="1311" w:type="dxa"/>
            <w:tcBorders>
              <w:top w:val="single" w:sz="8" w:space="0" w:color="AEAEAE"/>
              <w:left w:val="single" w:sz="8" w:space="0" w:color="E0E0E0"/>
              <w:bottom w:val="single" w:sz="8" w:space="0" w:color="AEAEAE"/>
              <w:right w:val="single" w:sz="8" w:space="0" w:color="E0E0E0"/>
            </w:tcBorders>
            <w:shd w:val="clear" w:color="auto" w:fill="FFFFFF"/>
          </w:tcPr>
          <w:p w14:paraId="6DDE5AF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c>
          <w:tcPr>
            <w:tcW w:w="1783" w:type="dxa"/>
            <w:tcBorders>
              <w:top w:val="single" w:sz="8" w:space="0" w:color="AEAEAE"/>
              <w:left w:val="single" w:sz="8" w:space="0" w:color="E0E0E0"/>
              <w:bottom w:val="single" w:sz="8" w:space="0" w:color="AEAEAE"/>
              <w:right w:val="single" w:sz="8" w:space="0" w:color="E0E0E0"/>
            </w:tcBorders>
            <w:shd w:val="clear" w:color="auto" w:fill="FFFFFF"/>
          </w:tcPr>
          <w:p w14:paraId="0653C57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c>
          <w:tcPr>
            <w:tcW w:w="1881" w:type="dxa"/>
            <w:tcBorders>
              <w:top w:val="single" w:sz="8" w:space="0" w:color="AEAEAE"/>
              <w:left w:val="single" w:sz="8" w:space="0" w:color="E0E0E0"/>
              <w:bottom w:val="single" w:sz="8" w:space="0" w:color="AEAEAE"/>
              <w:right w:val="single" w:sz="4" w:space="0" w:color="auto"/>
            </w:tcBorders>
            <w:shd w:val="clear" w:color="auto" w:fill="FFFFFF"/>
          </w:tcPr>
          <w:p w14:paraId="56CC304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5BB32AB4" w14:textId="77777777" w:rsidTr="00282FFC">
        <w:trPr>
          <w:cantSplit/>
          <w:trHeight w:val="69"/>
          <w:jc w:val="center"/>
        </w:trPr>
        <w:tc>
          <w:tcPr>
            <w:tcW w:w="939" w:type="dxa"/>
            <w:vMerge/>
            <w:tcBorders>
              <w:top w:val="single" w:sz="8" w:space="0" w:color="152935"/>
              <w:left w:val="single" w:sz="4" w:space="0" w:color="auto"/>
              <w:bottom w:val="single" w:sz="4" w:space="0" w:color="auto"/>
              <w:right w:val="nil"/>
            </w:tcBorders>
            <w:shd w:val="clear" w:color="auto" w:fill="E0E0E0"/>
          </w:tcPr>
          <w:p w14:paraId="36F7427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37" w:type="dxa"/>
            <w:tcBorders>
              <w:top w:val="single" w:sz="8" w:space="0" w:color="AEAEAE"/>
              <w:left w:val="nil"/>
              <w:bottom w:val="single" w:sz="4" w:space="0" w:color="auto"/>
              <w:right w:val="nil"/>
            </w:tcBorders>
            <w:shd w:val="clear" w:color="auto" w:fill="E0E0E0"/>
          </w:tcPr>
          <w:p w14:paraId="46BDF61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90" w:type="dxa"/>
            <w:tcBorders>
              <w:top w:val="single" w:sz="8" w:space="0" w:color="AEAEAE"/>
              <w:left w:val="nil"/>
              <w:bottom w:val="single" w:sz="4" w:space="0" w:color="auto"/>
              <w:right w:val="single" w:sz="8" w:space="0" w:color="E0E0E0"/>
            </w:tcBorders>
            <w:shd w:val="clear" w:color="auto" w:fill="FFFFFF"/>
          </w:tcPr>
          <w:p w14:paraId="0096E44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311" w:type="dxa"/>
            <w:tcBorders>
              <w:top w:val="single" w:sz="8" w:space="0" w:color="AEAEAE"/>
              <w:left w:val="single" w:sz="8" w:space="0" w:color="E0E0E0"/>
              <w:bottom w:val="single" w:sz="4" w:space="0" w:color="auto"/>
              <w:right w:val="single" w:sz="8" w:space="0" w:color="E0E0E0"/>
            </w:tcBorders>
            <w:shd w:val="clear" w:color="auto" w:fill="FFFFFF"/>
          </w:tcPr>
          <w:p w14:paraId="37BFCD9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83" w:type="dxa"/>
            <w:tcBorders>
              <w:top w:val="single" w:sz="8" w:space="0" w:color="AEAEAE"/>
              <w:left w:val="single" w:sz="8" w:space="0" w:color="E0E0E0"/>
              <w:bottom w:val="single" w:sz="4" w:space="0" w:color="auto"/>
              <w:right w:val="single" w:sz="8" w:space="0" w:color="E0E0E0"/>
            </w:tcBorders>
            <w:shd w:val="clear" w:color="auto" w:fill="FFFFFF"/>
          </w:tcPr>
          <w:p w14:paraId="543FA9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81" w:type="dxa"/>
            <w:tcBorders>
              <w:top w:val="single" w:sz="8" w:space="0" w:color="AEAEAE"/>
              <w:left w:val="single" w:sz="8" w:space="0" w:color="E0E0E0"/>
              <w:bottom w:val="single" w:sz="4" w:space="0" w:color="auto"/>
              <w:right w:val="single" w:sz="4" w:space="0" w:color="auto"/>
            </w:tcBorders>
            <w:shd w:val="clear" w:color="auto" w:fill="FFFFFF"/>
            <w:vAlign w:val="center"/>
          </w:tcPr>
          <w:p w14:paraId="2952773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7D39EDDA" w14:textId="6E9C8A92" w:rsidR="002210A7" w:rsidRPr="00772AE8"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5B35A4CC" w14:textId="113EE3B6" w:rsidR="00C27A16" w:rsidRPr="00D11D21" w:rsidRDefault="00C27A16" w:rsidP="00D11D21">
      <w:pPr>
        <w:pStyle w:val="Lgende"/>
        <w:keepNext/>
        <w:spacing w:line="360" w:lineRule="auto"/>
        <w:jc w:val="both"/>
        <w:rPr>
          <w:rFonts w:asciiTheme="majorBidi" w:hAnsiTheme="majorBidi" w:cstheme="majorBidi"/>
          <w:color w:val="auto"/>
          <w:sz w:val="24"/>
          <w:szCs w:val="24"/>
        </w:rPr>
      </w:pPr>
      <w:bookmarkStart w:id="233" w:name="_Toc200210099"/>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001679A8" w:rsidRPr="00D11D21">
        <w:rPr>
          <w:rFonts w:asciiTheme="majorBidi" w:hAnsiTheme="majorBidi" w:cstheme="majorBidi"/>
          <w:noProof/>
          <w:color w:val="auto"/>
          <w:sz w:val="24"/>
          <w:szCs w:val="24"/>
        </w:rPr>
        <w:t>32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réponses sur l'applicabilité d'un financement mixte</w:t>
      </w:r>
      <w:bookmarkEnd w:id="233"/>
    </w:p>
    <w:p w14:paraId="727D5C56" w14:textId="4EFBFE3B" w:rsidR="002210A7" w:rsidRPr="00772AE8" w:rsidRDefault="00480CC0" w:rsidP="00772AE8">
      <w:pPr>
        <w:autoSpaceDE w:val="0"/>
        <w:autoSpaceDN w:val="0"/>
        <w:adjustRightInd w:val="0"/>
        <w:spacing w:after="0"/>
        <w:jc w:val="both"/>
        <w:rPr>
          <w:rFonts w:asciiTheme="majorBidi" w:hAnsiTheme="majorBidi" w:cstheme="majorBidi"/>
          <w:b/>
          <w:bCs/>
          <w:szCs w:val="24"/>
        </w:rPr>
      </w:pPr>
      <w:r w:rsidRPr="00D11D21">
        <w:rPr>
          <w:rFonts w:asciiTheme="majorBidi" w:hAnsiTheme="majorBidi" w:cstheme="majorBidi"/>
          <w:noProof/>
          <w:szCs w:val="24"/>
          <w:lang w:eastAsia="fr-FR"/>
        </w:rPr>
        <w:drawing>
          <wp:inline distT="0" distB="0" distL="0" distR="0" wp14:anchorId="2016AE01" wp14:editId="211E2DF6">
            <wp:extent cx="3810000" cy="2040638"/>
            <wp:effectExtent l="0" t="0" r="0" b="0"/>
            <wp:docPr id="201"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45">
                      <a:extLst>
                        <a:ext uri="{28A0092B-C50C-407E-A947-70E740481C1C}">
                          <a14:useLocalDpi xmlns:a14="http://schemas.microsoft.com/office/drawing/2010/main" val="0"/>
                        </a:ext>
                      </a:extLst>
                    </a:blip>
                    <a:srcRect t="9025"/>
                    <a:stretch/>
                  </pic:blipFill>
                  <pic:spPr bwMode="auto">
                    <a:xfrm>
                      <a:off x="0" y="0"/>
                      <a:ext cx="3816444" cy="2044090"/>
                    </a:xfrm>
                    <a:prstGeom prst="rect">
                      <a:avLst/>
                    </a:prstGeom>
                    <a:noFill/>
                    <a:ln>
                      <a:noFill/>
                    </a:ln>
                    <a:extLst>
                      <a:ext uri="{53640926-AAD7-44D8-BBD7-CCE9431645EC}">
                        <a14:shadowObscured xmlns:a14="http://schemas.microsoft.com/office/drawing/2010/main"/>
                      </a:ext>
                    </a:extLst>
                  </pic:spPr>
                </pic:pic>
              </a:graphicData>
            </a:graphic>
          </wp:inline>
        </w:drawing>
      </w:r>
    </w:p>
    <w:p w14:paraId="5F3A8979" w14:textId="704BA0C7"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63B8DE64"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0313EBDD" w14:textId="4259F482" w:rsidR="002210A7" w:rsidRPr="00772AE8"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La majorité des répondants (52,4%) pensent qu'un système de financement mixte (budget global + T2A) serait applicable dans leur structure. 35,7% estiment que cela pourrait être possible sous certaines conditions, tandis que 11,9% pensent que</w:t>
      </w:r>
      <w:r w:rsidR="00772AE8">
        <w:rPr>
          <w:rFonts w:asciiTheme="majorBidi" w:hAnsiTheme="majorBidi" w:cstheme="majorBidi"/>
          <w:szCs w:val="24"/>
        </w:rPr>
        <w:t xml:space="preserve"> cela ne serait pas applicable.</w:t>
      </w:r>
    </w:p>
    <w:p w14:paraId="3A1888A4" w14:textId="6A728094" w:rsidR="00C27A16" w:rsidRPr="00D11D21" w:rsidRDefault="002210A7" w:rsidP="00772AE8">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17 :</w:t>
      </w:r>
      <w:r w:rsidRPr="00D11D21">
        <w:rPr>
          <w:rFonts w:asciiTheme="majorBidi" w:hAnsiTheme="majorBidi" w:cstheme="majorBidi"/>
          <w:b/>
          <w:bCs/>
          <w:color w:val="000000" w:themeColor="text1"/>
          <w:szCs w:val="24"/>
        </w:rPr>
        <w:t xml:space="preserve"> Sous quelles conditions pensez-vous q</w:t>
      </w:r>
      <w:r w:rsidR="00772AE8">
        <w:rPr>
          <w:rFonts w:asciiTheme="majorBidi" w:hAnsiTheme="majorBidi" w:cstheme="majorBidi"/>
          <w:b/>
          <w:bCs/>
          <w:color w:val="000000" w:themeColor="text1"/>
          <w:szCs w:val="24"/>
        </w:rPr>
        <w:t>ue ce modèle pourrait réussir ?</w:t>
      </w:r>
    </w:p>
    <w:p w14:paraId="39681800" w14:textId="74DF9DE1" w:rsidR="002210A7" w:rsidRPr="00D11D21" w:rsidRDefault="00745FDE" w:rsidP="00D11D21">
      <w:pPr>
        <w:pStyle w:val="Lgende"/>
        <w:keepNext/>
        <w:spacing w:line="360" w:lineRule="auto"/>
        <w:jc w:val="both"/>
        <w:rPr>
          <w:rFonts w:asciiTheme="majorBidi" w:hAnsiTheme="majorBidi" w:cstheme="majorBidi"/>
          <w:color w:val="auto"/>
          <w:sz w:val="24"/>
          <w:szCs w:val="24"/>
        </w:rPr>
      </w:pPr>
      <w:bookmarkStart w:id="234" w:name="_Toc200210145"/>
      <w:r w:rsidRPr="00D11D21">
        <w:rPr>
          <w:rFonts w:asciiTheme="majorBidi" w:hAnsiTheme="majorBidi" w:cstheme="majorBidi"/>
          <w:color w:val="auto"/>
          <w:sz w:val="24"/>
          <w:szCs w:val="24"/>
        </w:rPr>
        <w:lastRenderedPageBreak/>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conditions de réussite d’un modèle de financement mixte</w:t>
      </w:r>
      <w:bookmarkEnd w:id="234"/>
    </w:p>
    <w:tbl>
      <w:tblPr>
        <w:tblW w:w="96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
        <w:gridCol w:w="2879"/>
        <w:gridCol w:w="1368"/>
        <w:gridCol w:w="1204"/>
        <w:gridCol w:w="1637"/>
        <w:gridCol w:w="1727"/>
      </w:tblGrid>
      <w:tr w:rsidR="002210A7" w:rsidRPr="00D11D21" w14:paraId="3E689436" w14:textId="77777777" w:rsidTr="005C3BEE">
        <w:trPr>
          <w:cantSplit/>
          <w:trHeight w:val="792"/>
          <w:jc w:val="center"/>
        </w:trPr>
        <w:tc>
          <w:tcPr>
            <w:tcW w:w="3741" w:type="dxa"/>
            <w:gridSpan w:val="2"/>
            <w:tcBorders>
              <w:top w:val="single" w:sz="4" w:space="0" w:color="auto"/>
              <w:left w:val="single" w:sz="4" w:space="0" w:color="auto"/>
              <w:bottom w:val="single" w:sz="8" w:space="0" w:color="152935"/>
              <w:right w:val="nil"/>
            </w:tcBorders>
            <w:shd w:val="clear" w:color="auto" w:fill="FFFFFF"/>
            <w:vAlign w:val="bottom"/>
          </w:tcPr>
          <w:p w14:paraId="696D94E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368" w:type="dxa"/>
            <w:tcBorders>
              <w:top w:val="single" w:sz="4" w:space="0" w:color="auto"/>
              <w:left w:val="nil"/>
              <w:bottom w:val="single" w:sz="8" w:space="0" w:color="152935"/>
              <w:right w:val="single" w:sz="8" w:space="0" w:color="E0E0E0"/>
            </w:tcBorders>
            <w:shd w:val="clear" w:color="auto" w:fill="FFFFFF"/>
            <w:vAlign w:val="bottom"/>
          </w:tcPr>
          <w:p w14:paraId="2BF6917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0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D37BF3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637" w:type="dxa"/>
            <w:tcBorders>
              <w:top w:val="single" w:sz="4" w:space="0" w:color="auto"/>
              <w:left w:val="single" w:sz="8" w:space="0" w:color="E0E0E0"/>
              <w:bottom w:val="single" w:sz="8" w:space="0" w:color="152935"/>
              <w:right w:val="single" w:sz="8" w:space="0" w:color="E0E0E0"/>
            </w:tcBorders>
            <w:shd w:val="clear" w:color="auto" w:fill="FFFFFF"/>
            <w:vAlign w:val="bottom"/>
          </w:tcPr>
          <w:p w14:paraId="4EAEE51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727" w:type="dxa"/>
            <w:tcBorders>
              <w:top w:val="single" w:sz="4" w:space="0" w:color="auto"/>
              <w:left w:val="single" w:sz="8" w:space="0" w:color="E0E0E0"/>
              <w:bottom w:val="single" w:sz="8" w:space="0" w:color="152935"/>
              <w:right w:val="single" w:sz="4" w:space="0" w:color="auto"/>
            </w:tcBorders>
            <w:shd w:val="clear" w:color="auto" w:fill="FFFFFF"/>
            <w:vAlign w:val="bottom"/>
          </w:tcPr>
          <w:p w14:paraId="26985E5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13CFDF17" w14:textId="77777777" w:rsidTr="005C3BEE">
        <w:trPr>
          <w:cantSplit/>
          <w:trHeight w:val="2390"/>
          <w:jc w:val="center"/>
        </w:trPr>
        <w:tc>
          <w:tcPr>
            <w:tcW w:w="862" w:type="dxa"/>
            <w:vMerge w:val="restart"/>
            <w:tcBorders>
              <w:top w:val="single" w:sz="8" w:space="0" w:color="152935"/>
              <w:left w:val="single" w:sz="4" w:space="0" w:color="auto"/>
              <w:bottom w:val="single" w:sz="8" w:space="0" w:color="152935"/>
              <w:right w:val="nil"/>
            </w:tcBorders>
            <w:shd w:val="clear" w:color="auto" w:fill="E0E0E0"/>
          </w:tcPr>
          <w:p w14:paraId="4D0ABC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2878" w:type="dxa"/>
            <w:tcBorders>
              <w:top w:val="single" w:sz="8" w:space="0" w:color="152935"/>
              <w:left w:val="nil"/>
              <w:bottom w:val="single" w:sz="8" w:space="0" w:color="AEAEAE"/>
              <w:right w:val="nil"/>
            </w:tcBorders>
            <w:shd w:val="clear" w:color="auto" w:fill="E0E0E0"/>
          </w:tcPr>
          <w:p w14:paraId="2FF12E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Formation spécifique du personnel médical et administratif, Expérimentation progressive avant généralisation</w:t>
            </w:r>
          </w:p>
        </w:tc>
        <w:tc>
          <w:tcPr>
            <w:tcW w:w="1368" w:type="dxa"/>
            <w:tcBorders>
              <w:top w:val="single" w:sz="8" w:space="0" w:color="152935"/>
              <w:left w:val="nil"/>
              <w:bottom w:val="single" w:sz="8" w:space="0" w:color="AEAEAE"/>
              <w:right w:val="single" w:sz="8" w:space="0" w:color="E0E0E0"/>
            </w:tcBorders>
            <w:shd w:val="clear" w:color="auto" w:fill="FFFFFF"/>
          </w:tcPr>
          <w:p w14:paraId="52A0B25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15</w:t>
            </w:r>
          </w:p>
        </w:tc>
        <w:tc>
          <w:tcPr>
            <w:tcW w:w="1204" w:type="dxa"/>
            <w:tcBorders>
              <w:top w:val="single" w:sz="8" w:space="0" w:color="152935"/>
              <w:left w:val="single" w:sz="8" w:space="0" w:color="E0E0E0"/>
              <w:bottom w:val="single" w:sz="8" w:space="0" w:color="AEAEAE"/>
              <w:right w:val="single" w:sz="8" w:space="0" w:color="E0E0E0"/>
            </w:tcBorders>
            <w:shd w:val="clear" w:color="auto" w:fill="FFFFFF"/>
          </w:tcPr>
          <w:p w14:paraId="79E6F2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c>
          <w:tcPr>
            <w:tcW w:w="1637" w:type="dxa"/>
            <w:tcBorders>
              <w:top w:val="single" w:sz="8" w:space="0" w:color="152935"/>
              <w:left w:val="single" w:sz="8" w:space="0" w:color="E0E0E0"/>
              <w:bottom w:val="single" w:sz="8" w:space="0" w:color="AEAEAE"/>
              <w:right w:val="single" w:sz="8" w:space="0" w:color="E0E0E0"/>
            </w:tcBorders>
            <w:shd w:val="clear" w:color="auto" w:fill="FFFFFF"/>
          </w:tcPr>
          <w:p w14:paraId="2BE472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c>
          <w:tcPr>
            <w:tcW w:w="1727" w:type="dxa"/>
            <w:tcBorders>
              <w:top w:val="single" w:sz="8" w:space="0" w:color="152935"/>
              <w:left w:val="single" w:sz="8" w:space="0" w:color="E0E0E0"/>
              <w:bottom w:val="single" w:sz="8" w:space="0" w:color="AEAEAE"/>
              <w:right w:val="single" w:sz="4" w:space="0" w:color="auto"/>
            </w:tcBorders>
            <w:shd w:val="clear" w:color="auto" w:fill="FFFFFF"/>
          </w:tcPr>
          <w:p w14:paraId="7600B29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35,7</w:t>
            </w:r>
          </w:p>
        </w:tc>
      </w:tr>
      <w:tr w:rsidR="002210A7" w:rsidRPr="00D11D21" w14:paraId="229D18C1" w14:textId="77777777" w:rsidTr="005C3BEE">
        <w:trPr>
          <w:cantSplit/>
          <w:trHeight w:val="2794"/>
          <w:jc w:val="center"/>
        </w:trPr>
        <w:tc>
          <w:tcPr>
            <w:tcW w:w="862" w:type="dxa"/>
            <w:vMerge/>
            <w:tcBorders>
              <w:top w:val="single" w:sz="8" w:space="0" w:color="152935"/>
              <w:left w:val="single" w:sz="4" w:space="0" w:color="auto"/>
              <w:bottom w:val="single" w:sz="8" w:space="0" w:color="152935"/>
              <w:right w:val="nil"/>
            </w:tcBorders>
            <w:shd w:val="clear" w:color="auto" w:fill="E0E0E0"/>
          </w:tcPr>
          <w:p w14:paraId="28AE2AA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78" w:type="dxa"/>
            <w:tcBorders>
              <w:top w:val="single" w:sz="8" w:space="0" w:color="AEAEAE"/>
              <w:left w:val="nil"/>
              <w:bottom w:val="single" w:sz="8" w:space="0" w:color="AEAEAE"/>
              <w:right w:val="nil"/>
            </w:tcBorders>
            <w:shd w:val="clear" w:color="auto" w:fill="E0E0E0"/>
          </w:tcPr>
          <w:p w14:paraId="3CA641F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Renforcement du système d'information hospitalier, Expérimentation progressive avant généralisation, Sensibilisation</w:t>
            </w:r>
          </w:p>
        </w:tc>
        <w:tc>
          <w:tcPr>
            <w:tcW w:w="1368" w:type="dxa"/>
            <w:tcBorders>
              <w:top w:val="single" w:sz="8" w:space="0" w:color="AEAEAE"/>
              <w:left w:val="nil"/>
              <w:bottom w:val="single" w:sz="8" w:space="0" w:color="AEAEAE"/>
              <w:right w:val="single" w:sz="8" w:space="0" w:color="E0E0E0"/>
            </w:tcBorders>
            <w:shd w:val="clear" w:color="auto" w:fill="FFFFFF"/>
          </w:tcPr>
          <w:p w14:paraId="513CCA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204" w:type="dxa"/>
            <w:tcBorders>
              <w:top w:val="single" w:sz="8" w:space="0" w:color="AEAEAE"/>
              <w:left w:val="single" w:sz="8" w:space="0" w:color="E0E0E0"/>
              <w:bottom w:val="single" w:sz="8" w:space="0" w:color="AEAEAE"/>
              <w:right w:val="single" w:sz="8" w:space="0" w:color="E0E0E0"/>
            </w:tcBorders>
            <w:shd w:val="clear" w:color="auto" w:fill="FFFFFF"/>
          </w:tcPr>
          <w:p w14:paraId="2430F4A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637" w:type="dxa"/>
            <w:tcBorders>
              <w:top w:val="single" w:sz="8" w:space="0" w:color="AEAEAE"/>
              <w:left w:val="single" w:sz="8" w:space="0" w:color="E0E0E0"/>
              <w:bottom w:val="single" w:sz="8" w:space="0" w:color="AEAEAE"/>
              <w:right w:val="single" w:sz="8" w:space="0" w:color="E0E0E0"/>
            </w:tcBorders>
            <w:shd w:val="clear" w:color="auto" w:fill="FFFFFF"/>
          </w:tcPr>
          <w:p w14:paraId="0525887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727" w:type="dxa"/>
            <w:tcBorders>
              <w:top w:val="single" w:sz="8" w:space="0" w:color="AEAEAE"/>
              <w:left w:val="single" w:sz="8" w:space="0" w:color="E0E0E0"/>
              <w:bottom w:val="single" w:sz="8" w:space="0" w:color="AEAEAE"/>
              <w:right w:val="single" w:sz="4" w:space="0" w:color="auto"/>
            </w:tcBorders>
            <w:shd w:val="clear" w:color="auto" w:fill="FFFFFF"/>
          </w:tcPr>
          <w:p w14:paraId="0BF073F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61,9</w:t>
            </w:r>
          </w:p>
        </w:tc>
      </w:tr>
      <w:tr w:rsidR="002210A7" w:rsidRPr="00D11D21" w14:paraId="6806203D" w14:textId="77777777" w:rsidTr="005C3BEE">
        <w:trPr>
          <w:cantSplit/>
          <w:trHeight w:val="820"/>
          <w:jc w:val="center"/>
        </w:trPr>
        <w:tc>
          <w:tcPr>
            <w:tcW w:w="862" w:type="dxa"/>
            <w:vMerge/>
            <w:tcBorders>
              <w:top w:val="single" w:sz="8" w:space="0" w:color="152935"/>
              <w:left w:val="single" w:sz="4" w:space="0" w:color="auto"/>
              <w:bottom w:val="single" w:sz="8" w:space="0" w:color="152935"/>
              <w:right w:val="nil"/>
            </w:tcBorders>
            <w:shd w:val="clear" w:color="auto" w:fill="E0E0E0"/>
          </w:tcPr>
          <w:p w14:paraId="7FCB780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78" w:type="dxa"/>
            <w:tcBorders>
              <w:top w:val="single" w:sz="8" w:space="0" w:color="AEAEAE"/>
              <w:left w:val="nil"/>
              <w:bottom w:val="single" w:sz="8" w:space="0" w:color="AEAEAE"/>
              <w:right w:val="nil"/>
            </w:tcBorders>
            <w:shd w:val="clear" w:color="auto" w:fill="E0E0E0"/>
          </w:tcPr>
          <w:p w14:paraId="3BC8B5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Soutien financier de l'État au démarrage</w:t>
            </w:r>
          </w:p>
        </w:tc>
        <w:tc>
          <w:tcPr>
            <w:tcW w:w="1368" w:type="dxa"/>
            <w:tcBorders>
              <w:top w:val="single" w:sz="8" w:space="0" w:color="AEAEAE"/>
              <w:left w:val="nil"/>
              <w:bottom w:val="single" w:sz="8" w:space="0" w:color="AEAEAE"/>
              <w:right w:val="single" w:sz="8" w:space="0" w:color="E0E0E0"/>
            </w:tcBorders>
            <w:shd w:val="clear" w:color="auto" w:fill="FFFFFF"/>
          </w:tcPr>
          <w:p w14:paraId="1DE8E82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w:t>
            </w:r>
          </w:p>
        </w:tc>
        <w:tc>
          <w:tcPr>
            <w:tcW w:w="1204" w:type="dxa"/>
            <w:tcBorders>
              <w:top w:val="single" w:sz="8" w:space="0" w:color="AEAEAE"/>
              <w:left w:val="single" w:sz="8" w:space="0" w:color="E0E0E0"/>
              <w:bottom w:val="single" w:sz="8" w:space="0" w:color="AEAEAE"/>
              <w:right w:val="single" w:sz="8" w:space="0" w:color="E0E0E0"/>
            </w:tcBorders>
            <w:shd w:val="clear" w:color="auto" w:fill="FFFFFF"/>
          </w:tcPr>
          <w:p w14:paraId="0B1F713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19,0</w:t>
            </w:r>
          </w:p>
        </w:tc>
        <w:tc>
          <w:tcPr>
            <w:tcW w:w="1637" w:type="dxa"/>
            <w:tcBorders>
              <w:top w:val="single" w:sz="8" w:space="0" w:color="AEAEAE"/>
              <w:left w:val="single" w:sz="8" w:space="0" w:color="E0E0E0"/>
              <w:bottom w:val="single" w:sz="8" w:space="0" w:color="AEAEAE"/>
              <w:right w:val="single" w:sz="8" w:space="0" w:color="E0E0E0"/>
            </w:tcBorders>
            <w:shd w:val="clear" w:color="auto" w:fill="FFFFFF"/>
          </w:tcPr>
          <w:p w14:paraId="504742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19,0</w:t>
            </w:r>
          </w:p>
        </w:tc>
        <w:tc>
          <w:tcPr>
            <w:tcW w:w="1727" w:type="dxa"/>
            <w:tcBorders>
              <w:top w:val="single" w:sz="8" w:space="0" w:color="AEAEAE"/>
              <w:left w:val="single" w:sz="8" w:space="0" w:color="E0E0E0"/>
              <w:bottom w:val="single" w:sz="8" w:space="0" w:color="AEAEAE"/>
              <w:right w:val="single" w:sz="4" w:space="0" w:color="auto"/>
            </w:tcBorders>
            <w:shd w:val="clear" w:color="auto" w:fill="FFFFFF"/>
          </w:tcPr>
          <w:p w14:paraId="58D46A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81,0</w:t>
            </w:r>
          </w:p>
        </w:tc>
      </w:tr>
      <w:tr w:rsidR="002210A7" w:rsidRPr="00D11D21" w14:paraId="52F5E46D" w14:textId="77777777" w:rsidTr="005C3BEE">
        <w:trPr>
          <w:cantSplit/>
          <w:trHeight w:val="1209"/>
          <w:jc w:val="center"/>
        </w:trPr>
        <w:tc>
          <w:tcPr>
            <w:tcW w:w="862" w:type="dxa"/>
            <w:vMerge/>
            <w:tcBorders>
              <w:top w:val="single" w:sz="8" w:space="0" w:color="152935"/>
              <w:left w:val="single" w:sz="4" w:space="0" w:color="auto"/>
              <w:bottom w:val="single" w:sz="8" w:space="0" w:color="152935"/>
              <w:right w:val="nil"/>
            </w:tcBorders>
            <w:shd w:val="clear" w:color="auto" w:fill="E0E0E0"/>
          </w:tcPr>
          <w:p w14:paraId="4E0FB46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78" w:type="dxa"/>
            <w:tcBorders>
              <w:top w:val="single" w:sz="8" w:space="0" w:color="AEAEAE"/>
              <w:left w:val="nil"/>
              <w:bottom w:val="single" w:sz="8" w:space="0" w:color="AEAEAE"/>
              <w:right w:val="nil"/>
            </w:tcBorders>
            <w:shd w:val="clear" w:color="auto" w:fill="E0E0E0"/>
          </w:tcPr>
          <w:p w14:paraId="4B88B10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Expérimentation progressive avant généralisation</w:t>
            </w:r>
          </w:p>
        </w:tc>
        <w:tc>
          <w:tcPr>
            <w:tcW w:w="1368" w:type="dxa"/>
            <w:tcBorders>
              <w:top w:val="single" w:sz="8" w:space="0" w:color="AEAEAE"/>
              <w:left w:val="nil"/>
              <w:bottom w:val="single" w:sz="8" w:space="0" w:color="AEAEAE"/>
              <w:right w:val="single" w:sz="8" w:space="0" w:color="E0E0E0"/>
            </w:tcBorders>
            <w:shd w:val="clear" w:color="auto" w:fill="FFFFFF"/>
          </w:tcPr>
          <w:p w14:paraId="55FB482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204" w:type="dxa"/>
            <w:tcBorders>
              <w:top w:val="single" w:sz="8" w:space="0" w:color="AEAEAE"/>
              <w:left w:val="single" w:sz="8" w:space="0" w:color="E0E0E0"/>
              <w:bottom w:val="single" w:sz="8" w:space="0" w:color="AEAEAE"/>
              <w:right w:val="single" w:sz="8" w:space="0" w:color="E0E0E0"/>
            </w:tcBorders>
            <w:shd w:val="clear" w:color="auto" w:fill="FFFFFF"/>
          </w:tcPr>
          <w:p w14:paraId="240CFE3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637" w:type="dxa"/>
            <w:tcBorders>
              <w:top w:val="single" w:sz="8" w:space="0" w:color="AEAEAE"/>
              <w:left w:val="single" w:sz="8" w:space="0" w:color="E0E0E0"/>
              <w:bottom w:val="single" w:sz="8" w:space="0" w:color="AEAEAE"/>
              <w:right w:val="single" w:sz="8" w:space="0" w:color="E0E0E0"/>
            </w:tcBorders>
            <w:shd w:val="clear" w:color="auto" w:fill="FFFFFF"/>
          </w:tcPr>
          <w:p w14:paraId="2181D80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727" w:type="dxa"/>
            <w:tcBorders>
              <w:top w:val="single" w:sz="8" w:space="0" w:color="AEAEAE"/>
              <w:left w:val="single" w:sz="8" w:space="0" w:color="E0E0E0"/>
              <w:bottom w:val="single" w:sz="8" w:space="0" w:color="AEAEAE"/>
              <w:right w:val="single" w:sz="4" w:space="0" w:color="auto"/>
            </w:tcBorders>
            <w:shd w:val="clear" w:color="auto" w:fill="FFFFFF"/>
          </w:tcPr>
          <w:p w14:paraId="0D49600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92,9</w:t>
            </w:r>
          </w:p>
        </w:tc>
      </w:tr>
      <w:tr w:rsidR="002210A7" w:rsidRPr="00D11D21" w14:paraId="76DF8F9B" w14:textId="77777777" w:rsidTr="005C3BEE">
        <w:trPr>
          <w:cantSplit/>
          <w:trHeight w:val="1209"/>
          <w:jc w:val="center"/>
        </w:trPr>
        <w:tc>
          <w:tcPr>
            <w:tcW w:w="862" w:type="dxa"/>
            <w:vMerge/>
            <w:tcBorders>
              <w:top w:val="single" w:sz="8" w:space="0" w:color="152935"/>
              <w:left w:val="single" w:sz="4" w:space="0" w:color="auto"/>
              <w:bottom w:val="single" w:sz="8" w:space="0" w:color="152935"/>
              <w:right w:val="nil"/>
            </w:tcBorders>
            <w:shd w:val="clear" w:color="auto" w:fill="E0E0E0"/>
          </w:tcPr>
          <w:p w14:paraId="3E491B6A"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78" w:type="dxa"/>
            <w:tcBorders>
              <w:top w:val="single" w:sz="8" w:space="0" w:color="AEAEAE"/>
              <w:left w:val="nil"/>
              <w:bottom w:val="single" w:sz="8" w:space="0" w:color="AEAEAE"/>
              <w:right w:val="nil"/>
            </w:tcBorders>
            <w:shd w:val="clear" w:color="auto" w:fill="E0E0E0"/>
          </w:tcPr>
          <w:p w14:paraId="15AD87F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Accompagnement par des experts ou consultants</w:t>
            </w:r>
          </w:p>
        </w:tc>
        <w:tc>
          <w:tcPr>
            <w:tcW w:w="1368" w:type="dxa"/>
            <w:tcBorders>
              <w:top w:val="single" w:sz="8" w:space="0" w:color="AEAEAE"/>
              <w:left w:val="nil"/>
              <w:bottom w:val="single" w:sz="8" w:space="0" w:color="AEAEAE"/>
              <w:right w:val="single" w:sz="8" w:space="0" w:color="E0E0E0"/>
            </w:tcBorders>
            <w:shd w:val="clear" w:color="auto" w:fill="FFFFFF"/>
          </w:tcPr>
          <w:p w14:paraId="3D464CD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204" w:type="dxa"/>
            <w:tcBorders>
              <w:top w:val="single" w:sz="8" w:space="0" w:color="AEAEAE"/>
              <w:left w:val="single" w:sz="8" w:space="0" w:color="E0E0E0"/>
              <w:bottom w:val="single" w:sz="8" w:space="0" w:color="AEAEAE"/>
              <w:right w:val="single" w:sz="8" w:space="0" w:color="E0E0E0"/>
            </w:tcBorders>
            <w:shd w:val="clear" w:color="auto" w:fill="FFFFFF"/>
          </w:tcPr>
          <w:p w14:paraId="4CFE0DA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637" w:type="dxa"/>
            <w:tcBorders>
              <w:top w:val="single" w:sz="8" w:space="0" w:color="AEAEAE"/>
              <w:left w:val="single" w:sz="8" w:space="0" w:color="E0E0E0"/>
              <w:bottom w:val="single" w:sz="8" w:space="0" w:color="AEAEAE"/>
              <w:right w:val="single" w:sz="8" w:space="0" w:color="E0E0E0"/>
            </w:tcBorders>
            <w:shd w:val="clear" w:color="auto" w:fill="FFFFFF"/>
          </w:tcPr>
          <w:p w14:paraId="495F633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2,4</w:t>
            </w:r>
          </w:p>
        </w:tc>
        <w:tc>
          <w:tcPr>
            <w:tcW w:w="1727" w:type="dxa"/>
            <w:tcBorders>
              <w:top w:val="single" w:sz="8" w:space="0" w:color="AEAEAE"/>
              <w:left w:val="single" w:sz="8" w:space="0" w:color="E0E0E0"/>
              <w:bottom w:val="single" w:sz="8" w:space="0" w:color="AEAEAE"/>
              <w:right w:val="single" w:sz="4" w:space="0" w:color="auto"/>
            </w:tcBorders>
            <w:shd w:val="clear" w:color="auto" w:fill="FFFFFF"/>
          </w:tcPr>
          <w:p w14:paraId="6B6E05C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95,2</w:t>
            </w:r>
          </w:p>
        </w:tc>
      </w:tr>
      <w:tr w:rsidR="002210A7" w:rsidRPr="00D11D21" w14:paraId="3944D3AA" w14:textId="77777777" w:rsidTr="005C3BEE">
        <w:trPr>
          <w:cantSplit/>
          <w:trHeight w:val="820"/>
          <w:jc w:val="center"/>
        </w:trPr>
        <w:tc>
          <w:tcPr>
            <w:tcW w:w="862" w:type="dxa"/>
            <w:vMerge/>
            <w:tcBorders>
              <w:top w:val="single" w:sz="8" w:space="0" w:color="152935"/>
              <w:left w:val="single" w:sz="4" w:space="0" w:color="auto"/>
              <w:bottom w:val="single" w:sz="8" w:space="0" w:color="152935"/>
              <w:right w:val="nil"/>
            </w:tcBorders>
            <w:shd w:val="clear" w:color="auto" w:fill="E0E0E0"/>
          </w:tcPr>
          <w:p w14:paraId="79952D0F"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78" w:type="dxa"/>
            <w:tcBorders>
              <w:top w:val="single" w:sz="8" w:space="0" w:color="AEAEAE"/>
              <w:left w:val="nil"/>
              <w:bottom w:val="single" w:sz="8" w:space="0" w:color="AEAEAE"/>
              <w:right w:val="nil"/>
            </w:tcBorders>
            <w:shd w:val="clear" w:color="auto" w:fill="E0E0E0"/>
          </w:tcPr>
          <w:p w14:paraId="6AEE8D1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Sensibilisation et communication interne</w:t>
            </w:r>
          </w:p>
        </w:tc>
        <w:tc>
          <w:tcPr>
            <w:tcW w:w="1368" w:type="dxa"/>
            <w:tcBorders>
              <w:top w:val="single" w:sz="8" w:space="0" w:color="AEAEAE"/>
              <w:left w:val="nil"/>
              <w:bottom w:val="single" w:sz="8" w:space="0" w:color="AEAEAE"/>
              <w:right w:val="single" w:sz="8" w:space="0" w:color="E0E0E0"/>
            </w:tcBorders>
            <w:shd w:val="clear" w:color="auto" w:fill="FFFFFF"/>
          </w:tcPr>
          <w:p w14:paraId="5CA8645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204" w:type="dxa"/>
            <w:tcBorders>
              <w:top w:val="single" w:sz="8" w:space="0" w:color="AEAEAE"/>
              <w:left w:val="single" w:sz="8" w:space="0" w:color="E0E0E0"/>
              <w:bottom w:val="single" w:sz="8" w:space="0" w:color="AEAEAE"/>
              <w:right w:val="single" w:sz="8" w:space="0" w:color="E0E0E0"/>
            </w:tcBorders>
            <w:shd w:val="clear" w:color="auto" w:fill="FFFFFF"/>
          </w:tcPr>
          <w:p w14:paraId="431DDF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637" w:type="dxa"/>
            <w:tcBorders>
              <w:top w:val="single" w:sz="8" w:space="0" w:color="AEAEAE"/>
              <w:left w:val="single" w:sz="8" w:space="0" w:color="E0E0E0"/>
              <w:bottom w:val="single" w:sz="8" w:space="0" w:color="AEAEAE"/>
              <w:right w:val="single" w:sz="8" w:space="0" w:color="E0E0E0"/>
            </w:tcBorders>
            <w:shd w:val="clear" w:color="auto" w:fill="FFFFFF"/>
          </w:tcPr>
          <w:p w14:paraId="6C1EB96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727" w:type="dxa"/>
            <w:tcBorders>
              <w:top w:val="single" w:sz="8" w:space="0" w:color="AEAEAE"/>
              <w:left w:val="single" w:sz="8" w:space="0" w:color="E0E0E0"/>
              <w:bottom w:val="single" w:sz="8" w:space="0" w:color="AEAEAE"/>
              <w:right w:val="single" w:sz="4" w:space="0" w:color="auto"/>
            </w:tcBorders>
            <w:shd w:val="clear" w:color="auto" w:fill="FFFFFF"/>
          </w:tcPr>
          <w:p w14:paraId="71BB4B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19D0E27D" w14:textId="77777777" w:rsidTr="005C3BEE">
        <w:trPr>
          <w:cantSplit/>
          <w:trHeight w:val="403"/>
          <w:jc w:val="center"/>
        </w:trPr>
        <w:tc>
          <w:tcPr>
            <w:tcW w:w="862" w:type="dxa"/>
            <w:vMerge/>
            <w:tcBorders>
              <w:top w:val="single" w:sz="8" w:space="0" w:color="152935"/>
              <w:left w:val="single" w:sz="4" w:space="0" w:color="auto"/>
              <w:bottom w:val="single" w:sz="4" w:space="0" w:color="auto"/>
              <w:right w:val="nil"/>
            </w:tcBorders>
            <w:shd w:val="clear" w:color="auto" w:fill="E0E0E0"/>
          </w:tcPr>
          <w:p w14:paraId="207902F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2878" w:type="dxa"/>
            <w:tcBorders>
              <w:top w:val="single" w:sz="8" w:space="0" w:color="AEAEAE"/>
              <w:left w:val="nil"/>
              <w:bottom w:val="single" w:sz="4" w:space="0" w:color="auto"/>
              <w:right w:val="nil"/>
            </w:tcBorders>
            <w:shd w:val="clear" w:color="auto" w:fill="E0E0E0"/>
          </w:tcPr>
          <w:p w14:paraId="5D7482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368" w:type="dxa"/>
            <w:tcBorders>
              <w:top w:val="single" w:sz="8" w:space="0" w:color="AEAEAE"/>
              <w:left w:val="nil"/>
              <w:bottom w:val="single" w:sz="4" w:space="0" w:color="auto"/>
              <w:right w:val="single" w:sz="8" w:space="0" w:color="E0E0E0"/>
            </w:tcBorders>
            <w:shd w:val="clear" w:color="auto" w:fill="FFFFFF"/>
          </w:tcPr>
          <w:p w14:paraId="59C997C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204" w:type="dxa"/>
            <w:tcBorders>
              <w:top w:val="single" w:sz="8" w:space="0" w:color="AEAEAE"/>
              <w:left w:val="single" w:sz="8" w:space="0" w:color="E0E0E0"/>
              <w:bottom w:val="single" w:sz="4" w:space="0" w:color="auto"/>
              <w:right w:val="single" w:sz="8" w:space="0" w:color="E0E0E0"/>
            </w:tcBorders>
            <w:shd w:val="clear" w:color="auto" w:fill="FFFFFF"/>
          </w:tcPr>
          <w:p w14:paraId="25CFBF4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637" w:type="dxa"/>
            <w:tcBorders>
              <w:top w:val="single" w:sz="8" w:space="0" w:color="AEAEAE"/>
              <w:left w:val="single" w:sz="8" w:space="0" w:color="E0E0E0"/>
              <w:bottom w:val="single" w:sz="4" w:space="0" w:color="auto"/>
              <w:right w:val="single" w:sz="8" w:space="0" w:color="E0E0E0"/>
            </w:tcBorders>
            <w:shd w:val="clear" w:color="auto" w:fill="FFFFFF"/>
          </w:tcPr>
          <w:p w14:paraId="2DEAAD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27" w:type="dxa"/>
            <w:tcBorders>
              <w:top w:val="single" w:sz="8" w:space="0" w:color="AEAEAE"/>
              <w:left w:val="single" w:sz="8" w:space="0" w:color="E0E0E0"/>
              <w:bottom w:val="single" w:sz="4" w:space="0" w:color="auto"/>
              <w:right w:val="single" w:sz="4" w:space="0" w:color="auto"/>
            </w:tcBorders>
            <w:shd w:val="clear" w:color="auto" w:fill="FFFFFF"/>
            <w:vAlign w:val="center"/>
          </w:tcPr>
          <w:p w14:paraId="1F1F962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5C4B0D68" w14:textId="2B1760C3" w:rsidR="00745FDE"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5677FEB4" w14:textId="755AA148" w:rsidR="002210A7" w:rsidRPr="00D11D21" w:rsidRDefault="001679A8" w:rsidP="00D11D21">
      <w:pPr>
        <w:pStyle w:val="Lgende"/>
        <w:keepNext/>
        <w:spacing w:line="360" w:lineRule="auto"/>
        <w:jc w:val="both"/>
        <w:rPr>
          <w:rFonts w:asciiTheme="majorBidi" w:hAnsiTheme="majorBidi" w:cstheme="majorBidi"/>
          <w:color w:val="auto"/>
          <w:sz w:val="24"/>
          <w:szCs w:val="24"/>
        </w:rPr>
      </w:pPr>
      <w:bookmarkStart w:id="235" w:name="_Toc200210100"/>
      <w:r w:rsidRPr="00D11D21">
        <w:rPr>
          <w:rFonts w:asciiTheme="majorBidi" w:hAnsiTheme="majorBidi" w:cstheme="majorBidi"/>
          <w:color w:val="auto"/>
          <w:sz w:val="24"/>
          <w:szCs w:val="24"/>
        </w:rPr>
        <w:lastRenderedPageBreak/>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33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conditions de réussite d’un modèle de financement mixte</w:t>
      </w:r>
      <w:bookmarkEnd w:id="235"/>
    </w:p>
    <w:p w14:paraId="5F7ED3E3" w14:textId="6202A754"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49AA353C" wp14:editId="78075D51">
            <wp:extent cx="4038600" cy="2120157"/>
            <wp:effectExtent l="0" t="0" r="0" b="6350"/>
            <wp:docPr id="202" name="Imag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46">
                      <a:extLst>
                        <a:ext uri="{28A0092B-C50C-407E-A947-70E740481C1C}">
                          <a14:useLocalDpi xmlns:a14="http://schemas.microsoft.com/office/drawing/2010/main" val="0"/>
                        </a:ext>
                      </a:extLst>
                    </a:blip>
                    <a:srcRect t="7220" b="3610"/>
                    <a:stretch/>
                  </pic:blipFill>
                  <pic:spPr bwMode="auto">
                    <a:xfrm>
                      <a:off x="0" y="0"/>
                      <a:ext cx="4038600" cy="2120157"/>
                    </a:xfrm>
                    <a:prstGeom prst="rect">
                      <a:avLst/>
                    </a:prstGeom>
                    <a:noFill/>
                    <a:ln>
                      <a:noFill/>
                    </a:ln>
                    <a:extLst>
                      <a:ext uri="{53640926-AAD7-44D8-BBD7-CCE9431645EC}">
                        <a14:shadowObscured xmlns:a14="http://schemas.microsoft.com/office/drawing/2010/main"/>
                      </a:ext>
                    </a:extLst>
                  </pic:spPr>
                </pic:pic>
              </a:graphicData>
            </a:graphic>
          </wp:inline>
        </w:drawing>
      </w:r>
    </w:p>
    <w:p w14:paraId="1F939890"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50AEDAA5" w14:textId="77777777" w:rsidR="00A73FC1"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9F51B04" w14:textId="1308B906"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szCs w:val="24"/>
        </w:rPr>
        <w:t>Les conditions jugées les plus importantes pour que le modèle de financement mixte réussisse sont :</w:t>
      </w:r>
    </w:p>
    <w:p w14:paraId="0B1A4A63" w14:textId="77777777" w:rsidR="002210A7" w:rsidRPr="00D11D21" w:rsidRDefault="002210A7" w:rsidP="00D11D21">
      <w:pPr>
        <w:pStyle w:val="Paragraphedeliste"/>
        <w:numPr>
          <w:ilvl w:val="0"/>
          <w:numId w:val="5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Formation spécifique du personnel médical et administratif, et expérimentation progressive avant généralisation (35,7%).</w:t>
      </w:r>
    </w:p>
    <w:p w14:paraId="0AA47AF4" w14:textId="77777777" w:rsidR="002210A7" w:rsidRPr="00D11D21" w:rsidRDefault="002210A7" w:rsidP="00D11D21">
      <w:pPr>
        <w:pStyle w:val="Paragraphedeliste"/>
        <w:numPr>
          <w:ilvl w:val="0"/>
          <w:numId w:val="5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Renforcement du système d'information hospitalier, expérimentation progressive avant généralisation, et sensibilisation (26,2%).</w:t>
      </w:r>
    </w:p>
    <w:p w14:paraId="630DA4F3" w14:textId="77777777" w:rsidR="002210A7" w:rsidRPr="00D11D21" w:rsidRDefault="002210A7" w:rsidP="00D11D21">
      <w:pPr>
        <w:pStyle w:val="Paragraphedeliste"/>
        <w:numPr>
          <w:ilvl w:val="0"/>
          <w:numId w:val="5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Soutien financier de l'État au démarrage (19%).</w:t>
      </w:r>
    </w:p>
    <w:p w14:paraId="1D7DF4F7" w14:textId="77777777" w:rsidR="002210A7" w:rsidRPr="00D11D21" w:rsidRDefault="002210A7" w:rsidP="00D11D21">
      <w:pPr>
        <w:pStyle w:val="Paragraphedeliste"/>
        <w:numPr>
          <w:ilvl w:val="0"/>
          <w:numId w:val="5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Expérimentation progressive avant généralisation (11,9%).</w:t>
      </w:r>
    </w:p>
    <w:p w14:paraId="042B76C9" w14:textId="77777777" w:rsidR="002210A7" w:rsidRPr="00D11D21" w:rsidRDefault="002210A7" w:rsidP="00D11D21">
      <w:pPr>
        <w:pStyle w:val="Paragraphedeliste"/>
        <w:numPr>
          <w:ilvl w:val="0"/>
          <w:numId w:val="5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Accompagnement par des experts ou consultants (2,4%).</w:t>
      </w:r>
    </w:p>
    <w:p w14:paraId="1278A256" w14:textId="77777777" w:rsidR="002210A7" w:rsidRPr="00D11D21" w:rsidRDefault="002210A7" w:rsidP="00D11D21">
      <w:pPr>
        <w:pStyle w:val="Paragraphedeliste"/>
        <w:numPr>
          <w:ilvl w:val="0"/>
          <w:numId w:val="59"/>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Sensibilisation et communication interne (4,8%).</w:t>
      </w:r>
    </w:p>
    <w:p w14:paraId="30A9B641" w14:textId="2CCFBC2C" w:rsidR="002210A7" w:rsidRPr="00D11D21"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Cela montre un fort soutien pour une approche progressive et bien préparée, ainsi qu'un besoin d'accompagnement et de formation avant toute mise</w:t>
      </w:r>
      <w:r w:rsidR="00772AE8">
        <w:rPr>
          <w:rFonts w:asciiTheme="majorBidi" w:hAnsiTheme="majorBidi" w:cstheme="majorBidi"/>
          <w:szCs w:val="24"/>
        </w:rPr>
        <w:t xml:space="preserve"> en œuvre à grande échelle.</w:t>
      </w:r>
    </w:p>
    <w:p w14:paraId="79C1AFC1" w14:textId="77777777"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Q18 : Selon vous, quels seraient les avantages d'un financement mixte dans votre structure ?</w:t>
      </w:r>
    </w:p>
    <w:p w14:paraId="16807EA5" w14:textId="1EE38189" w:rsidR="002210A7" w:rsidRPr="00D11D21" w:rsidRDefault="00CB7C68" w:rsidP="00D11D21">
      <w:pPr>
        <w:pStyle w:val="Lgende"/>
        <w:keepNext/>
        <w:spacing w:line="360" w:lineRule="auto"/>
        <w:jc w:val="both"/>
        <w:rPr>
          <w:rFonts w:asciiTheme="majorBidi" w:hAnsiTheme="majorBidi" w:cstheme="majorBidi"/>
          <w:color w:val="auto"/>
          <w:sz w:val="24"/>
          <w:szCs w:val="24"/>
        </w:rPr>
      </w:pPr>
      <w:bookmarkStart w:id="236" w:name="_Toc200210146"/>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38</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avantages perçus d’un financement mixte</w:t>
      </w:r>
      <w:bookmarkEnd w:id="236"/>
    </w:p>
    <w:tbl>
      <w:tblPr>
        <w:tblW w:w="1105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3291"/>
        <w:gridCol w:w="1563"/>
        <w:gridCol w:w="1374"/>
        <w:gridCol w:w="1869"/>
        <w:gridCol w:w="1971"/>
      </w:tblGrid>
      <w:tr w:rsidR="002210A7" w:rsidRPr="00D11D21" w14:paraId="33F80B94" w14:textId="77777777" w:rsidTr="00282FFC">
        <w:trPr>
          <w:cantSplit/>
          <w:trHeight w:val="234"/>
          <w:jc w:val="center"/>
        </w:trPr>
        <w:tc>
          <w:tcPr>
            <w:tcW w:w="4275" w:type="dxa"/>
            <w:gridSpan w:val="2"/>
            <w:tcBorders>
              <w:top w:val="single" w:sz="4" w:space="0" w:color="auto"/>
              <w:left w:val="single" w:sz="4" w:space="0" w:color="auto"/>
              <w:bottom w:val="single" w:sz="8" w:space="0" w:color="152935"/>
              <w:right w:val="nil"/>
            </w:tcBorders>
            <w:shd w:val="clear" w:color="auto" w:fill="FFFFFF"/>
            <w:vAlign w:val="bottom"/>
          </w:tcPr>
          <w:p w14:paraId="5A87396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563" w:type="dxa"/>
            <w:tcBorders>
              <w:top w:val="single" w:sz="4" w:space="0" w:color="auto"/>
              <w:left w:val="nil"/>
              <w:bottom w:val="single" w:sz="8" w:space="0" w:color="152935"/>
              <w:right w:val="single" w:sz="8" w:space="0" w:color="E0E0E0"/>
            </w:tcBorders>
            <w:shd w:val="clear" w:color="auto" w:fill="FFFFFF"/>
            <w:vAlign w:val="bottom"/>
          </w:tcPr>
          <w:p w14:paraId="10B2573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74"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4C8022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86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2806E4E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971" w:type="dxa"/>
            <w:tcBorders>
              <w:top w:val="single" w:sz="4" w:space="0" w:color="auto"/>
              <w:left w:val="single" w:sz="8" w:space="0" w:color="E0E0E0"/>
              <w:bottom w:val="single" w:sz="8" w:space="0" w:color="152935"/>
              <w:right w:val="single" w:sz="4" w:space="0" w:color="auto"/>
            </w:tcBorders>
            <w:shd w:val="clear" w:color="auto" w:fill="FFFFFF"/>
            <w:vAlign w:val="bottom"/>
          </w:tcPr>
          <w:p w14:paraId="2B88A3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2C6F045C" w14:textId="77777777" w:rsidTr="00282FFC">
        <w:trPr>
          <w:cantSplit/>
          <w:trHeight w:val="234"/>
          <w:jc w:val="center"/>
        </w:trPr>
        <w:tc>
          <w:tcPr>
            <w:tcW w:w="984" w:type="dxa"/>
            <w:vMerge w:val="restart"/>
            <w:tcBorders>
              <w:top w:val="single" w:sz="8" w:space="0" w:color="152935"/>
              <w:left w:val="single" w:sz="4" w:space="0" w:color="auto"/>
              <w:bottom w:val="single" w:sz="8" w:space="0" w:color="152935"/>
              <w:right w:val="nil"/>
            </w:tcBorders>
            <w:shd w:val="clear" w:color="auto" w:fill="E0E0E0"/>
          </w:tcPr>
          <w:p w14:paraId="4DE10A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290" w:type="dxa"/>
            <w:tcBorders>
              <w:top w:val="single" w:sz="8" w:space="0" w:color="152935"/>
              <w:left w:val="nil"/>
              <w:bottom w:val="single" w:sz="8" w:space="0" w:color="AEAEAE"/>
              <w:right w:val="nil"/>
            </w:tcBorders>
            <w:shd w:val="clear" w:color="auto" w:fill="E0E0E0"/>
          </w:tcPr>
          <w:p w14:paraId="4D4B740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Amélioration de la qualité des soins</w:t>
            </w:r>
          </w:p>
        </w:tc>
        <w:tc>
          <w:tcPr>
            <w:tcW w:w="1563" w:type="dxa"/>
            <w:tcBorders>
              <w:top w:val="single" w:sz="8" w:space="0" w:color="152935"/>
              <w:left w:val="nil"/>
              <w:bottom w:val="single" w:sz="8" w:space="0" w:color="AEAEAE"/>
              <w:right w:val="single" w:sz="8" w:space="0" w:color="E0E0E0"/>
            </w:tcBorders>
            <w:shd w:val="clear" w:color="auto" w:fill="FFFFFF"/>
          </w:tcPr>
          <w:p w14:paraId="62AF328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12</w:t>
            </w:r>
          </w:p>
        </w:tc>
        <w:tc>
          <w:tcPr>
            <w:tcW w:w="1374" w:type="dxa"/>
            <w:tcBorders>
              <w:top w:val="single" w:sz="8" w:space="0" w:color="152935"/>
              <w:left w:val="single" w:sz="8" w:space="0" w:color="E0E0E0"/>
              <w:bottom w:val="single" w:sz="8" w:space="0" w:color="AEAEAE"/>
              <w:right w:val="single" w:sz="8" w:space="0" w:color="E0E0E0"/>
            </w:tcBorders>
            <w:shd w:val="clear" w:color="auto" w:fill="FFFFFF"/>
          </w:tcPr>
          <w:p w14:paraId="7632DDF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28,6</w:t>
            </w:r>
          </w:p>
        </w:tc>
        <w:tc>
          <w:tcPr>
            <w:tcW w:w="1869" w:type="dxa"/>
            <w:tcBorders>
              <w:top w:val="single" w:sz="8" w:space="0" w:color="152935"/>
              <w:left w:val="single" w:sz="8" w:space="0" w:color="E0E0E0"/>
              <w:bottom w:val="single" w:sz="8" w:space="0" w:color="AEAEAE"/>
              <w:right w:val="single" w:sz="8" w:space="0" w:color="E0E0E0"/>
            </w:tcBorders>
            <w:shd w:val="clear" w:color="auto" w:fill="FFFFFF"/>
          </w:tcPr>
          <w:p w14:paraId="1879C33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28,6</w:t>
            </w:r>
          </w:p>
        </w:tc>
        <w:tc>
          <w:tcPr>
            <w:tcW w:w="1971" w:type="dxa"/>
            <w:tcBorders>
              <w:top w:val="single" w:sz="8" w:space="0" w:color="152935"/>
              <w:left w:val="single" w:sz="8" w:space="0" w:color="E0E0E0"/>
              <w:bottom w:val="single" w:sz="8" w:space="0" w:color="AEAEAE"/>
              <w:right w:val="single" w:sz="4" w:space="0" w:color="auto"/>
            </w:tcBorders>
            <w:shd w:val="clear" w:color="auto" w:fill="FFFFFF"/>
          </w:tcPr>
          <w:p w14:paraId="1242EC4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28,6</w:t>
            </w:r>
          </w:p>
        </w:tc>
      </w:tr>
      <w:tr w:rsidR="002210A7" w:rsidRPr="00D11D21" w14:paraId="1C52813E" w14:textId="77777777" w:rsidTr="00282FFC">
        <w:trPr>
          <w:cantSplit/>
          <w:trHeight w:val="40"/>
          <w:jc w:val="center"/>
        </w:trPr>
        <w:tc>
          <w:tcPr>
            <w:tcW w:w="984" w:type="dxa"/>
            <w:vMerge/>
            <w:tcBorders>
              <w:top w:val="single" w:sz="8" w:space="0" w:color="152935"/>
              <w:left w:val="single" w:sz="4" w:space="0" w:color="auto"/>
              <w:bottom w:val="single" w:sz="8" w:space="0" w:color="152935"/>
              <w:right w:val="nil"/>
            </w:tcBorders>
            <w:shd w:val="clear" w:color="auto" w:fill="E0E0E0"/>
          </w:tcPr>
          <w:p w14:paraId="3A07097A"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90" w:type="dxa"/>
            <w:tcBorders>
              <w:top w:val="single" w:sz="8" w:space="0" w:color="AEAEAE"/>
              <w:left w:val="nil"/>
              <w:bottom w:val="single" w:sz="8" w:space="0" w:color="AEAEAE"/>
              <w:right w:val="nil"/>
            </w:tcBorders>
            <w:shd w:val="clear" w:color="auto" w:fill="E0E0E0"/>
          </w:tcPr>
          <w:p w14:paraId="3B034EC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Meilleure maîtrise des dépenses</w:t>
            </w:r>
          </w:p>
        </w:tc>
        <w:tc>
          <w:tcPr>
            <w:tcW w:w="1563" w:type="dxa"/>
            <w:tcBorders>
              <w:top w:val="single" w:sz="8" w:space="0" w:color="AEAEAE"/>
              <w:left w:val="nil"/>
              <w:bottom w:val="single" w:sz="8" w:space="0" w:color="AEAEAE"/>
              <w:right w:val="single" w:sz="8" w:space="0" w:color="E0E0E0"/>
            </w:tcBorders>
            <w:shd w:val="clear" w:color="auto" w:fill="FFFFFF"/>
          </w:tcPr>
          <w:p w14:paraId="08F32B9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w:t>
            </w:r>
          </w:p>
        </w:tc>
        <w:tc>
          <w:tcPr>
            <w:tcW w:w="1374" w:type="dxa"/>
            <w:tcBorders>
              <w:top w:val="single" w:sz="8" w:space="0" w:color="AEAEAE"/>
              <w:left w:val="single" w:sz="8" w:space="0" w:color="E0E0E0"/>
              <w:bottom w:val="single" w:sz="8" w:space="0" w:color="AEAEAE"/>
              <w:right w:val="single" w:sz="8" w:space="0" w:color="E0E0E0"/>
            </w:tcBorders>
            <w:shd w:val="clear" w:color="auto" w:fill="FFFFFF"/>
          </w:tcPr>
          <w:p w14:paraId="73DC62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16,7</w:t>
            </w:r>
          </w:p>
        </w:tc>
        <w:tc>
          <w:tcPr>
            <w:tcW w:w="1869" w:type="dxa"/>
            <w:tcBorders>
              <w:top w:val="single" w:sz="8" w:space="0" w:color="AEAEAE"/>
              <w:left w:val="single" w:sz="8" w:space="0" w:color="E0E0E0"/>
              <w:bottom w:val="single" w:sz="8" w:space="0" w:color="AEAEAE"/>
              <w:right w:val="single" w:sz="8" w:space="0" w:color="E0E0E0"/>
            </w:tcBorders>
            <w:shd w:val="clear" w:color="auto" w:fill="FFFFFF"/>
          </w:tcPr>
          <w:p w14:paraId="68BF758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16,7</w:t>
            </w:r>
          </w:p>
        </w:tc>
        <w:tc>
          <w:tcPr>
            <w:tcW w:w="1971" w:type="dxa"/>
            <w:tcBorders>
              <w:top w:val="single" w:sz="8" w:space="0" w:color="AEAEAE"/>
              <w:left w:val="single" w:sz="8" w:space="0" w:color="E0E0E0"/>
              <w:bottom w:val="single" w:sz="8" w:space="0" w:color="AEAEAE"/>
              <w:right w:val="single" w:sz="4" w:space="0" w:color="auto"/>
            </w:tcBorders>
            <w:shd w:val="clear" w:color="auto" w:fill="FFFFFF"/>
          </w:tcPr>
          <w:p w14:paraId="140B9B5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45,2</w:t>
            </w:r>
          </w:p>
        </w:tc>
      </w:tr>
      <w:tr w:rsidR="002210A7" w:rsidRPr="00D11D21" w14:paraId="6483FB9E" w14:textId="77777777" w:rsidTr="00282FFC">
        <w:trPr>
          <w:cantSplit/>
          <w:trHeight w:val="40"/>
          <w:jc w:val="center"/>
        </w:trPr>
        <w:tc>
          <w:tcPr>
            <w:tcW w:w="984" w:type="dxa"/>
            <w:vMerge/>
            <w:tcBorders>
              <w:top w:val="single" w:sz="8" w:space="0" w:color="152935"/>
              <w:left w:val="single" w:sz="4" w:space="0" w:color="auto"/>
              <w:bottom w:val="single" w:sz="8" w:space="0" w:color="152935"/>
              <w:right w:val="nil"/>
            </w:tcBorders>
            <w:shd w:val="clear" w:color="auto" w:fill="E0E0E0"/>
          </w:tcPr>
          <w:p w14:paraId="2434E2F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90" w:type="dxa"/>
            <w:tcBorders>
              <w:top w:val="single" w:sz="8" w:space="0" w:color="AEAEAE"/>
              <w:left w:val="nil"/>
              <w:bottom w:val="single" w:sz="8" w:space="0" w:color="AEAEAE"/>
              <w:right w:val="nil"/>
            </w:tcBorders>
            <w:shd w:val="clear" w:color="auto" w:fill="E0E0E0"/>
          </w:tcPr>
          <w:p w14:paraId="1BF312F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Meilleure transparence budgétaire</w:t>
            </w:r>
          </w:p>
        </w:tc>
        <w:tc>
          <w:tcPr>
            <w:tcW w:w="1563" w:type="dxa"/>
            <w:tcBorders>
              <w:top w:val="single" w:sz="8" w:space="0" w:color="AEAEAE"/>
              <w:left w:val="nil"/>
              <w:bottom w:val="single" w:sz="8" w:space="0" w:color="AEAEAE"/>
              <w:right w:val="single" w:sz="8" w:space="0" w:color="E0E0E0"/>
            </w:tcBorders>
            <w:shd w:val="clear" w:color="auto" w:fill="FFFFFF"/>
          </w:tcPr>
          <w:p w14:paraId="572B584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c>
          <w:tcPr>
            <w:tcW w:w="1374" w:type="dxa"/>
            <w:tcBorders>
              <w:top w:val="single" w:sz="8" w:space="0" w:color="AEAEAE"/>
              <w:left w:val="single" w:sz="8" w:space="0" w:color="E0E0E0"/>
              <w:bottom w:val="single" w:sz="8" w:space="0" w:color="AEAEAE"/>
              <w:right w:val="single" w:sz="8" w:space="0" w:color="E0E0E0"/>
            </w:tcBorders>
            <w:shd w:val="clear" w:color="auto" w:fill="FFFFFF"/>
          </w:tcPr>
          <w:p w14:paraId="34E6B81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c>
          <w:tcPr>
            <w:tcW w:w="1869" w:type="dxa"/>
            <w:tcBorders>
              <w:top w:val="single" w:sz="8" w:space="0" w:color="AEAEAE"/>
              <w:left w:val="single" w:sz="8" w:space="0" w:color="E0E0E0"/>
              <w:bottom w:val="single" w:sz="8" w:space="0" w:color="AEAEAE"/>
              <w:right w:val="single" w:sz="8" w:space="0" w:color="E0E0E0"/>
            </w:tcBorders>
            <w:shd w:val="clear" w:color="auto" w:fill="FFFFFF"/>
          </w:tcPr>
          <w:p w14:paraId="123146D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c>
          <w:tcPr>
            <w:tcW w:w="1971" w:type="dxa"/>
            <w:tcBorders>
              <w:top w:val="single" w:sz="8" w:space="0" w:color="AEAEAE"/>
              <w:left w:val="single" w:sz="8" w:space="0" w:color="E0E0E0"/>
              <w:bottom w:val="single" w:sz="8" w:space="0" w:color="AEAEAE"/>
              <w:right w:val="single" w:sz="4" w:space="0" w:color="auto"/>
            </w:tcBorders>
            <w:shd w:val="clear" w:color="auto" w:fill="FFFFFF"/>
          </w:tcPr>
          <w:p w14:paraId="0776681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66,7</w:t>
            </w:r>
          </w:p>
        </w:tc>
      </w:tr>
      <w:tr w:rsidR="002210A7" w:rsidRPr="00D11D21" w14:paraId="49EBB4BB" w14:textId="77777777" w:rsidTr="00282FFC">
        <w:trPr>
          <w:cantSplit/>
          <w:trHeight w:val="40"/>
          <w:jc w:val="center"/>
        </w:trPr>
        <w:tc>
          <w:tcPr>
            <w:tcW w:w="984" w:type="dxa"/>
            <w:vMerge/>
            <w:tcBorders>
              <w:top w:val="single" w:sz="8" w:space="0" w:color="152935"/>
              <w:left w:val="single" w:sz="4" w:space="0" w:color="auto"/>
              <w:bottom w:val="single" w:sz="8" w:space="0" w:color="152935"/>
              <w:right w:val="nil"/>
            </w:tcBorders>
            <w:shd w:val="clear" w:color="auto" w:fill="E0E0E0"/>
          </w:tcPr>
          <w:p w14:paraId="3658BE41"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90" w:type="dxa"/>
            <w:tcBorders>
              <w:top w:val="single" w:sz="8" w:space="0" w:color="AEAEAE"/>
              <w:left w:val="nil"/>
              <w:bottom w:val="single" w:sz="8" w:space="0" w:color="AEAEAE"/>
              <w:right w:val="nil"/>
            </w:tcBorders>
            <w:shd w:val="clear" w:color="auto" w:fill="E0E0E0"/>
          </w:tcPr>
          <w:p w14:paraId="0587A5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Motivation accrue du personnel</w:t>
            </w:r>
          </w:p>
        </w:tc>
        <w:tc>
          <w:tcPr>
            <w:tcW w:w="1563" w:type="dxa"/>
            <w:tcBorders>
              <w:top w:val="single" w:sz="8" w:space="0" w:color="AEAEAE"/>
              <w:left w:val="nil"/>
              <w:bottom w:val="single" w:sz="8" w:space="0" w:color="AEAEAE"/>
              <w:right w:val="single" w:sz="8" w:space="0" w:color="E0E0E0"/>
            </w:tcBorders>
            <w:shd w:val="clear" w:color="auto" w:fill="FFFFFF"/>
          </w:tcPr>
          <w:p w14:paraId="3FF7EE1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w:t>
            </w:r>
          </w:p>
        </w:tc>
        <w:tc>
          <w:tcPr>
            <w:tcW w:w="1374" w:type="dxa"/>
            <w:tcBorders>
              <w:top w:val="single" w:sz="8" w:space="0" w:color="AEAEAE"/>
              <w:left w:val="single" w:sz="8" w:space="0" w:color="E0E0E0"/>
              <w:bottom w:val="single" w:sz="8" w:space="0" w:color="AEAEAE"/>
              <w:right w:val="single" w:sz="8" w:space="0" w:color="E0E0E0"/>
            </w:tcBorders>
            <w:shd w:val="clear" w:color="auto" w:fill="FFFFFF"/>
          </w:tcPr>
          <w:p w14:paraId="2574F8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23,8</w:t>
            </w:r>
          </w:p>
        </w:tc>
        <w:tc>
          <w:tcPr>
            <w:tcW w:w="1869" w:type="dxa"/>
            <w:tcBorders>
              <w:top w:val="single" w:sz="8" w:space="0" w:color="AEAEAE"/>
              <w:left w:val="single" w:sz="8" w:space="0" w:color="E0E0E0"/>
              <w:bottom w:val="single" w:sz="8" w:space="0" w:color="AEAEAE"/>
              <w:right w:val="single" w:sz="8" w:space="0" w:color="E0E0E0"/>
            </w:tcBorders>
            <w:shd w:val="clear" w:color="auto" w:fill="FFFFFF"/>
          </w:tcPr>
          <w:p w14:paraId="136DA5F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23,8</w:t>
            </w:r>
          </w:p>
        </w:tc>
        <w:tc>
          <w:tcPr>
            <w:tcW w:w="1971" w:type="dxa"/>
            <w:tcBorders>
              <w:top w:val="single" w:sz="8" w:space="0" w:color="AEAEAE"/>
              <w:left w:val="single" w:sz="8" w:space="0" w:color="E0E0E0"/>
              <w:bottom w:val="single" w:sz="8" w:space="0" w:color="AEAEAE"/>
              <w:right w:val="single" w:sz="4" w:space="0" w:color="auto"/>
            </w:tcBorders>
            <w:shd w:val="clear" w:color="auto" w:fill="FFFFFF"/>
          </w:tcPr>
          <w:p w14:paraId="70856E7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90,5</w:t>
            </w:r>
          </w:p>
        </w:tc>
      </w:tr>
      <w:tr w:rsidR="002210A7" w:rsidRPr="00D11D21" w14:paraId="3ECFF555" w14:textId="77777777" w:rsidTr="00282FFC">
        <w:trPr>
          <w:cantSplit/>
          <w:trHeight w:val="40"/>
          <w:jc w:val="center"/>
        </w:trPr>
        <w:tc>
          <w:tcPr>
            <w:tcW w:w="984" w:type="dxa"/>
            <w:vMerge/>
            <w:tcBorders>
              <w:top w:val="single" w:sz="8" w:space="0" w:color="152935"/>
              <w:left w:val="single" w:sz="4" w:space="0" w:color="auto"/>
              <w:bottom w:val="single" w:sz="8" w:space="0" w:color="152935"/>
              <w:right w:val="nil"/>
            </w:tcBorders>
            <w:shd w:val="clear" w:color="auto" w:fill="E0E0E0"/>
          </w:tcPr>
          <w:p w14:paraId="72813A2E"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90" w:type="dxa"/>
            <w:tcBorders>
              <w:top w:val="single" w:sz="8" w:space="0" w:color="AEAEAE"/>
              <w:left w:val="nil"/>
              <w:bottom w:val="single" w:sz="8" w:space="0" w:color="AEAEAE"/>
              <w:right w:val="nil"/>
            </w:tcBorders>
            <w:shd w:val="clear" w:color="auto" w:fill="E0E0E0"/>
          </w:tcPr>
          <w:p w14:paraId="62A1E52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Répartition plus équitable des ressources</w:t>
            </w:r>
          </w:p>
        </w:tc>
        <w:tc>
          <w:tcPr>
            <w:tcW w:w="1563" w:type="dxa"/>
            <w:tcBorders>
              <w:top w:val="single" w:sz="8" w:space="0" w:color="AEAEAE"/>
              <w:left w:val="nil"/>
              <w:bottom w:val="single" w:sz="8" w:space="0" w:color="AEAEAE"/>
              <w:right w:val="single" w:sz="8" w:space="0" w:color="E0E0E0"/>
            </w:tcBorders>
            <w:shd w:val="clear" w:color="auto" w:fill="FFFFFF"/>
          </w:tcPr>
          <w:p w14:paraId="77E0FF7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374" w:type="dxa"/>
            <w:tcBorders>
              <w:top w:val="single" w:sz="8" w:space="0" w:color="AEAEAE"/>
              <w:left w:val="single" w:sz="8" w:space="0" w:color="E0E0E0"/>
              <w:bottom w:val="single" w:sz="8" w:space="0" w:color="AEAEAE"/>
              <w:right w:val="single" w:sz="8" w:space="0" w:color="E0E0E0"/>
            </w:tcBorders>
            <w:shd w:val="clear" w:color="auto" w:fill="FFFFFF"/>
          </w:tcPr>
          <w:p w14:paraId="0DB5E44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869" w:type="dxa"/>
            <w:tcBorders>
              <w:top w:val="single" w:sz="8" w:space="0" w:color="AEAEAE"/>
              <w:left w:val="single" w:sz="8" w:space="0" w:color="E0E0E0"/>
              <w:bottom w:val="single" w:sz="8" w:space="0" w:color="AEAEAE"/>
              <w:right w:val="single" w:sz="8" w:space="0" w:color="E0E0E0"/>
            </w:tcBorders>
            <w:shd w:val="clear" w:color="auto" w:fill="FFFFFF"/>
          </w:tcPr>
          <w:p w14:paraId="160272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971" w:type="dxa"/>
            <w:tcBorders>
              <w:top w:val="single" w:sz="8" w:space="0" w:color="AEAEAE"/>
              <w:left w:val="single" w:sz="8" w:space="0" w:color="E0E0E0"/>
              <w:bottom w:val="single" w:sz="8" w:space="0" w:color="AEAEAE"/>
              <w:right w:val="single" w:sz="4" w:space="0" w:color="auto"/>
            </w:tcBorders>
            <w:shd w:val="clear" w:color="auto" w:fill="FFFFFF"/>
          </w:tcPr>
          <w:p w14:paraId="76DE076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34B8B64F" w14:textId="77777777" w:rsidTr="00282FFC">
        <w:trPr>
          <w:cantSplit/>
          <w:trHeight w:val="40"/>
          <w:jc w:val="center"/>
        </w:trPr>
        <w:tc>
          <w:tcPr>
            <w:tcW w:w="984" w:type="dxa"/>
            <w:vMerge/>
            <w:tcBorders>
              <w:top w:val="single" w:sz="8" w:space="0" w:color="152935"/>
              <w:left w:val="single" w:sz="4" w:space="0" w:color="auto"/>
              <w:bottom w:val="single" w:sz="4" w:space="0" w:color="auto"/>
              <w:right w:val="nil"/>
            </w:tcBorders>
            <w:shd w:val="clear" w:color="auto" w:fill="E0E0E0"/>
          </w:tcPr>
          <w:p w14:paraId="4B0386C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290" w:type="dxa"/>
            <w:tcBorders>
              <w:top w:val="single" w:sz="8" w:space="0" w:color="AEAEAE"/>
              <w:left w:val="nil"/>
              <w:bottom w:val="single" w:sz="4" w:space="0" w:color="auto"/>
              <w:right w:val="nil"/>
            </w:tcBorders>
            <w:shd w:val="clear" w:color="auto" w:fill="E0E0E0"/>
          </w:tcPr>
          <w:p w14:paraId="61569CB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563" w:type="dxa"/>
            <w:tcBorders>
              <w:top w:val="single" w:sz="8" w:space="0" w:color="AEAEAE"/>
              <w:left w:val="nil"/>
              <w:bottom w:val="single" w:sz="4" w:space="0" w:color="auto"/>
              <w:right w:val="single" w:sz="8" w:space="0" w:color="E0E0E0"/>
            </w:tcBorders>
            <w:shd w:val="clear" w:color="auto" w:fill="FFFFFF"/>
          </w:tcPr>
          <w:p w14:paraId="52C8090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374" w:type="dxa"/>
            <w:tcBorders>
              <w:top w:val="single" w:sz="8" w:space="0" w:color="AEAEAE"/>
              <w:left w:val="single" w:sz="8" w:space="0" w:color="E0E0E0"/>
              <w:bottom w:val="single" w:sz="4" w:space="0" w:color="auto"/>
              <w:right w:val="single" w:sz="8" w:space="0" w:color="E0E0E0"/>
            </w:tcBorders>
            <w:shd w:val="clear" w:color="auto" w:fill="FFFFFF"/>
          </w:tcPr>
          <w:p w14:paraId="5F10245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69" w:type="dxa"/>
            <w:tcBorders>
              <w:top w:val="single" w:sz="8" w:space="0" w:color="AEAEAE"/>
              <w:left w:val="single" w:sz="8" w:space="0" w:color="E0E0E0"/>
              <w:bottom w:val="single" w:sz="4" w:space="0" w:color="auto"/>
              <w:right w:val="single" w:sz="8" w:space="0" w:color="E0E0E0"/>
            </w:tcBorders>
            <w:shd w:val="clear" w:color="auto" w:fill="FFFFFF"/>
          </w:tcPr>
          <w:p w14:paraId="0950128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71" w:type="dxa"/>
            <w:tcBorders>
              <w:top w:val="single" w:sz="8" w:space="0" w:color="AEAEAE"/>
              <w:left w:val="single" w:sz="8" w:space="0" w:color="E0E0E0"/>
              <w:bottom w:val="single" w:sz="4" w:space="0" w:color="auto"/>
              <w:right w:val="single" w:sz="4" w:space="0" w:color="auto"/>
            </w:tcBorders>
            <w:shd w:val="clear" w:color="auto" w:fill="FFFFFF"/>
            <w:vAlign w:val="center"/>
          </w:tcPr>
          <w:p w14:paraId="5FE3797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4CE3F087" w14:textId="3D67349C" w:rsidR="001679A8"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C0B99EC" w14:textId="49CBFD5D" w:rsidR="002210A7" w:rsidRPr="00D11D21" w:rsidRDefault="001679A8" w:rsidP="00D11D21">
      <w:pPr>
        <w:pStyle w:val="Lgende"/>
        <w:keepNext/>
        <w:spacing w:line="360" w:lineRule="auto"/>
        <w:jc w:val="both"/>
        <w:rPr>
          <w:rFonts w:asciiTheme="majorBidi" w:hAnsiTheme="majorBidi" w:cstheme="majorBidi"/>
          <w:sz w:val="24"/>
          <w:szCs w:val="24"/>
        </w:rPr>
      </w:pPr>
      <w:bookmarkStart w:id="237" w:name="_Toc200210101"/>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34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avantages perçus d’un financement mixte</w:t>
      </w:r>
      <w:bookmarkEnd w:id="237"/>
    </w:p>
    <w:p w14:paraId="4915E351" w14:textId="7E4AD6D1"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3D9A362B" wp14:editId="227796E7">
            <wp:extent cx="3819525" cy="2098507"/>
            <wp:effectExtent l="0" t="0" r="0" b="0"/>
            <wp:docPr id="203" name="Imag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47">
                      <a:extLst>
                        <a:ext uri="{28A0092B-C50C-407E-A947-70E740481C1C}">
                          <a14:useLocalDpi xmlns:a14="http://schemas.microsoft.com/office/drawing/2010/main" val="0"/>
                        </a:ext>
                      </a:extLst>
                    </a:blip>
                    <a:srcRect t="6679"/>
                    <a:stretch/>
                  </pic:blipFill>
                  <pic:spPr bwMode="auto">
                    <a:xfrm>
                      <a:off x="0" y="0"/>
                      <a:ext cx="3840685" cy="2110133"/>
                    </a:xfrm>
                    <a:prstGeom prst="rect">
                      <a:avLst/>
                    </a:prstGeom>
                    <a:noFill/>
                    <a:ln>
                      <a:noFill/>
                    </a:ln>
                    <a:extLst>
                      <a:ext uri="{53640926-AAD7-44D8-BBD7-CCE9431645EC}">
                        <a14:shadowObscured xmlns:a14="http://schemas.microsoft.com/office/drawing/2010/main"/>
                      </a:ext>
                    </a:extLst>
                  </pic:spPr>
                </pic:pic>
              </a:graphicData>
            </a:graphic>
          </wp:inline>
        </w:drawing>
      </w:r>
    </w:p>
    <w:p w14:paraId="105F87CD" w14:textId="769F61A2" w:rsidR="002210A7" w:rsidRPr="00D11D21" w:rsidRDefault="002210A7" w:rsidP="005C3BEE">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3BE97D78"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077F2EB4"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principaux avantages perçus d'un financement mixte dans votre structure sont :</w:t>
      </w:r>
    </w:p>
    <w:p w14:paraId="352F5528" w14:textId="77777777" w:rsidR="002210A7" w:rsidRPr="00D11D21" w:rsidRDefault="002210A7" w:rsidP="00D11D21">
      <w:pPr>
        <w:numPr>
          <w:ilvl w:val="0"/>
          <w:numId w:val="60"/>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Amélioration de la qualité des soins (28,6%).</w:t>
      </w:r>
    </w:p>
    <w:p w14:paraId="73E2A7FC" w14:textId="77777777" w:rsidR="002210A7" w:rsidRPr="00D11D21" w:rsidRDefault="002210A7" w:rsidP="00D11D21">
      <w:pPr>
        <w:numPr>
          <w:ilvl w:val="0"/>
          <w:numId w:val="60"/>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Meilleure maîtrise des dépenses (16,7%).</w:t>
      </w:r>
    </w:p>
    <w:p w14:paraId="59536130" w14:textId="77777777" w:rsidR="002210A7" w:rsidRPr="00D11D21" w:rsidRDefault="002210A7" w:rsidP="00D11D21">
      <w:pPr>
        <w:numPr>
          <w:ilvl w:val="0"/>
          <w:numId w:val="60"/>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Meilleure transparence budgétaire (21,4%).</w:t>
      </w:r>
    </w:p>
    <w:p w14:paraId="6EC444FA" w14:textId="77777777" w:rsidR="002210A7" w:rsidRPr="00D11D21" w:rsidRDefault="002210A7" w:rsidP="00D11D21">
      <w:pPr>
        <w:numPr>
          <w:ilvl w:val="0"/>
          <w:numId w:val="60"/>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Motivation accrue du personnel (23,8%).</w:t>
      </w:r>
    </w:p>
    <w:p w14:paraId="7A972327" w14:textId="77777777" w:rsidR="002210A7" w:rsidRPr="00D11D21" w:rsidRDefault="002210A7" w:rsidP="00D11D21">
      <w:pPr>
        <w:numPr>
          <w:ilvl w:val="0"/>
          <w:numId w:val="60"/>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Répartition plus équitable des ressources (9,5%).</w:t>
      </w:r>
    </w:p>
    <w:p w14:paraId="14F29115" w14:textId="4AA55690" w:rsidR="002210A7" w:rsidRPr="00D11D21"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Cela suggère que l'introduction d'un financement mixte pourrait améliorer la qualité des soins tout en optimisant les dépenses et en renforçant la transparence et la motivation au sein</w:t>
      </w:r>
      <w:r w:rsidR="00772AE8">
        <w:rPr>
          <w:rFonts w:asciiTheme="majorBidi" w:hAnsiTheme="majorBidi" w:cstheme="majorBidi"/>
          <w:szCs w:val="24"/>
        </w:rPr>
        <w:t xml:space="preserve"> du personnel.</w:t>
      </w:r>
    </w:p>
    <w:p w14:paraId="38B48D26" w14:textId="32A1A752" w:rsidR="002210A7" w:rsidRPr="00D11D21" w:rsidRDefault="002210A7" w:rsidP="00D11D21">
      <w:pPr>
        <w:shd w:val="clear" w:color="auto" w:fill="FFFFFF" w:themeFill="background1"/>
        <w:ind w:left="360"/>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19 :</w:t>
      </w:r>
      <w:r w:rsidRPr="00D11D21">
        <w:rPr>
          <w:rFonts w:asciiTheme="majorBidi" w:hAnsiTheme="majorBidi" w:cstheme="majorBidi"/>
          <w:b/>
          <w:bCs/>
          <w:color w:val="000000" w:themeColor="text1"/>
          <w:szCs w:val="24"/>
        </w:rPr>
        <w:t xml:space="preserve"> Quels seraient les facteurs facilitateurs ?</w:t>
      </w:r>
    </w:p>
    <w:p w14:paraId="0197BF54" w14:textId="6F8502C8" w:rsidR="002210A7" w:rsidRPr="00D11D21" w:rsidRDefault="00CB7C68" w:rsidP="00D11D21">
      <w:pPr>
        <w:pStyle w:val="Lgende"/>
        <w:keepNext/>
        <w:spacing w:line="360" w:lineRule="auto"/>
        <w:jc w:val="both"/>
        <w:rPr>
          <w:rFonts w:asciiTheme="majorBidi" w:hAnsiTheme="majorBidi" w:cstheme="majorBidi"/>
          <w:color w:val="auto"/>
          <w:sz w:val="24"/>
          <w:szCs w:val="24"/>
        </w:rPr>
      </w:pPr>
      <w:bookmarkStart w:id="238" w:name="_Toc200210147"/>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008A7BDF" w:rsidRPr="00D11D21">
        <w:rPr>
          <w:rFonts w:asciiTheme="majorBidi" w:hAnsiTheme="majorBidi" w:cstheme="majorBidi"/>
          <w:noProof/>
          <w:color w:val="auto"/>
          <w:sz w:val="24"/>
          <w:szCs w:val="24"/>
        </w:rPr>
        <w:t>39</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Fréquence des facteurs facilitateurs identifiés</w:t>
      </w:r>
      <w:bookmarkEnd w:id="238"/>
    </w:p>
    <w:tbl>
      <w:tblPr>
        <w:tblW w:w="107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5"/>
        <w:gridCol w:w="3189"/>
        <w:gridCol w:w="1514"/>
        <w:gridCol w:w="1333"/>
        <w:gridCol w:w="1813"/>
        <w:gridCol w:w="1913"/>
      </w:tblGrid>
      <w:tr w:rsidR="002210A7" w:rsidRPr="00D11D21" w14:paraId="7B8BC432" w14:textId="77777777" w:rsidTr="00282FFC">
        <w:trPr>
          <w:cantSplit/>
          <w:trHeight w:val="244"/>
          <w:jc w:val="center"/>
        </w:trPr>
        <w:tc>
          <w:tcPr>
            <w:tcW w:w="4144" w:type="dxa"/>
            <w:gridSpan w:val="2"/>
            <w:tcBorders>
              <w:top w:val="single" w:sz="4" w:space="0" w:color="auto"/>
              <w:left w:val="single" w:sz="4" w:space="0" w:color="auto"/>
              <w:bottom w:val="single" w:sz="8" w:space="0" w:color="152935"/>
              <w:right w:val="nil"/>
            </w:tcBorders>
            <w:shd w:val="clear" w:color="auto" w:fill="FFFFFF"/>
            <w:vAlign w:val="bottom"/>
          </w:tcPr>
          <w:p w14:paraId="3593A8C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514" w:type="dxa"/>
            <w:tcBorders>
              <w:top w:val="single" w:sz="4" w:space="0" w:color="auto"/>
              <w:left w:val="nil"/>
              <w:bottom w:val="single" w:sz="8" w:space="0" w:color="152935"/>
              <w:right w:val="single" w:sz="8" w:space="0" w:color="E0E0E0"/>
            </w:tcBorders>
            <w:shd w:val="clear" w:color="auto" w:fill="FFFFFF"/>
            <w:vAlign w:val="bottom"/>
          </w:tcPr>
          <w:p w14:paraId="7CBF65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33"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599C7E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813" w:type="dxa"/>
            <w:tcBorders>
              <w:top w:val="single" w:sz="4" w:space="0" w:color="auto"/>
              <w:left w:val="single" w:sz="8" w:space="0" w:color="E0E0E0"/>
              <w:bottom w:val="single" w:sz="8" w:space="0" w:color="152935"/>
              <w:right w:val="single" w:sz="8" w:space="0" w:color="E0E0E0"/>
            </w:tcBorders>
            <w:shd w:val="clear" w:color="auto" w:fill="FFFFFF"/>
            <w:vAlign w:val="bottom"/>
          </w:tcPr>
          <w:p w14:paraId="07964D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913" w:type="dxa"/>
            <w:tcBorders>
              <w:top w:val="single" w:sz="4" w:space="0" w:color="auto"/>
              <w:left w:val="single" w:sz="8" w:space="0" w:color="E0E0E0"/>
              <w:bottom w:val="single" w:sz="8" w:space="0" w:color="152935"/>
              <w:right w:val="single" w:sz="4" w:space="0" w:color="auto"/>
            </w:tcBorders>
            <w:shd w:val="clear" w:color="auto" w:fill="FFFFFF"/>
            <w:vAlign w:val="bottom"/>
          </w:tcPr>
          <w:p w14:paraId="2C2AA8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63A5CFC0" w14:textId="77777777" w:rsidTr="00282FFC">
        <w:trPr>
          <w:cantSplit/>
          <w:trHeight w:val="244"/>
          <w:jc w:val="center"/>
        </w:trPr>
        <w:tc>
          <w:tcPr>
            <w:tcW w:w="955" w:type="dxa"/>
            <w:vMerge w:val="restart"/>
            <w:tcBorders>
              <w:top w:val="single" w:sz="8" w:space="0" w:color="152935"/>
              <w:left w:val="single" w:sz="4" w:space="0" w:color="auto"/>
              <w:bottom w:val="single" w:sz="8" w:space="0" w:color="152935"/>
              <w:right w:val="nil"/>
            </w:tcBorders>
            <w:shd w:val="clear" w:color="auto" w:fill="E0E0E0"/>
          </w:tcPr>
          <w:p w14:paraId="3BF29C4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188" w:type="dxa"/>
            <w:tcBorders>
              <w:top w:val="single" w:sz="8" w:space="0" w:color="152935"/>
              <w:left w:val="nil"/>
              <w:bottom w:val="single" w:sz="8" w:space="0" w:color="AEAEAE"/>
              <w:right w:val="nil"/>
            </w:tcBorders>
            <w:shd w:val="clear" w:color="auto" w:fill="E0E0E0"/>
          </w:tcPr>
          <w:p w14:paraId="656197F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Coopération entre hôpitaux et caisses</w:t>
            </w:r>
          </w:p>
        </w:tc>
        <w:tc>
          <w:tcPr>
            <w:tcW w:w="1514" w:type="dxa"/>
            <w:tcBorders>
              <w:top w:val="single" w:sz="8" w:space="0" w:color="152935"/>
              <w:left w:val="nil"/>
              <w:bottom w:val="single" w:sz="8" w:space="0" w:color="AEAEAE"/>
              <w:right w:val="single" w:sz="8" w:space="0" w:color="E0E0E0"/>
            </w:tcBorders>
            <w:shd w:val="clear" w:color="auto" w:fill="FFFFFF"/>
          </w:tcPr>
          <w:p w14:paraId="6C0FF8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333" w:type="dxa"/>
            <w:tcBorders>
              <w:top w:val="single" w:sz="8" w:space="0" w:color="152935"/>
              <w:left w:val="single" w:sz="8" w:space="0" w:color="E0E0E0"/>
              <w:bottom w:val="single" w:sz="8" w:space="0" w:color="AEAEAE"/>
              <w:right w:val="single" w:sz="8" w:space="0" w:color="E0E0E0"/>
            </w:tcBorders>
            <w:shd w:val="clear" w:color="auto" w:fill="FFFFFF"/>
          </w:tcPr>
          <w:p w14:paraId="3BCDBB9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813" w:type="dxa"/>
            <w:tcBorders>
              <w:top w:val="single" w:sz="8" w:space="0" w:color="152935"/>
              <w:left w:val="single" w:sz="8" w:space="0" w:color="E0E0E0"/>
              <w:bottom w:val="single" w:sz="8" w:space="0" w:color="AEAEAE"/>
              <w:right w:val="single" w:sz="8" w:space="0" w:color="E0E0E0"/>
            </w:tcBorders>
            <w:shd w:val="clear" w:color="auto" w:fill="FFFFFF"/>
          </w:tcPr>
          <w:p w14:paraId="5EA391A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913" w:type="dxa"/>
            <w:tcBorders>
              <w:top w:val="single" w:sz="8" w:space="0" w:color="152935"/>
              <w:left w:val="single" w:sz="8" w:space="0" w:color="E0E0E0"/>
              <w:bottom w:val="single" w:sz="8" w:space="0" w:color="AEAEAE"/>
              <w:right w:val="single" w:sz="4" w:space="0" w:color="auto"/>
            </w:tcBorders>
            <w:shd w:val="clear" w:color="auto" w:fill="FFFFFF"/>
          </w:tcPr>
          <w:p w14:paraId="4417E48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r>
      <w:tr w:rsidR="002210A7" w:rsidRPr="00D11D21" w14:paraId="146175D5" w14:textId="77777777" w:rsidTr="00282FFC">
        <w:trPr>
          <w:cantSplit/>
          <w:trHeight w:val="42"/>
          <w:jc w:val="center"/>
        </w:trPr>
        <w:tc>
          <w:tcPr>
            <w:tcW w:w="955" w:type="dxa"/>
            <w:vMerge/>
            <w:tcBorders>
              <w:top w:val="single" w:sz="8" w:space="0" w:color="152935"/>
              <w:left w:val="single" w:sz="4" w:space="0" w:color="auto"/>
              <w:bottom w:val="single" w:sz="8" w:space="0" w:color="152935"/>
              <w:right w:val="nil"/>
            </w:tcBorders>
            <w:shd w:val="clear" w:color="auto" w:fill="E0E0E0"/>
          </w:tcPr>
          <w:p w14:paraId="6B1FDD00"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88" w:type="dxa"/>
            <w:tcBorders>
              <w:top w:val="single" w:sz="8" w:space="0" w:color="AEAEAE"/>
              <w:left w:val="nil"/>
              <w:bottom w:val="single" w:sz="8" w:space="0" w:color="AEAEAE"/>
              <w:right w:val="nil"/>
            </w:tcBorders>
            <w:shd w:val="clear" w:color="auto" w:fill="E0E0E0"/>
          </w:tcPr>
          <w:p w14:paraId="406E4A8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Existence d’un SI performant</w:t>
            </w:r>
          </w:p>
        </w:tc>
        <w:tc>
          <w:tcPr>
            <w:tcW w:w="1514" w:type="dxa"/>
            <w:tcBorders>
              <w:top w:val="single" w:sz="8" w:space="0" w:color="AEAEAE"/>
              <w:left w:val="nil"/>
              <w:bottom w:val="single" w:sz="8" w:space="0" w:color="AEAEAE"/>
              <w:right w:val="single" w:sz="8" w:space="0" w:color="E0E0E0"/>
            </w:tcBorders>
            <w:shd w:val="clear" w:color="auto" w:fill="FFFFFF"/>
          </w:tcPr>
          <w:p w14:paraId="622EDF4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w:t>
            </w:r>
          </w:p>
        </w:tc>
        <w:tc>
          <w:tcPr>
            <w:tcW w:w="1333" w:type="dxa"/>
            <w:tcBorders>
              <w:top w:val="single" w:sz="8" w:space="0" w:color="AEAEAE"/>
              <w:left w:val="single" w:sz="8" w:space="0" w:color="E0E0E0"/>
              <w:bottom w:val="single" w:sz="8" w:space="0" w:color="AEAEAE"/>
              <w:right w:val="single" w:sz="8" w:space="0" w:color="E0E0E0"/>
            </w:tcBorders>
            <w:shd w:val="clear" w:color="auto" w:fill="FFFFFF"/>
          </w:tcPr>
          <w:p w14:paraId="3B39BC9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7,1</w:t>
            </w:r>
          </w:p>
        </w:tc>
        <w:tc>
          <w:tcPr>
            <w:tcW w:w="1813" w:type="dxa"/>
            <w:tcBorders>
              <w:top w:val="single" w:sz="8" w:space="0" w:color="AEAEAE"/>
              <w:left w:val="single" w:sz="8" w:space="0" w:color="E0E0E0"/>
              <w:bottom w:val="single" w:sz="8" w:space="0" w:color="AEAEAE"/>
              <w:right w:val="single" w:sz="8" w:space="0" w:color="E0E0E0"/>
            </w:tcBorders>
            <w:shd w:val="clear" w:color="auto" w:fill="FFFFFF"/>
          </w:tcPr>
          <w:p w14:paraId="3105572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7,1</w:t>
            </w:r>
          </w:p>
        </w:tc>
        <w:tc>
          <w:tcPr>
            <w:tcW w:w="1913" w:type="dxa"/>
            <w:tcBorders>
              <w:top w:val="single" w:sz="8" w:space="0" w:color="AEAEAE"/>
              <w:left w:val="single" w:sz="8" w:space="0" w:color="E0E0E0"/>
              <w:bottom w:val="single" w:sz="8" w:space="0" w:color="AEAEAE"/>
              <w:right w:val="single" w:sz="4" w:space="0" w:color="auto"/>
            </w:tcBorders>
            <w:shd w:val="clear" w:color="auto" w:fill="FFFFFF"/>
          </w:tcPr>
          <w:p w14:paraId="34ED72F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r>
      <w:tr w:rsidR="002210A7" w:rsidRPr="00D11D21" w14:paraId="3A8FD58D" w14:textId="77777777" w:rsidTr="00282FFC">
        <w:trPr>
          <w:cantSplit/>
          <w:trHeight w:val="42"/>
          <w:jc w:val="center"/>
        </w:trPr>
        <w:tc>
          <w:tcPr>
            <w:tcW w:w="955" w:type="dxa"/>
            <w:vMerge/>
            <w:tcBorders>
              <w:top w:val="single" w:sz="8" w:space="0" w:color="152935"/>
              <w:left w:val="single" w:sz="4" w:space="0" w:color="auto"/>
              <w:bottom w:val="single" w:sz="8" w:space="0" w:color="152935"/>
              <w:right w:val="nil"/>
            </w:tcBorders>
            <w:shd w:val="clear" w:color="auto" w:fill="E0E0E0"/>
          </w:tcPr>
          <w:p w14:paraId="79F2340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88" w:type="dxa"/>
            <w:tcBorders>
              <w:top w:val="single" w:sz="8" w:space="0" w:color="AEAEAE"/>
              <w:left w:val="nil"/>
              <w:bottom w:val="single" w:sz="8" w:space="0" w:color="AEAEAE"/>
              <w:right w:val="nil"/>
            </w:tcBorders>
            <w:shd w:val="clear" w:color="auto" w:fill="E0E0E0"/>
          </w:tcPr>
          <w:p w14:paraId="5BC2237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Formation et sensibilisation du personnel</w:t>
            </w:r>
          </w:p>
        </w:tc>
        <w:tc>
          <w:tcPr>
            <w:tcW w:w="1514" w:type="dxa"/>
            <w:tcBorders>
              <w:top w:val="single" w:sz="8" w:space="0" w:color="AEAEAE"/>
              <w:left w:val="nil"/>
              <w:bottom w:val="single" w:sz="8" w:space="0" w:color="AEAEAE"/>
              <w:right w:val="single" w:sz="8" w:space="0" w:color="E0E0E0"/>
            </w:tcBorders>
            <w:shd w:val="clear" w:color="auto" w:fill="FFFFFF"/>
          </w:tcPr>
          <w:p w14:paraId="41D6837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333" w:type="dxa"/>
            <w:tcBorders>
              <w:top w:val="single" w:sz="8" w:space="0" w:color="AEAEAE"/>
              <w:left w:val="single" w:sz="8" w:space="0" w:color="E0E0E0"/>
              <w:bottom w:val="single" w:sz="8" w:space="0" w:color="AEAEAE"/>
              <w:right w:val="single" w:sz="8" w:space="0" w:color="E0E0E0"/>
            </w:tcBorders>
            <w:shd w:val="clear" w:color="auto" w:fill="FFFFFF"/>
          </w:tcPr>
          <w:p w14:paraId="5D7F194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813" w:type="dxa"/>
            <w:tcBorders>
              <w:top w:val="single" w:sz="8" w:space="0" w:color="AEAEAE"/>
              <w:left w:val="single" w:sz="8" w:space="0" w:color="E0E0E0"/>
              <w:bottom w:val="single" w:sz="8" w:space="0" w:color="AEAEAE"/>
              <w:right w:val="single" w:sz="8" w:space="0" w:color="E0E0E0"/>
            </w:tcBorders>
            <w:shd w:val="clear" w:color="auto" w:fill="FFFFFF"/>
          </w:tcPr>
          <w:p w14:paraId="6FFA25A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913" w:type="dxa"/>
            <w:tcBorders>
              <w:top w:val="single" w:sz="8" w:space="0" w:color="AEAEAE"/>
              <w:left w:val="single" w:sz="8" w:space="0" w:color="E0E0E0"/>
              <w:bottom w:val="single" w:sz="8" w:space="0" w:color="AEAEAE"/>
              <w:right w:val="single" w:sz="4" w:space="0" w:color="auto"/>
            </w:tcBorders>
            <w:shd w:val="clear" w:color="auto" w:fill="FFFFFF"/>
          </w:tcPr>
          <w:p w14:paraId="6A82E4C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r>
      <w:tr w:rsidR="002210A7" w:rsidRPr="00D11D21" w14:paraId="2357844C" w14:textId="77777777" w:rsidTr="00282FFC">
        <w:trPr>
          <w:cantSplit/>
          <w:trHeight w:val="42"/>
          <w:jc w:val="center"/>
        </w:trPr>
        <w:tc>
          <w:tcPr>
            <w:tcW w:w="955" w:type="dxa"/>
            <w:vMerge/>
            <w:tcBorders>
              <w:top w:val="single" w:sz="8" w:space="0" w:color="152935"/>
              <w:left w:val="single" w:sz="4" w:space="0" w:color="auto"/>
              <w:bottom w:val="single" w:sz="8" w:space="0" w:color="152935"/>
              <w:right w:val="nil"/>
            </w:tcBorders>
            <w:shd w:val="clear" w:color="auto" w:fill="E0E0E0"/>
          </w:tcPr>
          <w:p w14:paraId="3B00569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88" w:type="dxa"/>
            <w:tcBorders>
              <w:top w:val="single" w:sz="8" w:space="0" w:color="AEAEAE"/>
              <w:left w:val="nil"/>
              <w:bottom w:val="single" w:sz="8" w:space="0" w:color="AEAEAE"/>
              <w:right w:val="nil"/>
            </w:tcBorders>
            <w:shd w:val="clear" w:color="auto" w:fill="E0E0E0"/>
          </w:tcPr>
          <w:p w14:paraId="1706CCE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Soutien des autorités</w:t>
            </w:r>
          </w:p>
        </w:tc>
        <w:tc>
          <w:tcPr>
            <w:tcW w:w="1514" w:type="dxa"/>
            <w:tcBorders>
              <w:top w:val="single" w:sz="8" w:space="0" w:color="AEAEAE"/>
              <w:left w:val="nil"/>
              <w:bottom w:val="single" w:sz="8" w:space="0" w:color="AEAEAE"/>
              <w:right w:val="single" w:sz="8" w:space="0" w:color="E0E0E0"/>
            </w:tcBorders>
            <w:shd w:val="clear" w:color="auto" w:fill="FFFFFF"/>
          </w:tcPr>
          <w:p w14:paraId="7AF0736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w:t>
            </w:r>
          </w:p>
        </w:tc>
        <w:tc>
          <w:tcPr>
            <w:tcW w:w="1333" w:type="dxa"/>
            <w:tcBorders>
              <w:top w:val="single" w:sz="8" w:space="0" w:color="AEAEAE"/>
              <w:left w:val="single" w:sz="8" w:space="0" w:color="E0E0E0"/>
              <w:bottom w:val="single" w:sz="8" w:space="0" w:color="AEAEAE"/>
              <w:right w:val="single" w:sz="8" w:space="0" w:color="E0E0E0"/>
            </w:tcBorders>
            <w:shd w:val="clear" w:color="auto" w:fill="FFFFFF"/>
          </w:tcPr>
          <w:p w14:paraId="7588A91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73,8</w:t>
            </w:r>
          </w:p>
        </w:tc>
        <w:tc>
          <w:tcPr>
            <w:tcW w:w="1813" w:type="dxa"/>
            <w:tcBorders>
              <w:top w:val="single" w:sz="8" w:space="0" w:color="AEAEAE"/>
              <w:left w:val="single" w:sz="8" w:space="0" w:color="E0E0E0"/>
              <w:bottom w:val="single" w:sz="8" w:space="0" w:color="AEAEAE"/>
              <w:right w:val="single" w:sz="8" w:space="0" w:color="E0E0E0"/>
            </w:tcBorders>
            <w:shd w:val="clear" w:color="auto" w:fill="FFFFFF"/>
          </w:tcPr>
          <w:p w14:paraId="16CC7D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73,8</w:t>
            </w:r>
          </w:p>
        </w:tc>
        <w:tc>
          <w:tcPr>
            <w:tcW w:w="1913" w:type="dxa"/>
            <w:tcBorders>
              <w:top w:val="single" w:sz="8" w:space="0" w:color="AEAEAE"/>
              <w:left w:val="single" w:sz="8" w:space="0" w:color="E0E0E0"/>
              <w:bottom w:val="single" w:sz="8" w:space="0" w:color="AEAEAE"/>
              <w:right w:val="single" w:sz="4" w:space="0" w:color="auto"/>
            </w:tcBorders>
            <w:shd w:val="clear" w:color="auto" w:fill="FFFFFF"/>
          </w:tcPr>
          <w:p w14:paraId="3E06BB9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2B7692B6" w14:textId="77777777" w:rsidTr="00282FFC">
        <w:trPr>
          <w:cantSplit/>
          <w:trHeight w:val="42"/>
          <w:jc w:val="center"/>
        </w:trPr>
        <w:tc>
          <w:tcPr>
            <w:tcW w:w="955" w:type="dxa"/>
            <w:vMerge/>
            <w:tcBorders>
              <w:top w:val="single" w:sz="8" w:space="0" w:color="152935"/>
              <w:left w:val="single" w:sz="4" w:space="0" w:color="auto"/>
              <w:bottom w:val="single" w:sz="4" w:space="0" w:color="auto"/>
              <w:right w:val="nil"/>
            </w:tcBorders>
            <w:shd w:val="clear" w:color="auto" w:fill="E0E0E0"/>
          </w:tcPr>
          <w:p w14:paraId="6F7B156C"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188" w:type="dxa"/>
            <w:tcBorders>
              <w:top w:val="single" w:sz="8" w:space="0" w:color="AEAEAE"/>
              <w:left w:val="nil"/>
              <w:bottom w:val="single" w:sz="4" w:space="0" w:color="auto"/>
              <w:right w:val="nil"/>
            </w:tcBorders>
            <w:shd w:val="clear" w:color="auto" w:fill="E0E0E0"/>
          </w:tcPr>
          <w:p w14:paraId="5FF1CAD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514" w:type="dxa"/>
            <w:tcBorders>
              <w:top w:val="single" w:sz="8" w:space="0" w:color="AEAEAE"/>
              <w:left w:val="nil"/>
              <w:bottom w:val="single" w:sz="4" w:space="0" w:color="auto"/>
              <w:right w:val="single" w:sz="8" w:space="0" w:color="E0E0E0"/>
            </w:tcBorders>
            <w:shd w:val="clear" w:color="auto" w:fill="FFFFFF"/>
          </w:tcPr>
          <w:p w14:paraId="59FE940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333" w:type="dxa"/>
            <w:tcBorders>
              <w:top w:val="single" w:sz="8" w:space="0" w:color="AEAEAE"/>
              <w:left w:val="single" w:sz="8" w:space="0" w:color="E0E0E0"/>
              <w:bottom w:val="single" w:sz="4" w:space="0" w:color="auto"/>
              <w:right w:val="single" w:sz="8" w:space="0" w:color="E0E0E0"/>
            </w:tcBorders>
            <w:shd w:val="clear" w:color="auto" w:fill="FFFFFF"/>
          </w:tcPr>
          <w:p w14:paraId="1682DF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13" w:type="dxa"/>
            <w:tcBorders>
              <w:top w:val="single" w:sz="8" w:space="0" w:color="AEAEAE"/>
              <w:left w:val="single" w:sz="8" w:space="0" w:color="E0E0E0"/>
              <w:bottom w:val="single" w:sz="4" w:space="0" w:color="auto"/>
              <w:right w:val="single" w:sz="8" w:space="0" w:color="E0E0E0"/>
            </w:tcBorders>
            <w:shd w:val="clear" w:color="auto" w:fill="FFFFFF"/>
          </w:tcPr>
          <w:p w14:paraId="35B24E9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13" w:type="dxa"/>
            <w:tcBorders>
              <w:top w:val="single" w:sz="8" w:space="0" w:color="AEAEAE"/>
              <w:left w:val="single" w:sz="8" w:space="0" w:color="E0E0E0"/>
              <w:bottom w:val="single" w:sz="4" w:space="0" w:color="auto"/>
              <w:right w:val="single" w:sz="4" w:space="0" w:color="auto"/>
            </w:tcBorders>
            <w:shd w:val="clear" w:color="auto" w:fill="FFFFFF"/>
            <w:vAlign w:val="center"/>
          </w:tcPr>
          <w:p w14:paraId="147D7177"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7EE71798"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3DA51F66" w14:textId="22DA96B3" w:rsidR="001679A8" w:rsidRPr="00D11D21" w:rsidRDefault="001679A8" w:rsidP="00D11D21">
      <w:pPr>
        <w:pStyle w:val="Lgende"/>
        <w:keepNext/>
        <w:spacing w:line="360" w:lineRule="auto"/>
        <w:jc w:val="both"/>
        <w:rPr>
          <w:rFonts w:asciiTheme="majorBidi" w:hAnsiTheme="majorBidi" w:cstheme="majorBidi"/>
          <w:color w:val="auto"/>
          <w:sz w:val="24"/>
          <w:szCs w:val="24"/>
        </w:rPr>
      </w:pPr>
      <w:bookmarkStart w:id="239" w:name="_Toc200210102"/>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35</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facteurs facilitateurs identifiés</w:t>
      </w:r>
      <w:bookmarkEnd w:id="239"/>
    </w:p>
    <w:p w14:paraId="04678636"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4F1E5215" wp14:editId="713A6753">
            <wp:extent cx="3905250" cy="2149754"/>
            <wp:effectExtent l="0" t="0" r="0" b="3175"/>
            <wp:docPr id="204" name="Imag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48">
                      <a:extLst>
                        <a:ext uri="{28A0092B-C50C-407E-A947-70E740481C1C}">
                          <a14:useLocalDpi xmlns:a14="http://schemas.microsoft.com/office/drawing/2010/main" val="0"/>
                        </a:ext>
                      </a:extLst>
                    </a:blip>
                    <a:srcRect t="6498"/>
                    <a:stretch/>
                  </pic:blipFill>
                  <pic:spPr bwMode="auto">
                    <a:xfrm>
                      <a:off x="0" y="0"/>
                      <a:ext cx="3923973" cy="2160060"/>
                    </a:xfrm>
                    <a:prstGeom prst="rect">
                      <a:avLst/>
                    </a:prstGeom>
                    <a:noFill/>
                    <a:ln>
                      <a:noFill/>
                    </a:ln>
                    <a:extLst>
                      <a:ext uri="{53640926-AAD7-44D8-BBD7-CCE9431645EC}">
                        <a14:shadowObscured xmlns:a14="http://schemas.microsoft.com/office/drawing/2010/main"/>
                      </a:ext>
                    </a:extLst>
                  </pic:spPr>
                </pic:pic>
              </a:graphicData>
            </a:graphic>
          </wp:inline>
        </w:drawing>
      </w:r>
    </w:p>
    <w:p w14:paraId="1294793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64FC1F21"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37432C80"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principaux facteurs facilitateurs perçus pour la mise en place d'un financement mixte dans votre structure sont :</w:t>
      </w:r>
    </w:p>
    <w:p w14:paraId="270EF97A" w14:textId="77777777" w:rsidR="002210A7" w:rsidRPr="00D11D21" w:rsidRDefault="002210A7" w:rsidP="00D11D21">
      <w:pPr>
        <w:numPr>
          <w:ilvl w:val="0"/>
          <w:numId w:val="61"/>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Soutien des autorités (73,8%).</w:t>
      </w:r>
    </w:p>
    <w:p w14:paraId="04858209" w14:textId="77777777" w:rsidR="002210A7" w:rsidRPr="00D11D21" w:rsidRDefault="002210A7" w:rsidP="00D11D21">
      <w:pPr>
        <w:numPr>
          <w:ilvl w:val="0"/>
          <w:numId w:val="61"/>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Coopération entre hôpitaux et caisses (14,3%).</w:t>
      </w:r>
    </w:p>
    <w:p w14:paraId="10DA360A" w14:textId="77777777" w:rsidR="002210A7" w:rsidRPr="00D11D21" w:rsidRDefault="002210A7" w:rsidP="00D11D21">
      <w:pPr>
        <w:numPr>
          <w:ilvl w:val="0"/>
          <w:numId w:val="61"/>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Existence d’un SI performant (7,1%).</w:t>
      </w:r>
    </w:p>
    <w:p w14:paraId="1E57DBE7" w14:textId="77777777" w:rsidR="002210A7" w:rsidRPr="00D11D21" w:rsidRDefault="002210A7" w:rsidP="00D11D21">
      <w:pPr>
        <w:numPr>
          <w:ilvl w:val="0"/>
          <w:numId w:val="61"/>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Formation et sensibilisation du personnel (4,8%).</w:t>
      </w:r>
    </w:p>
    <w:p w14:paraId="15A8F81E" w14:textId="308A07BB" w:rsidR="002210A7" w:rsidRPr="00772AE8"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Cela indique que le soutien des autorités est perçu comme le facteur clé pour réussir cette réforme, suivi par la coopération et les améliorations dans le système d'informatio</w:t>
      </w:r>
      <w:r w:rsidR="00772AE8">
        <w:rPr>
          <w:rFonts w:asciiTheme="majorBidi" w:hAnsiTheme="majorBidi" w:cstheme="majorBidi"/>
          <w:szCs w:val="24"/>
        </w:rPr>
        <w:t>n et la formation du personnel.</w:t>
      </w:r>
    </w:p>
    <w:p w14:paraId="0E434E59" w14:textId="0F3A5740"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20 :</w:t>
      </w:r>
      <w:r w:rsidRPr="00D11D21">
        <w:rPr>
          <w:rFonts w:asciiTheme="majorBidi" w:hAnsiTheme="majorBidi" w:cstheme="majorBidi"/>
          <w:b/>
          <w:bCs/>
          <w:color w:val="000000" w:themeColor="text1"/>
          <w:szCs w:val="24"/>
        </w:rPr>
        <w:t xml:space="preserve"> Quels sont, selon vous, les obstacles majeurs à la mise en place d’un système de financement mixte ?</w:t>
      </w:r>
    </w:p>
    <w:p w14:paraId="47216FB1" w14:textId="6E7EA60B" w:rsidR="002210A7" w:rsidRPr="00D11D21" w:rsidRDefault="008A7BDF" w:rsidP="00D11D21">
      <w:pPr>
        <w:pStyle w:val="Lgende"/>
        <w:keepNext/>
        <w:spacing w:line="360" w:lineRule="auto"/>
        <w:jc w:val="both"/>
        <w:rPr>
          <w:rFonts w:asciiTheme="majorBidi" w:hAnsiTheme="majorBidi" w:cstheme="majorBidi"/>
          <w:color w:val="auto"/>
          <w:sz w:val="24"/>
          <w:szCs w:val="24"/>
        </w:rPr>
      </w:pPr>
      <w:bookmarkStart w:id="240" w:name="_Toc200210148"/>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40</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obstacles à la mise en place d’un financement mixte</w:t>
      </w:r>
      <w:bookmarkEnd w:id="240"/>
    </w:p>
    <w:tbl>
      <w:tblPr>
        <w:tblW w:w="102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6"/>
        <w:gridCol w:w="3059"/>
        <w:gridCol w:w="1453"/>
        <w:gridCol w:w="1278"/>
        <w:gridCol w:w="1739"/>
        <w:gridCol w:w="1835"/>
      </w:tblGrid>
      <w:tr w:rsidR="002210A7" w:rsidRPr="00D11D21" w14:paraId="63A7B434" w14:textId="77777777" w:rsidTr="00282FFC">
        <w:trPr>
          <w:cantSplit/>
          <w:trHeight w:val="259"/>
          <w:jc w:val="center"/>
        </w:trPr>
        <w:tc>
          <w:tcPr>
            <w:tcW w:w="3975" w:type="dxa"/>
            <w:gridSpan w:val="2"/>
            <w:tcBorders>
              <w:top w:val="single" w:sz="4" w:space="0" w:color="auto"/>
              <w:left w:val="single" w:sz="4" w:space="0" w:color="auto"/>
              <w:bottom w:val="single" w:sz="8" w:space="0" w:color="152935"/>
              <w:right w:val="nil"/>
            </w:tcBorders>
            <w:shd w:val="clear" w:color="auto" w:fill="FFFFFF"/>
            <w:vAlign w:val="bottom"/>
          </w:tcPr>
          <w:p w14:paraId="68C6BE74" w14:textId="77777777" w:rsidR="002210A7" w:rsidRPr="00D11D21" w:rsidRDefault="002210A7" w:rsidP="00D11D21">
            <w:pPr>
              <w:jc w:val="both"/>
              <w:rPr>
                <w:rFonts w:asciiTheme="majorBidi" w:hAnsiTheme="majorBidi" w:cstheme="majorBidi"/>
                <w:szCs w:val="24"/>
              </w:rPr>
            </w:pPr>
          </w:p>
        </w:tc>
        <w:tc>
          <w:tcPr>
            <w:tcW w:w="1453" w:type="dxa"/>
            <w:tcBorders>
              <w:top w:val="single" w:sz="4" w:space="0" w:color="auto"/>
              <w:left w:val="nil"/>
              <w:bottom w:val="single" w:sz="8" w:space="0" w:color="152935"/>
              <w:right w:val="single" w:sz="8" w:space="0" w:color="E0E0E0"/>
            </w:tcBorders>
            <w:shd w:val="clear" w:color="auto" w:fill="FFFFFF"/>
            <w:vAlign w:val="bottom"/>
          </w:tcPr>
          <w:p w14:paraId="2B854A3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278"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37D3DA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739" w:type="dxa"/>
            <w:tcBorders>
              <w:top w:val="single" w:sz="4" w:space="0" w:color="auto"/>
              <w:left w:val="single" w:sz="8" w:space="0" w:color="E0E0E0"/>
              <w:bottom w:val="single" w:sz="8" w:space="0" w:color="152935"/>
              <w:right w:val="single" w:sz="8" w:space="0" w:color="E0E0E0"/>
            </w:tcBorders>
            <w:shd w:val="clear" w:color="auto" w:fill="FFFFFF"/>
            <w:vAlign w:val="bottom"/>
          </w:tcPr>
          <w:p w14:paraId="66B229E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835" w:type="dxa"/>
            <w:tcBorders>
              <w:top w:val="single" w:sz="4" w:space="0" w:color="auto"/>
              <w:left w:val="single" w:sz="8" w:space="0" w:color="E0E0E0"/>
              <w:bottom w:val="single" w:sz="8" w:space="0" w:color="152935"/>
              <w:right w:val="single" w:sz="4" w:space="0" w:color="auto"/>
            </w:tcBorders>
            <w:shd w:val="clear" w:color="auto" w:fill="FFFFFF"/>
            <w:vAlign w:val="bottom"/>
          </w:tcPr>
          <w:p w14:paraId="5BFF13C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1184286C" w14:textId="77777777" w:rsidTr="00282FFC">
        <w:trPr>
          <w:cantSplit/>
          <w:trHeight w:val="259"/>
          <w:jc w:val="center"/>
        </w:trPr>
        <w:tc>
          <w:tcPr>
            <w:tcW w:w="916" w:type="dxa"/>
            <w:vMerge w:val="restart"/>
            <w:tcBorders>
              <w:top w:val="single" w:sz="8" w:space="0" w:color="152935"/>
              <w:left w:val="single" w:sz="4" w:space="0" w:color="auto"/>
              <w:bottom w:val="single" w:sz="8" w:space="0" w:color="152935"/>
              <w:right w:val="nil"/>
            </w:tcBorders>
            <w:shd w:val="clear" w:color="auto" w:fill="E0E0E0"/>
          </w:tcPr>
          <w:p w14:paraId="33B91E1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058" w:type="dxa"/>
            <w:tcBorders>
              <w:top w:val="single" w:sz="8" w:space="0" w:color="152935"/>
              <w:left w:val="nil"/>
              <w:bottom w:val="single" w:sz="8" w:space="0" w:color="AEAEAE"/>
              <w:right w:val="nil"/>
            </w:tcBorders>
            <w:shd w:val="clear" w:color="auto" w:fill="E0E0E0"/>
          </w:tcPr>
          <w:p w14:paraId="5FC3FAB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Infrastructure numérique insuffisante</w:t>
            </w:r>
          </w:p>
        </w:tc>
        <w:tc>
          <w:tcPr>
            <w:tcW w:w="1453" w:type="dxa"/>
            <w:tcBorders>
              <w:top w:val="single" w:sz="8" w:space="0" w:color="152935"/>
              <w:left w:val="nil"/>
              <w:bottom w:val="single" w:sz="8" w:space="0" w:color="AEAEAE"/>
              <w:right w:val="single" w:sz="8" w:space="0" w:color="E0E0E0"/>
            </w:tcBorders>
            <w:shd w:val="clear" w:color="auto" w:fill="FFFFFF"/>
          </w:tcPr>
          <w:p w14:paraId="7C77598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278" w:type="dxa"/>
            <w:tcBorders>
              <w:top w:val="single" w:sz="8" w:space="0" w:color="152935"/>
              <w:left w:val="single" w:sz="8" w:space="0" w:color="E0E0E0"/>
              <w:bottom w:val="single" w:sz="8" w:space="0" w:color="AEAEAE"/>
              <w:right w:val="single" w:sz="8" w:space="0" w:color="E0E0E0"/>
            </w:tcBorders>
            <w:shd w:val="clear" w:color="auto" w:fill="FFFFFF"/>
          </w:tcPr>
          <w:p w14:paraId="09B2C90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739" w:type="dxa"/>
            <w:tcBorders>
              <w:top w:val="single" w:sz="8" w:space="0" w:color="152935"/>
              <w:left w:val="single" w:sz="8" w:space="0" w:color="E0E0E0"/>
              <w:bottom w:val="single" w:sz="8" w:space="0" w:color="AEAEAE"/>
              <w:right w:val="single" w:sz="8" w:space="0" w:color="E0E0E0"/>
            </w:tcBorders>
            <w:shd w:val="clear" w:color="auto" w:fill="FFFFFF"/>
          </w:tcPr>
          <w:p w14:paraId="2AD7709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c>
          <w:tcPr>
            <w:tcW w:w="1835" w:type="dxa"/>
            <w:tcBorders>
              <w:top w:val="single" w:sz="8" w:space="0" w:color="152935"/>
              <w:left w:val="single" w:sz="8" w:space="0" w:color="E0E0E0"/>
              <w:bottom w:val="single" w:sz="8" w:space="0" w:color="AEAEAE"/>
              <w:right w:val="single" w:sz="4" w:space="0" w:color="auto"/>
            </w:tcBorders>
            <w:shd w:val="clear" w:color="auto" w:fill="FFFFFF"/>
          </w:tcPr>
          <w:p w14:paraId="2607BA5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26,2</w:t>
            </w:r>
          </w:p>
        </w:tc>
      </w:tr>
      <w:tr w:rsidR="002210A7" w:rsidRPr="00D11D21" w14:paraId="3A1998CF" w14:textId="77777777" w:rsidTr="00282FFC">
        <w:trPr>
          <w:cantSplit/>
          <w:trHeight w:val="45"/>
          <w:jc w:val="center"/>
        </w:trPr>
        <w:tc>
          <w:tcPr>
            <w:tcW w:w="916" w:type="dxa"/>
            <w:vMerge/>
            <w:tcBorders>
              <w:top w:val="single" w:sz="8" w:space="0" w:color="152935"/>
              <w:left w:val="single" w:sz="4" w:space="0" w:color="auto"/>
              <w:bottom w:val="single" w:sz="8" w:space="0" w:color="152935"/>
              <w:right w:val="nil"/>
            </w:tcBorders>
            <w:shd w:val="clear" w:color="auto" w:fill="E0E0E0"/>
          </w:tcPr>
          <w:p w14:paraId="160F6D0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058" w:type="dxa"/>
            <w:tcBorders>
              <w:top w:val="single" w:sz="8" w:space="0" w:color="AEAEAE"/>
              <w:left w:val="nil"/>
              <w:bottom w:val="single" w:sz="8" w:space="0" w:color="AEAEAE"/>
              <w:right w:val="nil"/>
            </w:tcBorders>
            <w:shd w:val="clear" w:color="auto" w:fill="E0E0E0"/>
          </w:tcPr>
          <w:p w14:paraId="68D6B5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Manque de données fiables</w:t>
            </w:r>
          </w:p>
        </w:tc>
        <w:tc>
          <w:tcPr>
            <w:tcW w:w="1453" w:type="dxa"/>
            <w:tcBorders>
              <w:top w:val="single" w:sz="8" w:space="0" w:color="AEAEAE"/>
              <w:left w:val="nil"/>
              <w:bottom w:val="single" w:sz="8" w:space="0" w:color="AEAEAE"/>
              <w:right w:val="single" w:sz="8" w:space="0" w:color="E0E0E0"/>
            </w:tcBorders>
            <w:shd w:val="clear" w:color="auto" w:fill="FFFFFF"/>
          </w:tcPr>
          <w:p w14:paraId="1008866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14:paraId="3218377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c>
          <w:tcPr>
            <w:tcW w:w="1739" w:type="dxa"/>
            <w:tcBorders>
              <w:top w:val="single" w:sz="8" w:space="0" w:color="AEAEAE"/>
              <w:left w:val="single" w:sz="8" w:space="0" w:color="E0E0E0"/>
              <w:bottom w:val="single" w:sz="8" w:space="0" w:color="AEAEAE"/>
              <w:right w:val="single" w:sz="8" w:space="0" w:color="E0E0E0"/>
            </w:tcBorders>
            <w:shd w:val="clear" w:color="auto" w:fill="FFFFFF"/>
          </w:tcPr>
          <w:p w14:paraId="6613BBB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c>
          <w:tcPr>
            <w:tcW w:w="1835" w:type="dxa"/>
            <w:tcBorders>
              <w:top w:val="single" w:sz="8" w:space="0" w:color="AEAEAE"/>
              <w:left w:val="single" w:sz="8" w:space="0" w:color="E0E0E0"/>
              <w:bottom w:val="single" w:sz="8" w:space="0" w:color="AEAEAE"/>
              <w:right w:val="single" w:sz="4" w:space="0" w:color="auto"/>
            </w:tcBorders>
            <w:shd w:val="clear" w:color="auto" w:fill="FFFFFF"/>
          </w:tcPr>
          <w:p w14:paraId="1E15819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47,6</w:t>
            </w:r>
          </w:p>
        </w:tc>
      </w:tr>
      <w:tr w:rsidR="002210A7" w:rsidRPr="00D11D21" w14:paraId="0BCE7970" w14:textId="77777777" w:rsidTr="00282FFC">
        <w:trPr>
          <w:cantSplit/>
          <w:trHeight w:val="45"/>
          <w:jc w:val="center"/>
        </w:trPr>
        <w:tc>
          <w:tcPr>
            <w:tcW w:w="916" w:type="dxa"/>
            <w:vMerge/>
            <w:tcBorders>
              <w:top w:val="single" w:sz="8" w:space="0" w:color="152935"/>
              <w:left w:val="single" w:sz="4" w:space="0" w:color="auto"/>
              <w:bottom w:val="single" w:sz="8" w:space="0" w:color="152935"/>
              <w:right w:val="nil"/>
            </w:tcBorders>
            <w:shd w:val="clear" w:color="auto" w:fill="E0E0E0"/>
          </w:tcPr>
          <w:p w14:paraId="030808F5"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058" w:type="dxa"/>
            <w:tcBorders>
              <w:top w:val="single" w:sz="8" w:space="0" w:color="AEAEAE"/>
              <w:left w:val="nil"/>
              <w:bottom w:val="single" w:sz="8" w:space="0" w:color="AEAEAE"/>
              <w:right w:val="nil"/>
            </w:tcBorders>
            <w:shd w:val="clear" w:color="auto" w:fill="E0E0E0"/>
          </w:tcPr>
          <w:p w14:paraId="664C449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Résistance au changement</w:t>
            </w:r>
          </w:p>
        </w:tc>
        <w:tc>
          <w:tcPr>
            <w:tcW w:w="1453" w:type="dxa"/>
            <w:tcBorders>
              <w:top w:val="single" w:sz="8" w:space="0" w:color="AEAEAE"/>
              <w:left w:val="nil"/>
              <w:bottom w:val="single" w:sz="8" w:space="0" w:color="AEAEAE"/>
              <w:right w:val="single" w:sz="8" w:space="0" w:color="E0E0E0"/>
            </w:tcBorders>
            <w:shd w:val="clear" w:color="auto" w:fill="FFFFFF"/>
          </w:tcPr>
          <w:p w14:paraId="16F1424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18</w:t>
            </w: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14:paraId="4088AFA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42,9</w:t>
            </w:r>
          </w:p>
        </w:tc>
        <w:tc>
          <w:tcPr>
            <w:tcW w:w="1739" w:type="dxa"/>
            <w:tcBorders>
              <w:top w:val="single" w:sz="8" w:space="0" w:color="AEAEAE"/>
              <w:left w:val="single" w:sz="8" w:space="0" w:color="E0E0E0"/>
              <w:bottom w:val="single" w:sz="8" w:space="0" w:color="AEAEAE"/>
              <w:right w:val="single" w:sz="8" w:space="0" w:color="E0E0E0"/>
            </w:tcBorders>
            <w:shd w:val="clear" w:color="auto" w:fill="FFFFFF"/>
          </w:tcPr>
          <w:p w14:paraId="56C872C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42,9</w:t>
            </w:r>
          </w:p>
        </w:tc>
        <w:tc>
          <w:tcPr>
            <w:tcW w:w="1835" w:type="dxa"/>
            <w:tcBorders>
              <w:top w:val="single" w:sz="8" w:space="0" w:color="AEAEAE"/>
              <w:left w:val="single" w:sz="8" w:space="0" w:color="E0E0E0"/>
              <w:bottom w:val="single" w:sz="8" w:space="0" w:color="AEAEAE"/>
              <w:right w:val="single" w:sz="4" w:space="0" w:color="auto"/>
            </w:tcBorders>
            <w:shd w:val="clear" w:color="auto" w:fill="FFFFFF"/>
          </w:tcPr>
          <w:p w14:paraId="62E87B4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90,5</w:t>
            </w:r>
          </w:p>
        </w:tc>
      </w:tr>
      <w:tr w:rsidR="002210A7" w:rsidRPr="00D11D21" w14:paraId="3E6332E0" w14:textId="77777777" w:rsidTr="00282FFC">
        <w:trPr>
          <w:cantSplit/>
          <w:trHeight w:val="45"/>
          <w:jc w:val="center"/>
        </w:trPr>
        <w:tc>
          <w:tcPr>
            <w:tcW w:w="916" w:type="dxa"/>
            <w:vMerge/>
            <w:tcBorders>
              <w:top w:val="single" w:sz="8" w:space="0" w:color="152935"/>
              <w:left w:val="single" w:sz="4" w:space="0" w:color="auto"/>
              <w:bottom w:val="single" w:sz="8" w:space="0" w:color="152935"/>
              <w:right w:val="nil"/>
            </w:tcBorders>
            <w:shd w:val="clear" w:color="auto" w:fill="E0E0E0"/>
          </w:tcPr>
          <w:p w14:paraId="0B156FF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058" w:type="dxa"/>
            <w:tcBorders>
              <w:top w:val="single" w:sz="8" w:space="0" w:color="AEAEAE"/>
              <w:left w:val="nil"/>
              <w:bottom w:val="single" w:sz="8" w:space="0" w:color="AEAEAE"/>
              <w:right w:val="nil"/>
            </w:tcBorders>
            <w:shd w:val="clear" w:color="auto" w:fill="E0E0E0"/>
          </w:tcPr>
          <w:p w14:paraId="50752C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Ressources humaines non formées</w:t>
            </w:r>
          </w:p>
        </w:tc>
        <w:tc>
          <w:tcPr>
            <w:tcW w:w="1453" w:type="dxa"/>
            <w:tcBorders>
              <w:top w:val="single" w:sz="8" w:space="0" w:color="AEAEAE"/>
              <w:left w:val="nil"/>
              <w:bottom w:val="single" w:sz="8" w:space="0" w:color="AEAEAE"/>
              <w:right w:val="single" w:sz="8" w:space="0" w:color="E0E0E0"/>
            </w:tcBorders>
            <w:shd w:val="clear" w:color="auto" w:fill="FFFFFF"/>
          </w:tcPr>
          <w:p w14:paraId="3A25CA9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14:paraId="56DA3E2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739" w:type="dxa"/>
            <w:tcBorders>
              <w:top w:val="single" w:sz="8" w:space="0" w:color="AEAEAE"/>
              <w:left w:val="single" w:sz="8" w:space="0" w:color="E0E0E0"/>
              <w:bottom w:val="single" w:sz="8" w:space="0" w:color="AEAEAE"/>
              <w:right w:val="single" w:sz="8" w:space="0" w:color="E0E0E0"/>
            </w:tcBorders>
            <w:shd w:val="clear" w:color="auto" w:fill="FFFFFF"/>
          </w:tcPr>
          <w:p w14:paraId="0D90221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w:t>
            </w:r>
          </w:p>
        </w:tc>
        <w:tc>
          <w:tcPr>
            <w:tcW w:w="1835" w:type="dxa"/>
            <w:tcBorders>
              <w:top w:val="single" w:sz="8" w:space="0" w:color="AEAEAE"/>
              <w:left w:val="single" w:sz="8" w:space="0" w:color="E0E0E0"/>
              <w:bottom w:val="single" w:sz="8" w:space="0" w:color="AEAEAE"/>
              <w:right w:val="single" w:sz="4" w:space="0" w:color="auto"/>
            </w:tcBorders>
            <w:shd w:val="clear" w:color="auto" w:fill="FFFFFF"/>
          </w:tcPr>
          <w:p w14:paraId="6D7862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4333DAFD" w14:textId="77777777" w:rsidTr="00282FFC">
        <w:trPr>
          <w:cantSplit/>
          <w:trHeight w:val="45"/>
          <w:jc w:val="center"/>
        </w:trPr>
        <w:tc>
          <w:tcPr>
            <w:tcW w:w="916" w:type="dxa"/>
            <w:vMerge/>
            <w:tcBorders>
              <w:top w:val="single" w:sz="8" w:space="0" w:color="152935"/>
              <w:left w:val="single" w:sz="4" w:space="0" w:color="auto"/>
              <w:bottom w:val="single" w:sz="4" w:space="0" w:color="auto"/>
              <w:right w:val="nil"/>
            </w:tcBorders>
            <w:shd w:val="clear" w:color="auto" w:fill="E0E0E0"/>
          </w:tcPr>
          <w:p w14:paraId="7EA39D27"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058" w:type="dxa"/>
            <w:tcBorders>
              <w:top w:val="single" w:sz="8" w:space="0" w:color="AEAEAE"/>
              <w:left w:val="nil"/>
              <w:bottom w:val="single" w:sz="4" w:space="0" w:color="auto"/>
              <w:right w:val="nil"/>
            </w:tcBorders>
            <w:shd w:val="clear" w:color="auto" w:fill="E0E0E0"/>
          </w:tcPr>
          <w:p w14:paraId="65D0E2F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453" w:type="dxa"/>
            <w:tcBorders>
              <w:top w:val="single" w:sz="8" w:space="0" w:color="AEAEAE"/>
              <w:left w:val="nil"/>
              <w:bottom w:val="single" w:sz="4" w:space="0" w:color="auto"/>
              <w:right w:val="single" w:sz="8" w:space="0" w:color="E0E0E0"/>
            </w:tcBorders>
            <w:shd w:val="clear" w:color="auto" w:fill="FFFFFF"/>
          </w:tcPr>
          <w:p w14:paraId="199F287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278" w:type="dxa"/>
            <w:tcBorders>
              <w:top w:val="single" w:sz="8" w:space="0" w:color="AEAEAE"/>
              <w:left w:val="single" w:sz="8" w:space="0" w:color="E0E0E0"/>
              <w:bottom w:val="single" w:sz="4" w:space="0" w:color="auto"/>
              <w:right w:val="single" w:sz="8" w:space="0" w:color="E0E0E0"/>
            </w:tcBorders>
            <w:shd w:val="clear" w:color="auto" w:fill="FFFFFF"/>
          </w:tcPr>
          <w:p w14:paraId="09E0532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739" w:type="dxa"/>
            <w:tcBorders>
              <w:top w:val="single" w:sz="8" w:space="0" w:color="AEAEAE"/>
              <w:left w:val="single" w:sz="8" w:space="0" w:color="E0E0E0"/>
              <w:bottom w:val="single" w:sz="4" w:space="0" w:color="auto"/>
              <w:right w:val="single" w:sz="8" w:space="0" w:color="E0E0E0"/>
            </w:tcBorders>
            <w:shd w:val="clear" w:color="auto" w:fill="FFFFFF"/>
          </w:tcPr>
          <w:p w14:paraId="7DE36EB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35" w:type="dxa"/>
            <w:tcBorders>
              <w:top w:val="single" w:sz="8" w:space="0" w:color="AEAEAE"/>
              <w:left w:val="single" w:sz="8" w:space="0" w:color="E0E0E0"/>
              <w:bottom w:val="single" w:sz="4" w:space="0" w:color="auto"/>
              <w:right w:val="single" w:sz="4" w:space="0" w:color="auto"/>
            </w:tcBorders>
            <w:shd w:val="clear" w:color="auto" w:fill="FFFFFF"/>
            <w:vAlign w:val="center"/>
          </w:tcPr>
          <w:p w14:paraId="191B3102"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3764FDC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0F3682EE" w14:textId="0FD97D14" w:rsidR="002210A7" w:rsidRPr="00D11D21" w:rsidRDefault="001679A8" w:rsidP="00D11D21">
      <w:pPr>
        <w:pStyle w:val="Lgende"/>
        <w:keepNext/>
        <w:spacing w:line="360" w:lineRule="auto"/>
        <w:jc w:val="both"/>
        <w:rPr>
          <w:rFonts w:asciiTheme="majorBidi" w:hAnsiTheme="majorBidi" w:cstheme="majorBidi"/>
          <w:sz w:val="24"/>
          <w:szCs w:val="24"/>
        </w:rPr>
      </w:pPr>
      <w:bookmarkStart w:id="241" w:name="_Toc200210103"/>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36</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Répartition des obstacles à la mise en place d’un financement mixte</w:t>
      </w:r>
      <w:bookmarkEnd w:id="241"/>
    </w:p>
    <w:p w14:paraId="55DB34EE" w14:textId="4F8C59D5" w:rsidR="002210A7" w:rsidRPr="00D11D21" w:rsidRDefault="002210A7" w:rsidP="005C3BEE">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0179973E" wp14:editId="7320157C">
            <wp:extent cx="3657600" cy="2021203"/>
            <wp:effectExtent l="0" t="0" r="0" b="0"/>
            <wp:docPr id="205" name="Imag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rotWithShape="1">
                    <a:blip r:embed="rId49">
                      <a:extLst>
                        <a:ext uri="{28A0092B-C50C-407E-A947-70E740481C1C}">
                          <a14:useLocalDpi xmlns:a14="http://schemas.microsoft.com/office/drawing/2010/main" val="0"/>
                        </a:ext>
                      </a:extLst>
                    </a:blip>
                    <a:srcRect t="6137"/>
                    <a:stretch/>
                  </pic:blipFill>
                  <pic:spPr bwMode="auto">
                    <a:xfrm>
                      <a:off x="0" y="0"/>
                      <a:ext cx="3685198" cy="2036454"/>
                    </a:xfrm>
                    <a:prstGeom prst="rect">
                      <a:avLst/>
                    </a:prstGeom>
                    <a:noFill/>
                    <a:ln>
                      <a:noFill/>
                    </a:ln>
                    <a:extLst>
                      <a:ext uri="{53640926-AAD7-44D8-BBD7-CCE9431645EC}">
                        <a14:shadowObscured xmlns:a14="http://schemas.microsoft.com/office/drawing/2010/main"/>
                      </a:ext>
                    </a:extLst>
                  </pic:spPr>
                </pic:pic>
              </a:graphicData>
            </a:graphic>
          </wp:inline>
        </w:drawing>
      </w:r>
    </w:p>
    <w:p w14:paraId="558A6EBE"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3AC75886"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0C9BDCEE"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obstacles majeurs à la mise en place d’un système de financement mixte, selon les répondants, sont :</w:t>
      </w:r>
    </w:p>
    <w:p w14:paraId="52775E8B" w14:textId="77777777" w:rsidR="002210A7" w:rsidRPr="00D11D21" w:rsidRDefault="002210A7" w:rsidP="00D11D21">
      <w:pPr>
        <w:numPr>
          <w:ilvl w:val="0"/>
          <w:numId w:val="62"/>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Résistance au changement (42,9%).</w:t>
      </w:r>
    </w:p>
    <w:p w14:paraId="4872CA4B" w14:textId="77777777" w:rsidR="002210A7" w:rsidRPr="00D11D21" w:rsidRDefault="002210A7" w:rsidP="00D11D21">
      <w:pPr>
        <w:numPr>
          <w:ilvl w:val="0"/>
          <w:numId w:val="62"/>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Infrastructure numérique insuffisante (26,2%).</w:t>
      </w:r>
    </w:p>
    <w:p w14:paraId="76C78A3E" w14:textId="77777777" w:rsidR="002210A7" w:rsidRPr="00D11D21" w:rsidRDefault="002210A7" w:rsidP="00D11D21">
      <w:pPr>
        <w:numPr>
          <w:ilvl w:val="0"/>
          <w:numId w:val="62"/>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Manque de données fiables (21,4%).</w:t>
      </w:r>
    </w:p>
    <w:p w14:paraId="600F550C" w14:textId="77777777" w:rsidR="002210A7" w:rsidRPr="00D11D21" w:rsidRDefault="002210A7" w:rsidP="00D11D21">
      <w:pPr>
        <w:numPr>
          <w:ilvl w:val="0"/>
          <w:numId w:val="62"/>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Ressources humaines non formées (9,5%).</w:t>
      </w:r>
    </w:p>
    <w:p w14:paraId="47146755" w14:textId="5F50A68C" w:rsidR="002210A7" w:rsidRPr="00D11D21" w:rsidRDefault="002210A7" w:rsidP="00772AE8">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La résistance au changement semble être perçue comme l'obstacle principal, suivie par des défis liés aux infrastructures numériques et aux données fiables nécessaires po</w:t>
      </w:r>
      <w:r w:rsidR="00772AE8">
        <w:rPr>
          <w:rFonts w:asciiTheme="majorBidi" w:hAnsiTheme="majorBidi" w:cstheme="majorBidi"/>
          <w:szCs w:val="24"/>
        </w:rPr>
        <w:t>ur la mise en place du système.</w:t>
      </w:r>
    </w:p>
    <w:p w14:paraId="74CD150C" w14:textId="641B0028"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21 :</w:t>
      </w:r>
      <w:r w:rsidRPr="00D11D21">
        <w:rPr>
          <w:rFonts w:asciiTheme="majorBidi" w:hAnsiTheme="majorBidi" w:cstheme="majorBidi"/>
          <w:b/>
          <w:bCs/>
          <w:color w:val="000000" w:themeColor="text1"/>
          <w:szCs w:val="24"/>
        </w:rPr>
        <w:t xml:space="preserve"> Quelles nouveautés ou éléments supplémentaires aimeriez-vous voir intégrés dans le nouveau mode de financement proposé ?</w:t>
      </w:r>
    </w:p>
    <w:p w14:paraId="684E7622" w14:textId="11968D4C" w:rsidR="002210A7" w:rsidRPr="00772AE8" w:rsidRDefault="008A7BDF" w:rsidP="00772AE8">
      <w:pPr>
        <w:pStyle w:val="Lgende"/>
        <w:keepNext/>
        <w:spacing w:line="360" w:lineRule="auto"/>
        <w:jc w:val="both"/>
        <w:rPr>
          <w:rFonts w:asciiTheme="majorBidi" w:hAnsiTheme="majorBidi" w:cstheme="majorBidi"/>
          <w:color w:val="auto"/>
          <w:sz w:val="24"/>
          <w:szCs w:val="24"/>
        </w:rPr>
      </w:pPr>
      <w:bookmarkStart w:id="242" w:name="_Toc200210149"/>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41</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xml:space="preserve"> :  Fréquence des éléments souhaités dans le nouveau mode de financement</w:t>
      </w:r>
      <w:bookmarkEnd w:id="242"/>
    </w:p>
    <w:tbl>
      <w:tblPr>
        <w:tblW w:w="110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7"/>
        <w:gridCol w:w="3301"/>
        <w:gridCol w:w="1567"/>
        <w:gridCol w:w="1380"/>
        <w:gridCol w:w="1876"/>
        <w:gridCol w:w="1979"/>
      </w:tblGrid>
      <w:tr w:rsidR="002210A7" w:rsidRPr="00D11D21" w14:paraId="01B05DC9" w14:textId="77777777" w:rsidTr="00282FFC">
        <w:trPr>
          <w:cantSplit/>
          <w:trHeight w:val="107"/>
          <w:jc w:val="center"/>
        </w:trPr>
        <w:tc>
          <w:tcPr>
            <w:tcW w:w="4288" w:type="dxa"/>
            <w:gridSpan w:val="2"/>
            <w:tcBorders>
              <w:top w:val="single" w:sz="4" w:space="0" w:color="auto"/>
              <w:left w:val="single" w:sz="4" w:space="0" w:color="auto"/>
              <w:bottom w:val="single" w:sz="8" w:space="0" w:color="152935"/>
              <w:right w:val="nil"/>
            </w:tcBorders>
            <w:shd w:val="clear" w:color="auto" w:fill="FFFFFF"/>
            <w:vAlign w:val="bottom"/>
          </w:tcPr>
          <w:p w14:paraId="2516D896"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567" w:type="dxa"/>
            <w:tcBorders>
              <w:top w:val="single" w:sz="4" w:space="0" w:color="auto"/>
              <w:left w:val="nil"/>
              <w:bottom w:val="single" w:sz="8" w:space="0" w:color="152935"/>
              <w:right w:val="single" w:sz="8" w:space="0" w:color="E0E0E0"/>
            </w:tcBorders>
            <w:shd w:val="clear" w:color="auto" w:fill="FFFFFF"/>
            <w:vAlign w:val="bottom"/>
          </w:tcPr>
          <w:p w14:paraId="787FAAF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Frequency</w:t>
            </w:r>
            <w:proofErr w:type="spellEnd"/>
          </w:p>
        </w:tc>
        <w:tc>
          <w:tcPr>
            <w:tcW w:w="1380" w:type="dxa"/>
            <w:tcBorders>
              <w:top w:val="single" w:sz="4" w:space="0" w:color="auto"/>
              <w:left w:val="single" w:sz="8" w:space="0" w:color="E0E0E0"/>
              <w:bottom w:val="single" w:sz="8" w:space="0" w:color="152935"/>
              <w:right w:val="single" w:sz="8" w:space="0" w:color="E0E0E0"/>
            </w:tcBorders>
            <w:shd w:val="clear" w:color="auto" w:fill="FFFFFF"/>
            <w:vAlign w:val="bottom"/>
          </w:tcPr>
          <w:p w14:paraId="54CF841A"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Percent</w:t>
            </w:r>
          </w:p>
        </w:tc>
        <w:tc>
          <w:tcPr>
            <w:tcW w:w="1876" w:type="dxa"/>
            <w:tcBorders>
              <w:top w:val="single" w:sz="4" w:space="0" w:color="auto"/>
              <w:left w:val="single" w:sz="8" w:space="0" w:color="E0E0E0"/>
              <w:bottom w:val="single" w:sz="8" w:space="0" w:color="152935"/>
              <w:right w:val="single" w:sz="8" w:space="0" w:color="E0E0E0"/>
            </w:tcBorders>
            <w:shd w:val="clear" w:color="auto" w:fill="FFFFFF"/>
            <w:vAlign w:val="bottom"/>
          </w:tcPr>
          <w:p w14:paraId="380BAB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Percent</w:t>
            </w:r>
          </w:p>
        </w:tc>
        <w:tc>
          <w:tcPr>
            <w:tcW w:w="1979" w:type="dxa"/>
            <w:tcBorders>
              <w:top w:val="single" w:sz="4" w:space="0" w:color="auto"/>
              <w:left w:val="single" w:sz="8" w:space="0" w:color="E0E0E0"/>
              <w:bottom w:val="single" w:sz="8" w:space="0" w:color="152935"/>
              <w:right w:val="single" w:sz="4" w:space="0" w:color="auto"/>
            </w:tcBorders>
            <w:shd w:val="clear" w:color="auto" w:fill="FFFFFF"/>
            <w:vAlign w:val="bottom"/>
          </w:tcPr>
          <w:p w14:paraId="32B916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Cumulative Percent</w:t>
            </w:r>
          </w:p>
        </w:tc>
      </w:tr>
      <w:tr w:rsidR="002210A7" w:rsidRPr="00D11D21" w14:paraId="040AD336" w14:textId="77777777" w:rsidTr="00282FFC">
        <w:trPr>
          <w:cantSplit/>
          <w:trHeight w:val="162"/>
          <w:jc w:val="center"/>
        </w:trPr>
        <w:tc>
          <w:tcPr>
            <w:tcW w:w="987" w:type="dxa"/>
            <w:vMerge w:val="restart"/>
            <w:tcBorders>
              <w:top w:val="single" w:sz="8" w:space="0" w:color="152935"/>
              <w:left w:val="single" w:sz="4" w:space="0" w:color="auto"/>
              <w:bottom w:val="single" w:sz="8" w:space="0" w:color="152935"/>
              <w:right w:val="nil"/>
            </w:tcBorders>
            <w:shd w:val="clear" w:color="auto" w:fill="E0E0E0"/>
          </w:tcPr>
          <w:p w14:paraId="660A8E8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Valid</w:t>
            </w:r>
            <w:proofErr w:type="spellEnd"/>
          </w:p>
        </w:tc>
        <w:tc>
          <w:tcPr>
            <w:tcW w:w="3301" w:type="dxa"/>
            <w:tcBorders>
              <w:top w:val="single" w:sz="8" w:space="0" w:color="152935"/>
              <w:left w:val="nil"/>
              <w:bottom w:val="single" w:sz="8" w:space="0" w:color="AEAEAE"/>
              <w:right w:val="nil"/>
            </w:tcBorders>
            <w:shd w:val="clear" w:color="auto" w:fill="E0E0E0"/>
          </w:tcPr>
          <w:p w14:paraId="3E0ADF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Introduction de primes liées à la qualité des soins</w:t>
            </w:r>
          </w:p>
        </w:tc>
        <w:tc>
          <w:tcPr>
            <w:tcW w:w="1567" w:type="dxa"/>
            <w:tcBorders>
              <w:top w:val="single" w:sz="8" w:space="0" w:color="152935"/>
              <w:left w:val="nil"/>
              <w:bottom w:val="single" w:sz="8" w:space="0" w:color="AEAEAE"/>
              <w:right w:val="single" w:sz="8" w:space="0" w:color="E0E0E0"/>
            </w:tcBorders>
            <w:shd w:val="clear" w:color="auto" w:fill="FFFFFF"/>
          </w:tcPr>
          <w:p w14:paraId="4220EE8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13</w:t>
            </w:r>
          </w:p>
        </w:tc>
        <w:tc>
          <w:tcPr>
            <w:tcW w:w="1380" w:type="dxa"/>
            <w:tcBorders>
              <w:top w:val="single" w:sz="8" w:space="0" w:color="152935"/>
              <w:left w:val="single" w:sz="8" w:space="0" w:color="E0E0E0"/>
              <w:bottom w:val="single" w:sz="8" w:space="0" w:color="AEAEAE"/>
              <w:right w:val="single" w:sz="8" w:space="0" w:color="E0E0E0"/>
            </w:tcBorders>
            <w:shd w:val="clear" w:color="auto" w:fill="FFFFFF"/>
          </w:tcPr>
          <w:p w14:paraId="046AC2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c>
          <w:tcPr>
            <w:tcW w:w="1876" w:type="dxa"/>
            <w:tcBorders>
              <w:top w:val="single" w:sz="8" w:space="0" w:color="152935"/>
              <w:left w:val="single" w:sz="8" w:space="0" w:color="E0E0E0"/>
              <w:bottom w:val="single" w:sz="8" w:space="0" w:color="AEAEAE"/>
              <w:right w:val="single" w:sz="8" w:space="0" w:color="E0E0E0"/>
            </w:tcBorders>
            <w:shd w:val="clear" w:color="auto" w:fill="FFFFFF"/>
          </w:tcPr>
          <w:p w14:paraId="0EACCBF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c>
          <w:tcPr>
            <w:tcW w:w="1979" w:type="dxa"/>
            <w:tcBorders>
              <w:top w:val="single" w:sz="8" w:space="0" w:color="152935"/>
              <w:left w:val="single" w:sz="8" w:space="0" w:color="E0E0E0"/>
              <w:bottom w:val="single" w:sz="8" w:space="0" w:color="AEAEAE"/>
              <w:right w:val="single" w:sz="4" w:space="0" w:color="auto"/>
            </w:tcBorders>
            <w:shd w:val="clear" w:color="auto" w:fill="FFFFFF"/>
          </w:tcPr>
          <w:p w14:paraId="161A25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31,0</w:t>
            </w:r>
          </w:p>
        </w:tc>
      </w:tr>
      <w:tr w:rsidR="002210A7" w:rsidRPr="00D11D21" w14:paraId="59D20A17" w14:textId="77777777" w:rsidTr="00282FFC">
        <w:trPr>
          <w:cantSplit/>
          <w:trHeight w:val="18"/>
          <w:jc w:val="center"/>
        </w:trPr>
        <w:tc>
          <w:tcPr>
            <w:tcW w:w="987" w:type="dxa"/>
            <w:vMerge/>
            <w:tcBorders>
              <w:top w:val="single" w:sz="8" w:space="0" w:color="152935"/>
              <w:left w:val="single" w:sz="4" w:space="0" w:color="auto"/>
              <w:bottom w:val="single" w:sz="8" w:space="0" w:color="152935"/>
              <w:right w:val="nil"/>
            </w:tcBorders>
            <w:shd w:val="clear" w:color="auto" w:fill="E0E0E0"/>
          </w:tcPr>
          <w:p w14:paraId="2E558068"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301" w:type="dxa"/>
            <w:tcBorders>
              <w:top w:val="single" w:sz="8" w:space="0" w:color="AEAEAE"/>
              <w:left w:val="nil"/>
              <w:bottom w:val="single" w:sz="8" w:space="0" w:color="AEAEAE"/>
              <w:right w:val="nil"/>
            </w:tcBorders>
            <w:shd w:val="clear" w:color="auto" w:fill="E0E0E0"/>
          </w:tcPr>
          <w:p w14:paraId="212BDBB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Financement supplémentaire pour les spécialités médicales lourdes (réanimation, oncologie, etc.)</w:t>
            </w:r>
          </w:p>
        </w:tc>
        <w:tc>
          <w:tcPr>
            <w:tcW w:w="1567" w:type="dxa"/>
            <w:tcBorders>
              <w:top w:val="single" w:sz="8" w:space="0" w:color="AEAEAE"/>
              <w:left w:val="nil"/>
              <w:bottom w:val="single" w:sz="8" w:space="0" w:color="AEAEAE"/>
              <w:right w:val="single" w:sz="8" w:space="0" w:color="E0E0E0"/>
            </w:tcBorders>
            <w:shd w:val="clear" w:color="auto" w:fill="FFFFFF"/>
          </w:tcPr>
          <w:p w14:paraId="2A97DAD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w:t>
            </w:r>
          </w:p>
        </w:tc>
        <w:tc>
          <w:tcPr>
            <w:tcW w:w="1380" w:type="dxa"/>
            <w:tcBorders>
              <w:top w:val="single" w:sz="8" w:space="0" w:color="AEAEAE"/>
              <w:left w:val="single" w:sz="8" w:space="0" w:color="E0E0E0"/>
              <w:bottom w:val="single" w:sz="8" w:space="0" w:color="AEAEAE"/>
              <w:right w:val="single" w:sz="8" w:space="0" w:color="E0E0E0"/>
            </w:tcBorders>
            <w:shd w:val="clear" w:color="auto" w:fill="FFFFFF"/>
          </w:tcPr>
          <w:p w14:paraId="1EB30CC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876" w:type="dxa"/>
            <w:tcBorders>
              <w:top w:val="single" w:sz="8" w:space="0" w:color="AEAEAE"/>
              <w:left w:val="single" w:sz="8" w:space="0" w:color="E0E0E0"/>
              <w:bottom w:val="single" w:sz="8" w:space="0" w:color="AEAEAE"/>
              <w:right w:val="single" w:sz="8" w:space="0" w:color="E0E0E0"/>
            </w:tcBorders>
            <w:shd w:val="clear" w:color="auto" w:fill="FFFFFF"/>
          </w:tcPr>
          <w:p w14:paraId="55FECBC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11,9</w:t>
            </w:r>
          </w:p>
        </w:tc>
        <w:tc>
          <w:tcPr>
            <w:tcW w:w="1979" w:type="dxa"/>
            <w:tcBorders>
              <w:top w:val="single" w:sz="8" w:space="0" w:color="AEAEAE"/>
              <w:left w:val="single" w:sz="8" w:space="0" w:color="E0E0E0"/>
              <w:bottom w:val="single" w:sz="8" w:space="0" w:color="AEAEAE"/>
              <w:right w:val="single" w:sz="4" w:space="0" w:color="auto"/>
            </w:tcBorders>
            <w:shd w:val="clear" w:color="auto" w:fill="FFFFFF"/>
          </w:tcPr>
          <w:p w14:paraId="2ADC205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42,9</w:t>
            </w:r>
          </w:p>
        </w:tc>
      </w:tr>
      <w:tr w:rsidR="002210A7" w:rsidRPr="00D11D21" w14:paraId="3FB8FA93" w14:textId="77777777" w:rsidTr="00282FFC">
        <w:trPr>
          <w:cantSplit/>
          <w:trHeight w:val="18"/>
          <w:jc w:val="center"/>
        </w:trPr>
        <w:tc>
          <w:tcPr>
            <w:tcW w:w="987" w:type="dxa"/>
            <w:vMerge/>
            <w:tcBorders>
              <w:top w:val="single" w:sz="8" w:space="0" w:color="152935"/>
              <w:left w:val="single" w:sz="4" w:space="0" w:color="auto"/>
              <w:bottom w:val="single" w:sz="8" w:space="0" w:color="152935"/>
              <w:right w:val="nil"/>
            </w:tcBorders>
            <w:shd w:val="clear" w:color="auto" w:fill="E0E0E0"/>
          </w:tcPr>
          <w:p w14:paraId="69D9F5AF"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301" w:type="dxa"/>
            <w:tcBorders>
              <w:top w:val="single" w:sz="8" w:space="0" w:color="AEAEAE"/>
              <w:left w:val="nil"/>
              <w:bottom w:val="single" w:sz="8" w:space="0" w:color="AEAEAE"/>
              <w:right w:val="nil"/>
            </w:tcBorders>
            <w:shd w:val="clear" w:color="auto" w:fill="E0E0E0"/>
          </w:tcPr>
          <w:p w14:paraId="69B338E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Prise en compte du volume réel d’activité de chaque service</w:t>
            </w:r>
          </w:p>
        </w:tc>
        <w:tc>
          <w:tcPr>
            <w:tcW w:w="1567" w:type="dxa"/>
            <w:tcBorders>
              <w:top w:val="single" w:sz="8" w:space="0" w:color="AEAEAE"/>
              <w:left w:val="nil"/>
              <w:bottom w:val="single" w:sz="8" w:space="0" w:color="AEAEAE"/>
              <w:right w:val="single" w:sz="8" w:space="0" w:color="E0E0E0"/>
            </w:tcBorders>
            <w:shd w:val="clear" w:color="auto" w:fill="FFFFFF"/>
          </w:tcPr>
          <w:p w14:paraId="1B9AD93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380" w:type="dxa"/>
            <w:tcBorders>
              <w:top w:val="single" w:sz="8" w:space="0" w:color="AEAEAE"/>
              <w:left w:val="single" w:sz="8" w:space="0" w:color="E0E0E0"/>
              <w:bottom w:val="single" w:sz="8" w:space="0" w:color="AEAEAE"/>
              <w:right w:val="single" w:sz="8" w:space="0" w:color="E0E0E0"/>
            </w:tcBorders>
            <w:shd w:val="clear" w:color="auto" w:fill="FFFFFF"/>
          </w:tcPr>
          <w:p w14:paraId="1E8B46D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876" w:type="dxa"/>
            <w:tcBorders>
              <w:top w:val="single" w:sz="8" w:space="0" w:color="AEAEAE"/>
              <w:left w:val="single" w:sz="8" w:space="0" w:color="E0E0E0"/>
              <w:bottom w:val="single" w:sz="8" w:space="0" w:color="AEAEAE"/>
              <w:right w:val="single" w:sz="8" w:space="0" w:color="E0E0E0"/>
            </w:tcBorders>
            <w:shd w:val="clear" w:color="auto" w:fill="FFFFFF"/>
          </w:tcPr>
          <w:p w14:paraId="602A046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14,3</w:t>
            </w:r>
          </w:p>
        </w:tc>
        <w:tc>
          <w:tcPr>
            <w:tcW w:w="1979" w:type="dxa"/>
            <w:tcBorders>
              <w:top w:val="single" w:sz="8" w:space="0" w:color="AEAEAE"/>
              <w:left w:val="single" w:sz="8" w:space="0" w:color="E0E0E0"/>
              <w:bottom w:val="single" w:sz="8" w:space="0" w:color="AEAEAE"/>
              <w:right w:val="single" w:sz="4" w:space="0" w:color="auto"/>
            </w:tcBorders>
            <w:shd w:val="clear" w:color="auto" w:fill="FFFFFF"/>
          </w:tcPr>
          <w:p w14:paraId="46F853F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57,1</w:t>
            </w:r>
          </w:p>
        </w:tc>
      </w:tr>
      <w:tr w:rsidR="002210A7" w:rsidRPr="00D11D21" w14:paraId="433BA65E" w14:textId="77777777" w:rsidTr="00282FFC">
        <w:trPr>
          <w:cantSplit/>
          <w:trHeight w:val="18"/>
          <w:jc w:val="center"/>
        </w:trPr>
        <w:tc>
          <w:tcPr>
            <w:tcW w:w="987" w:type="dxa"/>
            <w:vMerge/>
            <w:tcBorders>
              <w:top w:val="single" w:sz="8" w:space="0" w:color="152935"/>
              <w:left w:val="single" w:sz="4" w:space="0" w:color="auto"/>
              <w:bottom w:val="single" w:sz="8" w:space="0" w:color="152935"/>
              <w:right w:val="nil"/>
            </w:tcBorders>
            <w:shd w:val="clear" w:color="auto" w:fill="E0E0E0"/>
          </w:tcPr>
          <w:p w14:paraId="3671B1D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301" w:type="dxa"/>
            <w:tcBorders>
              <w:top w:val="single" w:sz="8" w:space="0" w:color="AEAEAE"/>
              <w:left w:val="nil"/>
              <w:bottom w:val="single" w:sz="8" w:space="0" w:color="AEAEAE"/>
              <w:right w:val="nil"/>
            </w:tcBorders>
            <w:shd w:val="clear" w:color="auto" w:fill="E0E0E0"/>
          </w:tcPr>
          <w:p w14:paraId="42BF85A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Soutien financier spécifique pour les hôpitaux en zones défavorisées</w:t>
            </w:r>
          </w:p>
        </w:tc>
        <w:tc>
          <w:tcPr>
            <w:tcW w:w="1567" w:type="dxa"/>
            <w:tcBorders>
              <w:top w:val="single" w:sz="8" w:space="0" w:color="AEAEAE"/>
              <w:left w:val="nil"/>
              <w:bottom w:val="single" w:sz="8" w:space="0" w:color="AEAEAE"/>
              <w:right w:val="single" w:sz="8" w:space="0" w:color="E0E0E0"/>
            </w:tcBorders>
            <w:shd w:val="clear" w:color="auto" w:fill="FFFFFF"/>
          </w:tcPr>
          <w:p w14:paraId="487732A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c>
          <w:tcPr>
            <w:tcW w:w="1380" w:type="dxa"/>
            <w:tcBorders>
              <w:top w:val="single" w:sz="8" w:space="0" w:color="AEAEAE"/>
              <w:left w:val="single" w:sz="8" w:space="0" w:color="E0E0E0"/>
              <w:bottom w:val="single" w:sz="8" w:space="0" w:color="AEAEAE"/>
              <w:right w:val="single" w:sz="8" w:space="0" w:color="E0E0E0"/>
            </w:tcBorders>
            <w:shd w:val="clear" w:color="auto" w:fill="FFFFFF"/>
          </w:tcPr>
          <w:p w14:paraId="1FDE37F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c>
          <w:tcPr>
            <w:tcW w:w="1876" w:type="dxa"/>
            <w:tcBorders>
              <w:top w:val="single" w:sz="8" w:space="0" w:color="AEAEAE"/>
              <w:left w:val="single" w:sz="8" w:space="0" w:color="E0E0E0"/>
              <w:bottom w:val="single" w:sz="8" w:space="0" w:color="AEAEAE"/>
              <w:right w:val="single" w:sz="8" w:space="0" w:color="E0E0E0"/>
            </w:tcBorders>
            <w:shd w:val="clear" w:color="auto" w:fill="FFFFFF"/>
          </w:tcPr>
          <w:p w14:paraId="2B159A4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21,4</w:t>
            </w:r>
          </w:p>
        </w:tc>
        <w:tc>
          <w:tcPr>
            <w:tcW w:w="1979" w:type="dxa"/>
            <w:tcBorders>
              <w:top w:val="single" w:sz="8" w:space="0" w:color="AEAEAE"/>
              <w:left w:val="single" w:sz="8" w:space="0" w:color="E0E0E0"/>
              <w:bottom w:val="single" w:sz="8" w:space="0" w:color="AEAEAE"/>
              <w:right w:val="single" w:sz="4" w:space="0" w:color="auto"/>
            </w:tcBorders>
            <w:shd w:val="clear" w:color="auto" w:fill="FFFFFF"/>
          </w:tcPr>
          <w:p w14:paraId="76CD762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78,6</w:t>
            </w:r>
          </w:p>
        </w:tc>
      </w:tr>
      <w:tr w:rsidR="002210A7" w:rsidRPr="00D11D21" w14:paraId="7DD56513" w14:textId="77777777" w:rsidTr="00282FFC">
        <w:trPr>
          <w:cantSplit/>
          <w:trHeight w:val="18"/>
          <w:jc w:val="center"/>
        </w:trPr>
        <w:tc>
          <w:tcPr>
            <w:tcW w:w="987" w:type="dxa"/>
            <w:vMerge/>
            <w:tcBorders>
              <w:top w:val="single" w:sz="8" w:space="0" w:color="152935"/>
              <w:left w:val="single" w:sz="4" w:space="0" w:color="auto"/>
              <w:bottom w:val="single" w:sz="8" w:space="0" w:color="152935"/>
              <w:right w:val="nil"/>
            </w:tcBorders>
            <w:shd w:val="clear" w:color="auto" w:fill="E0E0E0"/>
          </w:tcPr>
          <w:p w14:paraId="626A2E1A"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301" w:type="dxa"/>
            <w:tcBorders>
              <w:top w:val="single" w:sz="8" w:space="0" w:color="AEAEAE"/>
              <w:left w:val="nil"/>
              <w:bottom w:val="single" w:sz="8" w:space="0" w:color="AEAEAE"/>
              <w:right w:val="nil"/>
            </w:tcBorders>
            <w:shd w:val="clear" w:color="auto" w:fill="E0E0E0"/>
          </w:tcPr>
          <w:p w14:paraId="1E77800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Incitations pour les hôpitaux à améliorer la performance</w:t>
            </w:r>
          </w:p>
        </w:tc>
        <w:tc>
          <w:tcPr>
            <w:tcW w:w="1567" w:type="dxa"/>
            <w:tcBorders>
              <w:top w:val="single" w:sz="8" w:space="0" w:color="AEAEAE"/>
              <w:left w:val="nil"/>
              <w:bottom w:val="single" w:sz="8" w:space="0" w:color="AEAEAE"/>
              <w:right w:val="single" w:sz="8" w:space="0" w:color="E0E0E0"/>
            </w:tcBorders>
            <w:shd w:val="clear" w:color="auto" w:fill="FFFFFF"/>
          </w:tcPr>
          <w:p w14:paraId="697650B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7</w:t>
            </w:r>
          </w:p>
        </w:tc>
        <w:tc>
          <w:tcPr>
            <w:tcW w:w="1380" w:type="dxa"/>
            <w:tcBorders>
              <w:top w:val="single" w:sz="8" w:space="0" w:color="AEAEAE"/>
              <w:left w:val="single" w:sz="8" w:space="0" w:color="E0E0E0"/>
              <w:bottom w:val="single" w:sz="8" w:space="0" w:color="AEAEAE"/>
              <w:right w:val="single" w:sz="8" w:space="0" w:color="E0E0E0"/>
            </w:tcBorders>
            <w:shd w:val="clear" w:color="auto" w:fill="FFFFFF"/>
          </w:tcPr>
          <w:p w14:paraId="7B02AE8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16,7</w:t>
            </w:r>
          </w:p>
        </w:tc>
        <w:tc>
          <w:tcPr>
            <w:tcW w:w="1876" w:type="dxa"/>
            <w:tcBorders>
              <w:top w:val="single" w:sz="8" w:space="0" w:color="AEAEAE"/>
              <w:left w:val="single" w:sz="8" w:space="0" w:color="E0E0E0"/>
              <w:bottom w:val="single" w:sz="8" w:space="0" w:color="AEAEAE"/>
              <w:right w:val="single" w:sz="8" w:space="0" w:color="E0E0E0"/>
            </w:tcBorders>
            <w:shd w:val="clear" w:color="auto" w:fill="FFFFFF"/>
          </w:tcPr>
          <w:p w14:paraId="30EF5B0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16,7</w:t>
            </w:r>
          </w:p>
        </w:tc>
        <w:tc>
          <w:tcPr>
            <w:tcW w:w="1979" w:type="dxa"/>
            <w:tcBorders>
              <w:top w:val="single" w:sz="8" w:space="0" w:color="AEAEAE"/>
              <w:left w:val="single" w:sz="8" w:space="0" w:color="E0E0E0"/>
              <w:bottom w:val="single" w:sz="8" w:space="0" w:color="AEAEAE"/>
              <w:right w:val="single" w:sz="4" w:space="0" w:color="auto"/>
            </w:tcBorders>
            <w:shd w:val="clear" w:color="auto" w:fill="FFFFFF"/>
          </w:tcPr>
          <w:p w14:paraId="6983BC2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95,2</w:t>
            </w:r>
          </w:p>
        </w:tc>
      </w:tr>
      <w:tr w:rsidR="002210A7" w:rsidRPr="00D11D21" w14:paraId="6B3A63FE" w14:textId="77777777" w:rsidTr="00282FFC">
        <w:trPr>
          <w:cantSplit/>
          <w:trHeight w:val="18"/>
          <w:jc w:val="center"/>
        </w:trPr>
        <w:tc>
          <w:tcPr>
            <w:tcW w:w="987" w:type="dxa"/>
            <w:vMerge/>
            <w:tcBorders>
              <w:top w:val="single" w:sz="8" w:space="0" w:color="152935"/>
              <w:left w:val="single" w:sz="4" w:space="0" w:color="auto"/>
              <w:bottom w:val="single" w:sz="8" w:space="0" w:color="152935"/>
              <w:right w:val="nil"/>
            </w:tcBorders>
            <w:shd w:val="clear" w:color="auto" w:fill="E0E0E0"/>
          </w:tcPr>
          <w:p w14:paraId="7E938C5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301" w:type="dxa"/>
            <w:tcBorders>
              <w:top w:val="single" w:sz="8" w:space="0" w:color="AEAEAE"/>
              <w:left w:val="nil"/>
              <w:bottom w:val="single" w:sz="8" w:space="0" w:color="AEAEAE"/>
              <w:right w:val="nil"/>
            </w:tcBorders>
            <w:shd w:val="clear" w:color="auto" w:fill="E0E0E0"/>
          </w:tcPr>
          <w:p w14:paraId="7D7C3BA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Renforcement du contrôle et de l’évaluation des activités hospitalières</w:t>
            </w:r>
          </w:p>
        </w:tc>
        <w:tc>
          <w:tcPr>
            <w:tcW w:w="1567" w:type="dxa"/>
            <w:tcBorders>
              <w:top w:val="single" w:sz="8" w:space="0" w:color="AEAEAE"/>
              <w:left w:val="nil"/>
              <w:bottom w:val="single" w:sz="8" w:space="0" w:color="AEAEAE"/>
              <w:right w:val="single" w:sz="8" w:space="0" w:color="E0E0E0"/>
            </w:tcBorders>
            <w:shd w:val="clear" w:color="auto" w:fill="FFFFFF"/>
          </w:tcPr>
          <w:p w14:paraId="220A33B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380" w:type="dxa"/>
            <w:tcBorders>
              <w:top w:val="single" w:sz="8" w:space="0" w:color="AEAEAE"/>
              <w:left w:val="single" w:sz="8" w:space="0" w:color="E0E0E0"/>
              <w:bottom w:val="single" w:sz="8" w:space="0" w:color="AEAEAE"/>
              <w:right w:val="single" w:sz="8" w:space="0" w:color="E0E0E0"/>
            </w:tcBorders>
            <w:shd w:val="clear" w:color="auto" w:fill="FFFFFF"/>
          </w:tcPr>
          <w:p w14:paraId="7C6FB60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876" w:type="dxa"/>
            <w:tcBorders>
              <w:top w:val="single" w:sz="8" w:space="0" w:color="AEAEAE"/>
              <w:left w:val="single" w:sz="8" w:space="0" w:color="E0E0E0"/>
              <w:bottom w:val="single" w:sz="8" w:space="0" w:color="AEAEAE"/>
              <w:right w:val="single" w:sz="8" w:space="0" w:color="E0E0E0"/>
            </w:tcBorders>
            <w:shd w:val="clear" w:color="auto" w:fill="FFFFFF"/>
          </w:tcPr>
          <w:p w14:paraId="64A7C2C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4,8</w:t>
            </w:r>
          </w:p>
        </w:tc>
        <w:tc>
          <w:tcPr>
            <w:tcW w:w="1979" w:type="dxa"/>
            <w:tcBorders>
              <w:top w:val="single" w:sz="8" w:space="0" w:color="AEAEAE"/>
              <w:left w:val="single" w:sz="8" w:space="0" w:color="E0E0E0"/>
              <w:bottom w:val="single" w:sz="8" w:space="0" w:color="AEAEAE"/>
              <w:right w:val="single" w:sz="4" w:space="0" w:color="auto"/>
            </w:tcBorders>
            <w:shd w:val="clear" w:color="auto" w:fill="FFFFFF"/>
          </w:tcPr>
          <w:p w14:paraId="12E80CA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r>
      <w:tr w:rsidR="002210A7" w:rsidRPr="00D11D21" w14:paraId="7F0E7F73" w14:textId="77777777" w:rsidTr="00282FFC">
        <w:trPr>
          <w:cantSplit/>
          <w:trHeight w:val="18"/>
          <w:jc w:val="center"/>
        </w:trPr>
        <w:tc>
          <w:tcPr>
            <w:tcW w:w="987" w:type="dxa"/>
            <w:vMerge/>
            <w:tcBorders>
              <w:top w:val="single" w:sz="8" w:space="0" w:color="152935"/>
              <w:left w:val="single" w:sz="4" w:space="0" w:color="auto"/>
              <w:bottom w:val="single" w:sz="4" w:space="0" w:color="auto"/>
              <w:right w:val="nil"/>
            </w:tcBorders>
            <w:shd w:val="clear" w:color="auto" w:fill="E0E0E0"/>
          </w:tcPr>
          <w:p w14:paraId="3A1AF4BF"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3301" w:type="dxa"/>
            <w:tcBorders>
              <w:top w:val="single" w:sz="8" w:space="0" w:color="AEAEAE"/>
              <w:left w:val="nil"/>
              <w:bottom w:val="single" w:sz="4" w:space="0" w:color="auto"/>
              <w:right w:val="nil"/>
            </w:tcBorders>
            <w:shd w:val="clear" w:color="auto" w:fill="E0E0E0"/>
          </w:tcPr>
          <w:p w14:paraId="372C056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567" w:type="dxa"/>
            <w:tcBorders>
              <w:top w:val="single" w:sz="8" w:space="0" w:color="AEAEAE"/>
              <w:left w:val="nil"/>
              <w:bottom w:val="single" w:sz="4" w:space="0" w:color="auto"/>
              <w:right w:val="single" w:sz="8" w:space="0" w:color="E0E0E0"/>
            </w:tcBorders>
            <w:shd w:val="clear" w:color="auto" w:fill="FFFFFF"/>
          </w:tcPr>
          <w:p w14:paraId="2ED7F4D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380" w:type="dxa"/>
            <w:tcBorders>
              <w:top w:val="single" w:sz="8" w:space="0" w:color="AEAEAE"/>
              <w:left w:val="single" w:sz="8" w:space="0" w:color="E0E0E0"/>
              <w:bottom w:val="single" w:sz="4" w:space="0" w:color="auto"/>
              <w:right w:val="single" w:sz="8" w:space="0" w:color="E0E0E0"/>
            </w:tcBorders>
            <w:shd w:val="clear" w:color="auto" w:fill="FFFFFF"/>
          </w:tcPr>
          <w:p w14:paraId="2DD9C8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876" w:type="dxa"/>
            <w:tcBorders>
              <w:top w:val="single" w:sz="8" w:space="0" w:color="AEAEAE"/>
              <w:left w:val="single" w:sz="8" w:space="0" w:color="E0E0E0"/>
              <w:bottom w:val="single" w:sz="4" w:space="0" w:color="auto"/>
              <w:right w:val="single" w:sz="8" w:space="0" w:color="E0E0E0"/>
            </w:tcBorders>
            <w:shd w:val="clear" w:color="auto" w:fill="FFFFFF"/>
          </w:tcPr>
          <w:p w14:paraId="16E17D4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100,0</w:t>
            </w:r>
          </w:p>
        </w:tc>
        <w:tc>
          <w:tcPr>
            <w:tcW w:w="1979" w:type="dxa"/>
            <w:tcBorders>
              <w:top w:val="single" w:sz="8" w:space="0" w:color="AEAEAE"/>
              <w:left w:val="single" w:sz="8" w:space="0" w:color="E0E0E0"/>
              <w:bottom w:val="single" w:sz="4" w:space="0" w:color="auto"/>
              <w:right w:val="single" w:sz="4" w:space="0" w:color="auto"/>
            </w:tcBorders>
            <w:shd w:val="clear" w:color="auto" w:fill="FFFFFF"/>
            <w:vAlign w:val="center"/>
          </w:tcPr>
          <w:p w14:paraId="638EF9B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bl>
    <w:p w14:paraId="271AABB2" w14:textId="46F26457" w:rsidR="002210A7" w:rsidRPr="00772AE8"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25510B4B" w14:textId="3F038185" w:rsidR="001679A8" w:rsidRPr="00D11D21" w:rsidRDefault="001679A8" w:rsidP="00D11D21">
      <w:pPr>
        <w:pStyle w:val="Lgende"/>
        <w:keepNext/>
        <w:spacing w:line="360" w:lineRule="auto"/>
        <w:jc w:val="both"/>
        <w:rPr>
          <w:rFonts w:asciiTheme="majorBidi" w:hAnsiTheme="majorBidi" w:cstheme="majorBidi"/>
          <w:color w:val="auto"/>
          <w:sz w:val="24"/>
          <w:szCs w:val="24"/>
        </w:rPr>
      </w:pPr>
      <w:bookmarkStart w:id="243" w:name="_Toc200210104"/>
      <w:r w:rsidRPr="00D11D21">
        <w:rPr>
          <w:rFonts w:asciiTheme="majorBidi" w:hAnsiTheme="majorBidi" w:cstheme="majorBidi"/>
          <w:color w:val="auto"/>
          <w:sz w:val="24"/>
          <w:szCs w:val="24"/>
        </w:rPr>
        <w:t xml:space="preserve">Figure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Figure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37</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Répartition des éléments souhaités dans le nouveau mode de financement</w:t>
      </w:r>
      <w:bookmarkEnd w:id="243"/>
    </w:p>
    <w:p w14:paraId="7F6D15DF"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noProof/>
          <w:szCs w:val="24"/>
          <w:lang w:eastAsia="fr-FR"/>
        </w:rPr>
        <w:drawing>
          <wp:inline distT="0" distB="0" distL="0" distR="0" wp14:anchorId="49076553" wp14:editId="13F6FDBA">
            <wp:extent cx="4038600" cy="1738186"/>
            <wp:effectExtent l="0" t="0" r="0" b="0"/>
            <wp:docPr id="206" name="Imag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50">
                      <a:extLst>
                        <a:ext uri="{28A0092B-C50C-407E-A947-70E740481C1C}">
                          <a14:useLocalDpi xmlns:a14="http://schemas.microsoft.com/office/drawing/2010/main" val="0"/>
                        </a:ext>
                      </a:extLst>
                    </a:blip>
                    <a:srcRect t="10469" b="16426"/>
                    <a:stretch/>
                  </pic:blipFill>
                  <pic:spPr bwMode="auto">
                    <a:xfrm>
                      <a:off x="0" y="0"/>
                      <a:ext cx="4056816" cy="1746026"/>
                    </a:xfrm>
                    <a:prstGeom prst="rect">
                      <a:avLst/>
                    </a:prstGeom>
                    <a:noFill/>
                    <a:ln>
                      <a:noFill/>
                    </a:ln>
                    <a:extLst>
                      <a:ext uri="{53640926-AAD7-44D8-BBD7-CCE9431645EC}">
                        <a14:shadowObscured xmlns:a14="http://schemas.microsoft.com/office/drawing/2010/main"/>
                      </a:ext>
                    </a:extLst>
                  </pic:spPr>
                </pic:pic>
              </a:graphicData>
            </a:graphic>
          </wp:inline>
        </w:drawing>
      </w:r>
    </w:p>
    <w:p w14:paraId="34EE2C9F" w14:textId="666AF705" w:rsidR="00480CC0"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personnelle sur le logiciel SPSS 26</w:t>
      </w:r>
    </w:p>
    <w:p w14:paraId="43042A8E" w14:textId="77777777" w:rsidR="002210A7" w:rsidRPr="00D11D21" w:rsidRDefault="002210A7" w:rsidP="00480CC0">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11E162AE" w14:textId="77777777" w:rsidR="002210A7" w:rsidRPr="00D11D21" w:rsidRDefault="002210A7" w:rsidP="00D11D21">
      <w:pPr>
        <w:autoSpaceDE w:val="0"/>
        <w:autoSpaceDN w:val="0"/>
        <w:adjustRightInd w:val="0"/>
        <w:spacing w:after="0"/>
        <w:ind w:firstLine="360"/>
        <w:jc w:val="both"/>
        <w:rPr>
          <w:rFonts w:asciiTheme="majorBidi" w:hAnsiTheme="majorBidi" w:cstheme="majorBidi"/>
          <w:szCs w:val="24"/>
        </w:rPr>
      </w:pPr>
      <w:r w:rsidRPr="00D11D21">
        <w:rPr>
          <w:rFonts w:asciiTheme="majorBidi" w:hAnsiTheme="majorBidi" w:cstheme="majorBidi"/>
          <w:szCs w:val="24"/>
        </w:rPr>
        <w:t>Les nouveautés ou éléments supplémentaires que les répondants aimeraient voir intégrés dans le nouveau mode de financement proposé sont :</w:t>
      </w:r>
    </w:p>
    <w:p w14:paraId="0E935F91" w14:textId="77777777" w:rsidR="002210A7" w:rsidRPr="00D11D21" w:rsidRDefault="002210A7" w:rsidP="00D11D21">
      <w:pPr>
        <w:numPr>
          <w:ilvl w:val="0"/>
          <w:numId w:val="63"/>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Introduction de primes liées à la qualité des soins (31,0%).</w:t>
      </w:r>
    </w:p>
    <w:p w14:paraId="46C5F38D" w14:textId="77777777" w:rsidR="002210A7" w:rsidRPr="00D11D21" w:rsidRDefault="002210A7" w:rsidP="00D11D21">
      <w:pPr>
        <w:numPr>
          <w:ilvl w:val="0"/>
          <w:numId w:val="63"/>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Soutien financier spécifique pour les hôpitaux en zones défavorisées (21,4%).</w:t>
      </w:r>
    </w:p>
    <w:p w14:paraId="331D32B4" w14:textId="77777777" w:rsidR="002210A7" w:rsidRPr="00D11D21" w:rsidRDefault="002210A7" w:rsidP="00D11D21">
      <w:pPr>
        <w:numPr>
          <w:ilvl w:val="0"/>
          <w:numId w:val="63"/>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Incitations pour les hôpitaux à améliorer la performance (16,7%).</w:t>
      </w:r>
    </w:p>
    <w:p w14:paraId="022EEC00" w14:textId="77777777" w:rsidR="002210A7" w:rsidRPr="00D11D21" w:rsidRDefault="002210A7" w:rsidP="00D11D21">
      <w:pPr>
        <w:numPr>
          <w:ilvl w:val="0"/>
          <w:numId w:val="63"/>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Prise en compte du volume réel d’activité de chaque service (14,3%).</w:t>
      </w:r>
    </w:p>
    <w:p w14:paraId="5D206FD9" w14:textId="77777777" w:rsidR="002210A7" w:rsidRPr="00D11D21" w:rsidRDefault="002210A7" w:rsidP="00D11D21">
      <w:pPr>
        <w:numPr>
          <w:ilvl w:val="0"/>
          <w:numId w:val="63"/>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lastRenderedPageBreak/>
        <w:t>Financement supplémentaire pour les spécialités médicales lourdes (réanimation, oncologie, etc.) (11,9%).</w:t>
      </w:r>
    </w:p>
    <w:p w14:paraId="406FCC59" w14:textId="77777777" w:rsidR="002210A7" w:rsidRPr="00D11D21" w:rsidRDefault="002210A7" w:rsidP="00D11D21">
      <w:pPr>
        <w:numPr>
          <w:ilvl w:val="0"/>
          <w:numId w:val="63"/>
        </w:num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Renforcement du contrôle et de l’évaluation des activités hospitalières (4,8%).</w:t>
      </w:r>
    </w:p>
    <w:p w14:paraId="2C64C24C" w14:textId="7E032603"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 xml:space="preserve">Il semble y avoir un accent sur la qualité des soins, avec une forte préférence pour l'introduction de primes et d'incitations, ainsi qu'un soutien supplémentaire pour les </w:t>
      </w:r>
      <w:r w:rsidR="00772AE8">
        <w:rPr>
          <w:rFonts w:asciiTheme="majorBidi" w:hAnsiTheme="majorBidi" w:cstheme="majorBidi"/>
          <w:szCs w:val="24"/>
        </w:rPr>
        <w:t>hôpitaux en zones défavorisées.</w:t>
      </w:r>
    </w:p>
    <w:p w14:paraId="307E9894" w14:textId="122D4A36" w:rsidR="002210A7" w:rsidRPr="00D11D21" w:rsidRDefault="002210A7" w:rsidP="00D11D21">
      <w:pPr>
        <w:shd w:val="clear" w:color="auto" w:fill="FFFFFF" w:themeFill="background1"/>
        <w:jc w:val="both"/>
        <w:rPr>
          <w:rFonts w:asciiTheme="majorBidi" w:hAnsiTheme="majorBidi" w:cstheme="majorBidi"/>
          <w:b/>
          <w:bCs/>
          <w:color w:val="000000" w:themeColor="text1"/>
          <w:szCs w:val="24"/>
        </w:rPr>
      </w:pPr>
      <w:r w:rsidRPr="00D11D21">
        <w:rPr>
          <w:rFonts w:asciiTheme="majorBidi" w:hAnsiTheme="majorBidi" w:cstheme="majorBidi"/>
          <w:b/>
          <w:bCs/>
          <w:color w:val="000000" w:themeColor="text1"/>
          <w:szCs w:val="24"/>
        </w:rPr>
        <w:t>Q</w:t>
      </w:r>
      <w:r w:rsidR="002A2096" w:rsidRPr="00D11D21">
        <w:rPr>
          <w:rFonts w:asciiTheme="majorBidi" w:hAnsiTheme="majorBidi" w:cstheme="majorBidi"/>
          <w:b/>
          <w:bCs/>
          <w:color w:val="000000" w:themeColor="text1"/>
          <w:szCs w:val="24"/>
        </w:rPr>
        <w:t>22 :</w:t>
      </w:r>
      <w:r w:rsidRPr="00D11D21">
        <w:rPr>
          <w:rFonts w:asciiTheme="majorBidi" w:hAnsiTheme="majorBidi" w:cstheme="majorBidi"/>
          <w:b/>
          <w:bCs/>
          <w:color w:val="000000" w:themeColor="text1"/>
          <w:szCs w:val="24"/>
        </w:rPr>
        <w:t xml:space="preserve"> Que recommanderiez-vous pour améliorer l’efficacité du financement hospitalier en </w:t>
      </w:r>
      <w:proofErr w:type="gramStart"/>
      <w:r w:rsidR="002A2096" w:rsidRPr="00D11D21">
        <w:rPr>
          <w:rFonts w:asciiTheme="majorBidi" w:hAnsiTheme="majorBidi" w:cstheme="majorBidi"/>
          <w:b/>
          <w:bCs/>
          <w:color w:val="000000" w:themeColor="text1"/>
          <w:szCs w:val="24"/>
        </w:rPr>
        <w:t>Algérie?</w:t>
      </w:r>
      <w:proofErr w:type="gramEnd"/>
      <w:r w:rsidRPr="00D11D21">
        <w:rPr>
          <w:rFonts w:asciiTheme="majorBidi" w:hAnsiTheme="majorBidi" w:cstheme="majorBidi"/>
          <w:b/>
          <w:bCs/>
          <w:color w:val="000000" w:themeColor="text1"/>
          <w:szCs w:val="24"/>
        </w:rPr>
        <w:t> </w:t>
      </w:r>
    </w:p>
    <w:p w14:paraId="03B03DBC"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1B3D1237" w14:textId="10B4B805" w:rsidR="002210A7" w:rsidRPr="00D11D21" w:rsidRDefault="002210A7" w:rsidP="00D11D21">
      <w:pPr>
        <w:shd w:val="clear" w:color="auto" w:fill="FFFFFF" w:themeFill="background1"/>
        <w:ind w:firstLine="70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 xml:space="preserve">Les recommandations pour améliorer l'efficacité du financement hospitalier en Algérie se concentrent principalement sur la modernisation des systèmes d'information hospitaliers (SIH), la digitalisation des processus de gestion financière et l'amélioration de la coordination entre les hôpitaux, la CNAS et le </w:t>
      </w:r>
      <w:r w:rsidR="002A2096" w:rsidRPr="00D11D21">
        <w:rPr>
          <w:rFonts w:asciiTheme="majorBidi" w:hAnsiTheme="majorBidi" w:cstheme="majorBidi"/>
          <w:color w:val="000000" w:themeColor="text1"/>
          <w:szCs w:val="24"/>
        </w:rPr>
        <w:t>ministère</w:t>
      </w:r>
      <w:r w:rsidRPr="00D11D21">
        <w:rPr>
          <w:rFonts w:asciiTheme="majorBidi" w:hAnsiTheme="majorBidi" w:cstheme="majorBidi"/>
          <w:color w:val="000000" w:themeColor="text1"/>
          <w:szCs w:val="24"/>
        </w:rPr>
        <w:t xml:space="preserve"> de la Santé. Les répondants suggèrent également d'adapter le financement aux besoins réels des services et aux transitions démographiques et épidémiologiques, tout en mettant en place des mécanismes de contrôle et d’évaluation réguliers pour assurer la transparence. Une autre recommandation fréquente est de passer progressivement à un financement à l’activité et de responsabiliser les acteurs à travers une gestion financière plus moderne, accompagnée de formations spécifiques. Ces mesures visent à rendre le système plus efficace, transparent et en phase avec les évolutions du secteur de la santé.</w:t>
      </w:r>
    </w:p>
    <w:p w14:paraId="789CBC8E" w14:textId="7C677790" w:rsidR="002210A7" w:rsidRPr="00D11D21" w:rsidRDefault="002210A7" w:rsidP="00D11D21">
      <w:pPr>
        <w:pStyle w:val="Titre3"/>
        <w:numPr>
          <w:ilvl w:val="1"/>
          <w:numId w:val="53"/>
        </w:numPr>
        <w:spacing w:line="360" w:lineRule="auto"/>
        <w:rPr>
          <w:rFonts w:asciiTheme="majorBidi" w:hAnsiTheme="majorBidi" w:cstheme="majorBidi"/>
          <w:szCs w:val="24"/>
        </w:rPr>
      </w:pPr>
      <w:bookmarkStart w:id="244" w:name="_Toc199958919"/>
      <w:r w:rsidRPr="00D11D21">
        <w:rPr>
          <w:rFonts w:asciiTheme="majorBidi" w:hAnsiTheme="majorBidi" w:cstheme="majorBidi"/>
          <w:szCs w:val="24"/>
        </w:rPr>
        <w:t>Tri croisé</w:t>
      </w:r>
      <w:bookmarkEnd w:id="244"/>
    </w:p>
    <w:p w14:paraId="2FFA9104" w14:textId="77777777" w:rsidR="002210A7" w:rsidRPr="00D11D21" w:rsidRDefault="002210A7" w:rsidP="00D11D21">
      <w:pPr>
        <w:pStyle w:val="Paragraphedeliste"/>
        <w:numPr>
          <w:ilvl w:val="0"/>
          <w:numId w:val="86"/>
        </w:numPr>
        <w:spacing w:after="160" w:line="360" w:lineRule="auto"/>
        <w:jc w:val="both"/>
        <w:rPr>
          <w:rFonts w:asciiTheme="majorBidi" w:hAnsiTheme="majorBidi" w:cstheme="majorBidi"/>
          <w:b/>
          <w:bCs/>
          <w:color w:val="000000" w:themeColor="text1"/>
          <w:szCs w:val="24"/>
        </w:rPr>
      </w:pPr>
      <w:r w:rsidRPr="00D11D21">
        <w:rPr>
          <w:rFonts w:asciiTheme="majorBidi" w:hAnsiTheme="majorBidi" w:cstheme="majorBidi"/>
          <w:b/>
          <w:bCs/>
          <w:szCs w:val="24"/>
        </w:rPr>
        <w:t xml:space="preserve">Hypothèse 2 : </w:t>
      </w:r>
      <w:r w:rsidRPr="00D11D21">
        <w:rPr>
          <w:rFonts w:asciiTheme="majorBidi" w:hAnsiTheme="majorBidi" w:cstheme="majorBidi"/>
          <w:szCs w:val="24"/>
        </w:rPr>
        <w:t>Les hôpitaux dotés d’un SI intégré couvrent et suivent mieux leurs dépenses.</w:t>
      </w:r>
    </w:p>
    <w:p w14:paraId="7A226EF1" w14:textId="3BCE5B51" w:rsidR="0072042E" w:rsidRPr="00D11D21" w:rsidRDefault="002210A7" w:rsidP="00D11D21">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szCs w:val="24"/>
        </w:rPr>
        <w:t>Pour confirmer ou infirmer cette hypothèse, nous allons croiser les questions suivantes :</w:t>
      </w:r>
    </w:p>
    <w:p w14:paraId="463D2A43" w14:textId="77777777" w:rsidR="002210A7" w:rsidRPr="00D11D21" w:rsidRDefault="002210A7" w:rsidP="00D11D21">
      <w:pPr>
        <w:pStyle w:val="Paragraphedeliste"/>
        <w:numPr>
          <w:ilvl w:val="0"/>
          <w:numId w:val="66"/>
        </w:numPr>
        <w:autoSpaceDE w:val="0"/>
        <w:autoSpaceDN w:val="0"/>
        <w:adjustRightInd w:val="0"/>
        <w:spacing w:after="0" w:line="360" w:lineRule="auto"/>
        <w:jc w:val="both"/>
        <w:rPr>
          <w:rFonts w:asciiTheme="majorBidi" w:hAnsiTheme="majorBidi" w:cstheme="majorBidi"/>
          <w:b/>
          <w:bCs/>
          <w:szCs w:val="24"/>
        </w:rPr>
      </w:pPr>
      <w:r w:rsidRPr="00D11D21">
        <w:rPr>
          <w:rFonts w:asciiTheme="majorBidi" w:hAnsiTheme="majorBidi" w:cstheme="majorBidi"/>
          <w:b/>
          <w:bCs/>
          <w:szCs w:val="24"/>
        </w:rPr>
        <w:t>La relation entre la question sur la couverture des dépenses de fonctionnement et la disponibilité d'un système d'information intégré pour la gestion financière</w:t>
      </w:r>
    </w:p>
    <w:p w14:paraId="338B2AD3" w14:textId="77777777" w:rsidR="002210A7" w:rsidRPr="00D11D21" w:rsidRDefault="002210A7" w:rsidP="00D11D21">
      <w:pPr>
        <w:pStyle w:val="Paragraphedeliste"/>
        <w:numPr>
          <w:ilvl w:val="0"/>
          <w:numId w:val="67"/>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Q11 : Disposez-vous d’un système d’information (SI) intégré pour la gestion financière ?</w:t>
      </w:r>
    </w:p>
    <w:p w14:paraId="20A52237" w14:textId="1D91950A" w:rsidR="002210A7" w:rsidRPr="00772AE8" w:rsidRDefault="002210A7" w:rsidP="00772AE8">
      <w:pPr>
        <w:pStyle w:val="Paragraphedeliste"/>
        <w:numPr>
          <w:ilvl w:val="0"/>
          <w:numId w:val="67"/>
        </w:numPr>
        <w:autoSpaceDE w:val="0"/>
        <w:autoSpaceDN w:val="0"/>
        <w:adjustRightInd w:val="0"/>
        <w:spacing w:after="0" w:line="360" w:lineRule="auto"/>
        <w:jc w:val="both"/>
        <w:rPr>
          <w:rFonts w:asciiTheme="majorBidi" w:hAnsiTheme="majorBidi" w:cstheme="majorBidi"/>
          <w:szCs w:val="24"/>
        </w:rPr>
      </w:pPr>
      <w:r w:rsidRPr="00D11D21">
        <w:rPr>
          <w:rFonts w:asciiTheme="majorBidi" w:hAnsiTheme="majorBidi" w:cstheme="majorBidi"/>
          <w:szCs w:val="24"/>
        </w:rPr>
        <w:t>Q5 : Le financement actuel permet-il de couvrir l’ensemble des dépenses de fonctionnement de votre établissement ?</w:t>
      </w:r>
    </w:p>
    <w:p w14:paraId="790204FF" w14:textId="03CC9FA7" w:rsidR="002210A7" w:rsidRPr="00480CC0" w:rsidRDefault="008A7BDF" w:rsidP="00480CC0">
      <w:pPr>
        <w:pStyle w:val="Lgende"/>
        <w:keepNext/>
        <w:spacing w:line="360" w:lineRule="auto"/>
        <w:jc w:val="both"/>
        <w:rPr>
          <w:rFonts w:asciiTheme="majorBidi" w:hAnsiTheme="majorBidi" w:cstheme="majorBidi"/>
          <w:color w:val="auto"/>
          <w:sz w:val="24"/>
          <w:szCs w:val="24"/>
        </w:rPr>
      </w:pPr>
      <w:bookmarkStart w:id="245" w:name="_Toc200210150"/>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42</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Croisement la question 5 et la question 11</w:t>
      </w:r>
      <w:bookmarkEnd w:id="245"/>
    </w:p>
    <w:tbl>
      <w:tblPr>
        <w:tblW w:w="1079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46"/>
        <w:gridCol w:w="1637"/>
        <w:gridCol w:w="1707"/>
        <w:gridCol w:w="1707"/>
        <w:gridCol w:w="1710"/>
        <w:gridCol w:w="1190"/>
      </w:tblGrid>
      <w:tr w:rsidR="002210A7" w:rsidRPr="00D11D21" w14:paraId="3C878C06" w14:textId="77777777" w:rsidTr="00D77543">
        <w:trPr>
          <w:cantSplit/>
          <w:trHeight w:val="333"/>
          <w:jc w:val="center"/>
        </w:trPr>
        <w:tc>
          <w:tcPr>
            <w:tcW w:w="4483" w:type="dxa"/>
            <w:gridSpan w:val="2"/>
            <w:vMerge w:val="restart"/>
            <w:tcBorders>
              <w:top w:val="single" w:sz="4" w:space="0" w:color="auto"/>
              <w:left w:val="single" w:sz="4" w:space="0" w:color="auto"/>
              <w:bottom w:val="nil"/>
              <w:right w:val="nil"/>
            </w:tcBorders>
            <w:shd w:val="clear" w:color="auto" w:fill="FFFFFF"/>
            <w:vAlign w:val="bottom"/>
          </w:tcPr>
          <w:p w14:paraId="5D86B3D4"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5124" w:type="dxa"/>
            <w:gridSpan w:val="3"/>
            <w:tcBorders>
              <w:top w:val="single" w:sz="4" w:space="0" w:color="auto"/>
              <w:left w:val="nil"/>
              <w:bottom w:val="nil"/>
              <w:right w:val="single" w:sz="8" w:space="0" w:color="E0E0E0"/>
            </w:tcBorders>
            <w:shd w:val="clear" w:color="auto" w:fill="FFFFFF"/>
            <w:vAlign w:val="bottom"/>
          </w:tcPr>
          <w:p w14:paraId="13ADBC56" w14:textId="04B04C03"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Q</w:t>
            </w:r>
            <w:r w:rsidR="002A2096" w:rsidRPr="00D11D21">
              <w:rPr>
                <w:rFonts w:asciiTheme="majorBidi" w:hAnsiTheme="majorBidi" w:cstheme="majorBidi"/>
                <w:color w:val="264A60"/>
                <w:szCs w:val="24"/>
              </w:rPr>
              <w:t>11 :</w:t>
            </w:r>
            <w:r w:rsidRPr="00D11D21">
              <w:rPr>
                <w:rFonts w:asciiTheme="majorBidi" w:hAnsiTheme="majorBidi" w:cstheme="majorBidi"/>
                <w:color w:val="264A60"/>
                <w:szCs w:val="24"/>
              </w:rPr>
              <w:t xml:space="preserve"> Disposez-vous d’un système d’information (SI) intégré pour la gestion financière ?</w:t>
            </w:r>
          </w:p>
        </w:tc>
        <w:tc>
          <w:tcPr>
            <w:tcW w:w="1190" w:type="dxa"/>
            <w:vMerge w:val="restart"/>
            <w:tcBorders>
              <w:top w:val="single" w:sz="4" w:space="0" w:color="auto"/>
              <w:left w:val="single" w:sz="8" w:space="0" w:color="E0E0E0"/>
              <w:bottom w:val="nil"/>
              <w:right w:val="single" w:sz="4" w:space="0" w:color="auto"/>
            </w:tcBorders>
            <w:shd w:val="clear" w:color="auto" w:fill="FFFFFF"/>
            <w:vAlign w:val="bottom"/>
          </w:tcPr>
          <w:p w14:paraId="0B1EED7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r>
      <w:tr w:rsidR="002210A7" w:rsidRPr="00D11D21" w14:paraId="0D312682" w14:textId="77777777" w:rsidTr="00D77543">
        <w:trPr>
          <w:cantSplit/>
          <w:trHeight w:val="113"/>
          <w:jc w:val="center"/>
        </w:trPr>
        <w:tc>
          <w:tcPr>
            <w:tcW w:w="4483" w:type="dxa"/>
            <w:gridSpan w:val="2"/>
            <w:vMerge/>
            <w:tcBorders>
              <w:top w:val="nil"/>
              <w:left w:val="single" w:sz="4" w:space="0" w:color="auto"/>
              <w:bottom w:val="nil"/>
              <w:right w:val="nil"/>
            </w:tcBorders>
            <w:shd w:val="clear" w:color="auto" w:fill="FFFFFF"/>
            <w:vAlign w:val="bottom"/>
          </w:tcPr>
          <w:p w14:paraId="37138DB5" w14:textId="77777777" w:rsidR="002210A7" w:rsidRPr="00D11D21" w:rsidRDefault="002210A7" w:rsidP="00D11D21">
            <w:pPr>
              <w:autoSpaceDE w:val="0"/>
              <w:autoSpaceDN w:val="0"/>
              <w:adjustRightInd w:val="0"/>
              <w:spacing w:after="0"/>
              <w:jc w:val="both"/>
              <w:rPr>
                <w:rFonts w:asciiTheme="majorBidi" w:hAnsiTheme="majorBidi" w:cstheme="majorBidi"/>
                <w:color w:val="264A60"/>
                <w:szCs w:val="24"/>
              </w:rPr>
            </w:pPr>
          </w:p>
        </w:tc>
        <w:tc>
          <w:tcPr>
            <w:tcW w:w="1707" w:type="dxa"/>
            <w:tcBorders>
              <w:top w:val="nil"/>
              <w:left w:val="nil"/>
              <w:bottom w:val="single" w:sz="8" w:space="0" w:color="152935"/>
              <w:right w:val="single" w:sz="8" w:space="0" w:color="E0E0E0"/>
            </w:tcBorders>
            <w:shd w:val="clear" w:color="auto" w:fill="FFFFFF"/>
            <w:vAlign w:val="bottom"/>
          </w:tcPr>
          <w:p w14:paraId="04303632" w14:textId="6E87D5A9"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707" w:type="dxa"/>
            <w:tcBorders>
              <w:top w:val="nil"/>
              <w:left w:val="single" w:sz="8" w:space="0" w:color="E0E0E0"/>
              <w:bottom w:val="single" w:sz="8" w:space="0" w:color="152935"/>
              <w:right w:val="single" w:sz="8" w:space="0" w:color="E0E0E0"/>
            </w:tcBorders>
            <w:shd w:val="clear" w:color="auto" w:fill="FFFFFF"/>
            <w:vAlign w:val="bottom"/>
          </w:tcPr>
          <w:p w14:paraId="489BBCAF" w14:textId="250C9A89" w:rsidR="002210A7" w:rsidRPr="00D11D21" w:rsidRDefault="002A2096"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710" w:type="dxa"/>
            <w:tcBorders>
              <w:top w:val="nil"/>
              <w:left w:val="single" w:sz="8" w:space="0" w:color="E0E0E0"/>
              <w:bottom w:val="single" w:sz="8" w:space="0" w:color="152935"/>
              <w:right w:val="single" w:sz="8" w:space="0" w:color="E0E0E0"/>
            </w:tcBorders>
            <w:shd w:val="clear" w:color="auto" w:fill="FFFFFF"/>
            <w:vAlign w:val="bottom"/>
          </w:tcPr>
          <w:p w14:paraId="19A258F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Partiellement</w:t>
            </w:r>
          </w:p>
        </w:tc>
        <w:tc>
          <w:tcPr>
            <w:tcW w:w="1190" w:type="dxa"/>
            <w:vMerge/>
            <w:tcBorders>
              <w:top w:val="nil"/>
              <w:left w:val="single" w:sz="8" w:space="0" w:color="E0E0E0"/>
              <w:bottom w:val="nil"/>
              <w:right w:val="single" w:sz="4" w:space="0" w:color="auto"/>
            </w:tcBorders>
            <w:shd w:val="clear" w:color="auto" w:fill="FFFFFF"/>
            <w:vAlign w:val="bottom"/>
          </w:tcPr>
          <w:p w14:paraId="043C024E" w14:textId="77777777" w:rsidR="002210A7" w:rsidRPr="00D11D21" w:rsidRDefault="002210A7" w:rsidP="00D11D21">
            <w:pPr>
              <w:autoSpaceDE w:val="0"/>
              <w:autoSpaceDN w:val="0"/>
              <w:adjustRightInd w:val="0"/>
              <w:spacing w:after="0"/>
              <w:jc w:val="both"/>
              <w:rPr>
                <w:rFonts w:asciiTheme="majorBidi" w:hAnsiTheme="majorBidi" w:cstheme="majorBidi"/>
                <w:color w:val="264A60"/>
                <w:szCs w:val="24"/>
              </w:rPr>
            </w:pPr>
          </w:p>
        </w:tc>
      </w:tr>
      <w:tr w:rsidR="002210A7" w:rsidRPr="00D11D21" w14:paraId="52452A8C" w14:textId="77777777" w:rsidTr="00D77543">
        <w:trPr>
          <w:cantSplit/>
          <w:trHeight w:val="113"/>
          <w:jc w:val="center"/>
        </w:trPr>
        <w:tc>
          <w:tcPr>
            <w:tcW w:w="2846" w:type="dxa"/>
            <w:vMerge w:val="restart"/>
            <w:tcBorders>
              <w:top w:val="single" w:sz="8" w:space="0" w:color="152935"/>
              <w:left w:val="single" w:sz="4" w:space="0" w:color="auto"/>
              <w:bottom w:val="single" w:sz="8" w:space="0" w:color="AEAEAE"/>
              <w:right w:val="nil"/>
            </w:tcBorders>
            <w:shd w:val="clear" w:color="auto" w:fill="E0E0E0"/>
          </w:tcPr>
          <w:p w14:paraId="319EF73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lastRenderedPageBreak/>
              <w:t>Q5 : Le financement actuel permet-il de couvrir l’ensemble des dépenses de fonctionnement de votre établissement ?</w:t>
            </w:r>
          </w:p>
        </w:tc>
        <w:tc>
          <w:tcPr>
            <w:tcW w:w="1637" w:type="dxa"/>
            <w:tcBorders>
              <w:top w:val="single" w:sz="8" w:space="0" w:color="152935"/>
              <w:left w:val="nil"/>
              <w:bottom w:val="single" w:sz="8" w:space="0" w:color="AEAEAE"/>
              <w:right w:val="nil"/>
            </w:tcBorders>
            <w:shd w:val="clear" w:color="auto" w:fill="E0E0E0"/>
          </w:tcPr>
          <w:p w14:paraId="3A7F808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Non</w:t>
            </w:r>
          </w:p>
        </w:tc>
        <w:tc>
          <w:tcPr>
            <w:tcW w:w="1707" w:type="dxa"/>
            <w:tcBorders>
              <w:top w:val="single" w:sz="8" w:space="0" w:color="152935"/>
              <w:left w:val="nil"/>
              <w:bottom w:val="single" w:sz="8" w:space="0" w:color="AEAEAE"/>
              <w:right w:val="single" w:sz="8" w:space="0" w:color="E0E0E0"/>
            </w:tcBorders>
            <w:shd w:val="clear" w:color="auto" w:fill="FFFFFF"/>
          </w:tcPr>
          <w:p w14:paraId="4871A82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1707" w:type="dxa"/>
            <w:tcBorders>
              <w:top w:val="single" w:sz="8" w:space="0" w:color="152935"/>
              <w:left w:val="single" w:sz="8" w:space="0" w:color="E0E0E0"/>
              <w:bottom w:val="single" w:sz="8" w:space="0" w:color="AEAEAE"/>
              <w:right w:val="single" w:sz="8" w:space="0" w:color="E0E0E0"/>
            </w:tcBorders>
            <w:shd w:val="clear" w:color="auto" w:fill="FFFFFF"/>
          </w:tcPr>
          <w:p w14:paraId="4B4DEC5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3</w:t>
            </w:r>
          </w:p>
        </w:tc>
        <w:tc>
          <w:tcPr>
            <w:tcW w:w="1710" w:type="dxa"/>
            <w:tcBorders>
              <w:top w:val="single" w:sz="8" w:space="0" w:color="152935"/>
              <w:left w:val="single" w:sz="8" w:space="0" w:color="E0E0E0"/>
              <w:bottom w:val="single" w:sz="8" w:space="0" w:color="AEAEAE"/>
              <w:right w:val="single" w:sz="8" w:space="0" w:color="E0E0E0"/>
            </w:tcBorders>
            <w:shd w:val="clear" w:color="auto" w:fill="FFFFFF"/>
          </w:tcPr>
          <w:p w14:paraId="076F9FB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190" w:type="dxa"/>
            <w:tcBorders>
              <w:top w:val="single" w:sz="8" w:space="0" w:color="152935"/>
              <w:left w:val="single" w:sz="8" w:space="0" w:color="E0E0E0"/>
              <w:bottom w:val="single" w:sz="8" w:space="0" w:color="AEAEAE"/>
              <w:right w:val="single" w:sz="4" w:space="0" w:color="auto"/>
            </w:tcBorders>
            <w:shd w:val="clear" w:color="auto" w:fill="FFFFFF"/>
          </w:tcPr>
          <w:p w14:paraId="604F037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r>
      <w:tr w:rsidR="002210A7" w:rsidRPr="00D11D21" w14:paraId="721D1D0A" w14:textId="77777777" w:rsidTr="00D77543">
        <w:trPr>
          <w:cantSplit/>
          <w:trHeight w:val="117"/>
          <w:jc w:val="center"/>
        </w:trPr>
        <w:tc>
          <w:tcPr>
            <w:tcW w:w="2846" w:type="dxa"/>
            <w:vMerge/>
            <w:tcBorders>
              <w:top w:val="single" w:sz="8" w:space="0" w:color="152935"/>
              <w:left w:val="single" w:sz="4" w:space="0" w:color="auto"/>
              <w:bottom w:val="single" w:sz="8" w:space="0" w:color="AEAEAE"/>
              <w:right w:val="nil"/>
            </w:tcBorders>
            <w:shd w:val="clear" w:color="auto" w:fill="E0E0E0"/>
          </w:tcPr>
          <w:p w14:paraId="427E24C9"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637" w:type="dxa"/>
            <w:tcBorders>
              <w:top w:val="single" w:sz="8" w:space="0" w:color="AEAEAE"/>
              <w:left w:val="nil"/>
              <w:bottom w:val="single" w:sz="8" w:space="0" w:color="AEAEAE"/>
              <w:right w:val="nil"/>
            </w:tcBorders>
            <w:shd w:val="clear" w:color="auto" w:fill="E0E0E0"/>
          </w:tcPr>
          <w:p w14:paraId="7C560A6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Oui</w:t>
            </w:r>
          </w:p>
        </w:tc>
        <w:tc>
          <w:tcPr>
            <w:tcW w:w="1707" w:type="dxa"/>
            <w:tcBorders>
              <w:top w:val="single" w:sz="8" w:space="0" w:color="AEAEAE"/>
              <w:left w:val="nil"/>
              <w:bottom w:val="single" w:sz="8" w:space="0" w:color="AEAEAE"/>
              <w:right w:val="single" w:sz="8" w:space="0" w:color="E0E0E0"/>
            </w:tcBorders>
            <w:shd w:val="clear" w:color="auto" w:fill="FFFFFF"/>
          </w:tcPr>
          <w:p w14:paraId="0BD949DD"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10</w:t>
            </w:r>
          </w:p>
        </w:tc>
        <w:tc>
          <w:tcPr>
            <w:tcW w:w="1707" w:type="dxa"/>
            <w:tcBorders>
              <w:top w:val="single" w:sz="8" w:space="0" w:color="AEAEAE"/>
              <w:left w:val="single" w:sz="8" w:space="0" w:color="E0E0E0"/>
              <w:bottom w:val="single" w:sz="8" w:space="0" w:color="AEAEAE"/>
              <w:right w:val="single" w:sz="8" w:space="0" w:color="E0E0E0"/>
            </w:tcBorders>
            <w:shd w:val="clear" w:color="auto" w:fill="FFFFFF"/>
          </w:tcPr>
          <w:p w14:paraId="29F36B4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9</w:t>
            </w:r>
          </w:p>
        </w:tc>
        <w:tc>
          <w:tcPr>
            <w:tcW w:w="1710" w:type="dxa"/>
            <w:tcBorders>
              <w:top w:val="single" w:sz="8" w:space="0" w:color="AEAEAE"/>
              <w:left w:val="single" w:sz="8" w:space="0" w:color="E0E0E0"/>
              <w:bottom w:val="single" w:sz="8" w:space="0" w:color="AEAEAE"/>
              <w:right w:val="single" w:sz="8" w:space="0" w:color="E0E0E0"/>
            </w:tcBorders>
            <w:shd w:val="clear" w:color="auto" w:fill="FFFFFF"/>
          </w:tcPr>
          <w:p w14:paraId="7A67E51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190" w:type="dxa"/>
            <w:tcBorders>
              <w:top w:val="single" w:sz="8" w:space="0" w:color="AEAEAE"/>
              <w:left w:val="single" w:sz="8" w:space="0" w:color="E0E0E0"/>
              <w:bottom w:val="single" w:sz="8" w:space="0" w:color="AEAEAE"/>
              <w:right w:val="single" w:sz="4" w:space="0" w:color="auto"/>
            </w:tcBorders>
            <w:shd w:val="clear" w:color="auto" w:fill="FFFFFF"/>
          </w:tcPr>
          <w:p w14:paraId="7ECBF90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25</w:t>
            </w:r>
          </w:p>
        </w:tc>
      </w:tr>
      <w:tr w:rsidR="002210A7" w:rsidRPr="00D11D21" w14:paraId="7914ED7B" w14:textId="77777777" w:rsidTr="00D77543">
        <w:trPr>
          <w:cantSplit/>
          <w:trHeight w:val="442"/>
          <w:jc w:val="center"/>
        </w:trPr>
        <w:tc>
          <w:tcPr>
            <w:tcW w:w="2846" w:type="dxa"/>
            <w:vMerge/>
            <w:tcBorders>
              <w:top w:val="single" w:sz="8" w:space="0" w:color="152935"/>
              <w:left w:val="single" w:sz="4" w:space="0" w:color="auto"/>
              <w:bottom w:val="single" w:sz="8" w:space="0" w:color="AEAEAE"/>
              <w:right w:val="nil"/>
            </w:tcBorders>
            <w:shd w:val="clear" w:color="auto" w:fill="E0E0E0"/>
          </w:tcPr>
          <w:p w14:paraId="61EFFBF2" w14:textId="77777777" w:rsidR="002210A7" w:rsidRPr="00D11D21" w:rsidRDefault="002210A7" w:rsidP="00D11D21">
            <w:pPr>
              <w:autoSpaceDE w:val="0"/>
              <w:autoSpaceDN w:val="0"/>
              <w:adjustRightInd w:val="0"/>
              <w:spacing w:after="0"/>
              <w:jc w:val="both"/>
              <w:rPr>
                <w:rFonts w:asciiTheme="majorBidi" w:hAnsiTheme="majorBidi" w:cstheme="majorBidi"/>
                <w:color w:val="010205"/>
                <w:szCs w:val="24"/>
              </w:rPr>
            </w:pPr>
          </w:p>
        </w:tc>
        <w:tc>
          <w:tcPr>
            <w:tcW w:w="1637" w:type="dxa"/>
            <w:tcBorders>
              <w:top w:val="single" w:sz="8" w:space="0" w:color="AEAEAE"/>
              <w:left w:val="nil"/>
              <w:bottom w:val="single" w:sz="8" w:space="0" w:color="AEAEAE"/>
              <w:right w:val="nil"/>
            </w:tcBorders>
            <w:shd w:val="clear" w:color="auto" w:fill="E0E0E0"/>
          </w:tcPr>
          <w:p w14:paraId="4EA161B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Partiellement</w:t>
            </w:r>
          </w:p>
        </w:tc>
        <w:tc>
          <w:tcPr>
            <w:tcW w:w="1707" w:type="dxa"/>
            <w:tcBorders>
              <w:top w:val="single" w:sz="8" w:space="0" w:color="AEAEAE"/>
              <w:left w:val="nil"/>
              <w:bottom w:val="single" w:sz="8" w:space="0" w:color="AEAEAE"/>
              <w:right w:val="single" w:sz="8" w:space="0" w:color="E0E0E0"/>
            </w:tcBorders>
            <w:shd w:val="clear" w:color="auto" w:fill="FFFFFF"/>
          </w:tcPr>
          <w:p w14:paraId="202F359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w:t>
            </w:r>
          </w:p>
        </w:tc>
        <w:tc>
          <w:tcPr>
            <w:tcW w:w="1707" w:type="dxa"/>
            <w:tcBorders>
              <w:top w:val="single" w:sz="8" w:space="0" w:color="AEAEAE"/>
              <w:left w:val="single" w:sz="8" w:space="0" w:color="E0E0E0"/>
              <w:bottom w:val="single" w:sz="8" w:space="0" w:color="AEAEAE"/>
              <w:right w:val="single" w:sz="8" w:space="0" w:color="E0E0E0"/>
            </w:tcBorders>
            <w:shd w:val="clear" w:color="auto" w:fill="FFFFFF"/>
          </w:tcPr>
          <w:p w14:paraId="4E271EC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w:t>
            </w:r>
          </w:p>
        </w:tc>
        <w:tc>
          <w:tcPr>
            <w:tcW w:w="1710" w:type="dxa"/>
            <w:tcBorders>
              <w:top w:val="single" w:sz="8" w:space="0" w:color="AEAEAE"/>
              <w:left w:val="single" w:sz="8" w:space="0" w:color="E0E0E0"/>
              <w:bottom w:val="single" w:sz="8" w:space="0" w:color="AEAEAE"/>
              <w:right w:val="single" w:sz="8" w:space="0" w:color="E0E0E0"/>
            </w:tcBorders>
            <w:shd w:val="clear" w:color="auto" w:fill="FFFFFF"/>
          </w:tcPr>
          <w:p w14:paraId="4DD53C2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w:t>
            </w:r>
          </w:p>
        </w:tc>
        <w:tc>
          <w:tcPr>
            <w:tcW w:w="1190" w:type="dxa"/>
            <w:tcBorders>
              <w:top w:val="single" w:sz="8" w:space="0" w:color="AEAEAE"/>
              <w:left w:val="single" w:sz="8" w:space="0" w:color="E0E0E0"/>
              <w:bottom w:val="single" w:sz="8" w:space="0" w:color="AEAEAE"/>
              <w:right w:val="single" w:sz="4" w:space="0" w:color="auto"/>
            </w:tcBorders>
            <w:shd w:val="clear" w:color="auto" w:fill="FFFFFF"/>
          </w:tcPr>
          <w:p w14:paraId="08712E9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13</w:t>
            </w:r>
          </w:p>
        </w:tc>
      </w:tr>
      <w:tr w:rsidR="002210A7" w:rsidRPr="00D11D21" w14:paraId="1DDAF674" w14:textId="77777777" w:rsidTr="00D77543">
        <w:trPr>
          <w:cantSplit/>
          <w:trHeight w:val="113"/>
          <w:jc w:val="center"/>
        </w:trPr>
        <w:tc>
          <w:tcPr>
            <w:tcW w:w="4483" w:type="dxa"/>
            <w:gridSpan w:val="2"/>
            <w:tcBorders>
              <w:top w:val="single" w:sz="8" w:space="0" w:color="AEAEAE"/>
              <w:left w:val="single" w:sz="4" w:space="0" w:color="auto"/>
              <w:bottom w:val="single" w:sz="4" w:space="0" w:color="auto"/>
              <w:right w:val="nil"/>
            </w:tcBorders>
            <w:shd w:val="clear" w:color="auto" w:fill="E0E0E0"/>
          </w:tcPr>
          <w:p w14:paraId="32E7825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Total</w:t>
            </w:r>
          </w:p>
        </w:tc>
        <w:tc>
          <w:tcPr>
            <w:tcW w:w="1707" w:type="dxa"/>
            <w:tcBorders>
              <w:top w:val="single" w:sz="8" w:space="0" w:color="AEAEAE"/>
              <w:left w:val="nil"/>
              <w:bottom w:val="single" w:sz="4" w:space="0" w:color="auto"/>
              <w:right w:val="single" w:sz="8" w:space="0" w:color="E0E0E0"/>
            </w:tcBorders>
            <w:shd w:val="clear" w:color="auto" w:fill="FFFFFF"/>
          </w:tcPr>
          <w:p w14:paraId="76802AC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22</w:t>
            </w:r>
          </w:p>
        </w:tc>
        <w:tc>
          <w:tcPr>
            <w:tcW w:w="1707" w:type="dxa"/>
            <w:tcBorders>
              <w:top w:val="single" w:sz="8" w:space="0" w:color="AEAEAE"/>
              <w:left w:val="single" w:sz="8" w:space="0" w:color="E0E0E0"/>
              <w:bottom w:val="single" w:sz="4" w:space="0" w:color="auto"/>
              <w:right w:val="single" w:sz="8" w:space="0" w:color="E0E0E0"/>
            </w:tcBorders>
            <w:shd w:val="clear" w:color="auto" w:fill="FFFFFF"/>
          </w:tcPr>
          <w:p w14:paraId="2DF6191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14</w:t>
            </w:r>
          </w:p>
        </w:tc>
        <w:tc>
          <w:tcPr>
            <w:tcW w:w="1710" w:type="dxa"/>
            <w:tcBorders>
              <w:top w:val="single" w:sz="8" w:space="0" w:color="AEAEAE"/>
              <w:left w:val="single" w:sz="8" w:space="0" w:color="E0E0E0"/>
              <w:bottom w:val="single" w:sz="4" w:space="0" w:color="auto"/>
              <w:right w:val="single" w:sz="8" w:space="0" w:color="E0E0E0"/>
            </w:tcBorders>
            <w:shd w:val="clear" w:color="auto" w:fill="FFFFFF"/>
          </w:tcPr>
          <w:p w14:paraId="552C75E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6</w:t>
            </w:r>
          </w:p>
        </w:tc>
        <w:tc>
          <w:tcPr>
            <w:tcW w:w="1190" w:type="dxa"/>
            <w:tcBorders>
              <w:top w:val="single" w:sz="8" w:space="0" w:color="AEAEAE"/>
              <w:left w:val="single" w:sz="8" w:space="0" w:color="E0E0E0"/>
              <w:bottom w:val="single" w:sz="4" w:space="0" w:color="auto"/>
              <w:right w:val="single" w:sz="4" w:space="0" w:color="auto"/>
            </w:tcBorders>
            <w:shd w:val="clear" w:color="auto" w:fill="FFFFFF"/>
          </w:tcPr>
          <w:p w14:paraId="25B4A2EC"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r>
    </w:tbl>
    <w:p w14:paraId="23687464" w14:textId="6FA52153" w:rsidR="0072042E" w:rsidRPr="00772AE8"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60A67149" w14:textId="41385D3A" w:rsidR="00480CC0" w:rsidRPr="00480CC0" w:rsidRDefault="008A7BDF" w:rsidP="00480CC0">
      <w:pPr>
        <w:pStyle w:val="Lgende"/>
        <w:keepNext/>
        <w:spacing w:line="360" w:lineRule="auto"/>
        <w:jc w:val="both"/>
        <w:rPr>
          <w:rFonts w:asciiTheme="majorBidi" w:hAnsiTheme="majorBidi" w:cstheme="majorBidi"/>
          <w:color w:val="auto"/>
          <w:sz w:val="24"/>
          <w:szCs w:val="24"/>
        </w:rPr>
      </w:pPr>
      <w:bookmarkStart w:id="246" w:name="_Toc200210151"/>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43</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Test du Khi²</w:t>
      </w:r>
      <w:bookmarkEnd w:id="246"/>
    </w:p>
    <w:tbl>
      <w:tblPr>
        <w:tblW w:w="101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55"/>
        <w:gridCol w:w="1739"/>
        <w:gridCol w:w="1739"/>
        <w:gridCol w:w="2498"/>
      </w:tblGrid>
      <w:tr w:rsidR="002210A7" w:rsidRPr="00D11D21" w14:paraId="51D2C7E4" w14:textId="77777777" w:rsidTr="00D77543">
        <w:trPr>
          <w:cantSplit/>
          <w:trHeight w:val="177"/>
          <w:jc w:val="center"/>
        </w:trPr>
        <w:tc>
          <w:tcPr>
            <w:tcW w:w="10131" w:type="dxa"/>
            <w:gridSpan w:val="4"/>
            <w:tcBorders>
              <w:top w:val="single" w:sz="4" w:space="0" w:color="auto"/>
              <w:left w:val="single" w:sz="4" w:space="0" w:color="auto"/>
              <w:bottom w:val="nil"/>
              <w:right w:val="single" w:sz="4" w:space="0" w:color="auto"/>
            </w:tcBorders>
            <w:shd w:val="clear" w:color="auto" w:fill="FFFFFF"/>
            <w:vAlign w:val="center"/>
          </w:tcPr>
          <w:p w14:paraId="34A8FBDB"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b/>
                <w:bCs/>
                <w:color w:val="010205"/>
                <w:szCs w:val="24"/>
              </w:rPr>
              <w:t>Chi-Square Tests</w:t>
            </w:r>
          </w:p>
        </w:tc>
      </w:tr>
      <w:tr w:rsidR="002210A7" w:rsidRPr="00D11D21" w14:paraId="729C7F8A" w14:textId="77777777" w:rsidTr="00D77543">
        <w:trPr>
          <w:cantSplit/>
          <w:trHeight w:val="384"/>
          <w:jc w:val="center"/>
        </w:trPr>
        <w:tc>
          <w:tcPr>
            <w:tcW w:w="4155" w:type="dxa"/>
            <w:tcBorders>
              <w:top w:val="nil"/>
              <w:left w:val="single" w:sz="4" w:space="0" w:color="auto"/>
              <w:bottom w:val="single" w:sz="8" w:space="0" w:color="152935"/>
              <w:right w:val="nil"/>
            </w:tcBorders>
            <w:shd w:val="clear" w:color="auto" w:fill="FFFFFF"/>
            <w:vAlign w:val="bottom"/>
          </w:tcPr>
          <w:p w14:paraId="1E4B4CAC"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1739" w:type="dxa"/>
            <w:tcBorders>
              <w:top w:val="nil"/>
              <w:left w:val="nil"/>
              <w:bottom w:val="single" w:sz="8" w:space="0" w:color="152935"/>
              <w:right w:val="single" w:sz="8" w:space="0" w:color="E0E0E0"/>
            </w:tcBorders>
            <w:shd w:val="clear" w:color="auto" w:fill="FFFFFF"/>
            <w:vAlign w:val="bottom"/>
          </w:tcPr>
          <w:p w14:paraId="49C929F7"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Value</w:t>
            </w:r>
          </w:p>
        </w:tc>
        <w:tc>
          <w:tcPr>
            <w:tcW w:w="1739" w:type="dxa"/>
            <w:tcBorders>
              <w:top w:val="nil"/>
              <w:left w:val="single" w:sz="8" w:space="0" w:color="E0E0E0"/>
              <w:bottom w:val="single" w:sz="8" w:space="0" w:color="152935"/>
              <w:right w:val="single" w:sz="8" w:space="0" w:color="E0E0E0"/>
            </w:tcBorders>
            <w:shd w:val="clear" w:color="auto" w:fill="FFFFFF"/>
            <w:vAlign w:val="bottom"/>
          </w:tcPr>
          <w:p w14:paraId="455BCD8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df</w:t>
            </w:r>
            <w:proofErr w:type="spellEnd"/>
          </w:p>
        </w:tc>
        <w:tc>
          <w:tcPr>
            <w:tcW w:w="2496" w:type="dxa"/>
            <w:tcBorders>
              <w:top w:val="nil"/>
              <w:left w:val="single" w:sz="8" w:space="0" w:color="E0E0E0"/>
              <w:bottom w:val="single" w:sz="8" w:space="0" w:color="152935"/>
              <w:right w:val="single" w:sz="4" w:space="0" w:color="auto"/>
            </w:tcBorders>
            <w:shd w:val="clear" w:color="auto" w:fill="FFFFFF"/>
            <w:vAlign w:val="bottom"/>
          </w:tcPr>
          <w:p w14:paraId="6DE7D9D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Asymptotic</w:t>
            </w:r>
            <w:proofErr w:type="spellEnd"/>
            <w:r w:rsidRPr="00D11D21">
              <w:rPr>
                <w:rFonts w:asciiTheme="majorBidi" w:hAnsiTheme="majorBidi" w:cstheme="majorBidi"/>
                <w:color w:val="264A60"/>
                <w:szCs w:val="24"/>
              </w:rPr>
              <w:t xml:space="preserve"> </w:t>
            </w:r>
            <w:proofErr w:type="spellStart"/>
            <w:r w:rsidRPr="00D11D21">
              <w:rPr>
                <w:rFonts w:asciiTheme="majorBidi" w:hAnsiTheme="majorBidi" w:cstheme="majorBidi"/>
                <w:color w:val="264A60"/>
                <w:szCs w:val="24"/>
              </w:rPr>
              <w:t>Significance</w:t>
            </w:r>
            <w:proofErr w:type="spellEnd"/>
            <w:r w:rsidRPr="00D11D21">
              <w:rPr>
                <w:rFonts w:asciiTheme="majorBidi" w:hAnsiTheme="majorBidi" w:cstheme="majorBidi"/>
                <w:color w:val="264A60"/>
                <w:szCs w:val="24"/>
              </w:rPr>
              <w:t xml:space="preserve"> (2-sided)</w:t>
            </w:r>
          </w:p>
        </w:tc>
      </w:tr>
      <w:tr w:rsidR="002210A7" w:rsidRPr="00D11D21" w14:paraId="4DA6619E" w14:textId="77777777" w:rsidTr="00D77543">
        <w:trPr>
          <w:cantSplit/>
          <w:trHeight w:val="177"/>
          <w:jc w:val="center"/>
        </w:trPr>
        <w:tc>
          <w:tcPr>
            <w:tcW w:w="4155" w:type="dxa"/>
            <w:tcBorders>
              <w:top w:val="single" w:sz="8" w:space="0" w:color="152935"/>
              <w:left w:val="single" w:sz="4" w:space="0" w:color="auto"/>
              <w:bottom w:val="single" w:sz="8" w:space="0" w:color="AEAEAE"/>
              <w:right w:val="nil"/>
            </w:tcBorders>
            <w:shd w:val="clear" w:color="auto" w:fill="E0E0E0"/>
          </w:tcPr>
          <w:p w14:paraId="78D5D62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Pearson Chi-Square</w:t>
            </w:r>
          </w:p>
        </w:tc>
        <w:tc>
          <w:tcPr>
            <w:tcW w:w="1739" w:type="dxa"/>
            <w:tcBorders>
              <w:top w:val="single" w:sz="8" w:space="0" w:color="152935"/>
              <w:left w:val="nil"/>
              <w:bottom w:val="single" w:sz="8" w:space="0" w:color="AEAEAE"/>
              <w:right w:val="single" w:sz="8" w:space="0" w:color="E0E0E0"/>
            </w:tcBorders>
            <w:shd w:val="clear" w:color="auto" w:fill="FFFFFF"/>
          </w:tcPr>
          <w:p w14:paraId="3E8499B6"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11,356</w:t>
            </w:r>
            <w:r w:rsidRPr="00D11D21">
              <w:rPr>
                <w:rFonts w:asciiTheme="majorBidi" w:hAnsiTheme="majorBidi" w:cstheme="majorBidi"/>
                <w:color w:val="010205"/>
                <w:szCs w:val="24"/>
                <w:vertAlign w:val="superscript"/>
              </w:rPr>
              <w:t>a</w:t>
            </w:r>
          </w:p>
        </w:tc>
        <w:tc>
          <w:tcPr>
            <w:tcW w:w="1739" w:type="dxa"/>
            <w:tcBorders>
              <w:top w:val="single" w:sz="8" w:space="0" w:color="152935"/>
              <w:left w:val="single" w:sz="8" w:space="0" w:color="E0E0E0"/>
              <w:bottom w:val="single" w:sz="8" w:space="0" w:color="AEAEAE"/>
              <w:right w:val="single" w:sz="8" w:space="0" w:color="E0E0E0"/>
            </w:tcBorders>
            <w:shd w:val="clear" w:color="auto" w:fill="FFFFFF"/>
          </w:tcPr>
          <w:p w14:paraId="0009C059"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2496" w:type="dxa"/>
            <w:tcBorders>
              <w:top w:val="single" w:sz="8" w:space="0" w:color="152935"/>
              <w:left w:val="single" w:sz="8" w:space="0" w:color="E0E0E0"/>
              <w:bottom w:val="single" w:sz="8" w:space="0" w:color="AEAEAE"/>
              <w:right w:val="single" w:sz="4" w:space="0" w:color="auto"/>
            </w:tcBorders>
            <w:shd w:val="clear" w:color="auto" w:fill="FFFFFF"/>
          </w:tcPr>
          <w:p w14:paraId="1124D90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,023</w:t>
            </w:r>
          </w:p>
        </w:tc>
      </w:tr>
      <w:tr w:rsidR="002210A7" w:rsidRPr="00D11D21" w14:paraId="7D03040F" w14:textId="77777777" w:rsidTr="00D77543">
        <w:trPr>
          <w:cantSplit/>
          <w:trHeight w:val="177"/>
          <w:jc w:val="center"/>
        </w:trPr>
        <w:tc>
          <w:tcPr>
            <w:tcW w:w="4155" w:type="dxa"/>
            <w:tcBorders>
              <w:top w:val="single" w:sz="8" w:space="0" w:color="AEAEAE"/>
              <w:left w:val="single" w:sz="4" w:space="0" w:color="auto"/>
              <w:bottom w:val="single" w:sz="8" w:space="0" w:color="AEAEAE"/>
              <w:right w:val="nil"/>
            </w:tcBorders>
            <w:shd w:val="clear" w:color="auto" w:fill="E0E0E0"/>
          </w:tcPr>
          <w:p w14:paraId="02FBD8DE"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Likelihood</w:t>
            </w:r>
            <w:proofErr w:type="spellEnd"/>
            <w:r w:rsidRPr="00D11D21">
              <w:rPr>
                <w:rFonts w:asciiTheme="majorBidi" w:hAnsiTheme="majorBidi" w:cstheme="majorBidi"/>
                <w:color w:val="264A60"/>
                <w:szCs w:val="24"/>
              </w:rPr>
              <w:t xml:space="preserve"> Ratio</w:t>
            </w:r>
          </w:p>
        </w:tc>
        <w:tc>
          <w:tcPr>
            <w:tcW w:w="1739" w:type="dxa"/>
            <w:tcBorders>
              <w:top w:val="single" w:sz="8" w:space="0" w:color="AEAEAE"/>
              <w:left w:val="nil"/>
              <w:bottom w:val="single" w:sz="8" w:space="0" w:color="AEAEAE"/>
              <w:right w:val="single" w:sz="8" w:space="0" w:color="E0E0E0"/>
            </w:tcBorders>
            <w:shd w:val="clear" w:color="auto" w:fill="FFFFFF"/>
          </w:tcPr>
          <w:p w14:paraId="12BB5E38"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13,062</w:t>
            </w:r>
          </w:p>
        </w:tc>
        <w:tc>
          <w:tcPr>
            <w:tcW w:w="1739" w:type="dxa"/>
            <w:tcBorders>
              <w:top w:val="single" w:sz="8" w:space="0" w:color="AEAEAE"/>
              <w:left w:val="single" w:sz="8" w:space="0" w:color="E0E0E0"/>
              <w:bottom w:val="single" w:sz="8" w:space="0" w:color="AEAEAE"/>
              <w:right w:val="single" w:sz="8" w:space="0" w:color="E0E0E0"/>
            </w:tcBorders>
            <w:shd w:val="clear" w:color="auto" w:fill="FFFFFF"/>
          </w:tcPr>
          <w:p w14:paraId="391A4C3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w:t>
            </w:r>
          </w:p>
        </w:tc>
        <w:tc>
          <w:tcPr>
            <w:tcW w:w="2496" w:type="dxa"/>
            <w:tcBorders>
              <w:top w:val="single" w:sz="8" w:space="0" w:color="AEAEAE"/>
              <w:left w:val="single" w:sz="8" w:space="0" w:color="E0E0E0"/>
              <w:bottom w:val="single" w:sz="8" w:space="0" w:color="AEAEAE"/>
              <w:right w:val="single" w:sz="4" w:space="0" w:color="auto"/>
            </w:tcBorders>
            <w:shd w:val="clear" w:color="auto" w:fill="FFFFFF"/>
          </w:tcPr>
          <w:p w14:paraId="40EA7122"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,011</w:t>
            </w:r>
          </w:p>
        </w:tc>
      </w:tr>
      <w:tr w:rsidR="002210A7" w:rsidRPr="00D11D21" w14:paraId="0461E862" w14:textId="77777777" w:rsidTr="00D77543">
        <w:trPr>
          <w:cantSplit/>
          <w:trHeight w:val="177"/>
          <w:jc w:val="center"/>
        </w:trPr>
        <w:tc>
          <w:tcPr>
            <w:tcW w:w="4155" w:type="dxa"/>
            <w:tcBorders>
              <w:top w:val="single" w:sz="8" w:space="0" w:color="AEAEAE"/>
              <w:left w:val="single" w:sz="4" w:space="0" w:color="auto"/>
              <w:bottom w:val="single" w:sz="8" w:space="0" w:color="AEAEAE"/>
              <w:right w:val="nil"/>
            </w:tcBorders>
            <w:shd w:val="clear" w:color="auto" w:fill="E0E0E0"/>
          </w:tcPr>
          <w:p w14:paraId="77BFA410"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proofErr w:type="spellStart"/>
            <w:r w:rsidRPr="00D11D21">
              <w:rPr>
                <w:rFonts w:asciiTheme="majorBidi" w:hAnsiTheme="majorBidi" w:cstheme="majorBidi"/>
                <w:color w:val="264A60"/>
                <w:szCs w:val="24"/>
              </w:rPr>
              <w:t>Linear</w:t>
            </w:r>
            <w:proofErr w:type="spellEnd"/>
            <w:r w:rsidRPr="00D11D21">
              <w:rPr>
                <w:rFonts w:asciiTheme="majorBidi" w:hAnsiTheme="majorBidi" w:cstheme="majorBidi"/>
                <w:color w:val="264A60"/>
                <w:szCs w:val="24"/>
              </w:rPr>
              <w:t>-by-</w:t>
            </w:r>
            <w:proofErr w:type="spellStart"/>
            <w:r w:rsidRPr="00D11D21">
              <w:rPr>
                <w:rFonts w:asciiTheme="majorBidi" w:hAnsiTheme="majorBidi" w:cstheme="majorBidi"/>
                <w:color w:val="264A60"/>
                <w:szCs w:val="24"/>
              </w:rPr>
              <w:t>Linear</w:t>
            </w:r>
            <w:proofErr w:type="spellEnd"/>
            <w:r w:rsidRPr="00D11D21">
              <w:rPr>
                <w:rFonts w:asciiTheme="majorBidi" w:hAnsiTheme="majorBidi" w:cstheme="majorBidi"/>
                <w:color w:val="264A60"/>
                <w:szCs w:val="24"/>
              </w:rPr>
              <w:t xml:space="preserve"> Association</w:t>
            </w:r>
          </w:p>
        </w:tc>
        <w:tc>
          <w:tcPr>
            <w:tcW w:w="1739" w:type="dxa"/>
            <w:tcBorders>
              <w:top w:val="single" w:sz="8" w:space="0" w:color="AEAEAE"/>
              <w:left w:val="nil"/>
              <w:bottom w:val="single" w:sz="8" w:space="0" w:color="AEAEAE"/>
              <w:right w:val="single" w:sz="8" w:space="0" w:color="E0E0E0"/>
            </w:tcBorders>
            <w:shd w:val="clear" w:color="auto" w:fill="FFFFFF"/>
          </w:tcPr>
          <w:p w14:paraId="0E05FA51"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5,363</w:t>
            </w:r>
          </w:p>
        </w:tc>
        <w:tc>
          <w:tcPr>
            <w:tcW w:w="1739" w:type="dxa"/>
            <w:tcBorders>
              <w:top w:val="single" w:sz="8" w:space="0" w:color="AEAEAE"/>
              <w:left w:val="single" w:sz="8" w:space="0" w:color="E0E0E0"/>
              <w:bottom w:val="single" w:sz="8" w:space="0" w:color="AEAEAE"/>
              <w:right w:val="single" w:sz="8" w:space="0" w:color="E0E0E0"/>
            </w:tcBorders>
            <w:shd w:val="clear" w:color="auto" w:fill="FFFFFF"/>
          </w:tcPr>
          <w:p w14:paraId="1660BCAF"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1</w:t>
            </w:r>
          </w:p>
        </w:tc>
        <w:tc>
          <w:tcPr>
            <w:tcW w:w="2496" w:type="dxa"/>
            <w:tcBorders>
              <w:top w:val="single" w:sz="8" w:space="0" w:color="AEAEAE"/>
              <w:left w:val="single" w:sz="8" w:space="0" w:color="E0E0E0"/>
              <w:bottom w:val="single" w:sz="8" w:space="0" w:color="AEAEAE"/>
              <w:right w:val="single" w:sz="4" w:space="0" w:color="auto"/>
            </w:tcBorders>
            <w:shd w:val="clear" w:color="auto" w:fill="FFFFFF"/>
          </w:tcPr>
          <w:p w14:paraId="18335573"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,021</w:t>
            </w:r>
          </w:p>
        </w:tc>
      </w:tr>
      <w:tr w:rsidR="002210A7" w:rsidRPr="00D11D21" w14:paraId="5EA7A50E" w14:textId="77777777" w:rsidTr="00D77543">
        <w:trPr>
          <w:cantSplit/>
          <w:trHeight w:val="177"/>
          <w:jc w:val="center"/>
        </w:trPr>
        <w:tc>
          <w:tcPr>
            <w:tcW w:w="4155" w:type="dxa"/>
            <w:tcBorders>
              <w:top w:val="single" w:sz="8" w:space="0" w:color="AEAEAE"/>
              <w:left w:val="single" w:sz="4" w:space="0" w:color="auto"/>
              <w:bottom w:val="single" w:sz="8" w:space="0" w:color="152935"/>
              <w:right w:val="nil"/>
            </w:tcBorders>
            <w:shd w:val="clear" w:color="auto" w:fill="E0E0E0"/>
          </w:tcPr>
          <w:p w14:paraId="3B1CB5A5"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264A60"/>
                <w:szCs w:val="24"/>
              </w:rPr>
            </w:pPr>
            <w:r w:rsidRPr="00D11D21">
              <w:rPr>
                <w:rFonts w:asciiTheme="majorBidi" w:hAnsiTheme="majorBidi" w:cstheme="majorBidi"/>
                <w:color w:val="264A60"/>
                <w:szCs w:val="24"/>
              </w:rPr>
              <w:t xml:space="preserve">N of </w:t>
            </w:r>
            <w:proofErr w:type="spellStart"/>
            <w:r w:rsidRPr="00D11D21">
              <w:rPr>
                <w:rFonts w:asciiTheme="majorBidi" w:hAnsiTheme="majorBidi" w:cstheme="majorBidi"/>
                <w:color w:val="264A60"/>
                <w:szCs w:val="24"/>
              </w:rPr>
              <w:t>Valid</w:t>
            </w:r>
            <w:proofErr w:type="spellEnd"/>
            <w:r w:rsidRPr="00D11D21">
              <w:rPr>
                <w:rFonts w:asciiTheme="majorBidi" w:hAnsiTheme="majorBidi" w:cstheme="majorBidi"/>
                <w:color w:val="264A60"/>
                <w:szCs w:val="24"/>
              </w:rPr>
              <w:t xml:space="preserve"> Cases</w:t>
            </w:r>
          </w:p>
        </w:tc>
        <w:tc>
          <w:tcPr>
            <w:tcW w:w="1739" w:type="dxa"/>
            <w:tcBorders>
              <w:top w:val="single" w:sz="8" w:space="0" w:color="AEAEAE"/>
              <w:left w:val="nil"/>
              <w:bottom w:val="single" w:sz="8" w:space="0" w:color="152935"/>
              <w:right w:val="single" w:sz="8" w:space="0" w:color="E0E0E0"/>
            </w:tcBorders>
            <w:shd w:val="clear" w:color="auto" w:fill="FFFFFF"/>
          </w:tcPr>
          <w:p w14:paraId="57713DB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rPr>
            </w:pPr>
            <w:r w:rsidRPr="00D11D21">
              <w:rPr>
                <w:rFonts w:asciiTheme="majorBidi" w:hAnsiTheme="majorBidi" w:cstheme="majorBidi"/>
                <w:color w:val="010205"/>
                <w:szCs w:val="24"/>
              </w:rPr>
              <w:t>42</w:t>
            </w:r>
          </w:p>
        </w:tc>
        <w:tc>
          <w:tcPr>
            <w:tcW w:w="173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E58F629"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c>
          <w:tcPr>
            <w:tcW w:w="2496" w:type="dxa"/>
            <w:tcBorders>
              <w:top w:val="single" w:sz="8" w:space="0" w:color="AEAEAE"/>
              <w:left w:val="single" w:sz="8" w:space="0" w:color="E0E0E0"/>
              <w:bottom w:val="single" w:sz="8" w:space="0" w:color="152935"/>
              <w:right w:val="single" w:sz="4" w:space="0" w:color="auto"/>
            </w:tcBorders>
            <w:shd w:val="clear" w:color="auto" w:fill="FFFFFF"/>
            <w:vAlign w:val="center"/>
          </w:tcPr>
          <w:p w14:paraId="25E85F95" w14:textId="77777777" w:rsidR="002210A7" w:rsidRPr="00D11D21" w:rsidRDefault="002210A7" w:rsidP="00D11D21">
            <w:pPr>
              <w:autoSpaceDE w:val="0"/>
              <w:autoSpaceDN w:val="0"/>
              <w:adjustRightInd w:val="0"/>
              <w:spacing w:after="0"/>
              <w:jc w:val="both"/>
              <w:rPr>
                <w:rFonts w:asciiTheme="majorBidi" w:hAnsiTheme="majorBidi" w:cstheme="majorBidi"/>
                <w:szCs w:val="24"/>
              </w:rPr>
            </w:pPr>
          </w:p>
        </w:tc>
      </w:tr>
      <w:tr w:rsidR="002210A7" w:rsidRPr="0095621A" w14:paraId="5871D2FA" w14:textId="77777777" w:rsidTr="00D77543">
        <w:trPr>
          <w:cantSplit/>
          <w:trHeight w:val="260"/>
          <w:jc w:val="center"/>
        </w:trPr>
        <w:tc>
          <w:tcPr>
            <w:tcW w:w="10131" w:type="dxa"/>
            <w:gridSpan w:val="4"/>
            <w:tcBorders>
              <w:top w:val="nil"/>
              <w:left w:val="single" w:sz="4" w:space="0" w:color="auto"/>
              <w:bottom w:val="single" w:sz="4" w:space="0" w:color="auto"/>
              <w:right w:val="single" w:sz="4" w:space="0" w:color="auto"/>
            </w:tcBorders>
            <w:shd w:val="clear" w:color="auto" w:fill="FFFFFF"/>
          </w:tcPr>
          <w:p w14:paraId="6073E054" w14:textId="77777777" w:rsidR="002210A7" w:rsidRPr="00D11D21" w:rsidRDefault="002210A7" w:rsidP="00D11D21">
            <w:pPr>
              <w:autoSpaceDE w:val="0"/>
              <w:autoSpaceDN w:val="0"/>
              <w:adjustRightInd w:val="0"/>
              <w:spacing w:after="0"/>
              <w:ind w:left="60" w:right="60"/>
              <w:jc w:val="both"/>
              <w:rPr>
                <w:rFonts w:asciiTheme="majorBidi" w:hAnsiTheme="majorBidi" w:cstheme="majorBidi"/>
                <w:color w:val="010205"/>
                <w:szCs w:val="24"/>
                <w:lang w:val="en-CA"/>
              </w:rPr>
            </w:pPr>
            <w:r w:rsidRPr="00D11D21">
              <w:rPr>
                <w:rFonts w:asciiTheme="majorBidi" w:hAnsiTheme="majorBidi" w:cstheme="majorBidi"/>
                <w:color w:val="010205"/>
                <w:szCs w:val="24"/>
                <w:lang w:val="en-CA"/>
              </w:rPr>
              <w:t>a. 6 cells (66, 7%) have expected count less than 5. The minimum expected count is, 57.</w:t>
            </w:r>
          </w:p>
        </w:tc>
      </w:tr>
    </w:tbl>
    <w:p w14:paraId="1C89CD80" w14:textId="10367546" w:rsidR="002210A7" w:rsidRPr="00D11D21" w:rsidRDefault="002210A7" w:rsidP="00772AE8">
      <w:pPr>
        <w:autoSpaceDE w:val="0"/>
        <w:autoSpaceDN w:val="0"/>
        <w:adjustRightInd w:val="0"/>
        <w:spacing w:after="0"/>
        <w:jc w:val="both"/>
        <w:rPr>
          <w:rFonts w:asciiTheme="majorBidi" w:hAnsiTheme="majorBidi" w:cstheme="majorBidi"/>
          <w:szCs w:val="24"/>
        </w:rPr>
      </w:pPr>
      <w:r w:rsidRPr="00D11D21">
        <w:rPr>
          <w:rFonts w:asciiTheme="majorBidi" w:hAnsiTheme="majorBidi" w:cstheme="majorBidi"/>
          <w:b/>
          <w:bCs/>
          <w:szCs w:val="24"/>
        </w:rPr>
        <w:t>Source :</w:t>
      </w:r>
      <w:r w:rsidRPr="00D11D21">
        <w:rPr>
          <w:rFonts w:asciiTheme="majorBidi" w:hAnsiTheme="majorBidi" w:cstheme="majorBidi"/>
          <w:szCs w:val="24"/>
        </w:rPr>
        <w:t xml:space="preserve"> Conception pers</w:t>
      </w:r>
      <w:r w:rsidR="00772AE8">
        <w:rPr>
          <w:rFonts w:asciiTheme="majorBidi" w:hAnsiTheme="majorBidi" w:cstheme="majorBidi"/>
          <w:szCs w:val="24"/>
        </w:rPr>
        <w:t>onnelle sur le logiciel SPSS 26</w:t>
      </w:r>
    </w:p>
    <w:p w14:paraId="6D9D5C79" w14:textId="77777777" w:rsidR="002210A7" w:rsidRPr="00D11D21" w:rsidRDefault="002210A7" w:rsidP="00D11D21">
      <w:pPr>
        <w:jc w:val="both"/>
        <w:rPr>
          <w:rFonts w:asciiTheme="majorBidi" w:hAnsiTheme="majorBidi" w:cstheme="majorBidi"/>
          <w:b/>
          <w:bCs/>
          <w:szCs w:val="24"/>
        </w:rPr>
      </w:pPr>
      <w:r w:rsidRPr="00D11D21">
        <w:rPr>
          <w:rFonts w:asciiTheme="majorBidi" w:hAnsiTheme="majorBidi" w:cstheme="majorBidi"/>
          <w:b/>
          <w:bCs/>
          <w:szCs w:val="24"/>
        </w:rPr>
        <w:t xml:space="preserve">Commentaire : </w:t>
      </w:r>
    </w:p>
    <w:p w14:paraId="48F177E8" w14:textId="77777777" w:rsidR="002210A7" w:rsidRPr="00D11D21" w:rsidRDefault="002210A7" w:rsidP="00D11D21">
      <w:pPr>
        <w:shd w:val="clear" w:color="auto" w:fill="FFFFFF" w:themeFill="background1"/>
        <w:ind w:firstLine="360"/>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Les résultats montrent que les établissements ayant un système d'information intégré pour la gestion financière sont plus nombreux à considérer que le financement actuel couvre l'ensemble des dépenses de fonctionnement (10 sur 22 pour le cas "Oui"). En revanche, parmi ceux qui n'ont pas de système intégré, un plus grand nombre indique que le financement ne couvre pas l'ensemble des dépenses (3 sur 14). Il en ressort une corrélation entre la présence d'un SI intégré et la couverture des dépenses de fonctionnement par le financement.</w:t>
      </w:r>
    </w:p>
    <w:p w14:paraId="7291D320" w14:textId="77777777" w:rsidR="002210A7" w:rsidRPr="00D11D21" w:rsidRDefault="002210A7" w:rsidP="00D11D21">
      <w:pPr>
        <w:shd w:val="clear" w:color="auto" w:fill="FFFFFF" w:themeFill="background1"/>
        <w:ind w:left="360" w:firstLine="34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Le test du chi-carré a révélé une association significative entre la couverture des dépenses de fonctionnement et la présence d'un système d'information (SI) intégré dans les établissements.</w:t>
      </w:r>
    </w:p>
    <w:p w14:paraId="5F5D5647" w14:textId="77777777" w:rsidR="002210A7" w:rsidRPr="00D11D21" w:rsidRDefault="002210A7" w:rsidP="00D11D21">
      <w:pPr>
        <w:pStyle w:val="Paragraphedeliste"/>
        <w:numPr>
          <w:ilvl w:val="0"/>
          <w:numId w:val="64"/>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La p-value est 0,023, ce qui est inférieur à 0,05. Cela signifie qu'il y a une relation entre ces deux facteurs.</w:t>
      </w:r>
    </w:p>
    <w:p w14:paraId="1AC3D21D" w14:textId="77777777" w:rsidR="002210A7" w:rsidRPr="00D11D21" w:rsidRDefault="002210A7" w:rsidP="00D11D21">
      <w:pPr>
        <w:pStyle w:val="Paragraphedeliste"/>
        <w:numPr>
          <w:ilvl w:val="0"/>
          <w:numId w:val="64"/>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En d'autres termes, les établissements qui disposent d'un SI intégré semblent mieux couvrir leurs dépenses de fonctionnement.</w:t>
      </w:r>
    </w:p>
    <w:p w14:paraId="656060B9" w14:textId="77777777" w:rsidR="002210A7" w:rsidRPr="00D11D21" w:rsidRDefault="002210A7" w:rsidP="00D11D21">
      <w:pPr>
        <w:shd w:val="clear" w:color="auto" w:fill="FFFFFF" w:themeFill="background1"/>
        <w:ind w:left="360" w:firstLine="348"/>
        <w:jc w:val="both"/>
        <w:rPr>
          <w:rFonts w:asciiTheme="majorBidi" w:hAnsiTheme="majorBidi" w:cstheme="majorBidi"/>
          <w:color w:val="000000" w:themeColor="text1"/>
          <w:szCs w:val="24"/>
        </w:rPr>
      </w:pPr>
      <w:r w:rsidRPr="00D11D21">
        <w:rPr>
          <w:rFonts w:asciiTheme="majorBidi" w:hAnsiTheme="majorBidi" w:cstheme="majorBidi"/>
          <w:color w:val="000000" w:themeColor="text1"/>
          <w:szCs w:val="24"/>
        </w:rPr>
        <w:t>Donc, on peut conclure qu'un SI intégré pourrait avoir un impact sur la gestion des finances dans les établissements.</w:t>
      </w:r>
    </w:p>
    <w:p w14:paraId="3D6B9045" w14:textId="77777777" w:rsidR="002210A7" w:rsidRPr="00D11D21" w:rsidRDefault="002210A7" w:rsidP="00D11D21">
      <w:pPr>
        <w:pStyle w:val="Paragraphedeliste"/>
        <w:numPr>
          <w:ilvl w:val="0"/>
          <w:numId w:val="65"/>
        </w:numPr>
        <w:shd w:val="clear" w:color="auto" w:fill="FFFFFF" w:themeFill="background1"/>
        <w:spacing w:after="160" w:line="360" w:lineRule="auto"/>
        <w:jc w:val="both"/>
        <w:rPr>
          <w:rFonts w:asciiTheme="majorBidi" w:hAnsiTheme="majorBidi" w:cstheme="majorBidi"/>
          <w:color w:val="000000" w:themeColor="text1"/>
          <w:szCs w:val="24"/>
        </w:rPr>
      </w:pPr>
      <w:r w:rsidRPr="00D11D21">
        <w:rPr>
          <w:rFonts w:asciiTheme="majorBidi" w:hAnsiTheme="majorBidi" w:cstheme="majorBidi"/>
          <w:b/>
          <w:bCs/>
          <w:color w:val="000000" w:themeColor="text1"/>
          <w:szCs w:val="24"/>
        </w:rPr>
        <w:lastRenderedPageBreak/>
        <w:t xml:space="preserve">Les résultats nous permettent de conclure que H2 est confirmée : </w:t>
      </w:r>
      <w:r w:rsidRPr="00D11D21">
        <w:rPr>
          <w:rFonts w:asciiTheme="majorBidi" w:hAnsiTheme="majorBidi" w:cstheme="majorBidi"/>
          <w:color w:val="000000" w:themeColor="text1"/>
          <w:szCs w:val="24"/>
        </w:rPr>
        <w:t>Les hôpitaux disposant d’un SI intégré gèrent plus efficacement leurs finances, ce qui renforce l’idée que ce type de système améliore la gestion des dépenses hospitalières.</w:t>
      </w:r>
    </w:p>
    <w:p w14:paraId="628A7298" w14:textId="77777777" w:rsidR="002210A7" w:rsidRPr="00D11D21" w:rsidRDefault="002210A7" w:rsidP="00D11D21">
      <w:pPr>
        <w:pStyle w:val="Titre3"/>
        <w:numPr>
          <w:ilvl w:val="0"/>
          <w:numId w:val="92"/>
        </w:numPr>
        <w:spacing w:line="360" w:lineRule="auto"/>
        <w:rPr>
          <w:rFonts w:asciiTheme="majorBidi" w:hAnsiTheme="majorBidi" w:cstheme="majorBidi"/>
          <w:szCs w:val="24"/>
        </w:rPr>
      </w:pPr>
      <w:bookmarkStart w:id="247" w:name="_Toc199958920"/>
      <w:r w:rsidRPr="00D11D21">
        <w:rPr>
          <w:rFonts w:asciiTheme="majorBidi" w:hAnsiTheme="majorBidi" w:cstheme="majorBidi"/>
          <w:szCs w:val="24"/>
        </w:rPr>
        <w:t>Synthèse du questionnaire des établissements hospitaliers</w:t>
      </w:r>
      <w:bookmarkEnd w:id="247"/>
    </w:p>
    <w:p w14:paraId="745B0EA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Les résultats du questionnaire destiné aux établissements hospitaliers montrent que, bien que plusieurs hôpitaux disposent d’un système d’information, celui-ci est rarement complet ou interconnecté avec les autres parties prenantes (CNAS, ministère, etc.). De nombreux répondants expriment une insatisfaction face au mode de financement actuel, jugé partiellement ou non suffisant pour couvrir les dépenses de fonctionnement. En revanche, les établissements qui déclarent disposer d’un SI intégré sont plus nombreux à indiquer que le financement actuel couvre leurs dépenses, ce qui tend à confirmer le rôle positif du SI dans l’amélioration de la gestion financière. La majorité des répondants se montrent favorables à une réforme du financement, en particulier si celle-ci s’appuie sur une reconnaissance des efforts réels des struct</w:t>
      </w:r>
      <w:r w:rsidR="001A3A3A" w:rsidRPr="00D11D21">
        <w:rPr>
          <w:rFonts w:asciiTheme="majorBidi" w:hAnsiTheme="majorBidi" w:cstheme="majorBidi"/>
        </w:rPr>
        <w:t>ures en matière de performance.</w:t>
      </w:r>
    </w:p>
    <w:p w14:paraId="644E09E9" w14:textId="77777777" w:rsidR="002210A7" w:rsidRPr="00D11D21" w:rsidRDefault="002210A7" w:rsidP="00D11D21">
      <w:pPr>
        <w:pStyle w:val="Titre1"/>
        <w:jc w:val="both"/>
        <w:rPr>
          <w:rFonts w:asciiTheme="majorBidi" w:hAnsiTheme="majorBidi"/>
          <w:sz w:val="24"/>
          <w:szCs w:val="24"/>
        </w:rPr>
      </w:pPr>
      <w:bookmarkStart w:id="248" w:name="_Toc199958921"/>
      <w:r w:rsidRPr="00D11D21">
        <w:rPr>
          <w:rFonts w:asciiTheme="majorBidi" w:hAnsiTheme="majorBidi"/>
          <w:sz w:val="24"/>
          <w:szCs w:val="24"/>
        </w:rPr>
        <w:t>Section 2 : Étude de fais</w:t>
      </w:r>
      <w:r w:rsidR="001A3A3A" w:rsidRPr="00D11D21">
        <w:rPr>
          <w:rFonts w:asciiTheme="majorBidi" w:hAnsiTheme="majorBidi"/>
          <w:sz w:val="24"/>
          <w:szCs w:val="24"/>
        </w:rPr>
        <w:t>abilité du modèle mixte proposé</w:t>
      </w:r>
      <w:bookmarkEnd w:id="248"/>
    </w:p>
    <w:p w14:paraId="20DF298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Face aux limites du système de financement hospitalier actuel basé essentiellement sur le budget global, il devient impératif d’envisager des modèles plus dynamiques, transparents et équitables. C’est dans cette section qu’un modèle de financement mixte est proposé, combinant une base fixe assurée par l’État ou la sécurité sociale et une part variable indexée sur l’activité réelle des établissements, mesurée à l’aide d’un système d’information performant.</w:t>
      </w:r>
    </w:p>
    <w:p w14:paraId="2C49F45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 modèle s’inspire des expériences internationales telles que la Tarification à l’Activité (T2A), les Groupes Homogènes de Malades (GHM), ou encore les systèmes DRG, tout en tenant compte des spécificités et contraintes du système de santé algérien.</w:t>
      </w:r>
    </w:p>
    <w:p w14:paraId="2C309470"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L’objectif principal de ce modèle est de renforcer la performance des hôpitaux, favoriser une meilleure allocation des ressources, améliorer la qualité des soins, et assurer une transparence accrue dans l’utilisation des fonds publics.</w:t>
      </w:r>
    </w:p>
    <w:p w14:paraId="5EBB61C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Cette section vise à présenter en détail les composantes de ce modèle, son mode de fonctionnement envisagé, ainsi que les résultats escomptés en matière d'efficacité, d'équité et de soutenabilité financière.</w:t>
      </w:r>
    </w:p>
    <w:p w14:paraId="55A402DD" w14:textId="77777777" w:rsidR="002210A7" w:rsidRPr="00D11D21" w:rsidRDefault="002210A7" w:rsidP="00D11D21">
      <w:pPr>
        <w:pStyle w:val="Titre5"/>
        <w:numPr>
          <w:ilvl w:val="0"/>
          <w:numId w:val="148"/>
        </w:numPr>
        <w:rPr>
          <w:rFonts w:asciiTheme="majorBidi" w:hAnsiTheme="majorBidi"/>
          <w:szCs w:val="24"/>
        </w:rPr>
      </w:pPr>
      <w:r w:rsidRPr="00D11D21">
        <w:rPr>
          <w:rFonts w:asciiTheme="majorBidi" w:hAnsiTheme="majorBidi"/>
          <w:szCs w:val="24"/>
        </w:rPr>
        <w:lastRenderedPageBreak/>
        <w:t>Présentation du modèle de financement mixte imaginé</w:t>
      </w:r>
    </w:p>
    <w:p w14:paraId="100EA8C3"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modèle de financement mixte proposé vise à moderniser et améliorer le système actuel de financement des hôpitaux en Algérie. Il s’agit d’un système hybride combinant à la fois la sécurité d’un financement stable et la flexibilité d’un financement lié à l’activité réelle des établissements.</w:t>
      </w:r>
    </w:p>
    <w:p w14:paraId="1D6CF77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Cette approche s’inspire des expériences internationales, notamment des mécanismes de tarification à l’activité (T2A) et des systèmes de classification médicale (PMSI, DRG), tout en étant adaptée aux spécificités et contraintes du contexte algérien.</w:t>
      </w:r>
    </w:p>
    <w:p w14:paraId="785E53AA"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L’objectif principal est de concilier plusieurs enjeux : garantir un accès équitable et stable aux soins, encourager l’efficience et la qualité, améliorer la transparence dans l’allocation des ressources, et favoriser une gestion hospitalière plus dynamique et responsable.</w:t>
      </w:r>
    </w:p>
    <w:p w14:paraId="55BC8CE1"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Pour répondre à ces objectifs, le modèle s’appuie sur deux composantes complémentaires, que nous allons détailler : d’une part, une base fixe assurant la stabilité financière des établissements, et d’autre part, une part variable liée à l’activité réelle, destinée à encourager la performance et une meilleure allocation des ressources.</w:t>
      </w:r>
    </w:p>
    <w:p w14:paraId="3D7571C6" w14:textId="77777777" w:rsidR="002210A7" w:rsidRPr="00D11D21" w:rsidRDefault="002210A7" w:rsidP="00D11D21">
      <w:pPr>
        <w:pStyle w:val="Titre2"/>
        <w:numPr>
          <w:ilvl w:val="0"/>
          <w:numId w:val="149"/>
        </w:numPr>
        <w:rPr>
          <w:rFonts w:asciiTheme="majorBidi" w:hAnsiTheme="majorBidi"/>
          <w:szCs w:val="24"/>
        </w:rPr>
      </w:pPr>
      <w:bookmarkStart w:id="249" w:name="_Toc199958922"/>
      <w:r w:rsidRPr="00D11D21">
        <w:rPr>
          <w:rFonts w:asciiTheme="majorBidi" w:hAnsiTheme="majorBidi"/>
          <w:szCs w:val="24"/>
        </w:rPr>
        <w:t>Une base fixe assurée par l’État ou la sécurité sociale</w:t>
      </w:r>
      <w:bookmarkEnd w:id="249"/>
    </w:p>
    <w:p w14:paraId="5D9A9132"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Dans le modèle de financement mixte envisagé, la première composante consiste en une base fixe attribuée de manière annuelle et prévisible par l’État et les caisses de sécurité sociale. Cette base constitue le socle de financement solidaire destiné à garantir un accès universel, équitable et continu aux soins, quel que soit le niveau d’activité d’un établissement de santé.</w:t>
      </w:r>
    </w:p>
    <w:p w14:paraId="0DC103F5" w14:textId="4DDC5386"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Cette dotation de base vise à :</w:t>
      </w:r>
    </w:p>
    <w:p w14:paraId="40C18AD9" w14:textId="0FD9F7C8" w:rsidR="002210A7" w:rsidRPr="00D11D21" w:rsidRDefault="002210A7" w:rsidP="00D11D21">
      <w:pPr>
        <w:pStyle w:val="NormalWeb"/>
        <w:numPr>
          <w:ilvl w:val="0"/>
          <w:numId w:val="13"/>
        </w:numPr>
        <w:spacing w:line="360" w:lineRule="auto"/>
        <w:jc w:val="both"/>
        <w:rPr>
          <w:rFonts w:asciiTheme="majorBidi" w:hAnsiTheme="majorBidi" w:cstheme="majorBidi"/>
        </w:rPr>
      </w:pPr>
      <w:r w:rsidRPr="00D11D21">
        <w:rPr>
          <w:rFonts w:asciiTheme="majorBidi" w:hAnsiTheme="majorBidi" w:cstheme="majorBidi"/>
        </w:rPr>
        <w:t>Couvrir les coûts incompressibles de fonctionnement (salaires, charge</w:t>
      </w:r>
      <w:r w:rsidR="005C3BEE">
        <w:rPr>
          <w:rFonts w:asciiTheme="majorBidi" w:hAnsiTheme="majorBidi" w:cstheme="majorBidi"/>
        </w:rPr>
        <w:t xml:space="preserve">s, maintenance minimale, etc.) </w:t>
      </w:r>
    </w:p>
    <w:p w14:paraId="5BF86D30" w14:textId="77777777" w:rsidR="002210A7" w:rsidRPr="00D11D21" w:rsidRDefault="002210A7" w:rsidP="00D11D21">
      <w:pPr>
        <w:pStyle w:val="NormalWeb"/>
        <w:numPr>
          <w:ilvl w:val="0"/>
          <w:numId w:val="13"/>
        </w:numPr>
        <w:spacing w:line="360" w:lineRule="auto"/>
        <w:jc w:val="both"/>
        <w:rPr>
          <w:rFonts w:asciiTheme="majorBidi" w:hAnsiTheme="majorBidi" w:cstheme="majorBidi"/>
        </w:rPr>
      </w:pPr>
      <w:r w:rsidRPr="00D11D21">
        <w:rPr>
          <w:rFonts w:asciiTheme="majorBidi" w:hAnsiTheme="majorBidi" w:cstheme="majorBidi"/>
        </w:rPr>
        <w:t>Préserver l’égalité territoriale en matière de santé, notamment dans les zones défavorisées ou à faible activité ;</w:t>
      </w:r>
    </w:p>
    <w:p w14:paraId="6481B9C7" w14:textId="77777777" w:rsidR="002210A7" w:rsidRPr="00D11D21" w:rsidRDefault="002210A7" w:rsidP="00D11D21">
      <w:pPr>
        <w:pStyle w:val="NormalWeb"/>
        <w:numPr>
          <w:ilvl w:val="0"/>
          <w:numId w:val="13"/>
        </w:numPr>
        <w:spacing w:line="360" w:lineRule="auto"/>
        <w:jc w:val="both"/>
        <w:rPr>
          <w:rFonts w:asciiTheme="majorBidi" w:hAnsiTheme="majorBidi" w:cstheme="majorBidi"/>
        </w:rPr>
      </w:pPr>
      <w:r w:rsidRPr="00D11D21">
        <w:rPr>
          <w:rFonts w:asciiTheme="majorBidi" w:hAnsiTheme="majorBidi" w:cstheme="majorBidi"/>
        </w:rPr>
        <w:t>Protéger les établissements de soins d’une instabilité financière liée à des fluctuations d’activité conjoncturelles.</w:t>
      </w:r>
    </w:p>
    <w:p w14:paraId="5FC10459"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Pourquoi maintenir une base fixe en Algérie ?</w:t>
      </w:r>
    </w:p>
    <w:p w14:paraId="0AD0AA3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Dans le contexte algérien, le maintien d’une base fixe est indispensable pour préserver le principe fondamental de gratuité des soins dans les structures publiques. En effet, l’État garantit un accès aux </w:t>
      </w:r>
      <w:r w:rsidRPr="00D11D21">
        <w:rPr>
          <w:rFonts w:asciiTheme="majorBidi" w:hAnsiTheme="majorBidi" w:cstheme="majorBidi"/>
        </w:rPr>
        <w:lastRenderedPageBreak/>
        <w:t>soins pour tous, sans discrimination liée au revenu, et les prestations hospitalières sont en grande partie gratuites ou proposées à des tarifs symboliques. Ce choix politique repose sur une logique de solidarité nationale et de justice sociale, et justifie pleinement l’existence d’un financement public stable couvrant les besoins essentiels.</w:t>
      </w:r>
    </w:p>
    <w:p w14:paraId="021FD32F"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Par conséquent, la base fixe n’est pas un simple héritage du passé, mais un mécanisme nécessaire pour assurer le bon fonctionnement du service public hospitalier, dans un pays où la rentabilité ne peut être le seul critère d’allocation des ressources. Elle permet également de garantir :</w:t>
      </w:r>
    </w:p>
    <w:p w14:paraId="19F57091" w14:textId="77777777" w:rsidR="002210A7" w:rsidRPr="00D11D21" w:rsidRDefault="002210A7" w:rsidP="00D11D21">
      <w:pPr>
        <w:pStyle w:val="NormalWeb"/>
        <w:numPr>
          <w:ilvl w:val="0"/>
          <w:numId w:val="14"/>
        </w:numPr>
        <w:spacing w:line="360" w:lineRule="auto"/>
        <w:jc w:val="both"/>
        <w:rPr>
          <w:rFonts w:asciiTheme="majorBidi" w:hAnsiTheme="majorBidi" w:cstheme="majorBidi"/>
        </w:rPr>
      </w:pPr>
      <w:r w:rsidRPr="00D11D21">
        <w:rPr>
          <w:rFonts w:asciiTheme="majorBidi" w:hAnsiTheme="majorBidi" w:cstheme="majorBidi"/>
        </w:rPr>
        <w:t>Une continuité des soins même en cas de faible fréquentation ou de crises sanitaires,</w:t>
      </w:r>
    </w:p>
    <w:p w14:paraId="77EC30E2" w14:textId="77777777" w:rsidR="002210A7" w:rsidRPr="00D11D21" w:rsidRDefault="002210A7" w:rsidP="00D11D21">
      <w:pPr>
        <w:pStyle w:val="NormalWeb"/>
        <w:numPr>
          <w:ilvl w:val="0"/>
          <w:numId w:val="14"/>
        </w:numPr>
        <w:spacing w:line="360" w:lineRule="auto"/>
        <w:jc w:val="both"/>
        <w:rPr>
          <w:rFonts w:asciiTheme="majorBidi" w:hAnsiTheme="majorBidi" w:cstheme="majorBidi"/>
        </w:rPr>
      </w:pPr>
      <w:r w:rsidRPr="00D11D21">
        <w:rPr>
          <w:rFonts w:asciiTheme="majorBidi" w:hAnsiTheme="majorBidi" w:cstheme="majorBidi"/>
        </w:rPr>
        <w:t>Une prise en charge équitable des populations vulnérables,</w:t>
      </w:r>
    </w:p>
    <w:p w14:paraId="3B1C4683" w14:textId="77777777" w:rsidR="002210A7" w:rsidRPr="00D11D21" w:rsidRDefault="002210A7" w:rsidP="00D11D21">
      <w:pPr>
        <w:pStyle w:val="NormalWeb"/>
        <w:numPr>
          <w:ilvl w:val="0"/>
          <w:numId w:val="14"/>
        </w:numPr>
        <w:spacing w:line="360" w:lineRule="auto"/>
        <w:jc w:val="both"/>
        <w:rPr>
          <w:rFonts w:asciiTheme="majorBidi" w:hAnsiTheme="majorBidi" w:cstheme="majorBidi"/>
        </w:rPr>
      </w:pPr>
      <w:r w:rsidRPr="00D11D21">
        <w:rPr>
          <w:rFonts w:asciiTheme="majorBidi" w:hAnsiTheme="majorBidi" w:cstheme="majorBidi"/>
        </w:rPr>
        <w:t>Et le respect du droit à la santé, inscrit dans les principes fondamentaux du système de santé algérien.</w:t>
      </w:r>
    </w:p>
    <w:p w14:paraId="46C9E588"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Un socle repensé, fondé sur des critères objectifs :</w:t>
      </w:r>
    </w:p>
    <w:p w14:paraId="4A77795B"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Contrairement au budget global traditionnel, souvent fondé sur des reconductions historiques, la base fixe proposée serait déterminée selon des </w:t>
      </w:r>
      <w:r w:rsidRPr="00D11D21">
        <w:rPr>
          <w:rFonts w:asciiTheme="majorBidi" w:hAnsiTheme="majorBidi" w:cstheme="majorBidi"/>
          <w:b/>
          <w:bCs/>
        </w:rPr>
        <w:t>critères objectifs et transparents</w:t>
      </w:r>
      <w:r w:rsidRPr="00D11D21">
        <w:rPr>
          <w:rFonts w:asciiTheme="majorBidi" w:hAnsiTheme="majorBidi" w:cstheme="majorBidi"/>
        </w:rPr>
        <w:t>, tels que :</w:t>
      </w:r>
    </w:p>
    <w:p w14:paraId="647787ED" w14:textId="77777777" w:rsidR="002210A7" w:rsidRPr="00D11D21" w:rsidRDefault="002210A7" w:rsidP="00D11D21">
      <w:pPr>
        <w:pStyle w:val="NormalWeb"/>
        <w:numPr>
          <w:ilvl w:val="0"/>
          <w:numId w:val="15"/>
        </w:numPr>
        <w:spacing w:line="360" w:lineRule="auto"/>
        <w:jc w:val="both"/>
        <w:rPr>
          <w:rFonts w:asciiTheme="majorBidi" w:hAnsiTheme="majorBidi" w:cstheme="majorBidi"/>
        </w:rPr>
      </w:pPr>
      <w:r w:rsidRPr="00D11D21">
        <w:rPr>
          <w:rFonts w:asciiTheme="majorBidi" w:hAnsiTheme="majorBidi" w:cstheme="majorBidi"/>
        </w:rPr>
        <w:t xml:space="preserve">La </w:t>
      </w:r>
      <w:r w:rsidRPr="00D11D21">
        <w:rPr>
          <w:rFonts w:asciiTheme="majorBidi" w:hAnsiTheme="majorBidi" w:cstheme="majorBidi"/>
          <w:b/>
          <w:bCs/>
        </w:rPr>
        <w:t>taille et la capacité</w:t>
      </w:r>
      <w:r w:rsidRPr="00D11D21">
        <w:rPr>
          <w:rFonts w:asciiTheme="majorBidi" w:hAnsiTheme="majorBidi" w:cstheme="majorBidi"/>
        </w:rPr>
        <w:t xml:space="preserve"> de l’établissement (nombre de lits, personnel médical) ;</w:t>
      </w:r>
    </w:p>
    <w:p w14:paraId="58A67034" w14:textId="77777777" w:rsidR="002210A7" w:rsidRPr="00D11D21" w:rsidRDefault="002210A7" w:rsidP="00D11D21">
      <w:pPr>
        <w:pStyle w:val="NormalWeb"/>
        <w:numPr>
          <w:ilvl w:val="0"/>
          <w:numId w:val="15"/>
        </w:numPr>
        <w:spacing w:line="360" w:lineRule="auto"/>
        <w:jc w:val="both"/>
        <w:rPr>
          <w:rFonts w:asciiTheme="majorBidi" w:hAnsiTheme="majorBidi" w:cstheme="majorBidi"/>
        </w:rPr>
      </w:pPr>
      <w:r w:rsidRPr="00D11D21">
        <w:rPr>
          <w:rFonts w:asciiTheme="majorBidi" w:hAnsiTheme="majorBidi" w:cstheme="majorBidi"/>
        </w:rPr>
        <w:t xml:space="preserve">Le </w:t>
      </w:r>
      <w:r w:rsidRPr="00D11D21">
        <w:rPr>
          <w:rFonts w:asciiTheme="majorBidi" w:hAnsiTheme="majorBidi" w:cstheme="majorBidi"/>
          <w:b/>
          <w:bCs/>
        </w:rPr>
        <w:t>niveau de spécialisation</w:t>
      </w:r>
      <w:r w:rsidRPr="00D11D21">
        <w:rPr>
          <w:rFonts w:asciiTheme="majorBidi" w:hAnsiTheme="majorBidi" w:cstheme="majorBidi"/>
        </w:rPr>
        <w:t xml:space="preserve"> ou de mission de service public (urgences, maternité, psychiatrie…) ;</w:t>
      </w:r>
    </w:p>
    <w:p w14:paraId="042B6452" w14:textId="77777777" w:rsidR="002210A7" w:rsidRPr="00D11D21" w:rsidRDefault="002210A7" w:rsidP="00D11D21">
      <w:pPr>
        <w:pStyle w:val="NormalWeb"/>
        <w:numPr>
          <w:ilvl w:val="0"/>
          <w:numId w:val="15"/>
        </w:numPr>
        <w:spacing w:line="360" w:lineRule="auto"/>
        <w:jc w:val="both"/>
        <w:rPr>
          <w:rFonts w:asciiTheme="majorBidi" w:hAnsiTheme="majorBidi" w:cstheme="majorBidi"/>
        </w:rPr>
      </w:pPr>
      <w:r w:rsidRPr="00D11D21">
        <w:rPr>
          <w:rFonts w:asciiTheme="majorBidi" w:hAnsiTheme="majorBidi" w:cstheme="majorBidi"/>
        </w:rPr>
        <w:t xml:space="preserve">La </w:t>
      </w:r>
      <w:r w:rsidRPr="00D11D21">
        <w:rPr>
          <w:rFonts w:asciiTheme="majorBidi" w:hAnsiTheme="majorBidi" w:cstheme="majorBidi"/>
          <w:b/>
          <w:bCs/>
        </w:rPr>
        <w:t>localisation géographique</w:t>
      </w:r>
      <w:r w:rsidRPr="00D11D21">
        <w:rPr>
          <w:rFonts w:asciiTheme="majorBidi" w:hAnsiTheme="majorBidi" w:cstheme="majorBidi"/>
        </w:rPr>
        <w:t xml:space="preserve"> et les </w:t>
      </w:r>
      <w:r w:rsidRPr="00D11D21">
        <w:rPr>
          <w:rFonts w:asciiTheme="majorBidi" w:hAnsiTheme="majorBidi" w:cstheme="majorBidi"/>
          <w:b/>
          <w:bCs/>
        </w:rPr>
        <w:t>inégalités régionales</w:t>
      </w:r>
      <w:r w:rsidRPr="00D11D21">
        <w:rPr>
          <w:rFonts w:asciiTheme="majorBidi" w:hAnsiTheme="majorBidi" w:cstheme="majorBidi"/>
        </w:rPr>
        <w:t xml:space="preserve"> de santé ;</w:t>
      </w:r>
    </w:p>
    <w:p w14:paraId="0FB440B5" w14:textId="77777777" w:rsidR="002210A7" w:rsidRPr="00D11D21" w:rsidRDefault="002210A7" w:rsidP="00D11D21">
      <w:pPr>
        <w:pStyle w:val="NormalWeb"/>
        <w:numPr>
          <w:ilvl w:val="0"/>
          <w:numId w:val="15"/>
        </w:numPr>
        <w:spacing w:line="360" w:lineRule="auto"/>
        <w:jc w:val="both"/>
        <w:rPr>
          <w:rFonts w:asciiTheme="majorBidi" w:hAnsiTheme="majorBidi" w:cstheme="majorBidi"/>
        </w:rPr>
      </w:pPr>
      <w:r w:rsidRPr="00D11D21">
        <w:rPr>
          <w:rFonts w:asciiTheme="majorBidi" w:hAnsiTheme="majorBidi" w:cstheme="majorBidi"/>
        </w:rPr>
        <w:t xml:space="preserve">Le </w:t>
      </w:r>
      <w:r w:rsidRPr="00D11D21">
        <w:rPr>
          <w:rFonts w:asciiTheme="majorBidi" w:hAnsiTheme="majorBidi" w:cstheme="majorBidi"/>
          <w:b/>
          <w:bCs/>
        </w:rPr>
        <w:t>volume minimal de soins à assurer</w:t>
      </w:r>
      <w:r w:rsidRPr="00D11D21">
        <w:rPr>
          <w:rFonts w:asciiTheme="majorBidi" w:hAnsiTheme="majorBidi" w:cstheme="majorBidi"/>
        </w:rPr>
        <w:t>, indépendamment de la rentabilité.</w:t>
      </w:r>
    </w:p>
    <w:p w14:paraId="11232BF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Ces critères permettent d’</w:t>
      </w:r>
      <w:r w:rsidRPr="00D11D21">
        <w:rPr>
          <w:rFonts w:asciiTheme="majorBidi" w:hAnsiTheme="majorBidi" w:cstheme="majorBidi"/>
          <w:b/>
          <w:bCs/>
        </w:rPr>
        <w:t>adapter le financement aux besoins réels des populations</w:t>
      </w:r>
      <w:r w:rsidRPr="00D11D21">
        <w:rPr>
          <w:rFonts w:asciiTheme="majorBidi" w:hAnsiTheme="majorBidi" w:cstheme="majorBidi"/>
        </w:rPr>
        <w:t>, tout en garantissant aux hôpitaux les moyens de remplir leur mission de santé publique.</w:t>
      </w:r>
    </w:p>
    <w:p w14:paraId="0D5A256E"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Pourquoi ce n’est pas un simple budget global ?</w:t>
      </w:r>
    </w:p>
    <w:p w14:paraId="565AB51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Même si cette base fixe ressemble en apparence au budget global actuel, leur </w:t>
      </w:r>
      <w:r w:rsidRPr="00D11D21">
        <w:rPr>
          <w:rFonts w:asciiTheme="majorBidi" w:hAnsiTheme="majorBidi" w:cstheme="majorBidi"/>
          <w:b/>
          <w:bCs/>
        </w:rPr>
        <w:t>logique sous-jacente est différente</w:t>
      </w:r>
      <w:r w:rsidRPr="00D11D21">
        <w:rPr>
          <w:rFonts w:asciiTheme="majorBidi" w:hAnsiTheme="majorBidi" w:cstheme="majorBidi"/>
        </w:rPr>
        <w:t xml:space="preserve">. Le budget global actuel repose sur un </w:t>
      </w:r>
      <w:r w:rsidRPr="00D11D21">
        <w:rPr>
          <w:rFonts w:asciiTheme="majorBidi" w:hAnsiTheme="majorBidi" w:cstheme="majorBidi"/>
          <w:b/>
          <w:bCs/>
        </w:rPr>
        <w:t>principe unique et figé</w:t>
      </w:r>
      <w:r w:rsidRPr="00D11D21">
        <w:rPr>
          <w:rFonts w:asciiTheme="majorBidi" w:hAnsiTheme="majorBidi" w:cstheme="majorBidi"/>
        </w:rPr>
        <w:t xml:space="preserve"> : une enveloppe budgétaire allouée sans lien direct avec les résultats ou les besoins réels, ce qui engendre souvent :</w:t>
      </w:r>
    </w:p>
    <w:p w14:paraId="70E316AA" w14:textId="77777777" w:rsidR="002210A7" w:rsidRPr="00D11D21" w:rsidRDefault="002210A7" w:rsidP="00D11D21">
      <w:pPr>
        <w:pStyle w:val="NormalWeb"/>
        <w:numPr>
          <w:ilvl w:val="0"/>
          <w:numId w:val="16"/>
        </w:numPr>
        <w:spacing w:line="360" w:lineRule="auto"/>
        <w:jc w:val="both"/>
        <w:rPr>
          <w:rFonts w:asciiTheme="majorBidi" w:hAnsiTheme="majorBidi" w:cstheme="majorBidi"/>
        </w:rPr>
      </w:pPr>
      <w:r w:rsidRPr="00D11D21">
        <w:rPr>
          <w:rFonts w:asciiTheme="majorBidi" w:hAnsiTheme="majorBidi" w:cstheme="majorBidi"/>
        </w:rPr>
        <w:t xml:space="preserve">Une </w:t>
      </w:r>
      <w:r w:rsidRPr="00D11D21">
        <w:rPr>
          <w:rFonts w:asciiTheme="majorBidi" w:hAnsiTheme="majorBidi" w:cstheme="majorBidi"/>
          <w:b/>
          <w:bCs/>
        </w:rPr>
        <w:t>inefficience</w:t>
      </w:r>
      <w:r w:rsidRPr="00D11D21">
        <w:rPr>
          <w:rFonts w:asciiTheme="majorBidi" w:hAnsiTheme="majorBidi" w:cstheme="majorBidi"/>
        </w:rPr>
        <w:t xml:space="preserve"> (surconsommation ou sous-utilisation des ressources),</w:t>
      </w:r>
    </w:p>
    <w:p w14:paraId="52E95EA2" w14:textId="77777777" w:rsidR="002210A7" w:rsidRPr="00D11D21" w:rsidRDefault="002210A7" w:rsidP="00D11D21">
      <w:pPr>
        <w:pStyle w:val="NormalWeb"/>
        <w:numPr>
          <w:ilvl w:val="0"/>
          <w:numId w:val="16"/>
        </w:numPr>
        <w:spacing w:line="360" w:lineRule="auto"/>
        <w:jc w:val="both"/>
        <w:rPr>
          <w:rFonts w:asciiTheme="majorBidi" w:hAnsiTheme="majorBidi" w:cstheme="majorBidi"/>
        </w:rPr>
      </w:pPr>
      <w:r w:rsidRPr="00D11D21">
        <w:rPr>
          <w:rFonts w:asciiTheme="majorBidi" w:hAnsiTheme="majorBidi" w:cstheme="majorBidi"/>
        </w:rPr>
        <w:t xml:space="preserve">Une </w:t>
      </w:r>
      <w:r w:rsidRPr="00D11D21">
        <w:rPr>
          <w:rFonts w:asciiTheme="majorBidi" w:hAnsiTheme="majorBidi" w:cstheme="majorBidi"/>
          <w:b/>
          <w:bCs/>
        </w:rPr>
        <w:t>absence d’incitation à la performance ou à la qualité</w:t>
      </w:r>
      <w:r w:rsidRPr="00D11D21">
        <w:rPr>
          <w:rFonts w:asciiTheme="majorBidi" w:hAnsiTheme="majorBidi" w:cstheme="majorBidi"/>
        </w:rPr>
        <w:t>,</w:t>
      </w:r>
    </w:p>
    <w:p w14:paraId="25B0018A" w14:textId="48C12BB2" w:rsidR="00684236" w:rsidRPr="00D11D21" w:rsidRDefault="002210A7" w:rsidP="00D11D21">
      <w:pPr>
        <w:pStyle w:val="NormalWeb"/>
        <w:numPr>
          <w:ilvl w:val="0"/>
          <w:numId w:val="16"/>
        </w:numPr>
        <w:spacing w:line="360" w:lineRule="auto"/>
        <w:jc w:val="both"/>
        <w:rPr>
          <w:rFonts w:asciiTheme="majorBidi" w:hAnsiTheme="majorBidi" w:cstheme="majorBidi"/>
        </w:rPr>
      </w:pPr>
      <w:r w:rsidRPr="00D11D21">
        <w:rPr>
          <w:rFonts w:asciiTheme="majorBidi" w:hAnsiTheme="majorBidi" w:cstheme="majorBidi"/>
        </w:rPr>
        <w:t xml:space="preserve">Et un </w:t>
      </w:r>
      <w:r w:rsidRPr="00D11D21">
        <w:rPr>
          <w:rFonts w:asciiTheme="majorBidi" w:hAnsiTheme="majorBidi" w:cstheme="majorBidi"/>
          <w:b/>
          <w:bCs/>
        </w:rPr>
        <w:t>manque de transparence</w:t>
      </w:r>
      <w:r w:rsidRPr="00D11D21">
        <w:rPr>
          <w:rFonts w:asciiTheme="majorBidi" w:hAnsiTheme="majorBidi" w:cstheme="majorBidi"/>
        </w:rPr>
        <w:t xml:space="preserve"> dans l’allocation des fonds publics.</w:t>
      </w:r>
    </w:p>
    <w:p w14:paraId="02496BDA" w14:textId="127B77CF"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lastRenderedPageBreak/>
        <w:t xml:space="preserve">En revanche, la base fixe du modèle mixte est pensée comme </w:t>
      </w:r>
      <w:r w:rsidRPr="00D11D21">
        <w:rPr>
          <w:rFonts w:asciiTheme="majorBidi" w:hAnsiTheme="majorBidi" w:cstheme="majorBidi"/>
          <w:b/>
          <w:bCs/>
        </w:rPr>
        <w:t>une garantie de stabilité</w:t>
      </w:r>
      <w:r w:rsidRPr="00D11D21">
        <w:rPr>
          <w:rFonts w:asciiTheme="majorBidi" w:hAnsiTheme="majorBidi" w:cstheme="majorBidi"/>
        </w:rPr>
        <w:t xml:space="preserve">, </w:t>
      </w:r>
      <w:r w:rsidRPr="00D11D21">
        <w:rPr>
          <w:rFonts w:asciiTheme="majorBidi" w:hAnsiTheme="majorBidi" w:cstheme="majorBidi"/>
          <w:b/>
          <w:bCs/>
        </w:rPr>
        <w:t>complétée par un financement à l’activité</w:t>
      </w:r>
      <w:r w:rsidRPr="00D11D21">
        <w:rPr>
          <w:rFonts w:asciiTheme="majorBidi" w:hAnsiTheme="majorBidi" w:cstheme="majorBidi"/>
        </w:rPr>
        <w:t xml:space="preserve"> (part variable) qui introduit des </w:t>
      </w:r>
      <w:r w:rsidRPr="00D11D21">
        <w:rPr>
          <w:rFonts w:asciiTheme="majorBidi" w:hAnsiTheme="majorBidi" w:cstheme="majorBidi"/>
          <w:b/>
          <w:bCs/>
        </w:rPr>
        <w:t>mécanismes incitatifs</w:t>
      </w:r>
      <w:r w:rsidRPr="00D11D21">
        <w:rPr>
          <w:rFonts w:asciiTheme="majorBidi" w:hAnsiTheme="majorBidi" w:cstheme="majorBidi"/>
        </w:rPr>
        <w:t xml:space="preserve">, une </w:t>
      </w:r>
      <w:r w:rsidRPr="00D11D21">
        <w:rPr>
          <w:rFonts w:asciiTheme="majorBidi" w:hAnsiTheme="majorBidi" w:cstheme="majorBidi"/>
          <w:b/>
          <w:bCs/>
        </w:rPr>
        <w:t>mesure de performance</w:t>
      </w:r>
      <w:r w:rsidRPr="00D11D21">
        <w:rPr>
          <w:rFonts w:asciiTheme="majorBidi" w:hAnsiTheme="majorBidi" w:cstheme="majorBidi"/>
        </w:rPr>
        <w:t xml:space="preserve"> et une </w:t>
      </w:r>
      <w:r w:rsidRPr="00D11D21">
        <w:rPr>
          <w:rFonts w:asciiTheme="majorBidi" w:hAnsiTheme="majorBidi" w:cstheme="majorBidi"/>
          <w:b/>
          <w:bCs/>
        </w:rPr>
        <w:t>plus grande justice dans la répartition</w:t>
      </w:r>
      <w:r w:rsidRPr="00D11D21">
        <w:rPr>
          <w:rFonts w:asciiTheme="majorBidi" w:hAnsiTheme="majorBidi" w:cstheme="majorBidi"/>
        </w:rPr>
        <w:t>.</w:t>
      </w:r>
    </w:p>
    <w:p w14:paraId="55BB48C2" w14:textId="5F8B5822" w:rsidR="002210A7" w:rsidRPr="00D11D21" w:rsidRDefault="008A7BDF" w:rsidP="00D11D21">
      <w:pPr>
        <w:pStyle w:val="Lgende"/>
        <w:keepNext/>
        <w:spacing w:line="360" w:lineRule="auto"/>
        <w:jc w:val="both"/>
        <w:rPr>
          <w:rFonts w:asciiTheme="majorBidi" w:hAnsiTheme="majorBidi" w:cstheme="majorBidi"/>
          <w:color w:val="auto"/>
          <w:sz w:val="24"/>
          <w:szCs w:val="24"/>
        </w:rPr>
      </w:pPr>
      <w:bookmarkStart w:id="250" w:name="_Toc200210152"/>
      <w:r w:rsidRPr="00D11D21">
        <w:rPr>
          <w:rFonts w:asciiTheme="majorBidi" w:hAnsiTheme="majorBidi" w:cstheme="majorBidi"/>
          <w:color w:val="auto"/>
          <w:sz w:val="24"/>
          <w:szCs w:val="24"/>
        </w:rPr>
        <w:t xml:space="preserve">Tableau </w:t>
      </w:r>
      <w:r w:rsidRPr="00D11D21">
        <w:rPr>
          <w:rFonts w:asciiTheme="majorBidi" w:hAnsiTheme="majorBidi" w:cstheme="majorBidi"/>
          <w:color w:val="auto"/>
          <w:sz w:val="24"/>
          <w:szCs w:val="24"/>
        </w:rPr>
        <w:fldChar w:fldCharType="begin"/>
      </w:r>
      <w:r w:rsidRPr="00D11D21">
        <w:rPr>
          <w:rFonts w:asciiTheme="majorBidi" w:hAnsiTheme="majorBidi" w:cstheme="majorBidi"/>
          <w:color w:val="auto"/>
          <w:sz w:val="24"/>
          <w:szCs w:val="24"/>
        </w:rPr>
        <w:instrText xml:space="preserve"> SEQ Tableau \* ARABIC </w:instrText>
      </w:r>
      <w:r w:rsidRPr="00D11D21">
        <w:rPr>
          <w:rFonts w:asciiTheme="majorBidi" w:hAnsiTheme="majorBidi" w:cstheme="majorBidi"/>
          <w:color w:val="auto"/>
          <w:sz w:val="24"/>
          <w:szCs w:val="24"/>
        </w:rPr>
        <w:fldChar w:fldCharType="separate"/>
      </w:r>
      <w:r w:rsidRPr="00D11D21">
        <w:rPr>
          <w:rFonts w:asciiTheme="majorBidi" w:hAnsiTheme="majorBidi" w:cstheme="majorBidi"/>
          <w:noProof/>
          <w:color w:val="auto"/>
          <w:sz w:val="24"/>
          <w:szCs w:val="24"/>
        </w:rPr>
        <w:t>44</w:t>
      </w:r>
      <w:r w:rsidRPr="00D11D21">
        <w:rPr>
          <w:rFonts w:asciiTheme="majorBidi" w:hAnsiTheme="majorBidi" w:cstheme="majorBidi"/>
          <w:color w:val="auto"/>
          <w:sz w:val="24"/>
          <w:szCs w:val="24"/>
        </w:rPr>
        <w:fldChar w:fldCharType="end"/>
      </w:r>
      <w:r w:rsidRPr="00D11D21">
        <w:rPr>
          <w:rFonts w:asciiTheme="majorBidi" w:hAnsiTheme="majorBidi" w:cstheme="majorBidi"/>
          <w:color w:val="auto"/>
          <w:sz w:val="24"/>
          <w:szCs w:val="24"/>
        </w:rPr>
        <w:t>: Tableau comparatif : Budget global actuel vs Base fixe du modèle mixte</w:t>
      </w:r>
      <w:bookmarkEnd w:id="250"/>
    </w:p>
    <w:tbl>
      <w:tblPr>
        <w:tblW w:w="10239" w:type="dxa"/>
        <w:tblCellSpacing w:w="15" w:type="dxa"/>
        <w:tblCellMar>
          <w:top w:w="15" w:type="dxa"/>
          <w:left w:w="15" w:type="dxa"/>
          <w:bottom w:w="15" w:type="dxa"/>
          <w:right w:w="15" w:type="dxa"/>
        </w:tblCellMar>
        <w:tblLook w:val="04A0" w:firstRow="1" w:lastRow="0" w:firstColumn="1" w:lastColumn="0" w:noHBand="0" w:noVBand="1"/>
      </w:tblPr>
      <w:tblGrid>
        <w:gridCol w:w="2095"/>
        <w:gridCol w:w="4090"/>
        <w:gridCol w:w="4054"/>
      </w:tblGrid>
      <w:tr w:rsidR="002210A7" w:rsidRPr="00D11D21" w14:paraId="32EF5B2B" w14:textId="77777777" w:rsidTr="00D77543">
        <w:trPr>
          <w:trHeight w:val="314"/>
          <w:tblHeader/>
          <w:tblCellSpacing w:w="15" w:type="dxa"/>
        </w:trPr>
        <w:tc>
          <w:tcPr>
            <w:tcW w:w="0" w:type="auto"/>
            <w:tcBorders>
              <w:top w:val="single" w:sz="4" w:space="0" w:color="auto"/>
              <w:left w:val="single" w:sz="4" w:space="0" w:color="auto"/>
            </w:tcBorders>
            <w:vAlign w:val="center"/>
            <w:hideMark/>
          </w:tcPr>
          <w:p w14:paraId="0CE32E06"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Critères</w:t>
            </w:r>
          </w:p>
        </w:tc>
        <w:tc>
          <w:tcPr>
            <w:tcW w:w="0" w:type="auto"/>
            <w:tcBorders>
              <w:top w:val="single" w:sz="4" w:space="0" w:color="auto"/>
              <w:left w:val="single" w:sz="4" w:space="0" w:color="auto"/>
            </w:tcBorders>
            <w:vAlign w:val="center"/>
            <w:hideMark/>
          </w:tcPr>
          <w:p w14:paraId="026943BF"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Budget global actuel</w:t>
            </w:r>
          </w:p>
        </w:tc>
        <w:tc>
          <w:tcPr>
            <w:tcW w:w="0" w:type="auto"/>
            <w:tcBorders>
              <w:top w:val="single" w:sz="4" w:space="0" w:color="auto"/>
              <w:left w:val="single" w:sz="4" w:space="0" w:color="auto"/>
              <w:right w:val="single" w:sz="4" w:space="0" w:color="auto"/>
            </w:tcBorders>
            <w:vAlign w:val="center"/>
            <w:hideMark/>
          </w:tcPr>
          <w:p w14:paraId="1B58A645"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Base fixe du modèle mixte</w:t>
            </w:r>
          </w:p>
        </w:tc>
      </w:tr>
      <w:tr w:rsidR="002210A7" w:rsidRPr="00D11D21" w14:paraId="3DBD2558" w14:textId="77777777" w:rsidTr="00D77543">
        <w:trPr>
          <w:trHeight w:val="630"/>
          <w:tblCellSpacing w:w="15" w:type="dxa"/>
        </w:trPr>
        <w:tc>
          <w:tcPr>
            <w:tcW w:w="0" w:type="auto"/>
            <w:tcBorders>
              <w:top w:val="single" w:sz="4" w:space="0" w:color="auto"/>
              <w:left w:val="single" w:sz="4" w:space="0" w:color="auto"/>
              <w:bottom w:val="single" w:sz="4" w:space="0" w:color="auto"/>
            </w:tcBorders>
            <w:vAlign w:val="center"/>
            <w:hideMark/>
          </w:tcPr>
          <w:p w14:paraId="238950A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Logique de financement</w:t>
            </w:r>
          </w:p>
        </w:tc>
        <w:tc>
          <w:tcPr>
            <w:tcW w:w="0" w:type="auto"/>
            <w:tcBorders>
              <w:top w:val="single" w:sz="4" w:space="0" w:color="auto"/>
              <w:left w:val="single" w:sz="4" w:space="0" w:color="auto"/>
              <w:bottom w:val="single" w:sz="4" w:space="0" w:color="auto"/>
            </w:tcBorders>
            <w:vAlign w:val="center"/>
            <w:hideMark/>
          </w:tcPr>
          <w:p w14:paraId="65E7A37B"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100 % fixe, déconnecté de l’activité réelle</w:t>
            </w:r>
          </w:p>
        </w:tc>
        <w:tc>
          <w:tcPr>
            <w:tcW w:w="0" w:type="auto"/>
            <w:tcBorders>
              <w:top w:val="single" w:sz="4" w:space="0" w:color="auto"/>
              <w:left w:val="single" w:sz="4" w:space="0" w:color="auto"/>
              <w:bottom w:val="single" w:sz="4" w:space="0" w:color="auto"/>
              <w:right w:val="single" w:sz="4" w:space="0" w:color="auto"/>
            </w:tcBorders>
            <w:vAlign w:val="center"/>
            <w:hideMark/>
          </w:tcPr>
          <w:p w14:paraId="027781D9"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Composante de base, combinée à un financement à la performance</w:t>
            </w:r>
          </w:p>
        </w:tc>
      </w:tr>
      <w:tr w:rsidR="002210A7" w:rsidRPr="00D11D21" w14:paraId="1D8A8298" w14:textId="77777777" w:rsidTr="00D77543">
        <w:trPr>
          <w:trHeight w:val="630"/>
          <w:tblCellSpacing w:w="15" w:type="dxa"/>
        </w:trPr>
        <w:tc>
          <w:tcPr>
            <w:tcW w:w="0" w:type="auto"/>
            <w:tcBorders>
              <w:left w:val="single" w:sz="4" w:space="0" w:color="auto"/>
            </w:tcBorders>
            <w:vAlign w:val="center"/>
            <w:hideMark/>
          </w:tcPr>
          <w:p w14:paraId="1C4E6DB3"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Critères d’allocation</w:t>
            </w:r>
          </w:p>
        </w:tc>
        <w:tc>
          <w:tcPr>
            <w:tcW w:w="0" w:type="auto"/>
            <w:tcBorders>
              <w:left w:val="single" w:sz="4" w:space="0" w:color="auto"/>
            </w:tcBorders>
            <w:vAlign w:val="center"/>
            <w:hideMark/>
          </w:tcPr>
          <w:p w14:paraId="07D33683"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Historiques, reconduction automatique</w:t>
            </w:r>
          </w:p>
        </w:tc>
        <w:tc>
          <w:tcPr>
            <w:tcW w:w="0" w:type="auto"/>
            <w:tcBorders>
              <w:left w:val="single" w:sz="4" w:space="0" w:color="auto"/>
              <w:right w:val="single" w:sz="4" w:space="0" w:color="auto"/>
            </w:tcBorders>
            <w:vAlign w:val="center"/>
            <w:hideMark/>
          </w:tcPr>
          <w:p w14:paraId="4CDEE1D5"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Objectifs, transparents : missions, taille, besoins territoriaux</w:t>
            </w:r>
          </w:p>
        </w:tc>
      </w:tr>
      <w:tr w:rsidR="002210A7" w:rsidRPr="00D11D21" w14:paraId="3CF15B43" w14:textId="77777777" w:rsidTr="00D77543">
        <w:trPr>
          <w:trHeight w:val="630"/>
          <w:tblCellSpacing w:w="15" w:type="dxa"/>
        </w:trPr>
        <w:tc>
          <w:tcPr>
            <w:tcW w:w="0" w:type="auto"/>
            <w:tcBorders>
              <w:top w:val="single" w:sz="4" w:space="0" w:color="auto"/>
              <w:left w:val="single" w:sz="4" w:space="0" w:color="auto"/>
            </w:tcBorders>
            <w:vAlign w:val="center"/>
            <w:hideMark/>
          </w:tcPr>
          <w:p w14:paraId="65C0CF5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Adaptabilité</w:t>
            </w:r>
          </w:p>
        </w:tc>
        <w:tc>
          <w:tcPr>
            <w:tcW w:w="0" w:type="auto"/>
            <w:tcBorders>
              <w:top w:val="single" w:sz="4" w:space="0" w:color="auto"/>
              <w:left w:val="single" w:sz="4" w:space="0" w:color="auto"/>
            </w:tcBorders>
            <w:vAlign w:val="center"/>
            <w:hideMark/>
          </w:tcPr>
          <w:p w14:paraId="30E0344C"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Peu flexible, figé dans le temps</w:t>
            </w:r>
          </w:p>
        </w:tc>
        <w:tc>
          <w:tcPr>
            <w:tcW w:w="0" w:type="auto"/>
            <w:tcBorders>
              <w:top w:val="single" w:sz="4" w:space="0" w:color="auto"/>
              <w:left w:val="single" w:sz="4" w:space="0" w:color="auto"/>
              <w:right w:val="single" w:sz="4" w:space="0" w:color="auto"/>
            </w:tcBorders>
            <w:vAlign w:val="center"/>
            <w:hideMark/>
          </w:tcPr>
          <w:p w14:paraId="244317B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Évolutif, ajustable selon indicateurs clés et besoins locaux</w:t>
            </w:r>
          </w:p>
        </w:tc>
      </w:tr>
      <w:tr w:rsidR="002210A7" w:rsidRPr="00D11D21" w14:paraId="674E66A1" w14:textId="77777777" w:rsidTr="00D77543">
        <w:trPr>
          <w:trHeight w:val="630"/>
          <w:tblCellSpacing w:w="15" w:type="dxa"/>
        </w:trPr>
        <w:tc>
          <w:tcPr>
            <w:tcW w:w="0" w:type="auto"/>
            <w:tcBorders>
              <w:top w:val="single" w:sz="4" w:space="0" w:color="auto"/>
              <w:left w:val="single" w:sz="4" w:space="0" w:color="auto"/>
            </w:tcBorders>
            <w:vAlign w:val="center"/>
            <w:hideMark/>
          </w:tcPr>
          <w:p w14:paraId="1246F162"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Lien avec la performance</w:t>
            </w:r>
          </w:p>
        </w:tc>
        <w:tc>
          <w:tcPr>
            <w:tcW w:w="0" w:type="auto"/>
            <w:tcBorders>
              <w:top w:val="single" w:sz="4" w:space="0" w:color="auto"/>
              <w:left w:val="single" w:sz="4" w:space="0" w:color="auto"/>
            </w:tcBorders>
            <w:vAlign w:val="center"/>
            <w:hideMark/>
          </w:tcPr>
          <w:p w14:paraId="46A7007D"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Aucun lien, absence d’incitation</w:t>
            </w:r>
          </w:p>
        </w:tc>
        <w:tc>
          <w:tcPr>
            <w:tcW w:w="0" w:type="auto"/>
            <w:tcBorders>
              <w:top w:val="single" w:sz="4" w:space="0" w:color="auto"/>
              <w:left w:val="single" w:sz="4" w:space="0" w:color="auto"/>
              <w:right w:val="single" w:sz="4" w:space="0" w:color="auto"/>
            </w:tcBorders>
            <w:vAlign w:val="center"/>
            <w:hideMark/>
          </w:tcPr>
          <w:p w14:paraId="0FCA849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Complété par une part variable incitative</w:t>
            </w:r>
          </w:p>
        </w:tc>
      </w:tr>
      <w:tr w:rsidR="002210A7" w:rsidRPr="00D11D21" w14:paraId="2A551C07" w14:textId="77777777" w:rsidTr="00D77543">
        <w:trPr>
          <w:trHeight w:val="630"/>
          <w:tblCellSpacing w:w="15" w:type="dxa"/>
        </w:trPr>
        <w:tc>
          <w:tcPr>
            <w:tcW w:w="0" w:type="auto"/>
            <w:tcBorders>
              <w:top w:val="single" w:sz="4" w:space="0" w:color="auto"/>
              <w:left w:val="single" w:sz="4" w:space="0" w:color="auto"/>
            </w:tcBorders>
            <w:vAlign w:val="center"/>
            <w:hideMark/>
          </w:tcPr>
          <w:p w14:paraId="45C4286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Effet sur l’équité</w:t>
            </w:r>
          </w:p>
        </w:tc>
        <w:tc>
          <w:tcPr>
            <w:tcW w:w="0" w:type="auto"/>
            <w:tcBorders>
              <w:top w:val="single" w:sz="4" w:space="0" w:color="auto"/>
              <w:left w:val="single" w:sz="4" w:space="0" w:color="auto"/>
            </w:tcBorders>
            <w:vAlign w:val="center"/>
            <w:hideMark/>
          </w:tcPr>
          <w:p w14:paraId="114E98D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Parfois inégalitaire (les mêmes montants malgré des besoins différents)</w:t>
            </w:r>
          </w:p>
        </w:tc>
        <w:tc>
          <w:tcPr>
            <w:tcW w:w="0" w:type="auto"/>
            <w:tcBorders>
              <w:top w:val="single" w:sz="4" w:space="0" w:color="auto"/>
              <w:left w:val="single" w:sz="4" w:space="0" w:color="auto"/>
              <w:right w:val="single" w:sz="4" w:space="0" w:color="auto"/>
            </w:tcBorders>
            <w:vAlign w:val="center"/>
            <w:hideMark/>
          </w:tcPr>
          <w:p w14:paraId="0F4A2409"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Vise une meilleure équité en tenant compte des réalités locales</w:t>
            </w:r>
          </w:p>
        </w:tc>
      </w:tr>
      <w:tr w:rsidR="002210A7" w:rsidRPr="00D11D21" w14:paraId="2DCBE376" w14:textId="77777777" w:rsidTr="00D77543">
        <w:trPr>
          <w:trHeight w:val="630"/>
          <w:tblCellSpacing w:w="15" w:type="dxa"/>
        </w:trPr>
        <w:tc>
          <w:tcPr>
            <w:tcW w:w="0" w:type="auto"/>
            <w:tcBorders>
              <w:top w:val="single" w:sz="4" w:space="0" w:color="auto"/>
              <w:left w:val="single" w:sz="4" w:space="0" w:color="auto"/>
              <w:bottom w:val="single" w:sz="4" w:space="0" w:color="auto"/>
            </w:tcBorders>
            <w:vAlign w:val="center"/>
            <w:hideMark/>
          </w:tcPr>
          <w:p w14:paraId="1E20F935"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Risque de gaspillage</w:t>
            </w:r>
          </w:p>
        </w:tc>
        <w:tc>
          <w:tcPr>
            <w:tcW w:w="0" w:type="auto"/>
            <w:tcBorders>
              <w:top w:val="single" w:sz="4" w:space="0" w:color="auto"/>
              <w:left w:val="single" w:sz="4" w:space="0" w:color="auto"/>
              <w:bottom w:val="single" w:sz="4" w:space="0" w:color="auto"/>
            </w:tcBorders>
            <w:vAlign w:val="center"/>
            <w:hideMark/>
          </w:tcPr>
          <w:p w14:paraId="720536B9"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Élevé (dépense des crédits sans logique de résultat)</w:t>
            </w:r>
          </w:p>
        </w:tc>
        <w:tc>
          <w:tcPr>
            <w:tcW w:w="0" w:type="auto"/>
            <w:tcBorders>
              <w:top w:val="single" w:sz="4" w:space="0" w:color="auto"/>
              <w:left w:val="single" w:sz="4" w:space="0" w:color="auto"/>
              <w:bottom w:val="single" w:sz="4" w:space="0" w:color="auto"/>
              <w:right w:val="single" w:sz="4" w:space="0" w:color="auto"/>
            </w:tcBorders>
            <w:vAlign w:val="center"/>
            <w:hideMark/>
          </w:tcPr>
          <w:p w14:paraId="4D115A8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Réduit (la part variable favorise une bonne utilisation des ressources)</w:t>
            </w:r>
          </w:p>
        </w:tc>
      </w:tr>
      <w:tr w:rsidR="002210A7" w:rsidRPr="00D11D21" w14:paraId="6C60E5A7" w14:textId="77777777" w:rsidTr="00D77543">
        <w:trPr>
          <w:trHeight w:val="639"/>
          <w:tblCellSpacing w:w="15" w:type="dxa"/>
        </w:trPr>
        <w:tc>
          <w:tcPr>
            <w:tcW w:w="0" w:type="auto"/>
            <w:tcBorders>
              <w:left w:val="single" w:sz="4" w:space="0" w:color="auto"/>
              <w:bottom w:val="single" w:sz="4" w:space="0" w:color="auto"/>
            </w:tcBorders>
            <w:vAlign w:val="center"/>
            <w:hideMark/>
          </w:tcPr>
          <w:p w14:paraId="01E1F299"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b/>
                <w:bCs/>
              </w:rPr>
              <w:t>Transparence</w:t>
            </w:r>
          </w:p>
        </w:tc>
        <w:tc>
          <w:tcPr>
            <w:tcW w:w="0" w:type="auto"/>
            <w:tcBorders>
              <w:left w:val="single" w:sz="4" w:space="0" w:color="auto"/>
              <w:bottom w:val="single" w:sz="4" w:space="0" w:color="auto"/>
            </w:tcBorders>
            <w:vAlign w:val="center"/>
            <w:hideMark/>
          </w:tcPr>
          <w:p w14:paraId="54248B0F"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Faible</w:t>
            </w:r>
          </w:p>
        </w:tc>
        <w:tc>
          <w:tcPr>
            <w:tcW w:w="0" w:type="auto"/>
            <w:tcBorders>
              <w:left w:val="single" w:sz="4" w:space="0" w:color="auto"/>
              <w:bottom w:val="single" w:sz="4" w:space="0" w:color="auto"/>
              <w:right w:val="single" w:sz="4" w:space="0" w:color="auto"/>
            </w:tcBorders>
            <w:vAlign w:val="center"/>
            <w:hideMark/>
          </w:tcPr>
          <w:p w14:paraId="18F79020"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Renforcée par des critères clairs et un système d’information fiable</w:t>
            </w:r>
          </w:p>
        </w:tc>
      </w:tr>
    </w:tbl>
    <w:p w14:paraId="5C572330" w14:textId="77777777" w:rsidR="002210A7" w:rsidRPr="00D11D21" w:rsidRDefault="002210A7" w:rsidP="00D11D21">
      <w:pPr>
        <w:pStyle w:val="NormalWeb"/>
        <w:spacing w:line="360" w:lineRule="auto"/>
        <w:jc w:val="both"/>
        <w:rPr>
          <w:rFonts w:asciiTheme="majorBidi" w:hAnsiTheme="majorBidi" w:cstheme="majorBidi"/>
        </w:rPr>
      </w:pPr>
    </w:p>
    <w:p w14:paraId="15EDDB75" w14:textId="77777777" w:rsidR="002210A7" w:rsidRPr="00D11D21" w:rsidRDefault="002210A7" w:rsidP="00D11D21">
      <w:pPr>
        <w:pStyle w:val="Titre2"/>
        <w:rPr>
          <w:rFonts w:asciiTheme="majorBidi" w:hAnsiTheme="majorBidi"/>
          <w:szCs w:val="24"/>
        </w:rPr>
      </w:pPr>
      <w:bookmarkStart w:id="251" w:name="_Toc199958923"/>
      <w:r w:rsidRPr="00D11D21">
        <w:rPr>
          <w:rFonts w:asciiTheme="majorBidi" w:hAnsiTheme="majorBidi"/>
          <w:szCs w:val="24"/>
        </w:rPr>
        <w:t>Part variable liée à l’activité réelle mesurée via un SI performant :</w:t>
      </w:r>
      <w:bookmarkEnd w:id="251"/>
    </w:p>
    <w:p w14:paraId="6108C402" w14:textId="77777777" w:rsidR="002210A7" w:rsidRPr="00D11D21" w:rsidRDefault="002210A7" w:rsidP="00D11D21">
      <w:pPr>
        <w:pStyle w:val="NormalWeb"/>
        <w:numPr>
          <w:ilvl w:val="0"/>
          <w:numId w:val="41"/>
        </w:numPr>
        <w:spacing w:line="360" w:lineRule="auto"/>
        <w:jc w:val="both"/>
        <w:rPr>
          <w:rFonts w:asciiTheme="majorBidi" w:hAnsiTheme="majorBidi" w:cstheme="majorBidi"/>
        </w:rPr>
      </w:pPr>
      <w:r w:rsidRPr="00D11D21">
        <w:rPr>
          <w:rFonts w:asciiTheme="majorBidi" w:hAnsiTheme="majorBidi" w:cstheme="majorBidi"/>
        </w:rPr>
        <w:t>Principe général</w:t>
      </w:r>
    </w:p>
    <w:p w14:paraId="28547CE2"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La seconde composante du modèle de financement mixte repose sur une part variable, attribuée en fonction de l’activité réelle des établissements de santé. Contrairement à la base fixe, stable et prévisible, cette part introduit une logique incitative et adaptative, visant à valoriser la production effective de soins, à renforcer la performance des hôpitaux et à mieux orienter l’allocation des ressources publiques.</w:t>
      </w:r>
    </w:p>
    <w:p w14:paraId="4C47C31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Cette part variable ne s’appuie pas sur des estimations historiques ou des dotations arbitraires, mais sur des données objectives, vérifiables et traçables. C’est pourquoi elle est indissociable d’un système </w:t>
      </w:r>
      <w:r w:rsidRPr="00D11D21">
        <w:rPr>
          <w:rFonts w:asciiTheme="majorBidi" w:hAnsiTheme="majorBidi" w:cstheme="majorBidi"/>
        </w:rPr>
        <w:lastRenderedPageBreak/>
        <w:t>d’information hospitalier (SIH) performant, capable de produire, en temps réel, une photographie fidèle de l’activité hospitalière.</w:t>
      </w:r>
    </w:p>
    <w:p w14:paraId="781527A4"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Spécificité du contexte algérien</w:t>
      </w:r>
    </w:p>
    <w:p w14:paraId="5E9EC54C"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Il est essentiel de préciser que dans le système de santé algérien, les soins dispensés dans les établissements publics sont gratuits pour les patients ou proposés à des tarifs symboliques. Ainsi, lorsque le modèle mixte envisage une part variable du financement fondée sur l’activité réelle, cela ne signifie pas une facturation directe des actes médicaux aux malades, mais bien une prise en charge financière par l’État ou les caisses de sécurité sociale.</w:t>
      </w:r>
    </w:p>
    <w:p w14:paraId="378DFF67" w14:textId="28AFA38D" w:rsidR="00684236"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Concrètement, chaque acte médical (consultation, hospitalisation, chirurgie, etc.) est associé à un tarif de référence ou montant forfaitaire, fixé par les pouvoirs publics (ministère de la Santé, CNAS, etc.).</w:t>
      </w:r>
      <w:r w:rsidR="00684236" w:rsidRPr="00D11D21">
        <w:rPr>
          <w:rFonts w:asciiTheme="majorBidi" w:hAnsiTheme="majorBidi" w:cstheme="majorBidi"/>
        </w:rPr>
        <w:t xml:space="preserve"> </w:t>
      </w:r>
      <w:r w:rsidRPr="00D11D21">
        <w:rPr>
          <w:rFonts w:asciiTheme="majorBidi" w:hAnsiTheme="majorBidi" w:cstheme="majorBidi"/>
        </w:rPr>
        <w:t xml:space="preserve"> </w:t>
      </w:r>
    </w:p>
    <w:p w14:paraId="14AD658D" w14:textId="473AD86F" w:rsidR="00684236"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 tarif est destiné à couvrir les coûts moyens liés à la prestation (ressources humaines, médicaments, logistique, etc.) et sert de base de remboursement à l’établissement de santé. Le financement à l’activité permet ainsi de valoriser la production réelle de soins, sans remettre en cause le principe fondamental de gratuité des soins pour les patients.</w:t>
      </w:r>
    </w:p>
    <w:p w14:paraId="0C7DBC23"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Exemple concret : si un hôpital public réalise 1 000 accouchements dans l’année, et que le tarif de référence fixé pour un accouchement est de 15 000 DA, alors la part variable du financement allouée à cet hôpital pour cette activité serait de 15 millions de dinars. Cette somme est versée par la sécurité sociale à l’établissement, indépendamment du fait que la patiente ait payé un prix symbolique ou rien du tout.</w:t>
      </w:r>
    </w:p>
    <w:p w14:paraId="4EA74AE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 mécanisme permet non seulement de renforcer la transparence et la traçabilité des dépenses, mais également d’instaurer un cadre incitatif, où les établissements sont soutenus financièrement en fonction de leur niveau d’activité et de leur performance, tout en garantissant l'accès équitable aux soins.</w:t>
      </w:r>
    </w:p>
    <w:p w14:paraId="02F2597E"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Pourquoi intégrer une part variable dans le système de financement ?</w:t>
      </w:r>
    </w:p>
    <w:p w14:paraId="265FDFC3"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Dans un contexte où les besoins en santé évoluent rapidement (vieillissement de la population, maladies chroniques, urgences, etc.), un système de financement uniquement basé sur des dotations fixes devient rigide, inéquitable et peu réactif.</w:t>
      </w:r>
    </w:p>
    <w:p w14:paraId="4717FD08"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L’introduction d’une part variable permet de :</w:t>
      </w:r>
    </w:p>
    <w:p w14:paraId="7E52E76E" w14:textId="77777777" w:rsidR="002210A7" w:rsidRPr="00D11D21" w:rsidRDefault="002210A7" w:rsidP="00D11D21">
      <w:pPr>
        <w:pStyle w:val="NormalWeb"/>
        <w:numPr>
          <w:ilvl w:val="0"/>
          <w:numId w:val="17"/>
        </w:numPr>
        <w:spacing w:line="360" w:lineRule="auto"/>
        <w:jc w:val="both"/>
        <w:rPr>
          <w:rFonts w:asciiTheme="majorBidi" w:hAnsiTheme="majorBidi" w:cstheme="majorBidi"/>
        </w:rPr>
      </w:pPr>
      <w:r w:rsidRPr="00D11D21">
        <w:rPr>
          <w:rFonts w:asciiTheme="majorBidi" w:hAnsiTheme="majorBidi" w:cstheme="majorBidi"/>
        </w:rPr>
        <w:lastRenderedPageBreak/>
        <w:t>Récompenser les hôpitaux actifs, qui prennent en charge un volume important de patients et de pathologies complexes ;</w:t>
      </w:r>
    </w:p>
    <w:p w14:paraId="4D856AC2" w14:textId="77777777" w:rsidR="002210A7" w:rsidRPr="00D11D21" w:rsidRDefault="002210A7" w:rsidP="00D11D21">
      <w:pPr>
        <w:pStyle w:val="NormalWeb"/>
        <w:numPr>
          <w:ilvl w:val="0"/>
          <w:numId w:val="17"/>
        </w:numPr>
        <w:spacing w:line="360" w:lineRule="auto"/>
        <w:jc w:val="both"/>
        <w:rPr>
          <w:rFonts w:asciiTheme="majorBidi" w:hAnsiTheme="majorBidi" w:cstheme="majorBidi"/>
        </w:rPr>
      </w:pPr>
      <w:r w:rsidRPr="00D11D21">
        <w:rPr>
          <w:rFonts w:asciiTheme="majorBidi" w:hAnsiTheme="majorBidi" w:cstheme="majorBidi"/>
        </w:rPr>
        <w:t>Encourager l’efficience, en liant les ressources aux résultats effectifs sur le terrain ;</w:t>
      </w:r>
    </w:p>
    <w:p w14:paraId="125D81CD" w14:textId="77777777" w:rsidR="002210A7" w:rsidRPr="00D11D21" w:rsidRDefault="002210A7" w:rsidP="00D11D21">
      <w:pPr>
        <w:pStyle w:val="NormalWeb"/>
        <w:numPr>
          <w:ilvl w:val="0"/>
          <w:numId w:val="17"/>
        </w:numPr>
        <w:spacing w:line="360" w:lineRule="auto"/>
        <w:jc w:val="both"/>
        <w:rPr>
          <w:rFonts w:asciiTheme="majorBidi" w:hAnsiTheme="majorBidi" w:cstheme="majorBidi"/>
        </w:rPr>
      </w:pPr>
      <w:r w:rsidRPr="00D11D21">
        <w:rPr>
          <w:rFonts w:asciiTheme="majorBidi" w:hAnsiTheme="majorBidi" w:cstheme="majorBidi"/>
        </w:rPr>
        <w:t>Rendre le financement plus équitable, en ajustant les dotations selon l’activité réelle ;</w:t>
      </w:r>
    </w:p>
    <w:p w14:paraId="2849497A" w14:textId="77777777" w:rsidR="002210A7" w:rsidRPr="00D11D21" w:rsidRDefault="002210A7" w:rsidP="00D11D21">
      <w:pPr>
        <w:pStyle w:val="NormalWeb"/>
        <w:numPr>
          <w:ilvl w:val="0"/>
          <w:numId w:val="17"/>
        </w:numPr>
        <w:spacing w:line="360" w:lineRule="auto"/>
        <w:jc w:val="both"/>
        <w:rPr>
          <w:rFonts w:asciiTheme="majorBidi" w:hAnsiTheme="majorBidi" w:cstheme="majorBidi"/>
        </w:rPr>
      </w:pPr>
      <w:r w:rsidRPr="00D11D21">
        <w:rPr>
          <w:rFonts w:asciiTheme="majorBidi" w:hAnsiTheme="majorBidi" w:cstheme="majorBidi"/>
        </w:rPr>
        <w:t>Assurer un suivi plus rigoureux des dépenses publiques, via des outils numériques.</w:t>
      </w:r>
    </w:p>
    <w:p w14:paraId="1E94830C"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Fonctionnement de la part variable</w:t>
      </w:r>
      <w:r w:rsidR="00F62101" w:rsidRPr="00D11D21">
        <w:rPr>
          <w:rFonts w:asciiTheme="majorBidi" w:hAnsiTheme="majorBidi" w:cstheme="majorBidi"/>
          <w:b/>
          <w:bCs/>
        </w:rPr>
        <w:t> :</w:t>
      </w:r>
    </w:p>
    <w:p w14:paraId="42741FE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Concrètement, la part variable repose sur la collecte et l’exploitation des données hospitalières, telles que :</w:t>
      </w:r>
    </w:p>
    <w:p w14:paraId="7BF8B1C3" w14:textId="77777777" w:rsidR="002210A7" w:rsidRPr="00D11D21" w:rsidRDefault="002210A7" w:rsidP="00D11D21">
      <w:pPr>
        <w:pStyle w:val="NormalWeb"/>
        <w:numPr>
          <w:ilvl w:val="0"/>
          <w:numId w:val="18"/>
        </w:numPr>
        <w:spacing w:line="360" w:lineRule="auto"/>
        <w:jc w:val="both"/>
        <w:rPr>
          <w:rFonts w:asciiTheme="majorBidi" w:hAnsiTheme="majorBidi" w:cstheme="majorBidi"/>
        </w:rPr>
      </w:pPr>
      <w:r w:rsidRPr="00D11D21">
        <w:rPr>
          <w:rFonts w:asciiTheme="majorBidi" w:hAnsiTheme="majorBidi" w:cstheme="majorBidi"/>
        </w:rPr>
        <w:t>Le nombre de séjours hospitaliers,</w:t>
      </w:r>
    </w:p>
    <w:p w14:paraId="0EC885AC" w14:textId="77777777" w:rsidR="002210A7" w:rsidRPr="00D11D21" w:rsidRDefault="002210A7" w:rsidP="00D11D21">
      <w:pPr>
        <w:pStyle w:val="NormalWeb"/>
        <w:numPr>
          <w:ilvl w:val="0"/>
          <w:numId w:val="18"/>
        </w:numPr>
        <w:spacing w:line="360" w:lineRule="auto"/>
        <w:jc w:val="both"/>
        <w:rPr>
          <w:rFonts w:asciiTheme="majorBidi" w:hAnsiTheme="majorBidi" w:cstheme="majorBidi"/>
        </w:rPr>
      </w:pPr>
      <w:r w:rsidRPr="00D11D21">
        <w:rPr>
          <w:rFonts w:asciiTheme="majorBidi" w:hAnsiTheme="majorBidi" w:cstheme="majorBidi"/>
        </w:rPr>
        <w:t>Le type d’actes médicaux réalisés,</w:t>
      </w:r>
    </w:p>
    <w:p w14:paraId="3DBCC677" w14:textId="77777777" w:rsidR="002210A7" w:rsidRPr="00D11D21" w:rsidRDefault="002210A7" w:rsidP="00D11D21">
      <w:pPr>
        <w:pStyle w:val="NormalWeb"/>
        <w:numPr>
          <w:ilvl w:val="0"/>
          <w:numId w:val="18"/>
        </w:numPr>
        <w:spacing w:line="360" w:lineRule="auto"/>
        <w:jc w:val="both"/>
        <w:rPr>
          <w:rFonts w:asciiTheme="majorBidi" w:hAnsiTheme="majorBidi" w:cstheme="majorBidi"/>
        </w:rPr>
      </w:pPr>
      <w:r w:rsidRPr="00D11D21">
        <w:rPr>
          <w:rFonts w:asciiTheme="majorBidi" w:hAnsiTheme="majorBidi" w:cstheme="majorBidi"/>
        </w:rPr>
        <w:t>La durée de séjour moyenne,</w:t>
      </w:r>
    </w:p>
    <w:p w14:paraId="0E1698CD" w14:textId="77777777" w:rsidR="002210A7" w:rsidRPr="00D11D21" w:rsidRDefault="002210A7" w:rsidP="00D11D21">
      <w:pPr>
        <w:pStyle w:val="NormalWeb"/>
        <w:numPr>
          <w:ilvl w:val="0"/>
          <w:numId w:val="18"/>
        </w:numPr>
        <w:spacing w:line="360" w:lineRule="auto"/>
        <w:jc w:val="both"/>
        <w:rPr>
          <w:rFonts w:asciiTheme="majorBidi" w:hAnsiTheme="majorBidi" w:cstheme="majorBidi"/>
        </w:rPr>
      </w:pPr>
      <w:r w:rsidRPr="00D11D21">
        <w:rPr>
          <w:rFonts w:asciiTheme="majorBidi" w:hAnsiTheme="majorBidi" w:cstheme="majorBidi"/>
        </w:rPr>
        <w:t>La nature des pathologies traitées,</w:t>
      </w:r>
    </w:p>
    <w:p w14:paraId="13F0B496" w14:textId="77777777" w:rsidR="002210A7" w:rsidRPr="00D11D21" w:rsidRDefault="002210A7" w:rsidP="00D11D21">
      <w:pPr>
        <w:pStyle w:val="NormalWeb"/>
        <w:numPr>
          <w:ilvl w:val="0"/>
          <w:numId w:val="18"/>
        </w:numPr>
        <w:spacing w:line="360" w:lineRule="auto"/>
        <w:jc w:val="both"/>
        <w:rPr>
          <w:rFonts w:asciiTheme="majorBidi" w:hAnsiTheme="majorBidi" w:cstheme="majorBidi"/>
        </w:rPr>
      </w:pPr>
      <w:r w:rsidRPr="00D11D21">
        <w:rPr>
          <w:rFonts w:asciiTheme="majorBidi" w:hAnsiTheme="majorBidi" w:cstheme="majorBidi"/>
        </w:rPr>
        <w:t>Les flux de patients par service ou spécialité.</w:t>
      </w:r>
    </w:p>
    <w:p w14:paraId="144C963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Ces données sont regroupées en catégories médicales homogènes, souvent appelées Groupes Homogènes de Malades (GHM) ou </w:t>
      </w:r>
      <w:proofErr w:type="spellStart"/>
      <w:r w:rsidRPr="00D11D21">
        <w:rPr>
          <w:rFonts w:asciiTheme="majorBidi" w:hAnsiTheme="majorBidi" w:cstheme="majorBidi"/>
        </w:rPr>
        <w:t>Diagnosis</w:t>
      </w:r>
      <w:proofErr w:type="spellEnd"/>
      <w:r w:rsidRPr="00D11D21">
        <w:rPr>
          <w:rFonts w:asciiTheme="majorBidi" w:hAnsiTheme="majorBidi" w:cstheme="majorBidi"/>
        </w:rPr>
        <w:t xml:space="preserve"> </w:t>
      </w:r>
      <w:proofErr w:type="spellStart"/>
      <w:r w:rsidRPr="00D11D21">
        <w:rPr>
          <w:rFonts w:asciiTheme="majorBidi" w:hAnsiTheme="majorBidi" w:cstheme="majorBidi"/>
        </w:rPr>
        <w:t>Related</w:t>
      </w:r>
      <w:proofErr w:type="spellEnd"/>
      <w:r w:rsidRPr="00D11D21">
        <w:rPr>
          <w:rFonts w:asciiTheme="majorBidi" w:hAnsiTheme="majorBidi" w:cstheme="majorBidi"/>
        </w:rPr>
        <w:t xml:space="preserve"> Groups (DRG), qui permettent d’estimer le coût moyen d’un séjour ou d’un acte, et donc de calculer une rémunération à l’activité.</w:t>
      </w:r>
    </w:p>
    <w:p w14:paraId="592C8165"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Ainsi, plus un hôpital prend en charge de patients, ou gère des cas plus complexes, plus sa part variable augmente. Ce mécanisme introduit une dynamique vertueuse, incitant les structures à optimiser leurs ressources et à mieux organiser leurs flux de soins.</w:t>
      </w:r>
    </w:p>
    <w:p w14:paraId="1B6CD45D"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Rôle central du système d’information hospitalier (SIH)</w:t>
      </w:r>
    </w:p>
    <w:p w14:paraId="3CB96736" w14:textId="158D0BEE" w:rsidR="00684236"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Un tel mécanisme n’est possible que grâce à un système d’information intégré, moderne et interconnecté. Le SIH devient l’outil central de pilotage, garantissant la fiabilité des données, la traçabilité des actes, et la transparence du financement.</w:t>
      </w:r>
    </w:p>
    <w:p w14:paraId="76623632" w14:textId="069FD4F5"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SIH permet de :</w:t>
      </w:r>
    </w:p>
    <w:p w14:paraId="30C61D44" w14:textId="77777777" w:rsidR="002210A7" w:rsidRPr="00D11D21" w:rsidRDefault="002210A7" w:rsidP="00D11D21">
      <w:pPr>
        <w:pStyle w:val="NormalWeb"/>
        <w:numPr>
          <w:ilvl w:val="0"/>
          <w:numId w:val="19"/>
        </w:numPr>
        <w:spacing w:line="360" w:lineRule="auto"/>
        <w:jc w:val="both"/>
        <w:rPr>
          <w:rFonts w:asciiTheme="majorBidi" w:hAnsiTheme="majorBidi" w:cstheme="majorBidi"/>
        </w:rPr>
      </w:pPr>
      <w:r w:rsidRPr="00D11D21">
        <w:rPr>
          <w:rFonts w:asciiTheme="majorBidi" w:hAnsiTheme="majorBidi" w:cstheme="majorBidi"/>
        </w:rPr>
        <w:t>Numériser et centraliser toutes les informations cliniques, administratives et financières liées au parcours du patient ;</w:t>
      </w:r>
    </w:p>
    <w:p w14:paraId="3B5D9258" w14:textId="77777777" w:rsidR="002210A7" w:rsidRPr="00D11D21" w:rsidRDefault="002210A7" w:rsidP="00D11D21">
      <w:pPr>
        <w:pStyle w:val="NormalWeb"/>
        <w:numPr>
          <w:ilvl w:val="0"/>
          <w:numId w:val="19"/>
        </w:numPr>
        <w:spacing w:line="360" w:lineRule="auto"/>
        <w:jc w:val="both"/>
        <w:rPr>
          <w:rFonts w:asciiTheme="majorBidi" w:hAnsiTheme="majorBidi" w:cstheme="majorBidi"/>
        </w:rPr>
      </w:pPr>
      <w:r w:rsidRPr="00D11D21">
        <w:rPr>
          <w:rFonts w:asciiTheme="majorBidi" w:hAnsiTheme="majorBidi" w:cstheme="majorBidi"/>
        </w:rPr>
        <w:t>Assurer une classification automatique des séjours selon les référentiels médicaux (GHM, T2A, etc.) ;</w:t>
      </w:r>
    </w:p>
    <w:p w14:paraId="0FC40F3E" w14:textId="77777777" w:rsidR="002210A7" w:rsidRPr="00D11D21" w:rsidRDefault="002210A7" w:rsidP="00D11D21">
      <w:pPr>
        <w:pStyle w:val="NormalWeb"/>
        <w:numPr>
          <w:ilvl w:val="0"/>
          <w:numId w:val="19"/>
        </w:numPr>
        <w:spacing w:line="360" w:lineRule="auto"/>
        <w:jc w:val="both"/>
        <w:rPr>
          <w:rFonts w:asciiTheme="majorBidi" w:hAnsiTheme="majorBidi" w:cstheme="majorBidi"/>
        </w:rPr>
      </w:pPr>
      <w:r w:rsidRPr="00D11D21">
        <w:rPr>
          <w:rFonts w:asciiTheme="majorBidi" w:hAnsiTheme="majorBidi" w:cstheme="majorBidi"/>
        </w:rPr>
        <w:lastRenderedPageBreak/>
        <w:t>Générer des tableaux de bord permettant aux gestionnaires d’analyser la performance des services ;</w:t>
      </w:r>
    </w:p>
    <w:p w14:paraId="6F8965C2" w14:textId="77777777" w:rsidR="002210A7" w:rsidRPr="00D11D21" w:rsidRDefault="002210A7" w:rsidP="00D11D21">
      <w:pPr>
        <w:pStyle w:val="NormalWeb"/>
        <w:numPr>
          <w:ilvl w:val="0"/>
          <w:numId w:val="19"/>
        </w:numPr>
        <w:spacing w:line="360" w:lineRule="auto"/>
        <w:jc w:val="both"/>
        <w:rPr>
          <w:rFonts w:asciiTheme="majorBidi" w:hAnsiTheme="majorBidi" w:cstheme="majorBidi"/>
        </w:rPr>
      </w:pPr>
      <w:r w:rsidRPr="00D11D21">
        <w:rPr>
          <w:rFonts w:asciiTheme="majorBidi" w:hAnsiTheme="majorBidi" w:cstheme="majorBidi"/>
        </w:rPr>
        <w:t>Communiquer les données aux tutelles, notamment la CNAS, pour déclencher le financement à l’activité.</w:t>
      </w:r>
    </w:p>
    <w:p w14:paraId="0511B213"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Pourquoi ce modèle est-il pertinent pour l’Algérie ?</w:t>
      </w:r>
    </w:p>
    <w:p w14:paraId="12E93A4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Dans le contexte algérien, la gratuité des soins est un principe fondamental. Or, cette gratuité ne signifie pas absence de pilotage. Au contraire, elle exige une gestion rigoureuse, équitable et transparente des ressources.</w:t>
      </w:r>
    </w:p>
    <w:p w14:paraId="186D7230"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La part variable permet de :</w:t>
      </w:r>
    </w:p>
    <w:p w14:paraId="39C25E59" w14:textId="77777777" w:rsidR="002210A7" w:rsidRPr="00D11D21" w:rsidRDefault="002210A7" w:rsidP="00D11D21">
      <w:pPr>
        <w:pStyle w:val="NormalWeb"/>
        <w:numPr>
          <w:ilvl w:val="0"/>
          <w:numId w:val="20"/>
        </w:numPr>
        <w:spacing w:line="360" w:lineRule="auto"/>
        <w:jc w:val="both"/>
        <w:rPr>
          <w:rFonts w:asciiTheme="majorBidi" w:hAnsiTheme="majorBidi" w:cstheme="majorBidi"/>
        </w:rPr>
      </w:pPr>
      <w:r w:rsidRPr="00D11D21">
        <w:rPr>
          <w:rFonts w:asciiTheme="majorBidi" w:hAnsiTheme="majorBidi" w:cstheme="majorBidi"/>
        </w:rPr>
        <w:t>Allouer plus de moyens aux hôpitaux réellement actifs,</w:t>
      </w:r>
    </w:p>
    <w:p w14:paraId="70AA5E09" w14:textId="77777777" w:rsidR="002210A7" w:rsidRPr="00D11D21" w:rsidRDefault="002210A7" w:rsidP="00D11D21">
      <w:pPr>
        <w:pStyle w:val="NormalWeb"/>
        <w:numPr>
          <w:ilvl w:val="0"/>
          <w:numId w:val="20"/>
        </w:numPr>
        <w:spacing w:line="360" w:lineRule="auto"/>
        <w:jc w:val="both"/>
        <w:rPr>
          <w:rFonts w:asciiTheme="majorBidi" w:hAnsiTheme="majorBidi" w:cstheme="majorBidi"/>
        </w:rPr>
      </w:pPr>
      <w:r w:rsidRPr="00D11D21">
        <w:rPr>
          <w:rFonts w:asciiTheme="majorBidi" w:hAnsiTheme="majorBidi" w:cstheme="majorBidi"/>
        </w:rPr>
        <w:t>Réduire les inégalités régionales en valorisant les besoins locaux,</w:t>
      </w:r>
    </w:p>
    <w:p w14:paraId="52E67A14" w14:textId="77777777" w:rsidR="002210A7" w:rsidRPr="00D11D21" w:rsidRDefault="002210A7" w:rsidP="00D11D21">
      <w:pPr>
        <w:pStyle w:val="NormalWeb"/>
        <w:numPr>
          <w:ilvl w:val="0"/>
          <w:numId w:val="20"/>
        </w:numPr>
        <w:spacing w:line="360" w:lineRule="auto"/>
        <w:jc w:val="both"/>
        <w:rPr>
          <w:rFonts w:asciiTheme="majorBidi" w:hAnsiTheme="majorBidi" w:cstheme="majorBidi"/>
        </w:rPr>
      </w:pPr>
      <w:r w:rsidRPr="00D11D21">
        <w:rPr>
          <w:rFonts w:asciiTheme="majorBidi" w:hAnsiTheme="majorBidi" w:cstheme="majorBidi"/>
        </w:rPr>
        <w:t>Introduire une logique de performance dans un système public sans rompre avec la gratuité.</w:t>
      </w:r>
    </w:p>
    <w:p w14:paraId="6EE62003"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Les expériences pilotes menées dans certains EHS ont montré que le croisement entre activité réelle et financement est possible, à condition d’avoir un SI fiable et du personnel formé.</w:t>
      </w:r>
    </w:p>
    <w:p w14:paraId="0D670FA0"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t>Enjeux et conditions de réussite</w:t>
      </w:r>
    </w:p>
    <w:p w14:paraId="45CF1C68"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Pour que ce mécanisme fonctionne, plusieurs conditions doivent être réunies :</w:t>
      </w:r>
    </w:p>
    <w:p w14:paraId="35818CDC" w14:textId="77777777" w:rsidR="002210A7" w:rsidRPr="00D11D21" w:rsidRDefault="002210A7" w:rsidP="00D11D21">
      <w:pPr>
        <w:pStyle w:val="NormalWeb"/>
        <w:numPr>
          <w:ilvl w:val="0"/>
          <w:numId w:val="21"/>
        </w:numPr>
        <w:spacing w:line="360" w:lineRule="auto"/>
        <w:jc w:val="both"/>
        <w:rPr>
          <w:rFonts w:asciiTheme="majorBidi" w:hAnsiTheme="majorBidi" w:cstheme="majorBidi"/>
        </w:rPr>
      </w:pPr>
      <w:r w:rsidRPr="00D11D21">
        <w:rPr>
          <w:rFonts w:asciiTheme="majorBidi" w:hAnsiTheme="majorBidi" w:cstheme="majorBidi"/>
        </w:rPr>
        <w:t>Modernisation des SIH existants, pour éviter la fragmentation et les doubles saisies ;</w:t>
      </w:r>
    </w:p>
    <w:p w14:paraId="4605ADE9" w14:textId="77777777" w:rsidR="002210A7" w:rsidRPr="00D11D21" w:rsidRDefault="002210A7" w:rsidP="00D11D21">
      <w:pPr>
        <w:pStyle w:val="NormalWeb"/>
        <w:numPr>
          <w:ilvl w:val="0"/>
          <w:numId w:val="21"/>
        </w:numPr>
        <w:spacing w:line="360" w:lineRule="auto"/>
        <w:jc w:val="both"/>
        <w:rPr>
          <w:rFonts w:asciiTheme="majorBidi" w:hAnsiTheme="majorBidi" w:cstheme="majorBidi"/>
        </w:rPr>
      </w:pPr>
      <w:r w:rsidRPr="00D11D21">
        <w:rPr>
          <w:rFonts w:asciiTheme="majorBidi" w:hAnsiTheme="majorBidi" w:cstheme="majorBidi"/>
        </w:rPr>
        <w:t>Formation continue du personnel, en particulier les gestionnaires et les médecins codeurs ;</w:t>
      </w:r>
    </w:p>
    <w:p w14:paraId="62EDA340" w14:textId="77777777" w:rsidR="002210A7" w:rsidRPr="00D11D21" w:rsidRDefault="002210A7" w:rsidP="00D11D21">
      <w:pPr>
        <w:pStyle w:val="NormalWeb"/>
        <w:numPr>
          <w:ilvl w:val="0"/>
          <w:numId w:val="21"/>
        </w:numPr>
        <w:spacing w:line="360" w:lineRule="auto"/>
        <w:jc w:val="both"/>
        <w:rPr>
          <w:rFonts w:asciiTheme="majorBidi" w:hAnsiTheme="majorBidi" w:cstheme="majorBidi"/>
        </w:rPr>
      </w:pPr>
      <w:r w:rsidRPr="00D11D21">
        <w:rPr>
          <w:rFonts w:asciiTheme="majorBidi" w:hAnsiTheme="majorBidi" w:cstheme="majorBidi"/>
        </w:rPr>
        <w:t>Pilotage centralisé, via une cellule nationale chargée de la gouvernance du système d’information hospitalier ;</w:t>
      </w:r>
    </w:p>
    <w:p w14:paraId="519CC5C3" w14:textId="77777777" w:rsidR="002210A7" w:rsidRPr="00D11D21" w:rsidRDefault="002210A7" w:rsidP="00D11D21">
      <w:pPr>
        <w:pStyle w:val="NormalWeb"/>
        <w:numPr>
          <w:ilvl w:val="0"/>
          <w:numId w:val="21"/>
        </w:numPr>
        <w:spacing w:line="360" w:lineRule="auto"/>
        <w:jc w:val="both"/>
        <w:rPr>
          <w:rFonts w:asciiTheme="majorBidi" w:hAnsiTheme="majorBidi" w:cstheme="majorBidi"/>
        </w:rPr>
      </w:pPr>
      <w:r w:rsidRPr="00D11D21">
        <w:rPr>
          <w:rFonts w:asciiTheme="majorBidi" w:hAnsiTheme="majorBidi" w:cstheme="majorBidi"/>
        </w:rPr>
        <w:t>Contrôle régulier, pour éviter les dérives liées à une logique purement quantitative (ex. sur-hospitalisations).</w:t>
      </w:r>
    </w:p>
    <w:p w14:paraId="065B98D1" w14:textId="77777777" w:rsidR="002210A7" w:rsidRPr="00D11D21" w:rsidRDefault="002210A7" w:rsidP="00D11D21">
      <w:pPr>
        <w:pStyle w:val="NormalWeb"/>
        <w:numPr>
          <w:ilvl w:val="0"/>
          <w:numId w:val="50"/>
        </w:numPr>
        <w:spacing w:line="360" w:lineRule="auto"/>
        <w:jc w:val="both"/>
        <w:rPr>
          <w:rFonts w:asciiTheme="majorBidi" w:hAnsiTheme="majorBidi" w:cstheme="majorBidi"/>
          <w:b/>
          <w:bCs/>
        </w:rPr>
      </w:pPr>
      <w:r w:rsidRPr="00D11D21">
        <w:rPr>
          <w:rFonts w:asciiTheme="majorBidi" w:hAnsiTheme="majorBidi" w:cstheme="majorBidi"/>
          <w:b/>
          <w:bCs/>
        </w:rPr>
        <w:t>Le rôle du Système d’Information Hospitalier (SIH) dans le modèle mixte</w:t>
      </w:r>
    </w:p>
    <w:p w14:paraId="03024EA4"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Dans le cadre du modèle de financement mixte imaginé, le Système d’Information Hospitalier (SIH) joue un rôle fondamental. Il constitue l’outil stratégique central qui permet de relier efficacement le financement à l’activité réelle de l’établissement, tout en assurant la transparence, le contrôle et la coordination entre les différents acteurs du système de santé.</w:t>
      </w:r>
    </w:p>
    <w:p w14:paraId="0A8F8C59" w14:textId="77777777" w:rsidR="002210A7" w:rsidRPr="00D11D21" w:rsidRDefault="002210A7" w:rsidP="00D11D21">
      <w:pPr>
        <w:pStyle w:val="NormalWeb"/>
        <w:numPr>
          <w:ilvl w:val="0"/>
          <w:numId w:val="65"/>
        </w:numPr>
        <w:spacing w:line="360" w:lineRule="auto"/>
        <w:jc w:val="both"/>
        <w:rPr>
          <w:rFonts w:asciiTheme="majorBidi" w:hAnsiTheme="majorBidi" w:cstheme="majorBidi"/>
          <w:b/>
          <w:bCs/>
        </w:rPr>
      </w:pPr>
      <w:r w:rsidRPr="00D11D21">
        <w:rPr>
          <w:rFonts w:asciiTheme="majorBidi" w:hAnsiTheme="majorBidi" w:cstheme="majorBidi"/>
          <w:b/>
          <w:bCs/>
        </w:rPr>
        <w:lastRenderedPageBreak/>
        <w:t>Un outil de pilotage et de suivi des dépenses hospitalières</w:t>
      </w:r>
    </w:p>
    <w:p w14:paraId="61196365" w14:textId="550CD9EB" w:rsidR="00684236" w:rsidRPr="00D11D21" w:rsidRDefault="002210A7" w:rsidP="00480CC0">
      <w:pPr>
        <w:pStyle w:val="NormalWeb"/>
        <w:spacing w:line="360" w:lineRule="auto"/>
        <w:jc w:val="both"/>
        <w:rPr>
          <w:rFonts w:asciiTheme="majorBidi" w:hAnsiTheme="majorBidi" w:cstheme="majorBidi"/>
        </w:rPr>
      </w:pPr>
      <w:r w:rsidRPr="00D11D21">
        <w:rPr>
          <w:rFonts w:asciiTheme="majorBidi" w:hAnsiTheme="majorBidi" w:cstheme="majorBidi"/>
        </w:rPr>
        <w:t>L’un des principaux enjeux de la réforme du financement est de suivre précisément les dépenses engagées par les hôpitaux pour ajuster le financement de manière plus juste et transparente. Le SIH permet de :</w:t>
      </w:r>
    </w:p>
    <w:p w14:paraId="0BA60C3F" w14:textId="77777777" w:rsidR="002210A7" w:rsidRPr="00D11D21" w:rsidRDefault="002210A7" w:rsidP="00D11D21">
      <w:pPr>
        <w:pStyle w:val="NormalWeb"/>
        <w:numPr>
          <w:ilvl w:val="0"/>
          <w:numId w:val="22"/>
        </w:numPr>
        <w:spacing w:line="360" w:lineRule="auto"/>
        <w:jc w:val="both"/>
        <w:rPr>
          <w:rFonts w:asciiTheme="majorBidi" w:hAnsiTheme="majorBidi" w:cstheme="majorBidi"/>
        </w:rPr>
      </w:pPr>
      <w:r w:rsidRPr="00D11D21">
        <w:rPr>
          <w:rFonts w:asciiTheme="majorBidi" w:hAnsiTheme="majorBidi" w:cstheme="majorBidi"/>
        </w:rPr>
        <w:t>Enregistrer toutes les dépenses par service, activité ou unité de soins ;</w:t>
      </w:r>
    </w:p>
    <w:p w14:paraId="7C307BF0" w14:textId="562992C4" w:rsidR="002210A7" w:rsidRPr="00D11D21" w:rsidRDefault="002210A7" w:rsidP="00D11D21">
      <w:pPr>
        <w:pStyle w:val="NormalWeb"/>
        <w:numPr>
          <w:ilvl w:val="0"/>
          <w:numId w:val="22"/>
        </w:numPr>
        <w:spacing w:line="360" w:lineRule="auto"/>
        <w:jc w:val="both"/>
        <w:rPr>
          <w:rFonts w:asciiTheme="majorBidi" w:hAnsiTheme="majorBidi" w:cstheme="majorBidi"/>
        </w:rPr>
      </w:pPr>
      <w:r w:rsidRPr="00D11D21">
        <w:rPr>
          <w:rFonts w:asciiTheme="majorBidi" w:hAnsiTheme="majorBidi" w:cstheme="majorBidi"/>
        </w:rPr>
        <w:t>Relier chaque dépense à une activité réelle (hospitalisation, acte mé</w:t>
      </w:r>
      <w:r w:rsidR="005C3BEE">
        <w:rPr>
          <w:rFonts w:asciiTheme="majorBidi" w:hAnsiTheme="majorBidi" w:cstheme="majorBidi"/>
        </w:rPr>
        <w:t xml:space="preserve">dical, imagerie, pharmacie...) </w:t>
      </w:r>
    </w:p>
    <w:p w14:paraId="6B0FA916" w14:textId="77777777" w:rsidR="002210A7" w:rsidRPr="00D11D21" w:rsidRDefault="002210A7" w:rsidP="00D11D21">
      <w:pPr>
        <w:pStyle w:val="NormalWeb"/>
        <w:numPr>
          <w:ilvl w:val="0"/>
          <w:numId w:val="22"/>
        </w:numPr>
        <w:spacing w:line="360" w:lineRule="auto"/>
        <w:jc w:val="both"/>
        <w:rPr>
          <w:rFonts w:asciiTheme="majorBidi" w:hAnsiTheme="majorBidi" w:cstheme="majorBidi"/>
        </w:rPr>
      </w:pPr>
      <w:r w:rsidRPr="00D11D21">
        <w:rPr>
          <w:rFonts w:asciiTheme="majorBidi" w:hAnsiTheme="majorBidi" w:cstheme="majorBidi"/>
        </w:rPr>
        <w:t>Fournir des indicateurs fiables pour analyser les écarts entre budget prévisionnel et exécution réelle.</w:t>
      </w:r>
    </w:p>
    <w:p w14:paraId="52D6976B"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Ainsi, le SI devient un outil de gestion budgétaire dynamique, permettant aux directions hospitalières de mieux répartir les ressources, de détecter les dérives financières et d'anticiper les besoins.</w:t>
      </w:r>
    </w:p>
    <w:p w14:paraId="0D7BC967" w14:textId="77777777" w:rsidR="002210A7" w:rsidRPr="00D11D21" w:rsidRDefault="002210A7" w:rsidP="00D11D21">
      <w:pPr>
        <w:pStyle w:val="NormalWeb"/>
        <w:numPr>
          <w:ilvl w:val="0"/>
          <w:numId w:val="65"/>
        </w:numPr>
        <w:spacing w:line="360" w:lineRule="auto"/>
        <w:jc w:val="both"/>
        <w:rPr>
          <w:rFonts w:asciiTheme="majorBidi" w:hAnsiTheme="majorBidi" w:cstheme="majorBidi"/>
          <w:b/>
          <w:bCs/>
        </w:rPr>
      </w:pPr>
      <w:r w:rsidRPr="00D11D21">
        <w:rPr>
          <w:rFonts w:asciiTheme="majorBidi" w:hAnsiTheme="majorBidi" w:cstheme="majorBidi"/>
          <w:b/>
          <w:bCs/>
        </w:rPr>
        <w:t>Un lien entre toutes les parties prenantes du financement</w:t>
      </w:r>
    </w:p>
    <w:p w14:paraId="60EA2C9D"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système de santé algérien repose sur plusieurs acteurs : le ministère de la Santé, les caisses de sécurité sociale (CNAS/CASNOS), les Directions de Santé Publique (DSP) et les hôpitaux. Le SIH a pour rôle de :</w:t>
      </w:r>
    </w:p>
    <w:p w14:paraId="12BE65B8" w14:textId="77777777" w:rsidR="002210A7" w:rsidRPr="00D11D21" w:rsidRDefault="002210A7" w:rsidP="00D11D21">
      <w:pPr>
        <w:pStyle w:val="NormalWeb"/>
        <w:numPr>
          <w:ilvl w:val="0"/>
          <w:numId w:val="23"/>
        </w:numPr>
        <w:spacing w:line="360" w:lineRule="auto"/>
        <w:jc w:val="both"/>
        <w:rPr>
          <w:rFonts w:asciiTheme="majorBidi" w:hAnsiTheme="majorBidi" w:cstheme="majorBidi"/>
        </w:rPr>
      </w:pPr>
      <w:r w:rsidRPr="00D11D21">
        <w:rPr>
          <w:rFonts w:asciiTheme="majorBidi" w:hAnsiTheme="majorBidi" w:cstheme="majorBidi"/>
        </w:rPr>
        <w:t>Créer un canal d’échange sécurisé des données entre ces acteurs ;</w:t>
      </w:r>
    </w:p>
    <w:p w14:paraId="2D50FFCA" w14:textId="77777777" w:rsidR="002210A7" w:rsidRPr="00D11D21" w:rsidRDefault="002210A7" w:rsidP="00D11D21">
      <w:pPr>
        <w:pStyle w:val="NormalWeb"/>
        <w:numPr>
          <w:ilvl w:val="0"/>
          <w:numId w:val="23"/>
        </w:numPr>
        <w:spacing w:line="360" w:lineRule="auto"/>
        <w:jc w:val="both"/>
        <w:rPr>
          <w:rFonts w:asciiTheme="majorBidi" w:hAnsiTheme="majorBidi" w:cstheme="majorBidi"/>
        </w:rPr>
      </w:pPr>
      <w:r w:rsidRPr="00D11D21">
        <w:rPr>
          <w:rFonts w:asciiTheme="majorBidi" w:hAnsiTheme="majorBidi" w:cstheme="majorBidi"/>
        </w:rPr>
        <w:t>Faciliter la transmission des informations financières et médicales (facturation, remboursements, suivi des conventions) ;</w:t>
      </w:r>
    </w:p>
    <w:p w14:paraId="1771A7DA" w14:textId="77777777" w:rsidR="002210A7" w:rsidRPr="00D11D21" w:rsidRDefault="002210A7" w:rsidP="00D11D21">
      <w:pPr>
        <w:pStyle w:val="NormalWeb"/>
        <w:numPr>
          <w:ilvl w:val="0"/>
          <w:numId w:val="23"/>
        </w:numPr>
        <w:spacing w:line="360" w:lineRule="auto"/>
        <w:jc w:val="both"/>
        <w:rPr>
          <w:rFonts w:asciiTheme="majorBidi" w:hAnsiTheme="majorBidi" w:cstheme="majorBidi"/>
        </w:rPr>
      </w:pPr>
      <w:r w:rsidRPr="00D11D21">
        <w:rPr>
          <w:rFonts w:asciiTheme="majorBidi" w:hAnsiTheme="majorBidi" w:cstheme="majorBidi"/>
        </w:rPr>
        <w:t>Améliorer la coordination dans le traitement des dépenses et des financements, en évitant les redondances et en réduisant les délais de paiement ;</w:t>
      </w:r>
    </w:p>
    <w:p w14:paraId="7E4103E6" w14:textId="77777777" w:rsidR="002210A7" w:rsidRPr="00D11D21" w:rsidRDefault="002210A7" w:rsidP="00D11D21">
      <w:pPr>
        <w:pStyle w:val="NormalWeb"/>
        <w:numPr>
          <w:ilvl w:val="0"/>
          <w:numId w:val="23"/>
        </w:numPr>
        <w:spacing w:line="360" w:lineRule="auto"/>
        <w:jc w:val="both"/>
        <w:rPr>
          <w:rFonts w:asciiTheme="majorBidi" w:hAnsiTheme="majorBidi" w:cstheme="majorBidi"/>
        </w:rPr>
      </w:pPr>
      <w:r w:rsidRPr="00D11D21">
        <w:rPr>
          <w:rFonts w:asciiTheme="majorBidi" w:hAnsiTheme="majorBidi" w:cstheme="majorBidi"/>
        </w:rPr>
        <w:t>Fournir à chaque partie une vision actualisée et fiable des flux financiers liés aux soins de santé.</w:t>
      </w:r>
    </w:p>
    <w:p w14:paraId="1F3F871E" w14:textId="77777777" w:rsidR="002210A7" w:rsidRPr="00D11D21" w:rsidRDefault="002210A7" w:rsidP="00D11D21">
      <w:pPr>
        <w:pStyle w:val="NormalWeb"/>
        <w:numPr>
          <w:ilvl w:val="0"/>
          <w:numId w:val="65"/>
        </w:numPr>
        <w:spacing w:line="360" w:lineRule="auto"/>
        <w:jc w:val="both"/>
        <w:rPr>
          <w:rFonts w:asciiTheme="majorBidi" w:hAnsiTheme="majorBidi" w:cstheme="majorBidi"/>
          <w:b/>
          <w:bCs/>
        </w:rPr>
      </w:pPr>
      <w:r w:rsidRPr="00D11D21">
        <w:rPr>
          <w:rFonts w:asciiTheme="majorBidi" w:hAnsiTheme="majorBidi" w:cstheme="majorBidi"/>
          <w:b/>
          <w:bCs/>
        </w:rPr>
        <w:t>Un levier d'amélioration de la performance globale</w:t>
      </w:r>
    </w:p>
    <w:p w14:paraId="632F476A"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SI n’est pas uniquement un outil informatique : il restructure les processus de gestion, professionnalise le suivi des soins et renforce la gouvernance hospitalière. Grâce à lui :</w:t>
      </w:r>
    </w:p>
    <w:p w14:paraId="27D38C38" w14:textId="77777777" w:rsidR="002210A7" w:rsidRPr="00D11D21" w:rsidRDefault="002210A7" w:rsidP="00D11D21">
      <w:pPr>
        <w:pStyle w:val="NormalWeb"/>
        <w:numPr>
          <w:ilvl w:val="0"/>
          <w:numId w:val="24"/>
        </w:numPr>
        <w:spacing w:line="360" w:lineRule="auto"/>
        <w:jc w:val="both"/>
        <w:rPr>
          <w:rFonts w:asciiTheme="majorBidi" w:hAnsiTheme="majorBidi" w:cstheme="majorBidi"/>
        </w:rPr>
      </w:pPr>
      <w:r w:rsidRPr="00D11D21">
        <w:rPr>
          <w:rFonts w:asciiTheme="majorBidi" w:hAnsiTheme="majorBidi" w:cstheme="majorBidi"/>
        </w:rPr>
        <w:t>Les hôpitaux peuvent piloter leur activité en fonction d’indicateurs réels, et non plus sur des prévisions figées.</w:t>
      </w:r>
    </w:p>
    <w:p w14:paraId="79B70A98" w14:textId="77777777" w:rsidR="002210A7" w:rsidRPr="00D11D21" w:rsidRDefault="002210A7" w:rsidP="00D11D21">
      <w:pPr>
        <w:pStyle w:val="NormalWeb"/>
        <w:numPr>
          <w:ilvl w:val="0"/>
          <w:numId w:val="24"/>
        </w:numPr>
        <w:spacing w:line="360" w:lineRule="auto"/>
        <w:jc w:val="both"/>
        <w:rPr>
          <w:rFonts w:asciiTheme="majorBidi" w:hAnsiTheme="majorBidi" w:cstheme="majorBidi"/>
        </w:rPr>
      </w:pPr>
      <w:r w:rsidRPr="00D11D21">
        <w:rPr>
          <w:rFonts w:asciiTheme="majorBidi" w:hAnsiTheme="majorBidi" w:cstheme="majorBidi"/>
        </w:rPr>
        <w:t>La CNAS peut analyser la qualité des soins délivrés et valoriser les établissements performants.</w:t>
      </w:r>
    </w:p>
    <w:p w14:paraId="7E1E69A4" w14:textId="77777777" w:rsidR="002210A7" w:rsidRPr="00D11D21" w:rsidRDefault="002210A7" w:rsidP="00D11D21">
      <w:pPr>
        <w:pStyle w:val="NormalWeb"/>
        <w:numPr>
          <w:ilvl w:val="0"/>
          <w:numId w:val="24"/>
        </w:numPr>
        <w:spacing w:line="360" w:lineRule="auto"/>
        <w:jc w:val="both"/>
        <w:rPr>
          <w:rFonts w:asciiTheme="majorBidi" w:hAnsiTheme="majorBidi" w:cstheme="majorBidi"/>
        </w:rPr>
      </w:pPr>
      <w:r w:rsidRPr="00D11D21">
        <w:rPr>
          <w:rFonts w:asciiTheme="majorBidi" w:hAnsiTheme="majorBidi" w:cstheme="majorBidi"/>
        </w:rPr>
        <w:t>Le ministère de la Santé peut évaluer les écarts régionaux, adapter les politiques publiques, et renforcer l’équité territoriale.</w:t>
      </w:r>
    </w:p>
    <w:p w14:paraId="6FC7C5AA" w14:textId="77777777" w:rsidR="002210A7" w:rsidRPr="00D11D21" w:rsidRDefault="002210A7" w:rsidP="00D11D21">
      <w:pPr>
        <w:pStyle w:val="NormalWeb"/>
        <w:numPr>
          <w:ilvl w:val="0"/>
          <w:numId w:val="41"/>
        </w:numPr>
        <w:spacing w:line="360" w:lineRule="auto"/>
        <w:jc w:val="both"/>
        <w:rPr>
          <w:rFonts w:asciiTheme="majorBidi" w:hAnsiTheme="majorBidi" w:cstheme="majorBidi"/>
          <w:b/>
          <w:bCs/>
        </w:rPr>
      </w:pPr>
      <w:r w:rsidRPr="00D11D21">
        <w:rPr>
          <w:rFonts w:asciiTheme="majorBidi" w:hAnsiTheme="majorBidi" w:cstheme="majorBidi"/>
          <w:b/>
          <w:bCs/>
        </w:rPr>
        <w:lastRenderedPageBreak/>
        <w:t>Contribution du système d’information à la mise en œuvre de la part variable :</w:t>
      </w:r>
    </w:p>
    <w:p w14:paraId="5DF70C28"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L’efficacité du modèle de financement mixte repose en grande partie sur la capacité du système d’information hospitalier (SIH) à produire et transmettre des données fiables, exploitables et traçables, à toutes les étapes du processus budgétaire et médical. Le SI devient alors le support technique essentiel pour faire fonctionner le lien entre financement et activité réelle.</w:t>
      </w:r>
    </w:p>
    <w:p w14:paraId="699A4F0B"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 xml:space="preserve"> Collecte automatisée des données d’activité</w:t>
      </w:r>
    </w:p>
    <w:p w14:paraId="5FD74424"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SI permet de recueillir de manière systématique les données médicales et administratives liées à chaque patient :</w:t>
      </w:r>
    </w:p>
    <w:p w14:paraId="605E0F8A" w14:textId="77777777" w:rsidR="002210A7" w:rsidRPr="00D11D21" w:rsidRDefault="002210A7" w:rsidP="00D11D21">
      <w:pPr>
        <w:pStyle w:val="NormalWeb"/>
        <w:numPr>
          <w:ilvl w:val="0"/>
          <w:numId w:val="25"/>
        </w:numPr>
        <w:spacing w:line="360" w:lineRule="auto"/>
        <w:jc w:val="both"/>
        <w:rPr>
          <w:rFonts w:asciiTheme="majorBidi" w:hAnsiTheme="majorBidi" w:cstheme="majorBidi"/>
        </w:rPr>
      </w:pPr>
      <w:r w:rsidRPr="00D11D21">
        <w:rPr>
          <w:rFonts w:asciiTheme="majorBidi" w:hAnsiTheme="majorBidi" w:cstheme="majorBidi"/>
        </w:rPr>
        <w:t>Nombre d’hospitalisations,</w:t>
      </w:r>
    </w:p>
    <w:p w14:paraId="138701A5" w14:textId="77777777" w:rsidR="002210A7" w:rsidRPr="00D11D21" w:rsidRDefault="002210A7" w:rsidP="00D11D21">
      <w:pPr>
        <w:pStyle w:val="NormalWeb"/>
        <w:numPr>
          <w:ilvl w:val="0"/>
          <w:numId w:val="25"/>
        </w:numPr>
        <w:spacing w:line="360" w:lineRule="auto"/>
        <w:jc w:val="both"/>
        <w:rPr>
          <w:rFonts w:asciiTheme="majorBidi" w:hAnsiTheme="majorBidi" w:cstheme="majorBidi"/>
        </w:rPr>
      </w:pPr>
      <w:r w:rsidRPr="00D11D21">
        <w:rPr>
          <w:rFonts w:asciiTheme="majorBidi" w:hAnsiTheme="majorBidi" w:cstheme="majorBidi"/>
        </w:rPr>
        <w:t>Nature des actes médicaux,</w:t>
      </w:r>
    </w:p>
    <w:p w14:paraId="3D56C89F" w14:textId="77777777" w:rsidR="002210A7" w:rsidRPr="00D11D21" w:rsidRDefault="002210A7" w:rsidP="00D11D21">
      <w:pPr>
        <w:pStyle w:val="NormalWeb"/>
        <w:numPr>
          <w:ilvl w:val="0"/>
          <w:numId w:val="25"/>
        </w:numPr>
        <w:spacing w:line="360" w:lineRule="auto"/>
        <w:jc w:val="both"/>
        <w:rPr>
          <w:rFonts w:asciiTheme="majorBidi" w:hAnsiTheme="majorBidi" w:cstheme="majorBidi"/>
        </w:rPr>
      </w:pPr>
      <w:r w:rsidRPr="00D11D21">
        <w:rPr>
          <w:rFonts w:asciiTheme="majorBidi" w:hAnsiTheme="majorBidi" w:cstheme="majorBidi"/>
        </w:rPr>
        <w:t>Durée de séjour,</w:t>
      </w:r>
    </w:p>
    <w:p w14:paraId="455B3FA6" w14:textId="77777777" w:rsidR="002210A7" w:rsidRPr="00D11D21" w:rsidRDefault="002210A7" w:rsidP="00D11D21">
      <w:pPr>
        <w:pStyle w:val="NormalWeb"/>
        <w:numPr>
          <w:ilvl w:val="0"/>
          <w:numId w:val="25"/>
        </w:numPr>
        <w:spacing w:line="360" w:lineRule="auto"/>
        <w:jc w:val="both"/>
        <w:rPr>
          <w:rFonts w:asciiTheme="majorBidi" w:hAnsiTheme="majorBidi" w:cstheme="majorBidi"/>
        </w:rPr>
      </w:pPr>
      <w:r w:rsidRPr="00D11D21">
        <w:rPr>
          <w:rFonts w:asciiTheme="majorBidi" w:hAnsiTheme="majorBidi" w:cstheme="majorBidi"/>
        </w:rPr>
        <w:t>Consommation de médicaments,</w:t>
      </w:r>
    </w:p>
    <w:p w14:paraId="58A58C82" w14:textId="77777777" w:rsidR="002210A7" w:rsidRPr="00D11D21" w:rsidRDefault="002210A7" w:rsidP="00D11D21">
      <w:pPr>
        <w:pStyle w:val="NormalWeb"/>
        <w:numPr>
          <w:ilvl w:val="0"/>
          <w:numId w:val="25"/>
        </w:numPr>
        <w:spacing w:line="360" w:lineRule="auto"/>
        <w:jc w:val="both"/>
        <w:rPr>
          <w:rFonts w:asciiTheme="majorBidi" w:hAnsiTheme="majorBidi" w:cstheme="majorBidi"/>
        </w:rPr>
      </w:pPr>
      <w:r w:rsidRPr="00D11D21">
        <w:rPr>
          <w:rFonts w:asciiTheme="majorBidi" w:hAnsiTheme="majorBidi" w:cstheme="majorBidi"/>
        </w:rPr>
        <w:t>Utilisation des plateaux techniques,</w:t>
      </w:r>
    </w:p>
    <w:p w14:paraId="79063D08" w14:textId="16064175" w:rsidR="00684236" w:rsidRPr="00480CC0" w:rsidRDefault="002210A7" w:rsidP="00480CC0">
      <w:pPr>
        <w:pStyle w:val="NormalWeb"/>
        <w:numPr>
          <w:ilvl w:val="0"/>
          <w:numId w:val="25"/>
        </w:numPr>
        <w:spacing w:line="360" w:lineRule="auto"/>
        <w:jc w:val="both"/>
        <w:rPr>
          <w:rFonts w:asciiTheme="majorBidi" w:hAnsiTheme="majorBidi" w:cstheme="majorBidi"/>
        </w:rPr>
      </w:pPr>
      <w:r w:rsidRPr="00D11D21">
        <w:rPr>
          <w:rFonts w:asciiTheme="majorBidi" w:hAnsiTheme="majorBidi" w:cstheme="majorBidi"/>
        </w:rPr>
        <w:t>Mobilisation des ressources humaines.</w:t>
      </w:r>
    </w:p>
    <w:p w14:paraId="0B6C6C33" w14:textId="260716E6"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Toutes ces données constituent la base pour mesurer objectivement le volume de soins réellement délivrés par l’établissement.</w:t>
      </w:r>
    </w:p>
    <w:p w14:paraId="597FA84F"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 xml:space="preserve"> Classification et codification des soins</w:t>
      </w:r>
    </w:p>
    <w:p w14:paraId="1168B8FE"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Dans le modèle mixte, chaque type de séjour ou d’intervention doit être catégorisé afin d’estimer un coût moyen par groupe de soins. Le SI facilite cette étape grâce à :</w:t>
      </w:r>
    </w:p>
    <w:p w14:paraId="798D9707" w14:textId="77777777" w:rsidR="002210A7" w:rsidRPr="00D11D21" w:rsidRDefault="002210A7" w:rsidP="00D11D21">
      <w:pPr>
        <w:pStyle w:val="NormalWeb"/>
        <w:numPr>
          <w:ilvl w:val="0"/>
          <w:numId w:val="26"/>
        </w:numPr>
        <w:spacing w:line="360" w:lineRule="auto"/>
        <w:jc w:val="both"/>
        <w:rPr>
          <w:rFonts w:asciiTheme="majorBidi" w:hAnsiTheme="majorBidi" w:cstheme="majorBidi"/>
        </w:rPr>
      </w:pPr>
      <w:r w:rsidRPr="00D11D21">
        <w:rPr>
          <w:rFonts w:asciiTheme="majorBidi" w:hAnsiTheme="majorBidi" w:cstheme="majorBidi"/>
        </w:rPr>
        <w:t>La codification médicale normalisée (diagnostics, actes, sévérité...),</w:t>
      </w:r>
    </w:p>
    <w:p w14:paraId="47E7CE92" w14:textId="77777777" w:rsidR="002210A7" w:rsidRPr="00D11D21" w:rsidRDefault="002210A7" w:rsidP="00D11D21">
      <w:pPr>
        <w:pStyle w:val="NormalWeb"/>
        <w:numPr>
          <w:ilvl w:val="0"/>
          <w:numId w:val="26"/>
        </w:numPr>
        <w:spacing w:line="360" w:lineRule="auto"/>
        <w:jc w:val="both"/>
        <w:rPr>
          <w:rFonts w:asciiTheme="majorBidi" w:hAnsiTheme="majorBidi" w:cstheme="majorBidi"/>
        </w:rPr>
      </w:pPr>
      <w:r w:rsidRPr="00D11D21">
        <w:rPr>
          <w:rFonts w:asciiTheme="majorBidi" w:hAnsiTheme="majorBidi" w:cstheme="majorBidi"/>
        </w:rPr>
        <w:t>L’affectation automatique à un Groupe Homogène de Malades (GHM) ou DRG (</w:t>
      </w:r>
      <w:proofErr w:type="spellStart"/>
      <w:r w:rsidRPr="00D11D21">
        <w:rPr>
          <w:rFonts w:asciiTheme="majorBidi" w:hAnsiTheme="majorBidi" w:cstheme="majorBidi"/>
        </w:rPr>
        <w:t>Diagnosis</w:t>
      </w:r>
      <w:proofErr w:type="spellEnd"/>
      <w:r w:rsidRPr="00D11D21">
        <w:rPr>
          <w:rFonts w:asciiTheme="majorBidi" w:hAnsiTheme="majorBidi" w:cstheme="majorBidi"/>
        </w:rPr>
        <w:t xml:space="preserve"> </w:t>
      </w:r>
      <w:proofErr w:type="spellStart"/>
      <w:r w:rsidRPr="00D11D21">
        <w:rPr>
          <w:rFonts w:asciiTheme="majorBidi" w:hAnsiTheme="majorBidi" w:cstheme="majorBidi"/>
        </w:rPr>
        <w:t>Related</w:t>
      </w:r>
      <w:proofErr w:type="spellEnd"/>
      <w:r w:rsidRPr="00D11D21">
        <w:rPr>
          <w:rFonts w:asciiTheme="majorBidi" w:hAnsiTheme="majorBidi" w:cstheme="majorBidi"/>
        </w:rPr>
        <w:t xml:space="preserve"> Group),</w:t>
      </w:r>
    </w:p>
    <w:p w14:paraId="22EC8797" w14:textId="77777777" w:rsidR="002210A7" w:rsidRPr="00D11D21" w:rsidRDefault="002210A7" w:rsidP="00D11D21">
      <w:pPr>
        <w:pStyle w:val="NormalWeb"/>
        <w:numPr>
          <w:ilvl w:val="0"/>
          <w:numId w:val="26"/>
        </w:numPr>
        <w:spacing w:line="360" w:lineRule="auto"/>
        <w:jc w:val="both"/>
        <w:rPr>
          <w:rFonts w:asciiTheme="majorBidi" w:hAnsiTheme="majorBidi" w:cstheme="majorBidi"/>
        </w:rPr>
      </w:pPr>
      <w:r w:rsidRPr="00D11D21">
        <w:rPr>
          <w:rFonts w:asciiTheme="majorBidi" w:hAnsiTheme="majorBidi" w:cstheme="majorBidi"/>
        </w:rPr>
        <w:t>L’évaluation de la complexité des prises en charge, essentielle pour ajuster le montant de la part variable.</w:t>
      </w:r>
    </w:p>
    <w:p w14:paraId="671A6972"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 xml:space="preserve"> Traitement et consolidation des informations financières</w:t>
      </w:r>
    </w:p>
    <w:p w14:paraId="7B4C201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SI hospitalier est aussi un outil de gestion financière intégré. Il permet de :</w:t>
      </w:r>
    </w:p>
    <w:p w14:paraId="3277FEDA" w14:textId="77777777" w:rsidR="002210A7" w:rsidRPr="00D11D21" w:rsidRDefault="002210A7" w:rsidP="00D11D21">
      <w:pPr>
        <w:pStyle w:val="NormalWeb"/>
        <w:numPr>
          <w:ilvl w:val="0"/>
          <w:numId w:val="27"/>
        </w:numPr>
        <w:spacing w:line="360" w:lineRule="auto"/>
        <w:jc w:val="both"/>
        <w:rPr>
          <w:rFonts w:asciiTheme="majorBidi" w:hAnsiTheme="majorBidi" w:cstheme="majorBidi"/>
        </w:rPr>
      </w:pPr>
      <w:r w:rsidRPr="00D11D21">
        <w:rPr>
          <w:rFonts w:asciiTheme="majorBidi" w:hAnsiTheme="majorBidi" w:cstheme="majorBidi"/>
        </w:rPr>
        <w:t>Lier chaque activité médicale à un coût spécifique (hospitalisation, examens, traitements...),</w:t>
      </w:r>
    </w:p>
    <w:p w14:paraId="4078CBA2" w14:textId="77777777" w:rsidR="002210A7" w:rsidRPr="00D11D21" w:rsidRDefault="002210A7" w:rsidP="00D11D21">
      <w:pPr>
        <w:pStyle w:val="NormalWeb"/>
        <w:numPr>
          <w:ilvl w:val="0"/>
          <w:numId w:val="27"/>
        </w:numPr>
        <w:spacing w:line="360" w:lineRule="auto"/>
        <w:jc w:val="both"/>
        <w:rPr>
          <w:rFonts w:asciiTheme="majorBidi" w:hAnsiTheme="majorBidi" w:cstheme="majorBidi"/>
        </w:rPr>
      </w:pPr>
      <w:r w:rsidRPr="00D11D21">
        <w:rPr>
          <w:rFonts w:asciiTheme="majorBidi" w:hAnsiTheme="majorBidi" w:cstheme="majorBidi"/>
        </w:rPr>
        <w:lastRenderedPageBreak/>
        <w:t>Calculer en temps réel les charges engagées et leur impact sur le budget,</w:t>
      </w:r>
    </w:p>
    <w:p w14:paraId="7528E8E7" w14:textId="77777777" w:rsidR="002210A7" w:rsidRPr="00D11D21" w:rsidRDefault="002210A7" w:rsidP="00D11D21">
      <w:pPr>
        <w:pStyle w:val="NormalWeb"/>
        <w:numPr>
          <w:ilvl w:val="0"/>
          <w:numId w:val="27"/>
        </w:numPr>
        <w:spacing w:line="360" w:lineRule="auto"/>
        <w:jc w:val="both"/>
        <w:rPr>
          <w:rFonts w:asciiTheme="majorBidi" w:hAnsiTheme="majorBidi" w:cstheme="majorBidi"/>
        </w:rPr>
      </w:pPr>
      <w:r w:rsidRPr="00D11D21">
        <w:rPr>
          <w:rFonts w:asciiTheme="majorBidi" w:hAnsiTheme="majorBidi" w:cstheme="majorBidi"/>
        </w:rPr>
        <w:t>Centraliser les données comptables, facilitant le dialogue entre la direction financière de l’hôpital, la CNAS, et les tutelles.</w:t>
      </w:r>
    </w:p>
    <w:p w14:paraId="3D7BEB11"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 xml:space="preserve"> Justification et transmission des données à la CNAS</w:t>
      </w:r>
    </w:p>
    <w:p w14:paraId="55F5BC79"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Une fois les données consolidées, le SI permet :</w:t>
      </w:r>
    </w:p>
    <w:p w14:paraId="4F4C4ADE" w14:textId="77777777" w:rsidR="002210A7" w:rsidRPr="00D11D21" w:rsidRDefault="002210A7" w:rsidP="00D11D21">
      <w:pPr>
        <w:pStyle w:val="NormalWeb"/>
        <w:numPr>
          <w:ilvl w:val="0"/>
          <w:numId w:val="28"/>
        </w:numPr>
        <w:spacing w:line="360" w:lineRule="auto"/>
        <w:jc w:val="both"/>
        <w:rPr>
          <w:rFonts w:asciiTheme="majorBidi" w:hAnsiTheme="majorBidi" w:cstheme="majorBidi"/>
        </w:rPr>
      </w:pPr>
      <w:r w:rsidRPr="00D11D21">
        <w:rPr>
          <w:rFonts w:asciiTheme="majorBidi" w:hAnsiTheme="majorBidi" w:cstheme="majorBidi"/>
        </w:rPr>
        <w:t>La génération de rapports normalisés sur l’activité réelle,</w:t>
      </w:r>
    </w:p>
    <w:p w14:paraId="3CE1097B" w14:textId="77777777" w:rsidR="002210A7" w:rsidRPr="00D11D21" w:rsidRDefault="002210A7" w:rsidP="00D11D21">
      <w:pPr>
        <w:pStyle w:val="NormalWeb"/>
        <w:numPr>
          <w:ilvl w:val="0"/>
          <w:numId w:val="28"/>
        </w:numPr>
        <w:spacing w:line="360" w:lineRule="auto"/>
        <w:jc w:val="both"/>
        <w:rPr>
          <w:rFonts w:asciiTheme="majorBidi" w:hAnsiTheme="majorBidi" w:cstheme="majorBidi"/>
        </w:rPr>
      </w:pPr>
      <w:r w:rsidRPr="00D11D21">
        <w:rPr>
          <w:rFonts w:asciiTheme="majorBidi" w:hAnsiTheme="majorBidi" w:cstheme="majorBidi"/>
        </w:rPr>
        <w:t>La facturation électronique des séjours pris en charge par la sécurité sociale,</w:t>
      </w:r>
    </w:p>
    <w:p w14:paraId="20357D91" w14:textId="77777777" w:rsidR="002210A7" w:rsidRPr="00D11D21" w:rsidRDefault="002210A7" w:rsidP="00D11D21">
      <w:pPr>
        <w:pStyle w:val="NormalWeb"/>
        <w:numPr>
          <w:ilvl w:val="0"/>
          <w:numId w:val="28"/>
        </w:numPr>
        <w:spacing w:line="360" w:lineRule="auto"/>
        <w:jc w:val="both"/>
        <w:rPr>
          <w:rFonts w:asciiTheme="majorBidi" w:hAnsiTheme="majorBidi" w:cstheme="majorBidi"/>
        </w:rPr>
      </w:pPr>
      <w:r w:rsidRPr="00D11D21">
        <w:rPr>
          <w:rFonts w:asciiTheme="majorBidi" w:hAnsiTheme="majorBidi" w:cstheme="majorBidi"/>
        </w:rPr>
        <w:t>L’envoi automatisé et sécurisé des données à la CNAS, pour déclencher les remboursements ou versements de la part variable.</w:t>
      </w:r>
    </w:p>
    <w:p w14:paraId="3F1EDAE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Cette fluidité des échanges évite les retards, améliore la transparence, et renforce la confiance entre les établissements et les organismes payeurs.</w:t>
      </w:r>
    </w:p>
    <w:p w14:paraId="1DC07E60" w14:textId="77777777" w:rsidR="002210A7" w:rsidRPr="00D11D21" w:rsidRDefault="002210A7" w:rsidP="00D11D21">
      <w:pPr>
        <w:pStyle w:val="NormalWeb"/>
        <w:spacing w:line="360" w:lineRule="auto"/>
        <w:jc w:val="both"/>
        <w:rPr>
          <w:rFonts w:asciiTheme="majorBidi" w:hAnsiTheme="majorBidi" w:cstheme="majorBidi"/>
          <w:b/>
          <w:bCs/>
        </w:rPr>
      </w:pPr>
      <w:r w:rsidRPr="00D11D21">
        <w:rPr>
          <w:rFonts w:asciiTheme="majorBidi" w:hAnsiTheme="majorBidi" w:cstheme="majorBidi"/>
          <w:b/>
          <w:bCs/>
        </w:rPr>
        <w:t>Outil de pilotage pour les gestionnaires</w:t>
      </w:r>
    </w:p>
    <w:p w14:paraId="7CBCF40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Enfin, le SI devient un instrument de pilotage stratégique pour les responsables hospitaliers :</w:t>
      </w:r>
    </w:p>
    <w:p w14:paraId="77EA917F" w14:textId="77777777" w:rsidR="002210A7" w:rsidRPr="00D11D21" w:rsidRDefault="002210A7" w:rsidP="00D11D21">
      <w:pPr>
        <w:pStyle w:val="NormalWeb"/>
        <w:numPr>
          <w:ilvl w:val="0"/>
          <w:numId w:val="29"/>
        </w:numPr>
        <w:spacing w:line="360" w:lineRule="auto"/>
        <w:jc w:val="both"/>
        <w:rPr>
          <w:rFonts w:asciiTheme="majorBidi" w:hAnsiTheme="majorBidi" w:cstheme="majorBidi"/>
        </w:rPr>
      </w:pPr>
      <w:r w:rsidRPr="00D11D21">
        <w:rPr>
          <w:rFonts w:asciiTheme="majorBidi" w:hAnsiTheme="majorBidi" w:cstheme="majorBidi"/>
        </w:rPr>
        <w:t>Il permet de suivre l’évolution des dépenses par service ou pathologie,</w:t>
      </w:r>
    </w:p>
    <w:p w14:paraId="7CDCB722" w14:textId="77777777" w:rsidR="002210A7" w:rsidRPr="00D11D21" w:rsidRDefault="002210A7" w:rsidP="00D11D21">
      <w:pPr>
        <w:pStyle w:val="NormalWeb"/>
        <w:numPr>
          <w:ilvl w:val="0"/>
          <w:numId w:val="29"/>
        </w:numPr>
        <w:spacing w:line="360" w:lineRule="auto"/>
        <w:jc w:val="both"/>
        <w:rPr>
          <w:rFonts w:asciiTheme="majorBidi" w:hAnsiTheme="majorBidi" w:cstheme="majorBidi"/>
        </w:rPr>
      </w:pPr>
      <w:r w:rsidRPr="00D11D21">
        <w:rPr>
          <w:rFonts w:asciiTheme="majorBidi" w:hAnsiTheme="majorBidi" w:cstheme="majorBidi"/>
        </w:rPr>
        <w:t>Il aide à repérer les anomalies ou les surcoûts,</w:t>
      </w:r>
    </w:p>
    <w:p w14:paraId="3A6A9940" w14:textId="77777777" w:rsidR="002210A7" w:rsidRPr="00D11D21" w:rsidRDefault="002210A7" w:rsidP="00D11D21">
      <w:pPr>
        <w:pStyle w:val="NormalWeb"/>
        <w:numPr>
          <w:ilvl w:val="0"/>
          <w:numId w:val="29"/>
        </w:numPr>
        <w:spacing w:line="360" w:lineRule="auto"/>
        <w:jc w:val="both"/>
        <w:rPr>
          <w:rFonts w:asciiTheme="majorBidi" w:hAnsiTheme="majorBidi" w:cstheme="majorBidi"/>
        </w:rPr>
      </w:pPr>
      <w:r w:rsidRPr="00D11D21">
        <w:rPr>
          <w:rFonts w:asciiTheme="majorBidi" w:hAnsiTheme="majorBidi" w:cstheme="majorBidi"/>
        </w:rPr>
        <w:t>Il soutient la planification budgétaire annuelle,</w:t>
      </w:r>
    </w:p>
    <w:p w14:paraId="2685F681" w14:textId="77777777" w:rsidR="002210A7" w:rsidRPr="00D11D21" w:rsidRDefault="002210A7" w:rsidP="00D11D21">
      <w:pPr>
        <w:pStyle w:val="NormalWeb"/>
        <w:numPr>
          <w:ilvl w:val="0"/>
          <w:numId w:val="29"/>
        </w:numPr>
        <w:spacing w:line="360" w:lineRule="auto"/>
        <w:jc w:val="both"/>
        <w:rPr>
          <w:rFonts w:asciiTheme="majorBidi" w:hAnsiTheme="majorBidi" w:cstheme="majorBidi"/>
        </w:rPr>
      </w:pPr>
      <w:r w:rsidRPr="00D11D21">
        <w:rPr>
          <w:rFonts w:asciiTheme="majorBidi" w:hAnsiTheme="majorBidi" w:cstheme="majorBidi"/>
        </w:rPr>
        <w:t>Et il alimente les décisions de réorganisation interne.</w:t>
      </w:r>
    </w:p>
    <w:p w14:paraId="7C4E8CEC" w14:textId="77777777" w:rsidR="002210A7" w:rsidRPr="00D11D21" w:rsidRDefault="002210A7" w:rsidP="00D11D21">
      <w:pPr>
        <w:pStyle w:val="Titre2"/>
        <w:rPr>
          <w:rFonts w:asciiTheme="majorBidi" w:hAnsiTheme="majorBidi"/>
          <w:szCs w:val="24"/>
        </w:rPr>
      </w:pPr>
      <w:bookmarkStart w:id="252" w:name="_Toc199958924"/>
      <w:r w:rsidRPr="00D11D21">
        <w:rPr>
          <w:rFonts w:asciiTheme="majorBidi" w:hAnsiTheme="majorBidi"/>
          <w:szCs w:val="24"/>
        </w:rPr>
        <w:t>Objectifs visés : performance, transparence, équité</w:t>
      </w:r>
      <w:bookmarkEnd w:id="252"/>
    </w:p>
    <w:p w14:paraId="6C8146AC"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L’introduction d’un modèle de financement mixte dans les établissements hospitaliers vise à répondre à plusieurs objectifs stratégiques, en rupture avec les limites du financement unique par budget global. Les trois piliers fondamentaux de ce modèle sont : la performance, la transparence, et l’équité.</w:t>
      </w:r>
    </w:p>
    <w:p w14:paraId="305E1D0A" w14:textId="0EE32872" w:rsidR="00684236" w:rsidRPr="00480CC0" w:rsidRDefault="002210A7" w:rsidP="00480CC0">
      <w:pPr>
        <w:pStyle w:val="NormalWeb"/>
        <w:numPr>
          <w:ilvl w:val="0"/>
          <w:numId w:val="114"/>
        </w:numPr>
        <w:spacing w:line="360" w:lineRule="auto"/>
        <w:jc w:val="both"/>
        <w:rPr>
          <w:rFonts w:asciiTheme="majorBidi" w:hAnsiTheme="majorBidi" w:cstheme="majorBidi"/>
          <w:b/>
          <w:bCs/>
        </w:rPr>
      </w:pPr>
      <w:r w:rsidRPr="00D11D21">
        <w:rPr>
          <w:rFonts w:asciiTheme="majorBidi" w:hAnsiTheme="majorBidi" w:cstheme="majorBidi"/>
          <w:b/>
          <w:bCs/>
        </w:rPr>
        <w:t xml:space="preserve"> La performance : pour une meilleure efficience hospitalière</w:t>
      </w:r>
    </w:p>
    <w:p w14:paraId="13E66BAC" w14:textId="7F60670B"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Le financement mixte, en combinant une base fixe et une part variable liée à l’activité réelle, encourage les établissements de santé à produire davantage de soins de qualité, sans pour autant gaspiller les ressources. Il s’agit d’inciter les hôpitaux à améliorer leur efficacité organisationnelle et médicale, à optimiser la gestion interne des services, et à favoriser une culture de résultats mesurables.</w:t>
      </w:r>
    </w:p>
    <w:p w14:paraId="09BD6986"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lastRenderedPageBreak/>
        <w:t>Grâce à la part variable indexée sur les soins effectivement délivrés, les établissements sont motivés à mieux planifier leur activité, à réduire les actes inutiles ou redondants, et à améliorer la coordination des parcours de soins. Cela participe à une maîtrise plus rigoureuse des coûts, tout en maintenant une exigence élevée en matière de qualité et de sécurité des soins.</w:t>
      </w:r>
    </w:p>
    <w:p w14:paraId="4285EA75" w14:textId="77777777" w:rsidR="002210A7" w:rsidRPr="00D11D21" w:rsidRDefault="002210A7" w:rsidP="00D11D21">
      <w:pPr>
        <w:pStyle w:val="NormalWeb"/>
        <w:numPr>
          <w:ilvl w:val="0"/>
          <w:numId w:val="114"/>
        </w:numPr>
        <w:spacing w:line="360" w:lineRule="auto"/>
        <w:jc w:val="both"/>
        <w:rPr>
          <w:rFonts w:asciiTheme="majorBidi" w:hAnsiTheme="majorBidi" w:cstheme="majorBidi"/>
          <w:b/>
          <w:bCs/>
        </w:rPr>
      </w:pPr>
      <w:r w:rsidRPr="00D11D21">
        <w:rPr>
          <w:rFonts w:asciiTheme="majorBidi" w:hAnsiTheme="majorBidi" w:cstheme="majorBidi"/>
          <w:b/>
          <w:bCs/>
        </w:rPr>
        <w:t xml:space="preserve"> La transparence : pour un contrôle renforcé des ressources publiques</w:t>
      </w:r>
    </w:p>
    <w:p w14:paraId="26806DDC"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L’un des reproches majeurs adressés au financement par budget global est l’absence de lien clair entre les sommes allouées et les résultats obtenus. Le modèle mixte répond à ce déficit de lisibilité en introduisant un suivi précis de l’activité hospitalière, permis notamment par le système d’information.</w:t>
      </w:r>
    </w:p>
    <w:p w14:paraId="28036538"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Ce mode de financement favorise une traçabilité complète des dépenses : chaque dinar versé à l’hôpital peut être justifié par un acte médical, une hospitalisation ou une prise en charge effective. Cela permet non seulement de renforcer la redevabilité des établissements envers les autorités de tutelle, mais aussi de limiter les risques de mauvaise gestion, de gaspillage ou de fraude.</w:t>
      </w:r>
    </w:p>
    <w:p w14:paraId="254ED615" w14:textId="77777777" w:rsidR="002210A7" w:rsidRPr="00D11D21" w:rsidRDefault="002210A7" w:rsidP="00D11D21">
      <w:pPr>
        <w:pStyle w:val="NormalWeb"/>
        <w:numPr>
          <w:ilvl w:val="0"/>
          <w:numId w:val="114"/>
        </w:numPr>
        <w:spacing w:line="360" w:lineRule="auto"/>
        <w:jc w:val="both"/>
        <w:rPr>
          <w:rFonts w:asciiTheme="majorBidi" w:hAnsiTheme="majorBidi" w:cstheme="majorBidi"/>
          <w:b/>
          <w:bCs/>
        </w:rPr>
      </w:pPr>
      <w:r w:rsidRPr="00D11D21">
        <w:rPr>
          <w:rFonts w:asciiTheme="majorBidi" w:hAnsiTheme="majorBidi" w:cstheme="majorBidi"/>
          <w:b/>
          <w:bCs/>
        </w:rPr>
        <w:t>L’équité : pour une répartition plus juste des ressources</w:t>
      </w:r>
    </w:p>
    <w:p w14:paraId="5C77BB12"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Enfin, le financement mixte permet une répartition plus équitable des ressources financières entre établissements, régions et catégories de patients. Alors que le budget global pouvait maintenir des inégalités historiques de dotation, sans tenir compte des besoins réels ou des volumes d’activité, la part variable introduit une logique plus juste et plus dynamique.</w:t>
      </w:r>
    </w:p>
    <w:p w14:paraId="180439DA" w14:textId="795FBB51" w:rsidR="002860FC" w:rsidRPr="00D77543"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Elle tient compte du volume réel de soins prodigués, de la complexité des pathologies prises en charge, et de la spécificité des missions de service public (urgences, maternité, psychiatrie, etc.). Cela permet aux établissements les plus actifs ou les plus exposés de recevoir un financement proportionné à leurs efforts, tout en assurant à chacun une base minimale garantissant la continuité des soins.</w:t>
      </w:r>
      <w:r w:rsidR="002860FC" w:rsidRPr="00D11D21">
        <w:rPr>
          <w:rFonts w:asciiTheme="majorBidi" w:hAnsiTheme="majorBidi" w:cstheme="majorBidi"/>
          <w:b/>
          <w:bCs/>
        </w:rPr>
        <w:br w:type="page"/>
      </w:r>
    </w:p>
    <w:p w14:paraId="676E3150" w14:textId="75D3FCFB" w:rsidR="002210A7" w:rsidRPr="00D11D21" w:rsidRDefault="001A3CB6" w:rsidP="00D11D21">
      <w:pPr>
        <w:pStyle w:val="Titre1"/>
        <w:jc w:val="both"/>
        <w:rPr>
          <w:rFonts w:asciiTheme="majorBidi" w:hAnsiTheme="majorBidi"/>
          <w:sz w:val="24"/>
          <w:szCs w:val="24"/>
        </w:rPr>
      </w:pPr>
      <w:bookmarkStart w:id="253" w:name="_Toc199958925"/>
      <w:r w:rsidRPr="00D11D21">
        <w:rPr>
          <w:rFonts w:asciiTheme="majorBidi" w:hAnsiTheme="majorBidi"/>
          <w:sz w:val="24"/>
          <w:szCs w:val="24"/>
        </w:rPr>
        <w:lastRenderedPageBreak/>
        <w:t>Conclusion :</w:t>
      </w:r>
      <w:bookmarkEnd w:id="253"/>
    </w:p>
    <w:p w14:paraId="0966A807"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 xml:space="preserve">L’étude de terrain menée auprès de l’hôpital Bouzidi Lakhdar et de la direction générale de la CNAS a révélé que les pratiques actuelles en matière de financement hospitalier et d’utilisation des systèmes d’information restent encore limitées, bien qu’elles témoignent d’une certaine volonté de réforme. Certains éléments de gestion sont effectivement en place, notamment des initiatives locales en matière de numérisation ou de coordination </w:t>
      </w:r>
      <w:proofErr w:type="spellStart"/>
      <w:r w:rsidRPr="00D11D21">
        <w:rPr>
          <w:rFonts w:asciiTheme="majorBidi" w:hAnsiTheme="majorBidi" w:cstheme="majorBidi"/>
        </w:rPr>
        <w:t>inter-institutionnelle</w:t>
      </w:r>
      <w:proofErr w:type="spellEnd"/>
      <w:r w:rsidRPr="00D11D21">
        <w:rPr>
          <w:rFonts w:asciiTheme="majorBidi" w:hAnsiTheme="majorBidi" w:cstheme="majorBidi"/>
        </w:rPr>
        <w:t>, mais de nombreuses insuffisances subsistent.</w:t>
      </w:r>
    </w:p>
    <w:p w14:paraId="4248BF7A" w14:textId="77777777" w:rsidR="002210A7" w:rsidRPr="00D11D21" w:rsidRDefault="002210A7" w:rsidP="00D11D21">
      <w:pPr>
        <w:pStyle w:val="NormalWeb"/>
        <w:spacing w:line="360" w:lineRule="auto"/>
        <w:jc w:val="both"/>
        <w:rPr>
          <w:rFonts w:asciiTheme="majorBidi" w:hAnsiTheme="majorBidi" w:cstheme="majorBidi"/>
        </w:rPr>
      </w:pPr>
      <w:r w:rsidRPr="00D11D21">
        <w:rPr>
          <w:rFonts w:asciiTheme="majorBidi" w:hAnsiTheme="majorBidi" w:cstheme="majorBidi"/>
        </w:rPr>
        <w:t>La faiblesse de l’intégration des systèmes d’information, l'absence d’un mode de financement incitatif et le manque de coordination entre les acteurs freinent l’efficacité et la performance globale du système. En somme, si quelques pratiques positives émergent, le fonctionnement reste largement perfectible et nécessite des réformes concrètes et soutenues.</w:t>
      </w:r>
    </w:p>
    <w:p w14:paraId="40EE32EA" w14:textId="77777777" w:rsidR="00C52E13" w:rsidRDefault="00C52E13" w:rsidP="00B7491C">
      <w:pPr>
        <w:rPr>
          <w:rFonts w:asciiTheme="majorBidi" w:hAnsiTheme="majorBidi" w:cstheme="majorBidi"/>
          <w:szCs w:val="24"/>
        </w:rPr>
        <w:sectPr w:rsidR="00C52E13" w:rsidSect="00954FD4">
          <w:pgSz w:w="11906" w:h="16838"/>
          <w:pgMar w:top="567" w:right="851" w:bottom="567" w:left="1134" w:header="340" w:footer="567" w:gutter="0"/>
          <w:cols w:space="708"/>
          <w:docGrid w:linePitch="360"/>
        </w:sectPr>
      </w:pPr>
    </w:p>
    <w:p w14:paraId="5EEE612E" w14:textId="77777777" w:rsidR="001A3CB6" w:rsidRDefault="001A3CB6" w:rsidP="00B7491C">
      <w:pPr>
        <w:rPr>
          <w:rFonts w:asciiTheme="majorBidi" w:hAnsiTheme="majorBidi" w:cstheme="majorBidi"/>
          <w:szCs w:val="24"/>
        </w:rPr>
      </w:pPr>
    </w:p>
    <w:p w14:paraId="7A12FF4B" w14:textId="77777777" w:rsidR="001A3CB6" w:rsidRDefault="001A3CB6" w:rsidP="00B7491C">
      <w:pPr>
        <w:jc w:val="center"/>
      </w:pPr>
      <w:r>
        <w:rPr>
          <w:b/>
          <w:bCs/>
          <w:noProof/>
          <w:sz w:val="48"/>
          <w:szCs w:val="48"/>
          <w:u w:val="single"/>
          <w:lang w:eastAsia="fr-FR"/>
        </w:rPr>
        <mc:AlternateContent>
          <mc:Choice Requires="wps">
            <w:drawing>
              <wp:anchor distT="0" distB="0" distL="114300" distR="114300" simplePos="0" relativeHeight="251774976" behindDoc="1" locked="0" layoutInCell="1" allowOverlap="1" wp14:anchorId="1245D64D" wp14:editId="1C3AF95A">
                <wp:simplePos x="0" y="0"/>
                <wp:positionH relativeFrom="margin">
                  <wp:posOffset>3810</wp:posOffset>
                </wp:positionH>
                <wp:positionV relativeFrom="page">
                  <wp:posOffset>2943225</wp:posOffset>
                </wp:positionV>
                <wp:extent cx="5600700" cy="3743325"/>
                <wp:effectExtent l="0" t="0" r="19050" b="28575"/>
                <wp:wrapTight wrapText="bothSides">
                  <wp:wrapPolygon edited="0">
                    <wp:start x="20278" y="0"/>
                    <wp:lineTo x="19910" y="440"/>
                    <wp:lineTo x="19616" y="1099"/>
                    <wp:lineTo x="19616" y="1759"/>
                    <wp:lineTo x="3233" y="2418"/>
                    <wp:lineTo x="0" y="2638"/>
                    <wp:lineTo x="0" y="21215"/>
                    <wp:lineTo x="367" y="21655"/>
                    <wp:lineTo x="441" y="21655"/>
                    <wp:lineTo x="1396" y="21655"/>
                    <wp:lineTo x="1469" y="21655"/>
                    <wp:lineTo x="1837" y="21105"/>
                    <wp:lineTo x="1984" y="19347"/>
                    <wp:lineTo x="21600" y="19127"/>
                    <wp:lineTo x="21600" y="660"/>
                    <wp:lineTo x="21159" y="0"/>
                    <wp:lineTo x="20278" y="0"/>
                  </wp:wrapPolygon>
                </wp:wrapTight>
                <wp:docPr id="207" name="Parchemin horizontal 207"/>
                <wp:cNvGraphicFramePr/>
                <a:graphic xmlns:a="http://schemas.openxmlformats.org/drawingml/2006/main">
                  <a:graphicData uri="http://schemas.microsoft.com/office/word/2010/wordprocessingShape">
                    <wps:wsp>
                      <wps:cNvSpPr/>
                      <wps:spPr>
                        <a:xfrm>
                          <a:off x="0" y="0"/>
                          <a:ext cx="5600700" cy="374332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2330F77F" w14:textId="77777777" w:rsidR="0095621A" w:rsidRPr="00D11D21" w:rsidRDefault="0095621A" w:rsidP="00CD160A">
                            <w:pPr>
                              <w:pStyle w:val="Titre"/>
                              <w:rPr>
                                <w:sz w:val="60"/>
                                <w:szCs w:val="60"/>
                              </w:rPr>
                            </w:pPr>
                            <w:r w:rsidRPr="00D11D21">
                              <w:rPr>
                                <w:sz w:val="60"/>
                                <w:szCs w:val="60"/>
                              </w:rPr>
                              <w:t xml:space="preserve">Conclusion </w:t>
                            </w:r>
                          </w:p>
                          <w:p w14:paraId="28937843" w14:textId="77777777" w:rsidR="0095621A" w:rsidRPr="00D11D21" w:rsidRDefault="0095621A" w:rsidP="00CD160A">
                            <w:pPr>
                              <w:pStyle w:val="Titre"/>
                              <w:rPr>
                                <w:sz w:val="60"/>
                                <w:szCs w:val="60"/>
                              </w:rPr>
                            </w:pPr>
                            <w:r w:rsidRPr="00D11D21">
                              <w:rPr>
                                <w:sz w:val="60"/>
                                <w:szCs w:val="60"/>
                              </w:rPr>
                              <w:t>Générale</w:t>
                            </w:r>
                          </w:p>
                          <w:p w14:paraId="3C7973DD" w14:textId="77777777" w:rsidR="0095621A" w:rsidRDefault="0095621A" w:rsidP="00B74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45D64D" id="Parchemin horizontal 207" o:spid="_x0000_s1081" type="#_x0000_t98" style="position:absolute;left:0;text-align:left;margin-left:.3pt;margin-top:231.75pt;width:441pt;height:294.75pt;z-index:-251541504;visibility:visible;mso-wrap-style:square;mso-wrap-distance-left:9pt;mso-wrap-distance-top:0;mso-wrap-distance-right:9pt;mso-wrap-distance-bottom:0;mso-position-horizontal:absolute;mso-position-horizontal-relative:margin;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" fillcolor="#c3c3c3 [2166]" strokecolor="#a5a5a5 [3206]" strokeweight=".5pt">
                <v:fill color2="#b6b6b6 [2614]" rotate="t" colors="0 #d2d2d2;.5 #c8c8c8;1 silver" focus="100%" type="gradient">
                  <o:fill v:ext="view" type="gradientUnscaled"/>
                </v:fill>
                <v:stroke joinstyle="miter"/>
                <v:textbox>
                  <w:txbxContent>
                    <w:p w14:paraId="2330F77F" w14:textId="77777777" w:rsidR="0095621A" w:rsidRPr="00D11D21" w:rsidRDefault="0095621A" w:rsidP="00CD160A">
                      <w:pPr>
                        <w:pStyle w:val="Titre"/>
                        <w:rPr>
                          <w:sz w:val="60"/>
                          <w:szCs w:val="60"/>
                        </w:rPr>
                      </w:pPr>
                      <w:r w:rsidRPr="00D11D21">
                        <w:rPr>
                          <w:sz w:val="60"/>
                          <w:szCs w:val="60"/>
                        </w:rPr>
                        <w:t xml:space="preserve">Conclusion </w:t>
                      </w:r>
                    </w:p>
                    <w:p w14:paraId="28937843" w14:textId="77777777" w:rsidR="0095621A" w:rsidRPr="00D11D21" w:rsidRDefault="0095621A" w:rsidP="00CD160A">
                      <w:pPr>
                        <w:pStyle w:val="Titre"/>
                        <w:rPr>
                          <w:sz w:val="60"/>
                          <w:szCs w:val="60"/>
                        </w:rPr>
                      </w:pPr>
                      <w:r w:rsidRPr="00D11D21">
                        <w:rPr>
                          <w:sz w:val="60"/>
                          <w:szCs w:val="60"/>
                        </w:rPr>
                        <w:t>Générale</w:t>
                      </w:r>
                    </w:p>
                    <w:p w14:paraId="3C7973DD" w14:textId="77777777" w:rsidR="0095621A" w:rsidRDefault="0095621A" w:rsidP="00B7491C">
                      <w:pPr>
                        <w:jc w:val="center"/>
                      </w:pPr>
                    </w:p>
                  </w:txbxContent>
                </v:textbox>
                <w10:wrap type="tight" anchorx="margin" anchory="page"/>
              </v:shape>
            </w:pict>
          </mc:Fallback>
        </mc:AlternateContent>
      </w:r>
    </w:p>
    <w:p w14:paraId="1A5EB0BE" w14:textId="77777777" w:rsidR="001A3CB6" w:rsidRPr="00C25AF1" w:rsidRDefault="001A3CB6" w:rsidP="00B7491C"/>
    <w:p w14:paraId="3DAF1921" w14:textId="77777777" w:rsidR="001A3CB6" w:rsidRPr="00C25AF1" w:rsidRDefault="001A3CB6" w:rsidP="00B7491C"/>
    <w:p w14:paraId="41F2B0FA" w14:textId="678C8A1C" w:rsidR="001A3CB6" w:rsidRPr="00C25AF1" w:rsidRDefault="001A3CB6" w:rsidP="00B7491C"/>
    <w:p w14:paraId="167C4336" w14:textId="77777777" w:rsidR="001A3CB6" w:rsidRPr="00C25AF1" w:rsidRDefault="001A3CB6" w:rsidP="00B7491C"/>
    <w:p w14:paraId="382B20AC" w14:textId="77777777" w:rsidR="001A3CB6" w:rsidRPr="00C25AF1" w:rsidRDefault="001A3CB6" w:rsidP="00B7491C"/>
    <w:p w14:paraId="699126D8" w14:textId="77777777" w:rsidR="001A3CB6" w:rsidRPr="00C25AF1" w:rsidRDefault="001A3CB6" w:rsidP="00B7491C"/>
    <w:p w14:paraId="008C2DCD" w14:textId="77777777" w:rsidR="001A3CB6" w:rsidRPr="00C25AF1" w:rsidRDefault="001A3CB6" w:rsidP="00B7491C"/>
    <w:p w14:paraId="1CC5B238" w14:textId="77777777" w:rsidR="001A3CB6" w:rsidRPr="00C25AF1" w:rsidRDefault="001A3CB6" w:rsidP="00B7491C"/>
    <w:p w14:paraId="6752D048" w14:textId="77777777" w:rsidR="001A3CB6" w:rsidRPr="00C25AF1" w:rsidRDefault="001A3CB6" w:rsidP="00B7491C"/>
    <w:p w14:paraId="6F0D3980" w14:textId="77777777" w:rsidR="001A3CB6" w:rsidRDefault="001A3CB6" w:rsidP="00B7491C"/>
    <w:p w14:paraId="6963D5D7" w14:textId="77777777" w:rsidR="001A3CB6" w:rsidRDefault="001A3CB6" w:rsidP="00B7491C">
      <w:pPr>
        <w:tabs>
          <w:tab w:val="left" w:pos="4995"/>
        </w:tabs>
      </w:pPr>
      <w:r>
        <w:tab/>
      </w:r>
    </w:p>
    <w:p w14:paraId="360F7A23" w14:textId="77777777" w:rsidR="001A3CB6" w:rsidRDefault="001A3CB6" w:rsidP="00B7491C">
      <w:pPr>
        <w:tabs>
          <w:tab w:val="left" w:pos="4995"/>
        </w:tabs>
      </w:pPr>
    </w:p>
    <w:p w14:paraId="0ACD732D" w14:textId="77777777" w:rsidR="001A3CB6" w:rsidRDefault="001A3CB6" w:rsidP="00B7491C">
      <w:pPr>
        <w:tabs>
          <w:tab w:val="left" w:pos="4995"/>
        </w:tabs>
      </w:pPr>
    </w:p>
    <w:p w14:paraId="06C82C64" w14:textId="77777777" w:rsidR="001A3CB6" w:rsidRDefault="001A3CB6" w:rsidP="00B7491C">
      <w:pPr>
        <w:tabs>
          <w:tab w:val="left" w:pos="4995"/>
        </w:tabs>
      </w:pPr>
    </w:p>
    <w:p w14:paraId="485B9DCB" w14:textId="77777777" w:rsidR="001A3CB6" w:rsidRDefault="001A3CB6" w:rsidP="00B7491C">
      <w:pPr>
        <w:tabs>
          <w:tab w:val="left" w:pos="4995"/>
        </w:tabs>
      </w:pPr>
    </w:p>
    <w:p w14:paraId="491755D6" w14:textId="1E1775CB" w:rsidR="001A3CB6" w:rsidRDefault="00C52E13" w:rsidP="00B7491C">
      <w:pPr>
        <w:tabs>
          <w:tab w:val="left" w:pos="4995"/>
        </w:tabs>
      </w:pPr>
      <w:r>
        <w:br w:type="page"/>
      </w:r>
    </w:p>
    <w:p w14:paraId="7AE82E0F" w14:textId="77777777" w:rsidR="0019313F" w:rsidRPr="00D11D21" w:rsidRDefault="0019313F" w:rsidP="00D11D21">
      <w:pPr>
        <w:pStyle w:val="Titre1"/>
        <w:jc w:val="both"/>
        <w:rPr>
          <w:rFonts w:eastAsia="Calibri"/>
          <w:sz w:val="24"/>
          <w:szCs w:val="24"/>
        </w:rPr>
      </w:pPr>
      <w:bookmarkStart w:id="254" w:name="_Toc199958926"/>
      <w:r w:rsidRPr="00D11D21">
        <w:rPr>
          <w:rFonts w:eastAsia="Calibri"/>
          <w:sz w:val="24"/>
          <w:szCs w:val="24"/>
        </w:rPr>
        <w:lastRenderedPageBreak/>
        <w:t>Conclusion Générale</w:t>
      </w:r>
      <w:bookmarkEnd w:id="254"/>
    </w:p>
    <w:p w14:paraId="383BF0DB"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Notre étude a permis de tirer des conclusions significatives à la fois de la revue de littérature théorique et de l’étude sur le terrain, fournissant ainsi un aperçu global sur la manière dont les systèmes d'information en santé (SIS) peuvent contribuer à la restructuration des modes de financement des établissements hospitaliers en Algérie.</w:t>
      </w:r>
    </w:p>
    <w:p w14:paraId="6E93E1B0"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Dans un premier temps, l’analyse théorique nous a permis de clarifier les fondements conceptuels des systèmes d’information, en décrivant leurs composantes, leurs objectifs, et leur rôle dans l’optimisation de la gestion hospitalière. Nous avons examiné les spécificités des systèmes d'information hospitaliers (SIH), leur évolution, leurs fonctionnalités (gestion des dossiers patients, support à la décision clinique, etc.), ainsi que les conditions de réussite de leur implantation. Cette partie a également mis en lumière plusieurs modèles internationaux (PMSI, DRG, NHS Digital) et leurs apports dans l’organisation et le financement des soins.</w:t>
      </w:r>
    </w:p>
    <w:p w14:paraId="3A461EDD"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Dans un second temps, nous avons étudié les différents modes de financement des établissements de santé, en mettant en contraste le modèle algérien — fondé principalement sur le budget global — avec des modèles internationaux fondés sur l’activité réelle (T2A, capitation, etc.). L’étude a révélé les limites actuelles du financement hospitalier algérien, notamment en matière de performance, de transparence et d’équité.</w:t>
      </w:r>
    </w:p>
    <w:p w14:paraId="2F1ADCED"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 xml:space="preserve">L’étude de terrain menée au sein de l’établissement hospitalier Bouzidi Lakhdar de Bordj Bou </w:t>
      </w:r>
      <w:proofErr w:type="spellStart"/>
      <w:r w:rsidRPr="00D11D21">
        <w:rPr>
          <w:rFonts w:eastAsia="Calibri" w:cs="Times New Roman"/>
          <w:szCs w:val="24"/>
        </w:rPr>
        <w:t>Arréridj</w:t>
      </w:r>
      <w:proofErr w:type="spellEnd"/>
      <w:r w:rsidRPr="00D11D21">
        <w:rPr>
          <w:rFonts w:eastAsia="Calibri" w:cs="Times New Roman"/>
          <w:szCs w:val="24"/>
        </w:rPr>
        <w:t xml:space="preserve"> et de la </w:t>
      </w:r>
      <w:r w:rsidR="00E30291" w:rsidRPr="00D11D21">
        <w:rPr>
          <w:rFonts w:eastAsia="Calibri" w:cs="Times New Roman"/>
          <w:szCs w:val="24"/>
        </w:rPr>
        <w:t xml:space="preserve">Caisse Nationale des Assurances Sociales </w:t>
      </w:r>
      <w:r w:rsidRPr="00D11D21">
        <w:rPr>
          <w:rFonts w:eastAsia="Calibri" w:cs="Times New Roman"/>
          <w:szCs w:val="24"/>
        </w:rPr>
        <w:t>CNAS (Direction Générale à Alger) a permis de constater que les systèmes d'information utilisés sont encore partiels, peu intégrés, et rarement exploités comme outils de pilotage stratégique. L’absence d’interconnexion, la fragmentation des logiciels, et le manque de formation des utilisateurs limitent fortement leur impact sur le financement.</w:t>
      </w:r>
    </w:p>
    <w:p w14:paraId="349A455E"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Les questionnaires administrés aux responsables des hôpitaux et aux cadres de la sécurité sociale ont mis en évidence une volonté d’évolution vers un financement plus équitable et plus basé sur la performance, à condition de disposer d’un système d’information fiable, unifié et adapté. Un modèle de financement mixte, combinant une part fixe (prise en charge par l’État) et une part variable liée à l’activité mesurée via un SIS performant, apparaît comme une solution prometteuse.</w:t>
      </w:r>
    </w:p>
    <w:p w14:paraId="1D63F5C0"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Concernant les hypothèses :</w:t>
      </w:r>
    </w:p>
    <w:p w14:paraId="1ED78EFC" w14:textId="77777777" w:rsidR="0019313F" w:rsidRPr="00D11D21" w:rsidRDefault="0019313F" w:rsidP="00D11D21">
      <w:pPr>
        <w:numPr>
          <w:ilvl w:val="0"/>
          <w:numId w:val="106"/>
        </w:numPr>
        <w:tabs>
          <w:tab w:val="left" w:pos="4995"/>
        </w:tabs>
        <w:jc w:val="both"/>
        <w:rPr>
          <w:rFonts w:eastAsia="Calibri" w:cs="Times New Roman"/>
          <w:szCs w:val="24"/>
        </w:rPr>
      </w:pPr>
      <w:r w:rsidRPr="00D11D21">
        <w:rPr>
          <w:rFonts w:eastAsia="Calibri" w:cs="Times New Roman"/>
          <w:szCs w:val="24"/>
        </w:rPr>
        <w:t xml:space="preserve">Hypothèse 1 : </w:t>
      </w:r>
      <w:r w:rsidRPr="00D11D21">
        <w:rPr>
          <w:rFonts w:eastAsia="Calibri" w:cs="Times New Roman"/>
          <w:i/>
          <w:iCs/>
          <w:szCs w:val="24"/>
        </w:rPr>
        <w:t>Les hôpitaux dotés d’un système d'information intégré couvrent mieux leurs dépenses.</w:t>
      </w:r>
      <w:r w:rsidRPr="00D11D21">
        <w:rPr>
          <w:rFonts w:eastAsia="Calibri" w:cs="Times New Roman"/>
          <w:szCs w:val="24"/>
        </w:rPr>
        <w:t xml:space="preserve"> → Cette hypothèse a été partiellement confirmée, notamment dans les cas où un logiciel est utilisé de manière efficiente.</w:t>
      </w:r>
    </w:p>
    <w:p w14:paraId="5D263B77" w14:textId="77777777" w:rsidR="00794B80" w:rsidRPr="00D11D21" w:rsidRDefault="00794B80" w:rsidP="00D11D21">
      <w:pPr>
        <w:tabs>
          <w:tab w:val="left" w:pos="4995"/>
        </w:tabs>
        <w:jc w:val="both"/>
        <w:rPr>
          <w:rFonts w:eastAsia="Calibri" w:cs="Times New Roman"/>
          <w:szCs w:val="24"/>
        </w:rPr>
      </w:pPr>
    </w:p>
    <w:p w14:paraId="65BC7EF5" w14:textId="77777777" w:rsidR="00794B80" w:rsidRPr="00D11D21" w:rsidRDefault="00794B80" w:rsidP="00D11D21">
      <w:pPr>
        <w:tabs>
          <w:tab w:val="left" w:pos="4995"/>
        </w:tabs>
        <w:jc w:val="both"/>
        <w:rPr>
          <w:rFonts w:eastAsia="Calibri" w:cs="Times New Roman"/>
          <w:szCs w:val="24"/>
        </w:rPr>
      </w:pPr>
    </w:p>
    <w:p w14:paraId="4E9510EB" w14:textId="77777777" w:rsidR="0019313F" w:rsidRPr="00D11D21" w:rsidRDefault="0019313F" w:rsidP="00D11D21">
      <w:pPr>
        <w:numPr>
          <w:ilvl w:val="0"/>
          <w:numId w:val="106"/>
        </w:numPr>
        <w:tabs>
          <w:tab w:val="left" w:pos="4995"/>
        </w:tabs>
        <w:spacing w:before="240"/>
        <w:jc w:val="both"/>
        <w:rPr>
          <w:rFonts w:eastAsia="Calibri" w:cs="Times New Roman"/>
          <w:szCs w:val="24"/>
        </w:rPr>
      </w:pPr>
      <w:r w:rsidRPr="00D11D21">
        <w:rPr>
          <w:rFonts w:eastAsia="Calibri" w:cs="Times New Roman"/>
          <w:szCs w:val="24"/>
        </w:rPr>
        <w:lastRenderedPageBreak/>
        <w:t xml:space="preserve">Hypothèse 2 : </w:t>
      </w:r>
      <w:r w:rsidRPr="00D11D21">
        <w:rPr>
          <w:rFonts w:eastAsia="Calibri" w:cs="Times New Roman"/>
          <w:i/>
          <w:iCs/>
          <w:szCs w:val="24"/>
        </w:rPr>
        <w:t>Les caisses disposant d’un SI intégré estiment mieux suivre les dépenses hospitalières.</w:t>
      </w:r>
      <w:r w:rsidRPr="00D11D21">
        <w:rPr>
          <w:rFonts w:eastAsia="Calibri" w:cs="Times New Roman"/>
          <w:szCs w:val="24"/>
        </w:rPr>
        <w:t xml:space="preserve"> → Cette hypothèse est confirmée, car les responsables de la CNAS ont souligné que la traçabilité permise par la numérisation améliore le contrôle des flux financiers.</w:t>
      </w:r>
    </w:p>
    <w:p w14:paraId="47B6EA20"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Les principales difficultés rencontrées durant cette étude incluent :</w:t>
      </w:r>
    </w:p>
    <w:p w14:paraId="4F40B6E6" w14:textId="77777777" w:rsidR="0019313F" w:rsidRPr="00D11D21" w:rsidRDefault="0019313F" w:rsidP="00D11D21">
      <w:pPr>
        <w:numPr>
          <w:ilvl w:val="0"/>
          <w:numId w:val="107"/>
        </w:numPr>
        <w:tabs>
          <w:tab w:val="left" w:pos="4995"/>
        </w:tabs>
        <w:jc w:val="both"/>
        <w:rPr>
          <w:rFonts w:eastAsia="Calibri" w:cs="Times New Roman"/>
          <w:szCs w:val="24"/>
        </w:rPr>
      </w:pPr>
      <w:r w:rsidRPr="00D11D21">
        <w:rPr>
          <w:rFonts w:eastAsia="Calibri" w:cs="Times New Roman"/>
          <w:szCs w:val="24"/>
        </w:rPr>
        <w:t>La difficulté d’accès à certaines données financières sensibles.</w:t>
      </w:r>
    </w:p>
    <w:p w14:paraId="00B57744" w14:textId="77777777" w:rsidR="0019313F" w:rsidRPr="00D11D21" w:rsidRDefault="0019313F" w:rsidP="00D11D21">
      <w:pPr>
        <w:numPr>
          <w:ilvl w:val="0"/>
          <w:numId w:val="107"/>
        </w:numPr>
        <w:tabs>
          <w:tab w:val="left" w:pos="4995"/>
        </w:tabs>
        <w:jc w:val="both"/>
        <w:rPr>
          <w:rFonts w:eastAsia="Calibri" w:cs="Times New Roman"/>
          <w:szCs w:val="24"/>
        </w:rPr>
      </w:pPr>
      <w:r w:rsidRPr="00D11D21">
        <w:rPr>
          <w:rFonts w:eastAsia="Calibri" w:cs="Times New Roman"/>
          <w:szCs w:val="24"/>
        </w:rPr>
        <w:t>La réticence de certains agents à répondre de manière transparente.</w:t>
      </w:r>
    </w:p>
    <w:p w14:paraId="4CAD19C9" w14:textId="77777777" w:rsidR="0019313F" w:rsidRPr="00D11D21" w:rsidRDefault="0019313F" w:rsidP="00D11D21">
      <w:pPr>
        <w:numPr>
          <w:ilvl w:val="0"/>
          <w:numId w:val="107"/>
        </w:numPr>
        <w:tabs>
          <w:tab w:val="left" w:pos="4995"/>
        </w:tabs>
        <w:jc w:val="both"/>
        <w:rPr>
          <w:rFonts w:eastAsia="Calibri" w:cs="Times New Roman"/>
          <w:szCs w:val="24"/>
        </w:rPr>
      </w:pPr>
      <w:r w:rsidRPr="00D11D21">
        <w:rPr>
          <w:rFonts w:eastAsia="Calibri" w:cs="Times New Roman"/>
          <w:szCs w:val="24"/>
        </w:rPr>
        <w:t>Le caractère encore récent et fragmentaire de la digitalisation des structures hospitalières.</w:t>
      </w:r>
    </w:p>
    <w:p w14:paraId="27C302B2" w14:textId="77777777" w:rsidR="0019313F" w:rsidRPr="00D11D21" w:rsidRDefault="0019313F" w:rsidP="00D11D21">
      <w:pPr>
        <w:numPr>
          <w:ilvl w:val="0"/>
          <w:numId w:val="107"/>
        </w:numPr>
        <w:tabs>
          <w:tab w:val="left" w:pos="4995"/>
        </w:tabs>
        <w:jc w:val="both"/>
        <w:rPr>
          <w:rFonts w:eastAsia="Calibri" w:cs="Times New Roman"/>
          <w:szCs w:val="24"/>
        </w:rPr>
      </w:pPr>
      <w:r w:rsidRPr="00D11D21">
        <w:rPr>
          <w:rFonts w:eastAsia="Calibri" w:cs="Times New Roman"/>
          <w:szCs w:val="24"/>
        </w:rPr>
        <w:t>Le manque de documentation nationale sur les interactions entre SIS et financement.</w:t>
      </w:r>
    </w:p>
    <w:p w14:paraId="7F4B4153" w14:textId="77777777" w:rsidR="0019313F" w:rsidRPr="00D11D21" w:rsidRDefault="0019313F" w:rsidP="00D11D21">
      <w:pPr>
        <w:tabs>
          <w:tab w:val="left" w:pos="4995"/>
        </w:tabs>
        <w:jc w:val="both"/>
        <w:rPr>
          <w:rFonts w:eastAsia="Calibri" w:cs="Times New Roman"/>
          <w:szCs w:val="24"/>
        </w:rPr>
      </w:pPr>
      <w:r w:rsidRPr="00D11D21">
        <w:rPr>
          <w:rFonts w:eastAsia="Calibri" w:cs="Times New Roman"/>
          <w:szCs w:val="24"/>
        </w:rPr>
        <w:t>En somme, cette recherche met en évidence la nécessité de repenser le modèle de financement hospitalier algérien à travers une meilleure exploitation des systèmes d'information en santé. Une réforme progressive, appuyée sur un SIS intégré, permettrait non seulement une gestion plus transparente et plus efficiente des ressources, mais aussi une meilleure qualité de service pour les citoyens. À condition, toutefois, d’assurer les prérequis indispensables : infrastructure, formation, interopérabilité et accompagnement au changement.</w:t>
      </w:r>
    </w:p>
    <w:p w14:paraId="0516051E" w14:textId="77777777" w:rsidR="001A3CB6" w:rsidRDefault="001A3CB6" w:rsidP="00B7491C">
      <w:pPr>
        <w:tabs>
          <w:tab w:val="left" w:pos="4995"/>
        </w:tabs>
      </w:pPr>
    </w:p>
    <w:p w14:paraId="2F4F25AF" w14:textId="77777777" w:rsidR="00C52E13" w:rsidRDefault="00C52E13" w:rsidP="00B7491C">
      <w:pPr>
        <w:tabs>
          <w:tab w:val="left" w:pos="4995"/>
        </w:tabs>
        <w:sectPr w:rsidR="00C52E13" w:rsidSect="00026526">
          <w:headerReference w:type="default" r:id="rId51"/>
          <w:pgSz w:w="11906" w:h="16838"/>
          <w:pgMar w:top="567" w:right="851" w:bottom="567" w:left="1134" w:header="340" w:footer="567" w:gutter="0"/>
          <w:cols w:space="708"/>
          <w:titlePg/>
          <w:docGrid w:linePitch="360"/>
        </w:sectPr>
      </w:pPr>
    </w:p>
    <w:p w14:paraId="0F122F27" w14:textId="77777777" w:rsidR="001A3CB6" w:rsidRDefault="001A3CB6" w:rsidP="00B7491C">
      <w:pPr>
        <w:tabs>
          <w:tab w:val="left" w:pos="4995"/>
        </w:tabs>
      </w:pPr>
      <w:r>
        <w:rPr>
          <w:b/>
          <w:bCs/>
          <w:noProof/>
          <w:sz w:val="48"/>
          <w:szCs w:val="48"/>
          <w:u w:val="single"/>
          <w:lang w:eastAsia="fr-FR"/>
        </w:rPr>
        <w:lastRenderedPageBreak/>
        <mc:AlternateContent>
          <mc:Choice Requires="wps">
            <w:drawing>
              <wp:anchor distT="0" distB="0" distL="114300" distR="114300" simplePos="0" relativeHeight="251776000" behindDoc="1" locked="0" layoutInCell="1" allowOverlap="1" wp14:anchorId="1DFD3706" wp14:editId="1634908A">
                <wp:simplePos x="0" y="0"/>
                <wp:positionH relativeFrom="margin">
                  <wp:posOffset>3810</wp:posOffset>
                </wp:positionH>
                <wp:positionV relativeFrom="page">
                  <wp:posOffset>2943225</wp:posOffset>
                </wp:positionV>
                <wp:extent cx="5600700" cy="3743325"/>
                <wp:effectExtent l="0" t="0" r="19050" b="28575"/>
                <wp:wrapTight wrapText="bothSides">
                  <wp:wrapPolygon edited="0">
                    <wp:start x="20278" y="0"/>
                    <wp:lineTo x="19910" y="440"/>
                    <wp:lineTo x="19616" y="1099"/>
                    <wp:lineTo x="19616" y="1759"/>
                    <wp:lineTo x="3233" y="2418"/>
                    <wp:lineTo x="0" y="2638"/>
                    <wp:lineTo x="0" y="21215"/>
                    <wp:lineTo x="367" y="21655"/>
                    <wp:lineTo x="441" y="21655"/>
                    <wp:lineTo x="1396" y="21655"/>
                    <wp:lineTo x="1469" y="21655"/>
                    <wp:lineTo x="1837" y="21105"/>
                    <wp:lineTo x="1984" y="19347"/>
                    <wp:lineTo x="21600" y="19127"/>
                    <wp:lineTo x="21600" y="660"/>
                    <wp:lineTo x="21159" y="0"/>
                    <wp:lineTo x="20278" y="0"/>
                  </wp:wrapPolygon>
                </wp:wrapTight>
                <wp:docPr id="208" name="Parchemin horizontal 208"/>
                <wp:cNvGraphicFramePr/>
                <a:graphic xmlns:a="http://schemas.openxmlformats.org/drawingml/2006/main">
                  <a:graphicData uri="http://schemas.microsoft.com/office/word/2010/wordprocessingShape">
                    <wps:wsp>
                      <wps:cNvSpPr/>
                      <wps:spPr>
                        <a:xfrm>
                          <a:off x="0" y="0"/>
                          <a:ext cx="5600700" cy="374332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7EBBD9AE" w14:textId="77777777" w:rsidR="0095621A" w:rsidRPr="00D11D21" w:rsidRDefault="0095621A" w:rsidP="00CD160A">
                            <w:pPr>
                              <w:pStyle w:val="Titre"/>
                              <w:rPr>
                                <w:sz w:val="60"/>
                                <w:szCs w:val="60"/>
                              </w:rPr>
                            </w:pPr>
                            <w:r w:rsidRPr="00D11D21">
                              <w:rPr>
                                <w:sz w:val="60"/>
                                <w:szCs w:val="60"/>
                              </w:rPr>
                              <w:t>Bibliographie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DFD3706" id="Parchemin horizontal 208" o:spid="_x0000_s1082" type="#_x0000_t98" style="position:absolute;margin-left:.3pt;margin-top:231.75pt;width:441pt;height:294.75pt;z-index:-251540480;visibility:visible;mso-wrap-style:square;mso-wrap-distance-left:9pt;mso-wrap-distance-top:0;mso-wrap-distance-right:9pt;mso-wrap-distance-bottom:0;mso-position-horizontal:absolute;mso-position-horizontal-relative:margin;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" fillcolor="#c3c3c3 [2166]" strokecolor="#a5a5a5 [3206]" strokeweight=".5pt">
                <v:fill color2="#b6b6b6 [2614]" rotate="t" colors="0 #d2d2d2;.5 #c8c8c8;1 silver" focus="100%" type="gradient">
                  <o:fill v:ext="view" type="gradientUnscaled"/>
                </v:fill>
                <v:stroke joinstyle="miter"/>
                <v:textbox>
                  <w:txbxContent>
                    <w:p w14:paraId="7EBBD9AE" w14:textId="77777777" w:rsidR="0095621A" w:rsidRPr="00D11D21" w:rsidRDefault="0095621A" w:rsidP="00CD160A">
                      <w:pPr>
                        <w:pStyle w:val="Titre"/>
                        <w:rPr>
                          <w:sz w:val="60"/>
                          <w:szCs w:val="60"/>
                        </w:rPr>
                      </w:pPr>
                      <w:r w:rsidRPr="00D11D21">
                        <w:rPr>
                          <w:sz w:val="60"/>
                          <w:szCs w:val="60"/>
                        </w:rPr>
                        <w:t>Bibliographie</w:t>
                      </w:r>
                    </w:p>
                  </w:txbxContent>
                </v:textbox>
                <w10:wrap type="tight" anchorx="margin" anchory="page"/>
              </v:shape>
            </w:pict>
          </mc:Fallback>
        </mc:AlternateContent>
      </w:r>
    </w:p>
    <w:p w14:paraId="079AEAF8" w14:textId="77777777" w:rsidR="001A3CB6" w:rsidRPr="00581785" w:rsidRDefault="001A3CB6" w:rsidP="00B7491C"/>
    <w:p w14:paraId="5D34CEC9" w14:textId="77777777" w:rsidR="001A3CB6" w:rsidRPr="00581785" w:rsidRDefault="001A3CB6" w:rsidP="00B7491C"/>
    <w:p w14:paraId="4DEDD2AE" w14:textId="77777777" w:rsidR="001A3CB6" w:rsidRPr="00581785" w:rsidRDefault="001A3CB6" w:rsidP="00B7491C"/>
    <w:p w14:paraId="37B83900" w14:textId="77777777" w:rsidR="001A3CB6" w:rsidRPr="00581785" w:rsidRDefault="001A3CB6" w:rsidP="00B7491C"/>
    <w:p w14:paraId="316F7C09" w14:textId="77777777" w:rsidR="001A3CB6" w:rsidRPr="00581785" w:rsidRDefault="001A3CB6" w:rsidP="00B7491C"/>
    <w:p w14:paraId="1CF6203E" w14:textId="77777777" w:rsidR="001A3CB6" w:rsidRPr="00581785" w:rsidRDefault="001A3CB6" w:rsidP="00B7491C"/>
    <w:p w14:paraId="293F9C21" w14:textId="77777777" w:rsidR="001A3CB6" w:rsidRPr="00581785" w:rsidRDefault="001A3CB6" w:rsidP="00B7491C"/>
    <w:p w14:paraId="08555AE9" w14:textId="77777777" w:rsidR="001A3CB6" w:rsidRPr="00581785" w:rsidRDefault="001A3CB6" w:rsidP="00B7491C"/>
    <w:p w14:paraId="4D8D439B" w14:textId="77777777" w:rsidR="001A3CB6" w:rsidRPr="00581785" w:rsidRDefault="001A3CB6" w:rsidP="00B7491C"/>
    <w:p w14:paraId="3F677C88" w14:textId="77777777" w:rsidR="001A3CB6" w:rsidRPr="00581785" w:rsidRDefault="001A3CB6" w:rsidP="00B7491C"/>
    <w:p w14:paraId="0021447A" w14:textId="77777777" w:rsidR="001A3CB6" w:rsidRDefault="001A3CB6" w:rsidP="00B7491C"/>
    <w:p w14:paraId="174CB259" w14:textId="77777777" w:rsidR="001A3CB6" w:rsidRDefault="001A3CB6" w:rsidP="00B7491C">
      <w:pPr>
        <w:tabs>
          <w:tab w:val="left" w:pos="3960"/>
        </w:tabs>
      </w:pPr>
      <w:r>
        <w:tab/>
      </w:r>
    </w:p>
    <w:p w14:paraId="7462B262" w14:textId="77777777" w:rsidR="001A3CB6" w:rsidRDefault="001A3CB6" w:rsidP="00B7491C">
      <w:pPr>
        <w:tabs>
          <w:tab w:val="left" w:pos="3960"/>
        </w:tabs>
      </w:pPr>
    </w:p>
    <w:p w14:paraId="09624EB3" w14:textId="77777777" w:rsidR="001A3CB6" w:rsidRDefault="001A3CB6" w:rsidP="00B7491C">
      <w:pPr>
        <w:tabs>
          <w:tab w:val="left" w:pos="3960"/>
        </w:tabs>
      </w:pPr>
    </w:p>
    <w:p w14:paraId="1B71E0B4" w14:textId="77777777" w:rsidR="001A3CB6" w:rsidRDefault="001A3CB6" w:rsidP="00B7491C">
      <w:pPr>
        <w:tabs>
          <w:tab w:val="left" w:pos="3960"/>
        </w:tabs>
      </w:pPr>
    </w:p>
    <w:p w14:paraId="7AC60B4A" w14:textId="77777777" w:rsidR="001A3CB6" w:rsidRDefault="001A3CB6" w:rsidP="00B7491C">
      <w:pPr>
        <w:tabs>
          <w:tab w:val="left" w:pos="3960"/>
        </w:tabs>
      </w:pPr>
    </w:p>
    <w:p w14:paraId="1AAC150A" w14:textId="77777777" w:rsidR="001A3CB6" w:rsidRDefault="001A3CB6" w:rsidP="00B7491C">
      <w:pPr>
        <w:tabs>
          <w:tab w:val="left" w:pos="3960"/>
        </w:tabs>
      </w:pPr>
    </w:p>
    <w:p w14:paraId="56AFDD8C" w14:textId="77777777" w:rsidR="001A3CB6" w:rsidRDefault="001A3CB6" w:rsidP="00B7491C">
      <w:pPr>
        <w:tabs>
          <w:tab w:val="left" w:pos="3960"/>
        </w:tabs>
      </w:pPr>
    </w:p>
    <w:p w14:paraId="44178AD3" w14:textId="77777777" w:rsidR="00C52E13" w:rsidRDefault="00C52E13" w:rsidP="00695B54">
      <w:pPr>
        <w:tabs>
          <w:tab w:val="left" w:pos="3960"/>
        </w:tabs>
        <w:rPr>
          <w:b/>
          <w:bCs/>
        </w:rPr>
        <w:sectPr w:rsidR="00C52E13" w:rsidSect="000E06E7">
          <w:headerReference w:type="default" r:id="rId52"/>
          <w:footerReference w:type="default" r:id="rId53"/>
          <w:pgSz w:w="11906" w:h="16838"/>
          <w:pgMar w:top="567" w:right="851" w:bottom="567" w:left="1134" w:header="340" w:footer="567" w:gutter="0"/>
          <w:pgNumType w:start="1"/>
          <w:cols w:space="708"/>
          <w:docGrid w:linePitch="360"/>
        </w:sectPr>
      </w:pPr>
    </w:p>
    <w:p w14:paraId="33D3378D" w14:textId="77777777" w:rsidR="00695B54" w:rsidRPr="00695B54" w:rsidRDefault="00695B54" w:rsidP="00695B54">
      <w:pPr>
        <w:tabs>
          <w:tab w:val="left" w:pos="3960"/>
        </w:tabs>
        <w:rPr>
          <w:b/>
          <w:bCs/>
        </w:rPr>
      </w:pPr>
      <w:r w:rsidRPr="00695B54">
        <w:rPr>
          <w:b/>
          <w:bCs/>
        </w:rPr>
        <w:lastRenderedPageBreak/>
        <w:t>1. Ouvrages (Livres, manuels, éditions officielles)</w:t>
      </w:r>
    </w:p>
    <w:p w14:paraId="4906E115" w14:textId="77777777" w:rsidR="00695B54" w:rsidRPr="00695B54" w:rsidRDefault="00695B54" w:rsidP="005E09A1">
      <w:pPr>
        <w:numPr>
          <w:ilvl w:val="0"/>
          <w:numId w:val="108"/>
        </w:numPr>
        <w:tabs>
          <w:tab w:val="left" w:pos="3960"/>
        </w:tabs>
      </w:pPr>
      <w:r w:rsidRPr="00695B54">
        <w:t xml:space="preserve">IBRAHIM S. M., </w:t>
      </w:r>
      <w:r w:rsidRPr="00695B54">
        <w:rPr>
          <w:i/>
          <w:iCs/>
        </w:rPr>
        <w:t>Les informations et leur rôle dans la prise de décision stratégique</w:t>
      </w:r>
      <w:r w:rsidRPr="00695B54">
        <w:t>, Groupe Arabe de Formation et d'Édition, Le Caire, 2012.</w:t>
      </w:r>
    </w:p>
    <w:p w14:paraId="27F5B9B3" w14:textId="77777777" w:rsidR="00695B54" w:rsidRPr="00695B54" w:rsidRDefault="00695B54" w:rsidP="005E09A1">
      <w:pPr>
        <w:numPr>
          <w:ilvl w:val="0"/>
          <w:numId w:val="108"/>
        </w:numPr>
        <w:tabs>
          <w:tab w:val="left" w:pos="3960"/>
        </w:tabs>
      </w:pPr>
      <w:r w:rsidRPr="00695B54">
        <w:t xml:space="preserve">REIX R., FALLERY B. &amp; KALIKA M., </w:t>
      </w:r>
      <w:r w:rsidRPr="00695B54">
        <w:rPr>
          <w:i/>
          <w:iCs/>
        </w:rPr>
        <w:t>Systèmes d’information et management</w:t>
      </w:r>
      <w:r w:rsidRPr="00695B54">
        <w:t>, 7ᵉ éd., Paris, Vuibert, 2011.</w:t>
      </w:r>
    </w:p>
    <w:p w14:paraId="18E1BE0E" w14:textId="77777777" w:rsidR="00695B54" w:rsidRPr="00695B54" w:rsidRDefault="00695B54" w:rsidP="005E09A1">
      <w:pPr>
        <w:numPr>
          <w:ilvl w:val="0"/>
          <w:numId w:val="108"/>
        </w:numPr>
        <w:tabs>
          <w:tab w:val="left" w:pos="3960"/>
        </w:tabs>
      </w:pPr>
      <w:proofErr w:type="spellStart"/>
      <w:r w:rsidRPr="00695B54">
        <w:t>Bayongwa</w:t>
      </w:r>
      <w:proofErr w:type="spellEnd"/>
      <w:r w:rsidRPr="00695B54">
        <w:t xml:space="preserve">, B. (2022). </w:t>
      </w:r>
      <w:r w:rsidRPr="00695B54">
        <w:rPr>
          <w:i/>
          <w:iCs/>
        </w:rPr>
        <w:t>Systèmes d'information hospitaliers</w:t>
      </w:r>
      <w:r w:rsidRPr="00695B54">
        <w:t>. Sarrebruck : Éditions Universitaires Européennes.</w:t>
      </w:r>
    </w:p>
    <w:p w14:paraId="2744D124" w14:textId="77777777" w:rsidR="00695B54" w:rsidRPr="00695B54" w:rsidRDefault="00695B54" w:rsidP="005E09A1">
      <w:pPr>
        <w:numPr>
          <w:ilvl w:val="0"/>
          <w:numId w:val="108"/>
        </w:numPr>
        <w:tabs>
          <w:tab w:val="left" w:pos="3960"/>
        </w:tabs>
      </w:pPr>
      <w:r w:rsidRPr="00695B54">
        <w:t xml:space="preserve">De </w:t>
      </w:r>
      <w:proofErr w:type="spellStart"/>
      <w:r w:rsidRPr="00695B54">
        <w:t>Pouvourville</w:t>
      </w:r>
      <w:proofErr w:type="spellEnd"/>
      <w:r w:rsidRPr="00695B54">
        <w:t xml:space="preserve">, G. (1990). </w:t>
      </w:r>
      <w:r w:rsidRPr="00695B54">
        <w:rPr>
          <w:i/>
          <w:iCs/>
        </w:rPr>
        <w:t>La régulation financière de l'hôpital par les DRG : enjeux, principes, faisabilité</w:t>
      </w:r>
      <w:r w:rsidRPr="00695B54">
        <w:t>, Sciences Sociales et Santé, 8(2), 59.</w:t>
      </w:r>
    </w:p>
    <w:p w14:paraId="16181272" w14:textId="77777777" w:rsidR="00695B54" w:rsidRPr="00695B54" w:rsidRDefault="00695B54" w:rsidP="005E09A1">
      <w:pPr>
        <w:numPr>
          <w:ilvl w:val="0"/>
          <w:numId w:val="108"/>
        </w:numPr>
        <w:tabs>
          <w:tab w:val="left" w:pos="3960"/>
        </w:tabs>
      </w:pPr>
      <w:r w:rsidRPr="00695B54">
        <w:t xml:space="preserve">Bras, P.-L. (2017). </w:t>
      </w:r>
      <w:r w:rsidRPr="00695B54">
        <w:rPr>
          <w:i/>
          <w:iCs/>
        </w:rPr>
        <w:t>Paiement à l’acte/capitation : une réforme ébauchée mais avortée</w:t>
      </w:r>
      <w:r w:rsidRPr="00695B54">
        <w:t>, Les Tribunes de la santé.</w:t>
      </w:r>
    </w:p>
    <w:p w14:paraId="34885404" w14:textId="77777777" w:rsidR="00695B54" w:rsidRPr="00695B54" w:rsidRDefault="00695B54" w:rsidP="005E09A1">
      <w:pPr>
        <w:numPr>
          <w:ilvl w:val="0"/>
          <w:numId w:val="108"/>
        </w:numPr>
        <w:tabs>
          <w:tab w:val="left" w:pos="3960"/>
        </w:tabs>
      </w:pPr>
      <w:proofErr w:type="spellStart"/>
      <w:r w:rsidRPr="00695B54">
        <w:t>Fessler</w:t>
      </w:r>
      <w:proofErr w:type="spellEnd"/>
      <w:r w:rsidRPr="00695B54">
        <w:t xml:space="preserve">, J.-M., &amp; </w:t>
      </w:r>
      <w:proofErr w:type="spellStart"/>
      <w:r w:rsidRPr="00695B54">
        <w:t>Frutiger</w:t>
      </w:r>
      <w:proofErr w:type="spellEnd"/>
      <w:r w:rsidRPr="00695B54">
        <w:t xml:space="preserve">, P. (2003). </w:t>
      </w:r>
      <w:r w:rsidRPr="00695B54">
        <w:rPr>
          <w:i/>
          <w:iCs/>
        </w:rPr>
        <w:t>La tarification hospitalière à l’activité : éléments d’un débat nécessaire et propositions</w:t>
      </w:r>
      <w:r w:rsidRPr="00695B54">
        <w:t>, Éditions Lamarre.</w:t>
      </w:r>
    </w:p>
    <w:p w14:paraId="6D0BE48F" w14:textId="77777777" w:rsidR="00695B54" w:rsidRPr="00695B54" w:rsidRDefault="00695B54" w:rsidP="005E09A1">
      <w:pPr>
        <w:numPr>
          <w:ilvl w:val="0"/>
          <w:numId w:val="108"/>
        </w:numPr>
        <w:tabs>
          <w:tab w:val="left" w:pos="3960"/>
        </w:tabs>
      </w:pPr>
      <w:r w:rsidRPr="00695B54">
        <w:t xml:space="preserve">Goursat, M. (2009). </w:t>
      </w:r>
      <w:r w:rsidRPr="00695B54">
        <w:rPr>
          <w:i/>
          <w:iCs/>
        </w:rPr>
        <w:t>Principes et modalités de la capitation : Un système innovant de contractualisation des prestataires de soins</w:t>
      </w:r>
      <w:r w:rsidRPr="00695B54">
        <w:t>, GRET-SKY.</w:t>
      </w:r>
    </w:p>
    <w:p w14:paraId="7C4C2A3F" w14:textId="77777777" w:rsidR="00695B54" w:rsidRPr="00695B54" w:rsidRDefault="00695B54" w:rsidP="005E09A1">
      <w:pPr>
        <w:numPr>
          <w:ilvl w:val="0"/>
          <w:numId w:val="108"/>
        </w:numPr>
        <w:tabs>
          <w:tab w:val="left" w:pos="3960"/>
        </w:tabs>
      </w:pPr>
      <w:r w:rsidRPr="00695B54">
        <w:t xml:space="preserve">CASTONGUAY, Joanne. </w:t>
      </w:r>
      <w:r w:rsidRPr="00695B54">
        <w:rPr>
          <w:i/>
          <w:iCs/>
        </w:rPr>
        <w:t>Analyse comparative des mécanismes de financement des hôpitaux</w:t>
      </w:r>
      <w:r w:rsidRPr="00695B54">
        <w:t>, CIRANO, 2013.</w:t>
      </w:r>
    </w:p>
    <w:p w14:paraId="10FDAD19" w14:textId="77777777" w:rsidR="00695B54" w:rsidRPr="00695B54" w:rsidRDefault="0095621A" w:rsidP="00695B54">
      <w:pPr>
        <w:tabs>
          <w:tab w:val="left" w:pos="3960"/>
        </w:tabs>
      </w:pPr>
      <w:r>
        <w:pict w14:anchorId="73072531">
          <v:rect id="_x0000_i1025" style="width:0;height:1.5pt" o:hralign="center" o:hrstd="t" o:hr="t" fillcolor="#a0a0a0" stroked="f"/>
        </w:pict>
      </w:r>
    </w:p>
    <w:p w14:paraId="756E0CDE" w14:textId="77777777" w:rsidR="00695B54" w:rsidRPr="00695B54" w:rsidRDefault="00695B54" w:rsidP="00695B54">
      <w:pPr>
        <w:tabs>
          <w:tab w:val="left" w:pos="3960"/>
        </w:tabs>
        <w:rPr>
          <w:b/>
          <w:bCs/>
        </w:rPr>
      </w:pPr>
      <w:r w:rsidRPr="00695B54">
        <w:rPr>
          <w:b/>
          <w:bCs/>
        </w:rPr>
        <w:t>2. Thèses et Mémoires universitaires</w:t>
      </w:r>
    </w:p>
    <w:p w14:paraId="19F087E7" w14:textId="77777777" w:rsidR="00695B54" w:rsidRPr="00695B54" w:rsidRDefault="00695B54" w:rsidP="005E09A1">
      <w:pPr>
        <w:numPr>
          <w:ilvl w:val="0"/>
          <w:numId w:val="109"/>
        </w:numPr>
        <w:tabs>
          <w:tab w:val="left" w:pos="3960"/>
        </w:tabs>
      </w:pPr>
      <w:r w:rsidRPr="00695B54">
        <w:t xml:space="preserve">NOUI S., Thèse de doctorat, Université Mohamed </w:t>
      </w:r>
      <w:proofErr w:type="spellStart"/>
      <w:r w:rsidRPr="00695B54">
        <w:t>Khider</w:t>
      </w:r>
      <w:proofErr w:type="spellEnd"/>
      <w:r w:rsidRPr="00695B54">
        <w:t xml:space="preserve"> de Biskra, 2019.</w:t>
      </w:r>
    </w:p>
    <w:p w14:paraId="3B9A6815" w14:textId="77777777" w:rsidR="00695B54" w:rsidRPr="00695B54" w:rsidRDefault="00695B54" w:rsidP="005E09A1">
      <w:pPr>
        <w:numPr>
          <w:ilvl w:val="0"/>
          <w:numId w:val="109"/>
        </w:numPr>
        <w:tabs>
          <w:tab w:val="left" w:pos="3960"/>
        </w:tabs>
      </w:pPr>
      <w:r w:rsidRPr="00695B54">
        <w:t>MAOUJ S., Thèse de doctorat, Université d'Alger, 2023.</w:t>
      </w:r>
    </w:p>
    <w:p w14:paraId="2D97CC31" w14:textId="77777777" w:rsidR="00695B54" w:rsidRPr="00695B54" w:rsidRDefault="00695B54" w:rsidP="005E09A1">
      <w:pPr>
        <w:numPr>
          <w:ilvl w:val="0"/>
          <w:numId w:val="109"/>
        </w:numPr>
        <w:tabs>
          <w:tab w:val="left" w:pos="3960"/>
        </w:tabs>
      </w:pPr>
      <w:r w:rsidRPr="00695B54">
        <w:t>BOUDJEMA F. Z., Thèse de doctorat, Université de Tlemcen, 2021.</w:t>
      </w:r>
    </w:p>
    <w:p w14:paraId="3381301F" w14:textId="77777777" w:rsidR="00695B54" w:rsidRPr="00695B54" w:rsidRDefault="00695B54" w:rsidP="005E09A1">
      <w:pPr>
        <w:numPr>
          <w:ilvl w:val="0"/>
          <w:numId w:val="109"/>
        </w:numPr>
        <w:tabs>
          <w:tab w:val="left" w:pos="3960"/>
        </w:tabs>
      </w:pPr>
      <w:r w:rsidRPr="00695B54">
        <w:t>Al-</w:t>
      </w:r>
      <w:proofErr w:type="spellStart"/>
      <w:r w:rsidRPr="00695B54">
        <w:t>Souissi</w:t>
      </w:r>
      <w:proofErr w:type="spellEnd"/>
      <w:r w:rsidRPr="00695B54">
        <w:t xml:space="preserve">, D. (2013). </w:t>
      </w:r>
      <w:r w:rsidRPr="00695B54">
        <w:rPr>
          <w:i/>
          <w:iCs/>
        </w:rPr>
        <w:t>Mémoire de Master</w:t>
      </w:r>
      <w:r w:rsidRPr="00695B54">
        <w:t xml:space="preserve">, Université </w:t>
      </w:r>
      <w:proofErr w:type="spellStart"/>
      <w:r w:rsidRPr="00695B54">
        <w:t>Kasdi</w:t>
      </w:r>
      <w:proofErr w:type="spellEnd"/>
      <w:r w:rsidRPr="00695B54">
        <w:t xml:space="preserve"> </w:t>
      </w:r>
      <w:proofErr w:type="spellStart"/>
      <w:r w:rsidRPr="00695B54">
        <w:t>Merbah</w:t>
      </w:r>
      <w:proofErr w:type="spellEnd"/>
      <w:r w:rsidRPr="00695B54">
        <w:t xml:space="preserve"> Ouargla.</w:t>
      </w:r>
    </w:p>
    <w:p w14:paraId="7E1FD133" w14:textId="77777777" w:rsidR="00695B54" w:rsidRPr="00695B54" w:rsidRDefault="00695B54" w:rsidP="005E09A1">
      <w:pPr>
        <w:numPr>
          <w:ilvl w:val="0"/>
          <w:numId w:val="109"/>
        </w:numPr>
        <w:tabs>
          <w:tab w:val="left" w:pos="3960"/>
        </w:tabs>
      </w:pPr>
      <w:proofErr w:type="spellStart"/>
      <w:r w:rsidRPr="00695B54">
        <w:t>Souissi</w:t>
      </w:r>
      <w:proofErr w:type="spellEnd"/>
      <w:r w:rsidRPr="00695B54">
        <w:t xml:space="preserve">, D. (2013). </w:t>
      </w:r>
      <w:r w:rsidRPr="00695B54">
        <w:rPr>
          <w:i/>
          <w:iCs/>
        </w:rPr>
        <w:t>Mémoire de Magister</w:t>
      </w:r>
      <w:r w:rsidRPr="00695B54">
        <w:t xml:space="preserve">, Université </w:t>
      </w:r>
      <w:proofErr w:type="spellStart"/>
      <w:r w:rsidRPr="00695B54">
        <w:t>Kasdi</w:t>
      </w:r>
      <w:proofErr w:type="spellEnd"/>
      <w:r w:rsidRPr="00695B54">
        <w:t xml:space="preserve"> </w:t>
      </w:r>
      <w:proofErr w:type="spellStart"/>
      <w:r w:rsidRPr="00695B54">
        <w:t>Merbah</w:t>
      </w:r>
      <w:proofErr w:type="spellEnd"/>
      <w:r w:rsidRPr="00695B54">
        <w:t xml:space="preserve"> – Ouargla.</w:t>
      </w:r>
    </w:p>
    <w:p w14:paraId="25A99DB8" w14:textId="77777777" w:rsidR="00695B54" w:rsidRPr="00695B54" w:rsidRDefault="00695B54" w:rsidP="005E09A1">
      <w:pPr>
        <w:numPr>
          <w:ilvl w:val="0"/>
          <w:numId w:val="109"/>
        </w:numPr>
        <w:tabs>
          <w:tab w:val="left" w:pos="3960"/>
        </w:tabs>
      </w:pPr>
      <w:proofErr w:type="spellStart"/>
      <w:r w:rsidRPr="00695B54">
        <w:t>Guiral</w:t>
      </w:r>
      <w:proofErr w:type="spellEnd"/>
      <w:r w:rsidRPr="00695B54">
        <w:t xml:space="preserve">, É. (2014). </w:t>
      </w:r>
      <w:r w:rsidRPr="00695B54">
        <w:rPr>
          <w:i/>
          <w:iCs/>
        </w:rPr>
        <w:t>Thèse de doctorat en pharmacie</w:t>
      </w:r>
      <w:r w:rsidRPr="00695B54">
        <w:t>, Université Toulouse III – Paul Sabatier.</w:t>
      </w:r>
    </w:p>
    <w:p w14:paraId="77146FFC" w14:textId="77777777" w:rsidR="00695B54" w:rsidRPr="00695B54" w:rsidRDefault="00695B54" w:rsidP="005E09A1">
      <w:pPr>
        <w:numPr>
          <w:ilvl w:val="0"/>
          <w:numId w:val="109"/>
        </w:numPr>
        <w:tabs>
          <w:tab w:val="left" w:pos="3960"/>
        </w:tabs>
      </w:pPr>
      <w:proofErr w:type="spellStart"/>
      <w:r w:rsidRPr="00695B54">
        <w:t>Grasseler</w:t>
      </w:r>
      <w:proofErr w:type="spellEnd"/>
      <w:r w:rsidRPr="00695B54">
        <w:t xml:space="preserve">, C. (2011). </w:t>
      </w:r>
      <w:r w:rsidRPr="00695B54">
        <w:rPr>
          <w:i/>
          <w:iCs/>
        </w:rPr>
        <w:t>Mémoire de Master</w:t>
      </w:r>
      <w:r w:rsidRPr="00695B54">
        <w:t>, Université de Provence Aix-Marseille I.</w:t>
      </w:r>
    </w:p>
    <w:p w14:paraId="66191613" w14:textId="77777777" w:rsidR="00695B54" w:rsidRPr="00695B54" w:rsidRDefault="00695B54" w:rsidP="005E09A1">
      <w:pPr>
        <w:numPr>
          <w:ilvl w:val="0"/>
          <w:numId w:val="109"/>
        </w:numPr>
        <w:tabs>
          <w:tab w:val="left" w:pos="3960"/>
        </w:tabs>
      </w:pPr>
      <w:proofErr w:type="spellStart"/>
      <w:r w:rsidRPr="00695B54">
        <w:t>Degoulet</w:t>
      </w:r>
      <w:proofErr w:type="spellEnd"/>
      <w:r w:rsidRPr="00695B54">
        <w:t xml:space="preserve">, P. (2013). </w:t>
      </w:r>
      <w:r w:rsidRPr="00695B54">
        <w:rPr>
          <w:i/>
          <w:iCs/>
        </w:rPr>
        <w:t>Chapitre dans Informatique médicale</w:t>
      </w:r>
      <w:r w:rsidRPr="00695B54">
        <w:t>, Paris : Springer.</w:t>
      </w:r>
    </w:p>
    <w:p w14:paraId="6B70B6BC" w14:textId="77777777" w:rsidR="00695B54" w:rsidRPr="00695B54" w:rsidRDefault="00695B54" w:rsidP="005E09A1">
      <w:pPr>
        <w:numPr>
          <w:ilvl w:val="0"/>
          <w:numId w:val="109"/>
        </w:numPr>
        <w:tabs>
          <w:tab w:val="left" w:pos="3960"/>
        </w:tabs>
      </w:pPr>
      <w:r w:rsidRPr="00695B54">
        <w:t xml:space="preserve">El </w:t>
      </w:r>
      <w:proofErr w:type="spellStart"/>
      <w:r w:rsidRPr="00695B54">
        <w:t>Sarraj</w:t>
      </w:r>
      <w:proofErr w:type="spellEnd"/>
      <w:r w:rsidRPr="00695B54">
        <w:t xml:space="preserve">, L. (2014). </w:t>
      </w:r>
      <w:r w:rsidRPr="00695B54">
        <w:rPr>
          <w:i/>
          <w:iCs/>
        </w:rPr>
        <w:t>Thèse de doctorat en informatique</w:t>
      </w:r>
      <w:r w:rsidRPr="00695B54">
        <w:t>, Université Aix-Marseille.</w:t>
      </w:r>
    </w:p>
    <w:p w14:paraId="5E1F3059" w14:textId="77777777" w:rsidR="00695B54" w:rsidRPr="00695B54" w:rsidRDefault="00695B54" w:rsidP="005E09A1">
      <w:pPr>
        <w:numPr>
          <w:ilvl w:val="0"/>
          <w:numId w:val="109"/>
        </w:numPr>
        <w:tabs>
          <w:tab w:val="left" w:pos="3960"/>
        </w:tabs>
      </w:pPr>
      <w:r w:rsidRPr="00695B54">
        <w:t xml:space="preserve">Bouamrane, S. F.-Z. (2010). </w:t>
      </w:r>
      <w:r w:rsidRPr="00695B54">
        <w:rPr>
          <w:i/>
          <w:iCs/>
        </w:rPr>
        <w:t>Mémoire de Magister en informatique</w:t>
      </w:r>
      <w:r w:rsidRPr="00695B54">
        <w:t>, Université d’Oran.</w:t>
      </w:r>
    </w:p>
    <w:p w14:paraId="6D8EAF74" w14:textId="77777777" w:rsidR="00695B54" w:rsidRPr="00695B54" w:rsidRDefault="00695B54" w:rsidP="005E09A1">
      <w:pPr>
        <w:numPr>
          <w:ilvl w:val="0"/>
          <w:numId w:val="109"/>
        </w:numPr>
        <w:tabs>
          <w:tab w:val="left" w:pos="3960"/>
        </w:tabs>
      </w:pPr>
      <w:proofErr w:type="spellStart"/>
      <w:r w:rsidRPr="00695B54">
        <w:lastRenderedPageBreak/>
        <w:t>Douik</w:t>
      </w:r>
      <w:proofErr w:type="spellEnd"/>
      <w:r w:rsidRPr="00695B54">
        <w:t xml:space="preserve">, M. A. H. (2010). </w:t>
      </w:r>
      <w:r w:rsidRPr="00695B54">
        <w:rPr>
          <w:i/>
          <w:iCs/>
        </w:rPr>
        <w:t>Mémoire de Master</w:t>
      </w:r>
      <w:r w:rsidRPr="00695B54">
        <w:t>, Faculté de Commerce, Gaza.</w:t>
      </w:r>
    </w:p>
    <w:p w14:paraId="15EDEF47" w14:textId="77777777" w:rsidR="00695B54" w:rsidRPr="00695B54" w:rsidRDefault="00695B54" w:rsidP="005E09A1">
      <w:pPr>
        <w:numPr>
          <w:ilvl w:val="0"/>
          <w:numId w:val="109"/>
        </w:numPr>
        <w:tabs>
          <w:tab w:val="left" w:pos="3960"/>
        </w:tabs>
      </w:pPr>
      <w:r w:rsidRPr="00695B54">
        <w:t xml:space="preserve">Gagneur, É. (2013). </w:t>
      </w:r>
      <w:r w:rsidRPr="00695B54">
        <w:rPr>
          <w:i/>
          <w:iCs/>
        </w:rPr>
        <w:t>Mémoire de Master 2</w:t>
      </w:r>
      <w:r w:rsidRPr="00695B54">
        <w:t>, EHESP.</w:t>
      </w:r>
    </w:p>
    <w:p w14:paraId="64012D44" w14:textId="77777777" w:rsidR="00695B54" w:rsidRPr="00695B54" w:rsidRDefault="00695B54" w:rsidP="005E09A1">
      <w:pPr>
        <w:numPr>
          <w:ilvl w:val="0"/>
          <w:numId w:val="109"/>
        </w:numPr>
        <w:tabs>
          <w:tab w:val="left" w:pos="3960"/>
        </w:tabs>
      </w:pPr>
      <w:proofErr w:type="spellStart"/>
      <w:r w:rsidRPr="00695B54">
        <w:t>Touazi</w:t>
      </w:r>
      <w:proofErr w:type="spellEnd"/>
      <w:r w:rsidRPr="00695B54">
        <w:t xml:space="preserve">, A. (2012). </w:t>
      </w:r>
      <w:r w:rsidRPr="00695B54">
        <w:rPr>
          <w:i/>
          <w:iCs/>
        </w:rPr>
        <w:t>Mémoire de master</w:t>
      </w:r>
      <w:r w:rsidRPr="00695B54">
        <w:t xml:space="preserve">, Université de </w:t>
      </w:r>
      <w:proofErr w:type="spellStart"/>
      <w:r w:rsidRPr="00695B54">
        <w:t>Béjaïa</w:t>
      </w:r>
      <w:proofErr w:type="spellEnd"/>
      <w:r w:rsidRPr="00695B54">
        <w:t>.</w:t>
      </w:r>
    </w:p>
    <w:p w14:paraId="1C326591" w14:textId="77777777" w:rsidR="00695B54" w:rsidRPr="00695B54" w:rsidRDefault="00695B54" w:rsidP="005E09A1">
      <w:pPr>
        <w:numPr>
          <w:ilvl w:val="0"/>
          <w:numId w:val="109"/>
        </w:numPr>
        <w:tabs>
          <w:tab w:val="left" w:pos="3960"/>
        </w:tabs>
      </w:pPr>
      <w:r w:rsidRPr="00695B54">
        <w:t xml:space="preserve">BARA, S., &amp; OURAGHI, K. (2021). </w:t>
      </w:r>
      <w:r w:rsidRPr="00695B54">
        <w:rPr>
          <w:i/>
          <w:iCs/>
        </w:rPr>
        <w:t>Mémoire de master</w:t>
      </w:r>
      <w:r w:rsidRPr="00695B54">
        <w:t>, Université Mouloud Mammeri de Tizi-Ouzou.</w:t>
      </w:r>
    </w:p>
    <w:p w14:paraId="546F39AD" w14:textId="77777777" w:rsidR="00695B54" w:rsidRPr="00695B54" w:rsidRDefault="00695B54" w:rsidP="005E09A1">
      <w:pPr>
        <w:numPr>
          <w:ilvl w:val="0"/>
          <w:numId w:val="109"/>
        </w:numPr>
        <w:tabs>
          <w:tab w:val="left" w:pos="3960"/>
        </w:tabs>
      </w:pPr>
      <w:proofErr w:type="spellStart"/>
      <w:r w:rsidRPr="00695B54">
        <w:t>Ziani</w:t>
      </w:r>
      <w:proofErr w:type="spellEnd"/>
      <w:r w:rsidRPr="00695B54">
        <w:t xml:space="preserve">, Z. (2012). </w:t>
      </w:r>
      <w:r w:rsidRPr="00695B54">
        <w:rPr>
          <w:i/>
          <w:iCs/>
        </w:rPr>
        <w:t>Mémoire de magistère</w:t>
      </w:r>
      <w:r w:rsidRPr="00695B54">
        <w:t xml:space="preserve">, Université Abderrahmane Mira de </w:t>
      </w:r>
      <w:proofErr w:type="spellStart"/>
      <w:r w:rsidRPr="00695B54">
        <w:t>Béjaïa</w:t>
      </w:r>
      <w:proofErr w:type="spellEnd"/>
      <w:r w:rsidRPr="00695B54">
        <w:t>.</w:t>
      </w:r>
    </w:p>
    <w:p w14:paraId="4A047F0F" w14:textId="77777777" w:rsidR="00695B54" w:rsidRPr="00695B54" w:rsidRDefault="00695B54" w:rsidP="005E09A1">
      <w:pPr>
        <w:numPr>
          <w:ilvl w:val="0"/>
          <w:numId w:val="109"/>
        </w:numPr>
        <w:tabs>
          <w:tab w:val="left" w:pos="3960"/>
        </w:tabs>
      </w:pPr>
      <w:proofErr w:type="spellStart"/>
      <w:r w:rsidRPr="00695B54">
        <w:t>Foudi</w:t>
      </w:r>
      <w:proofErr w:type="spellEnd"/>
      <w:r w:rsidRPr="00695B54">
        <w:t xml:space="preserve"> Brahim. </w:t>
      </w:r>
      <w:r w:rsidRPr="00695B54">
        <w:rPr>
          <w:i/>
          <w:iCs/>
        </w:rPr>
        <w:t>Mémoire de magister</w:t>
      </w:r>
      <w:r w:rsidRPr="00695B54">
        <w:t xml:space="preserve">, Université A. Mira de </w:t>
      </w:r>
      <w:proofErr w:type="spellStart"/>
      <w:r w:rsidRPr="00695B54">
        <w:t>Béjaïa</w:t>
      </w:r>
      <w:proofErr w:type="spellEnd"/>
      <w:r w:rsidRPr="00695B54">
        <w:t>, 2011.</w:t>
      </w:r>
    </w:p>
    <w:p w14:paraId="298B3ACB" w14:textId="77777777" w:rsidR="00695B54" w:rsidRPr="00695B54" w:rsidRDefault="00695B54" w:rsidP="005E09A1">
      <w:pPr>
        <w:numPr>
          <w:ilvl w:val="0"/>
          <w:numId w:val="109"/>
        </w:numPr>
        <w:tabs>
          <w:tab w:val="left" w:pos="3960"/>
        </w:tabs>
      </w:pPr>
      <w:proofErr w:type="spellStart"/>
      <w:r w:rsidRPr="00695B54">
        <w:t>Nesnas</w:t>
      </w:r>
      <w:proofErr w:type="spellEnd"/>
      <w:r w:rsidRPr="00695B54">
        <w:t xml:space="preserve">, C., &amp; </w:t>
      </w:r>
      <w:proofErr w:type="spellStart"/>
      <w:r w:rsidRPr="00695B54">
        <w:t>Kadid</w:t>
      </w:r>
      <w:proofErr w:type="spellEnd"/>
      <w:r w:rsidRPr="00695B54">
        <w:t xml:space="preserve">, L. </w:t>
      </w:r>
      <w:r w:rsidRPr="00695B54">
        <w:rPr>
          <w:i/>
          <w:iCs/>
        </w:rPr>
        <w:t>Mémoire de post-graduation spécialisée</w:t>
      </w:r>
      <w:r w:rsidRPr="00695B54">
        <w:t>, École Supérieure de la Sécurité Sociale.</w:t>
      </w:r>
    </w:p>
    <w:p w14:paraId="5D5B3724" w14:textId="77777777" w:rsidR="00695B54" w:rsidRPr="00695B54" w:rsidRDefault="00695B54" w:rsidP="005E09A1">
      <w:pPr>
        <w:numPr>
          <w:ilvl w:val="0"/>
          <w:numId w:val="109"/>
        </w:numPr>
        <w:tabs>
          <w:tab w:val="left" w:pos="3960"/>
        </w:tabs>
      </w:pPr>
      <w:proofErr w:type="spellStart"/>
      <w:r w:rsidRPr="00695B54">
        <w:rPr>
          <w:lang w:val="en-US"/>
        </w:rPr>
        <w:t>Benhammouda</w:t>
      </w:r>
      <w:proofErr w:type="spellEnd"/>
      <w:r w:rsidRPr="00695B54">
        <w:rPr>
          <w:lang w:val="en-US"/>
        </w:rPr>
        <w:t xml:space="preserve">, A., &amp; </w:t>
      </w:r>
      <w:proofErr w:type="spellStart"/>
      <w:r w:rsidRPr="00695B54">
        <w:rPr>
          <w:lang w:val="en-US"/>
        </w:rPr>
        <w:t>Ould</w:t>
      </w:r>
      <w:proofErr w:type="spellEnd"/>
      <w:r w:rsidRPr="00695B54">
        <w:rPr>
          <w:lang w:val="en-US"/>
        </w:rPr>
        <w:t xml:space="preserve"> </w:t>
      </w:r>
      <w:proofErr w:type="spellStart"/>
      <w:r w:rsidRPr="00695B54">
        <w:rPr>
          <w:lang w:val="en-US"/>
        </w:rPr>
        <w:t>Amrouche</w:t>
      </w:r>
      <w:proofErr w:type="spellEnd"/>
      <w:r w:rsidRPr="00695B54">
        <w:rPr>
          <w:lang w:val="en-US"/>
        </w:rPr>
        <w:t xml:space="preserve">, K. (2005). </w:t>
      </w:r>
      <w:r w:rsidRPr="00695B54">
        <w:rPr>
          <w:i/>
          <w:iCs/>
        </w:rPr>
        <w:t>Mémoire de post-graduation</w:t>
      </w:r>
      <w:r w:rsidRPr="00695B54">
        <w:t>, École Supérieure de la Sécurité Sociale.</w:t>
      </w:r>
    </w:p>
    <w:p w14:paraId="0F5F3F2A" w14:textId="77777777" w:rsidR="00695B54" w:rsidRPr="00695B54" w:rsidRDefault="0095621A" w:rsidP="00695B54">
      <w:pPr>
        <w:tabs>
          <w:tab w:val="left" w:pos="3960"/>
        </w:tabs>
      </w:pPr>
      <w:r>
        <w:pict w14:anchorId="742AB90A">
          <v:rect id="_x0000_i1026" style="width:0;height:1.5pt" o:hralign="center" o:hrstd="t" o:hr="t" fillcolor="#a0a0a0" stroked="f"/>
        </w:pict>
      </w:r>
    </w:p>
    <w:p w14:paraId="083B0863" w14:textId="77777777" w:rsidR="00695B54" w:rsidRPr="00695B54" w:rsidRDefault="00695B54" w:rsidP="00695B54">
      <w:pPr>
        <w:tabs>
          <w:tab w:val="left" w:pos="3960"/>
        </w:tabs>
        <w:rPr>
          <w:b/>
          <w:bCs/>
        </w:rPr>
      </w:pPr>
      <w:r w:rsidRPr="00695B54">
        <w:rPr>
          <w:b/>
          <w:bCs/>
        </w:rPr>
        <w:t>3. Articles scientifiques et revues académiques</w:t>
      </w:r>
    </w:p>
    <w:p w14:paraId="5BBD7303" w14:textId="77777777" w:rsidR="00695B54" w:rsidRPr="00695B54" w:rsidRDefault="00695B54" w:rsidP="005E09A1">
      <w:pPr>
        <w:numPr>
          <w:ilvl w:val="0"/>
          <w:numId w:val="110"/>
        </w:numPr>
        <w:tabs>
          <w:tab w:val="left" w:pos="3960"/>
        </w:tabs>
      </w:pPr>
      <w:r w:rsidRPr="00695B54">
        <w:t xml:space="preserve">AL-HAYALI S. M. M., HUSSEIN S. S., Revue de </w:t>
      </w:r>
      <w:proofErr w:type="spellStart"/>
      <w:r w:rsidRPr="00695B54">
        <w:t>Tikrit</w:t>
      </w:r>
      <w:proofErr w:type="spellEnd"/>
      <w:r w:rsidRPr="00695B54">
        <w:t>, vol. 3, n° 3, 2006.</w:t>
      </w:r>
    </w:p>
    <w:p w14:paraId="0DF22B03" w14:textId="77777777" w:rsidR="00695B54" w:rsidRPr="00695B54" w:rsidRDefault="00695B54" w:rsidP="005E09A1">
      <w:pPr>
        <w:numPr>
          <w:ilvl w:val="0"/>
          <w:numId w:val="110"/>
        </w:numPr>
        <w:tabs>
          <w:tab w:val="left" w:pos="3960"/>
        </w:tabs>
      </w:pPr>
      <w:r w:rsidRPr="00695B54">
        <w:t xml:space="preserve">Taleb Salem Adel </w:t>
      </w:r>
      <w:proofErr w:type="spellStart"/>
      <w:r w:rsidRPr="00695B54">
        <w:t>Atta</w:t>
      </w:r>
      <w:proofErr w:type="spellEnd"/>
      <w:r w:rsidRPr="00695B54">
        <w:t xml:space="preserve"> Allah &amp; Hussein </w:t>
      </w:r>
      <w:proofErr w:type="spellStart"/>
      <w:r w:rsidRPr="00695B54">
        <w:t>Hafsa</w:t>
      </w:r>
      <w:proofErr w:type="spellEnd"/>
      <w:r w:rsidRPr="00695B54">
        <w:t>, Revue de la Faculté de Sciences Économiques de Bagdad, n°37.</w:t>
      </w:r>
    </w:p>
    <w:p w14:paraId="1E68BB4E" w14:textId="77777777" w:rsidR="00695B54" w:rsidRPr="00695B54" w:rsidRDefault="00695B54" w:rsidP="005E09A1">
      <w:pPr>
        <w:numPr>
          <w:ilvl w:val="0"/>
          <w:numId w:val="110"/>
        </w:numPr>
        <w:tabs>
          <w:tab w:val="left" w:pos="3960"/>
        </w:tabs>
        <w:rPr>
          <w:lang w:val="en-US"/>
        </w:rPr>
      </w:pPr>
      <w:proofErr w:type="spellStart"/>
      <w:r w:rsidRPr="00695B54">
        <w:rPr>
          <w:lang w:val="en-US"/>
        </w:rPr>
        <w:t>Ahmadian</w:t>
      </w:r>
      <w:proofErr w:type="spellEnd"/>
      <w:r w:rsidRPr="00695B54">
        <w:rPr>
          <w:lang w:val="en-US"/>
        </w:rPr>
        <w:t xml:space="preserve"> et al. (2017), </w:t>
      </w:r>
      <w:r w:rsidRPr="00695B54">
        <w:rPr>
          <w:i/>
          <w:iCs/>
          <w:lang w:val="en-US"/>
        </w:rPr>
        <w:t>Electronic Physician</w:t>
      </w:r>
      <w:r w:rsidRPr="00695B54">
        <w:rPr>
          <w:lang w:val="en-US"/>
        </w:rPr>
        <w:t>, 9(6), 4625–4630.</w:t>
      </w:r>
    </w:p>
    <w:p w14:paraId="32E64F11" w14:textId="77777777" w:rsidR="00695B54" w:rsidRPr="00695B54" w:rsidRDefault="00695B54" w:rsidP="005E09A1">
      <w:pPr>
        <w:numPr>
          <w:ilvl w:val="0"/>
          <w:numId w:val="110"/>
        </w:numPr>
        <w:tabs>
          <w:tab w:val="left" w:pos="3960"/>
        </w:tabs>
        <w:rPr>
          <w:lang w:val="en-US"/>
        </w:rPr>
      </w:pPr>
      <w:r w:rsidRPr="00695B54">
        <w:rPr>
          <w:lang w:val="en-US"/>
        </w:rPr>
        <w:t xml:space="preserve">Kara </w:t>
      </w:r>
      <w:proofErr w:type="spellStart"/>
      <w:r w:rsidRPr="00695B54">
        <w:rPr>
          <w:lang w:val="en-US"/>
        </w:rPr>
        <w:t>Terki</w:t>
      </w:r>
      <w:proofErr w:type="spellEnd"/>
      <w:r w:rsidRPr="00695B54">
        <w:rPr>
          <w:lang w:val="en-US"/>
        </w:rPr>
        <w:t xml:space="preserve">, A. (2018), </w:t>
      </w:r>
      <w:r w:rsidRPr="00695B54">
        <w:rPr>
          <w:i/>
          <w:iCs/>
          <w:lang w:val="en-US"/>
        </w:rPr>
        <w:t>Algerian Business Performance Review</w:t>
      </w:r>
      <w:r w:rsidRPr="00695B54">
        <w:rPr>
          <w:lang w:val="en-US"/>
        </w:rPr>
        <w:t>, (13), 321.</w:t>
      </w:r>
    </w:p>
    <w:p w14:paraId="48740DB3" w14:textId="77777777" w:rsidR="00695B54" w:rsidRPr="00695B54" w:rsidRDefault="00695B54" w:rsidP="005E09A1">
      <w:pPr>
        <w:numPr>
          <w:ilvl w:val="0"/>
          <w:numId w:val="110"/>
        </w:numPr>
        <w:tabs>
          <w:tab w:val="left" w:pos="3960"/>
        </w:tabs>
      </w:pPr>
      <w:r w:rsidRPr="00695B54">
        <w:t xml:space="preserve">Salmi, M. (2022). </w:t>
      </w:r>
      <w:r w:rsidRPr="00695B54">
        <w:rPr>
          <w:i/>
          <w:iCs/>
        </w:rPr>
        <w:t>Revue des Sciences Humaines</w:t>
      </w:r>
      <w:r w:rsidRPr="00695B54">
        <w:t>, 33(4), 81–93.</w:t>
      </w:r>
    </w:p>
    <w:p w14:paraId="273E73A8" w14:textId="77777777" w:rsidR="00695B54" w:rsidRPr="00695B54" w:rsidRDefault="00695B54" w:rsidP="005E09A1">
      <w:pPr>
        <w:numPr>
          <w:ilvl w:val="0"/>
          <w:numId w:val="110"/>
        </w:numPr>
        <w:tabs>
          <w:tab w:val="left" w:pos="3960"/>
        </w:tabs>
      </w:pPr>
      <w:proofErr w:type="spellStart"/>
      <w:r w:rsidRPr="00695B54">
        <w:t>Ziani</w:t>
      </w:r>
      <w:proofErr w:type="spellEnd"/>
      <w:r w:rsidRPr="00695B54">
        <w:t xml:space="preserve">, L., &amp; </w:t>
      </w:r>
      <w:proofErr w:type="spellStart"/>
      <w:r w:rsidRPr="00695B54">
        <w:t>Ziani</w:t>
      </w:r>
      <w:proofErr w:type="spellEnd"/>
      <w:r w:rsidRPr="00695B54">
        <w:t xml:space="preserve">, F. (2021). </w:t>
      </w:r>
      <w:r w:rsidRPr="00695B54">
        <w:rPr>
          <w:i/>
          <w:iCs/>
        </w:rPr>
        <w:t>Les Cahiers du POIDEX</w:t>
      </w:r>
      <w:r w:rsidRPr="00695B54">
        <w:t>, 10(1), 567–584.</w:t>
      </w:r>
    </w:p>
    <w:p w14:paraId="21E7AF87" w14:textId="77777777" w:rsidR="00695B54" w:rsidRPr="00695B54" w:rsidRDefault="00695B54" w:rsidP="005E09A1">
      <w:pPr>
        <w:numPr>
          <w:ilvl w:val="0"/>
          <w:numId w:val="110"/>
        </w:numPr>
        <w:tabs>
          <w:tab w:val="left" w:pos="3960"/>
        </w:tabs>
      </w:pPr>
      <w:proofErr w:type="spellStart"/>
      <w:r w:rsidRPr="00695B54">
        <w:t>Cheurfa</w:t>
      </w:r>
      <w:proofErr w:type="spellEnd"/>
      <w:r w:rsidRPr="00695B54">
        <w:t xml:space="preserve">, T., &amp; </w:t>
      </w:r>
      <w:proofErr w:type="spellStart"/>
      <w:r w:rsidRPr="00695B54">
        <w:t>Kaïd</w:t>
      </w:r>
      <w:proofErr w:type="spellEnd"/>
      <w:r w:rsidRPr="00695B54">
        <w:t xml:space="preserve"> </w:t>
      </w:r>
      <w:proofErr w:type="spellStart"/>
      <w:r w:rsidRPr="00695B54">
        <w:t>Tlilane</w:t>
      </w:r>
      <w:proofErr w:type="spellEnd"/>
      <w:r w:rsidRPr="00695B54">
        <w:t xml:space="preserve">, N. (2014). </w:t>
      </w:r>
      <w:r w:rsidRPr="00695B54">
        <w:rPr>
          <w:i/>
          <w:iCs/>
        </w:rPr>
        <w:t>Economie &amp; Société</w:t>
      </w:r>
      <w:r w:rsidRPr="00695B54">
        <w:t>, (10), p. 87.</w:t>
      </w:r>
    </w:p>
    <w:p w14:paraId="50458A0F" w14:textId="77777777" w:rsidR="00695B54" w:rsidRPr="00695B54" w:rsidRDefault="00695B54" w:rsidP="005E09A1">
      <w:pPr>
        <w:numPr>
          <w:ilvl w:val="0"/>
          <w:numId w:val="110"/>
        </w:numPr>
        <w:tabs>
          <w:tab w:val="left" w:pos="3960"/>
        </w:tabs>
      </w:pPr>
      <w:r w:rsidRPr="00695B54">
        <w:t xml:space="preserve">Abbou, Y., &amp; </w:t>
      </w:r>
      <w:proofErr w:type="spellStart"/>
      <w:r w:rsidRPr="00695B54">
        <w:t>Brahamia</w:t>
      </w:r>
      <w:proofErr w:type="spellEnd"/>
      <w:r w:rsidRPr="00695B54">
        <w:t xml:space="preserve">, B. (2017). </w:t>
      </w:r>
      <w:proofErr w:type="spellStart"/>
      <w:r w:rsidRPr="00695B54">
        <w:rPr>
          <w:i/>
          <w:iCs/>
        </w:rPr>
        <w:t>Insaniyat</w:t>
      </w:r>
      <w:proofErr w:type="spellEnd"/>
      <w:r w:rsidRPr="00695B54">
        <w:t>, 75-76, 149–171.</w:t>
      </w:r>
    </w:p>
    <w:p w14:paraId="16CE4E3F" w14:textId="77777777" w:rsidR="00695B54" w:rsidRPr="00695B54" w:rsidRDefault="00695B54" w:rsidP="005E09A1">
      <w:pPr>
        <w:numPr>
          <w:ilvl w:val="0"/>
          <w:numId w:val="110"/>
        </w:numPr>
        <w:tabs>
          <w:tab w:val="left" w:pos="3960"/>
        </w:tabs>
      </w:pPr>
      <w:r w:rsidRPr="00695B54">
        <w:t xml:space="preserve">Saint-Paul, G. (2012). </w:t>
      </w:r>
      <w:r w:rsidRPr="00695B54">
        <w:rPr>
          <w:i/>
          <w:iCs/>
        </w:rPr>
        <w:t>Rapport</w:t>
      </w:r>
      <w:r w:rsidRPr="00695B54">
        <w:t>, Direction de l’information légale et administrative.</w:t>
      </w:r>
    </w:p>
    <w:p w14:paraId="039C96D7" w14:textId="77777777" w:rsidR="00695B54" w:rsidRPr="00695B54" w:rsidRDefault="0095621A" w:rsidP="00695B54">
      <w:pPr>
        <w:tabs>
          <w:tab w:val="left" w:pos="3960"/>
        </w:tabs>
      </w:pPr>
      <w:r>
        <w:pict w14:anchorId="2609B8BC">
          <v:rect id="_x0000_i1027" style="width:0;height:1.5pt" o:hralign="center" o:hrstd="t" o:hr="t" fillcolor="#a0a0a0" stroked="f"/>
        </w:pict>
      </w:r>
    </w:p>
    <w:p w14:paraId="112F4FD8" w14:textId="77777777" w:rsidR="00695B54" w:rsidRPr="00695B54" w:rsidRDefault="00695B54" w:rsidP="00695B54">
      <w:pPr>
        <w:tabs>
          <w:tab w:val="left" w:pos="3960"/>
        </w:tabs>
        <w:rPr>
          <w:b/>
          <w:bCs/>
        </w:rPr>
      </w:pPr>
      <w:r w:rsidRPr="00695B54">
        <w:rPr>
          <w:b/>
          <w:bCs/>
        </w:rPr>
        <w:t>4. Sites Web, Rapports et Documents institutionnels</w:t>
      </w:r>
    </w:p>
    <w:p w14:paraId="5F16D98C" w14:textId="77777777" w:rsidR="00695B54" w:rsidRPr="00695B54" w:rsidRDefault="00695B54" w:rsidP="005E09A1">
      <w:pPr>
        <w:numPr>
          <w:ilvl w:val="0"/>
          <w:numId w:val="111"/>
        </w:numPr>
        <w:tabs>
          <w:tab w:val="left" w:pos="3960"/>
        </w:tabs>
        <w:rPr>
          <w:lang w:val="en-US"/>
        </w:rPr>
      </w:pPr>
      <w:r w:rsidRPr="00695B54">
        <w:rPr>
          <w:lang w:val="en-US"/>
        </w:rPr>
        <w:t xml:space="preserve">OMS (2008). </w:t>
      </w:r>
      <w:r w:rsidRPr="00695B54">
        <w:rPr>
          <w:i/>
          <w:iCs/>
          <w:lang w:val="en-US"/>
        </w:rPr>
        <w:t>Health information systems</w:t>
      </w:r>
      <w:r w:rsidRPr="00695B54">
        <w:rPr>
          <w:lang w:val="en-US"/>
        </w:rPr>
        <w:t xml:space="preserve">, </w:t>
      </w:r>
      <w:hyperlink r:id="rId54" w:tgtFrame="_new" w:history="1">
        <w:r w:rsidRPr="00695B54">
          <w:rPr>
            <w:rStyle w:val="Lienhypertexte"/>
            <w:lang w:val="en-US"/>
          </w:rPr>
          <w:t>https://apps.who.int/iris/handle/10665/43963</w:t>
        </w:r>
      </w:hyperlink>
    </w:p>
    <w:p w14:paraId="0AA4C606" w14:textId="77777777" w:rsidR="00695B54" w:rsidRPr="00695B54" w:rsidRDefault="00695B54" w:rsidP="005E09A1">
      <w:pPr>
        <w:numPr>
          <w:ilvl w:val="0"/>
          <w:numId w:val="111"/>
        </w:numPr>
        <w:tabs>
          <w:tab w:val="left" w:pos="3960"/>
        </w:tabs>
      </w:pPr>
      <w:r w:rsidRPr="00695B54">
        <w:t xml:space="preserve">Ministère de la Santé (2006). </w:t>
      </w:r>
      <w:r w:rsidRPr="00695B54">
        <w:rPr>
          <w:i/>
          <w:iCs/>
        </w:rPr>
        <w:t>La politique nationale de la santé</w:t>
      </w:r>
      <w:r w:rsidRPr="00695B54">
        <w:t>, MSPRH, Algérie.</w:t>
      </w:r>
    </w:p>
    <w:p w14:paraId="6E4D98D0" w14:textId="77777777" w:rsidR="00695B54" w:rsidRPr="00695B54" w:rsidRDefault="00695B54" w:rsidP="005E09A1">
      <w:pPr>
        <w:numPr>
          <w:ilvl w:val="0"/>
          <w:numId w:val="111"/>
        </w:numPr>
        <w:tabs>
          <w:tab w:val="left" w:pos="3960"/>
        </w:tabs>
      </w:pPr>
      <w:r w:rsidRPr="00695B54">
        <w:lastRenderedPageBreak/>
        <w:t xml:space="preserve">ATIH. </w:t>
      </w:r>
      <w:r w:rsidRPr="00695B54">
        <w:rPr>
          <w:i/>
          <w:iCs/>
        </w:rPr>
        <w:t>Le PMSI, fonctionnement et enjeux</w:t>
      </w:r>
      <w:r w:rsidRPr="00695B54">
        <w:t xml:space="preserve">, </w:t>
      </w:r>
      <w:hyperlink r:id="rId55" w:tgtFrame="_new" w:history="1">
        <w:r w:rsidRPr="00695B54">
          <w:rPr>
            <w:rStyle w:val="Lienhypertexte"/>
          </w:rPr>
          <w:t>https://www.atih.sante.fr</w:t>
        </w:r>
      </w:hyperlink>
    </w:p>
    <w:p w14:paraId="31EC4C17" w14:textId="77777777" w:rsidR="00695B54" w:rsidRPr="00695B54" w:rsidRDefault="00695B54" w:rsidP="005E09A1">
      <w:pPr>
        <w:numPr>
          <w:ilvl w:val="0"/>
          <w:numId w:val="111"/>
        </w:numPr>
        <w:tabs>
          <w:tab w:val="left" w:pos="3960"/>
        </w:tabs>
        <w:rPr>
          <w:lang w:val="en-US"/>
        </w:rPr>
      </w:pPr>
      <w:r w:rsidRPr="00695B54">
        <w:rPr>
          <w:lang w:val="en-US"/>
        </w:rPr>
        <w:t xml:space="preserve">NHS England, Gov.uk, </w:t>
      </w:r>
      <w:proofErr w:type="spellStart"/>
      <w:r w:rsidRPr="00695B54">
        <w:rPr>
          <w:lang w:val="en-US"/>
        </w:rPr>
        <w:t>Savience</w:t>
      </w:r>
      <w:proofErr w:type="spellEnd"/>
      <w:r w:rsidRPr="00695B54">
        <w:rPr>
          <w:lang w:val="en-US"/>
        </w:rPr>
        <w:t xml:space="preserve"> Ltd., Vocal Media, Bajaj </w:t>
      </w:r>
      <w:proofErr w:type="spellStart"/>
      <w:r w:rsidRPr="00695B54">
        <w:rPr>
          <w:lang w:val="en-US"/>
        </w:rPr>
        <w:t>Finserv</w:t>
      </w:r>
      <w:proofErr w:type="spellEnd"/>
    </w:p>
    <w:p w14:paraId="512FD0D1" w14:textId="77777777" w:rsidR="00695B54" w:rsidRPr="00695B54" w:rsidRDefault="00695B54" w:rsidP="005E09A1">
      <w:pPr>
        <w:numPr>
          <w:ilvl w:val="0"/>
          <w:numId w:val="111"/>
        </w:numPr>
        <w:tabs>
          <w:tab w:val="left" w:pos="3960"/>
        </w:tabs>
      </w:pPr>
      <w:proofErr w:type="spellStart"/>
      <w:r w:rsidRPr="00695B54">
        <w:t>Brundage</w:t>
      </w:r>
      <w:proofErr w:type="spellEnd"/>
      <w:r w:rsidRPr="00695B54">
        <w:t xml:space="preserve"> Group. </w:t>
      </w:r>
      <w:hyperlink r:id="rId56" w:tgtFrame="_new" w:history="1">
        <w:r w:rsidRPr="00695B54">
          <w:rPr>
            <w:rStyle w:val="Lienhypertexte"/>
          </w:rPr>
          <w:t>https://brundagegroup.com/what-are-diagnosis-related-groups-drgs/</w:t>
        </w:r>
      </w:hyperlink>
    </w:p>
    <w:p w14:paraId="326AC030" w14:textId="77777777" w:rsidR="00695B54" w:rsidRPr="00695B54" w:rsidRDefault="00695B54" w:rsidP="005E09A1">
      <w:pPr>
        <w:numPr>
          <w:ilvl w:val="0"/>
          <w:numId w:val="111"/>
        </w:numPr>
        <w:tabs>
          <w:tab w:val="left" w:pos="3960"/>
        </w:tabs>
      </w:pPr>
      <w:r w:rsidRPr="00695B54">
        <w:t xml:space="preserve">NHS Transformation </w:t>
      </w:r>
      <w:proofErr w:type="spellStart"/>
      <w:r w:rsidRPr="00695B54">
        <w:t>Directorate</w:t>
      </w:r>
      <w:proofErr w:type="spellEnd"/>
      <w:r w:rsidRPr="00695B54">
        <w:t>, House of Commons, etc.</w:t>
      </w:r>
    </w:p>
    <w:p w14:paraId="445BB83F" w14:textId="77777777" w:rsidR="00695B54" w:rsidRPr="00695B54" w:rsidRDefault="00695B54" w:rsidP="005E09A1">
      <w:pPr>
        <w:numPr>
          <w:ilvl w:val="0"/>
          <w:numId w:val="111"/>
        </w:numPr>
        <w:tabs>
          <w:tab w:val="left" w:pos="3960"/>
        </w:tabs>
      </w:pPr>
      <w:r w:rsidRPr="00695B54">
        <w:t xml:space="preserve">JORADP. </w:t>
      </w:r>
      <w:r w:rsidRPr="00695B54">
        <w:rPr>
          <w:i/>
          <w:iCs/>
        </w:rPr>
        <w:t>Ordonnance n° 73-65</w:t>
      </w:r>
      <w:r w:rsidRPr="00695B54">
        <w:t xml:space="preserve">, </w:t>
      </w:r>
      <w:hyperlink r:id="rId57" w:tgtFrame="_new" w:history="1">
        <w:r w:rsidRPr="00695B54">
          <w:rPr>
            <w:rStyle w:val="Lienhypertexte"/>
          </w:rPr>
          <w:t>https://www.joradp.dz</w:t>
        </w:r>
      </w:hyperlink>
    </w:p>
    <w:p w14:paraId="0DB81551" w14:textId="77777777" w:rsidR="00695B54" w:rsidRPr="00695B54" w:rsidRDefault="00695B54" w:rsidP="005E09A1">
      <w:pPr>
        <w:numPr>
          <w:ilvl w:val="0"/>
          <w:numId w:val="111"/>
        </w:numPr>
        <w:tabs>
          <w:tab w:val="left" w:pos="3960"/>
        </w:tabs>
      </w:pPr>
      <w:proofErr w:type="spellStart"/>
      <w:r w:rsidRPr="00695B54">
        <w:t>DNAlgérie</w:t>
      </w:r>
      <w:proofErr w:type="spellEnd"/>
      <w:r w:rsidRPr="00695B54">
        <w:t>, II Algérie, Solutions Informatiques Algérie</w:t>
      </w:r>
    </w:p>
    <w:p w14:paraId="6A168264" w14:textId="77777777" w:rsidR="00695B54" w:rsidRPr="00695B54" w:rsidRDefault="00695B54" w:rsidP="005E09A1">
      <w:pPr>
        <w:numPr>
          <w:ilvl w:val="0"/>
          <w:numId w:val="111"/>
        </w:numPr>
        <w:tabs>
          <w:tab w:val="left" w:pos="3960"/>
        </w:tabs>
        <w:rPr>
          <w:lang w:val="en-US"/>
        </w:rPr>
      </w:pPr>
      <w:r w:rsidRPr="00695B54">
        <w:rPr>
          <w:lang w:val="en-US"/>
        </w:rPr>
        <w:t xml:space="preserve">CABRI (2012), Oxford Policy Management, </w:t>
      </w:r>
      <w:hyperlink r:id="rId58" w:tgtFrame="_new" w:history="1">
        <w:r w:rsidRPr="00695B54">
          <w:rPr>
            <w:rStyle w:val="Lienhypertexte"/>
            <w:lang w:val="en-US"/>
          </w:rPr>
          <w:t>https://www.cabri-sbo.org</w:t>
        </w:r>
      </w:hyperlink>
    </w:p>
    <w:p w14:paraId="7C95187B" w14:textId="77777777" w:rsidR="00695B54" w:rsidRPr="00695B54" w:rsidRDefault="00695B54" w:rsidP="005E09A1">
      <w:pPr>
        <w:numPr>
          <w:ilvl w:val="0"/>
          <w:numId w:val="111"/>
        </w:numPr>
        <w:tabs>
          <w:tab w:val="left" w:pos="3960"/>
        </w:tabs>
      </w:pPr>
      <w:r w:rsidRPr="00695B54">
        <w:t>IRDES, Caducee.net, Haas Avocats, GRET-SKY, FindevGateway.org</w:t>
      </w:r>
    </w:p>
    <w:p w14:paraId="7ED924EF" w14:textId="77777777" w:rsidR="00695B54" w:rsidRPr="00695B54" w:rsidRDefault="00695B54" w:rsidP="005E09A1">
      <w:pPr>
        <w:numPr>
          <w:ilvl w:val="0"/>
          <w:numId w:val="111"/>
        </w:numPr>
        <w:tabs>
          <w:tab w:val="left" w:pos="3960"/>
        </w:tabs>
        <w:rPr>
          <w:lang w:val="en-US"/>
        </w:rPr>
      </w:pPr>
      <w:r w:rsidRPr="00695B54">
        <w:rPr>
          <w:lang w:val="en-US"/>
        </w:rPr>
        <w:t xml:space="preserve">Cairn.info, </w:t>
      </w:r>
      <w:proofErr w:type="spellStart"/>
      <w:r w:rsidRPr="00695B54">
        <w:rPr>
          <w:lang w:val="en-US"/>
        </w:rPr>
        <w:t>Dunod</w:t>
      </w:r>
      <w:proofErr w:type="spellEnd"/>
      <w:r w:rsidRPr="00695B54">
        <w:rPr>
          <w:lang w:val="en-US"/>
        </w:rPr>
        <w:t>, Wolters Kluwer Health</w:t>
      </w:r>
    </w:p>
    <w:p w14:paraId="6B6AE792" w14:textId="77777777" w:rsidR="00695B54" w:rsidRPr="00695B54" w:rsidRDefault="00695B54" w:rsidP="005E09A1">
      <w:pPr>
        <w:numPr>
          <w:ilvl w:val="0"/>
          <w:numId w:val="111"/>
        </w:numPr>
        <w:tabs>
          <w:tab w:val="left" w:pos="3960"/>
        </w:tabs>
      </w:pPr>
      <w:r w:rsidRPr="00695B54">
        <w:t xml:space="preserve">Ministère du Travail, MTESS, </w:t>
      </w:r>
      <w:hyperlink r:id="rId59" w:tgtFrame="_new" w:history="1">
        <w:r w:rsidRPr="00695B54">
          <w:rPr>
            <w:rStyle w:val="Lienhypertexte"/>
          </w:rPr>
          <w:t>https://www.mtess.gov.dz</w:t>
        </w:r>
      </w:hyperlink>
    </w:p>
    <w:p w14:paraId="7F42CAE4" w14:textId="77777777" w:rsidR="00695B54" w:rsidRPr="00695B54" w:rsidRDefault="00695B54" w:rsidP="005E09A1">
      <w:pPr>
        <w:numPr>
          <w:ilvl w:val="0"/>
          <w:numId w:val="111"/>
        </w:numPr>
        <w:tabs>
          <w:tab w:val="left" w:pos="3960"/>
        </w:tabs>
      </w:pPr>
      <w:r w:rsidRPr="00695B54">
        <w:t xml:space="preserve">TDM Santé </w:t>
      </w:r>
      <w:proofErr w:type="spellStart"/>
      <w:r w:rsidRPr="00695B54">
        <w:t>Innov</w:t>
      </w:r>
      <w:proofErr w:type="spellEnd"/>
      <w:r w:rsidRPr="00695B54">
        <w:t xml:space="preserve">., </w:t>
      </w:r>
      <w:hyperlink r:id="rId60" w:tgtFrame="_new" w:history="1">
        <w:r w:rsidRPr="00695B54">
          <w:rPr>
            <w:rStyle w:val="Lienhypertexte"/>
          </w:rPr>
          <w:t>https://www.tdmsanteinov.dz</w:t>
        </w:r>
      </w:hyperlink>
    </w:p>
    <w:p w14:paraId="406E7A99" w14:textId="77777777" w:rsidR="00695B54" w:rsidRPr="00695B54" w:rsidRDefault="00695B54" w:rsidP="005E09A1">
      <w:pPr>
        <w:numPr>
          <w:ilvl w:val="0"/>
          <w:numId w:val="111"/>
        </w:numPr>
        <w:tabs>
          <w:tab w:val="left" w:pos="3960"/>
        </w:tabs>
      </w:pPr>
      <w:r w:rsidRPr="00695B54">
        <w:t xml:space="preserve">Revue </w:t>
      </w:r>
      <w:proofErr w:type="spellStart"/>
      <w:r w:rsidRPr="00695B54">
        <w:t>Insaniyat</w:t>
      </w:r>
      <w:proofErr w:type="spellEnd"/>
      <w:r w:rsidRPr="00695B54">
        <w:t>, CRASC</w:t>
      </w:r>
    </w:p>
    <w:p w14:paraId="69621D77" w14:textId="77777777" w:rsidR="00695B54" w:rsidRPr="00695B54" w:rsidRDefault="00695B54" w:rsidP="005E09A1">
      <w:pPr>
        <w:numPr>
          <w:ilvl w:val="0"/>
          <w:numId w:val="111"/>
        </w:numPr>
        <w:tabs>
          <w:tab w:val="left" w:pos="3960"/>
        </w:tabs>
      </w:pPr>
      <w:r w:rsidRPr="00695B54">
        <w:t>Springer, Gestions hospitalières</w:t>
      </w:r>
    </w:p>
    <w:p w14:paraId="74114EEB" w14:textId="77777777" w:rsidR="00695B54" w:rsidRPr="00695B54" w:rsidRDefault="00695B54" w:rsidP="005E09A1">
      <w:pPr>
        <w:numPr>
          <w:ilvl w:val="0"/>
          <w:numId w:val="111"/>
        </w:numPr>
        <w:tabs>
          <w:tab w:val="left" w:pos="3960"/>
        </w:tabs>
      </w:pPr>
      <w:r w:rsidRPr="00695B54">
        <w:t xml:space="preserve">Institut National de Santé Publique (INSP), </w:t>
      </w:r>
      <w:hyperlink r:id="rId61" w:tgtFrame="_new" w:history="1">
        <w:r w:rsidRPr="00695B54">
          <w:rPr>
            <w:rStyle w:val="Lienhypertexte"/>
          </w:rPr>
          <w:t>https://insp.dz</w:t>
        </w:r>
      </w:hyperlink>
    </w:p>
    <w:p w14:paraId="570D94C4" w14:textId="77777777" w:rsidR="00695B54" w:rsidRPr="00695B54" w:rsidRDefault="00695B54" w:rsidP="005E09A1">
      <w:pPr>
        <w:numPr>
          <w:ilvl w:val="0"/>
          <w:numId w:val="111"/>
        </w:numPr>
        <w:tabs>
          <w:tab w:val="left" w:pos="3960"/>
        </w:tabs>
      </w:pPr>
      <w:r w:rsidRPr="00695B54">
        <w:t>CIRANO, https://www.cirano.qc.ca</w:t>
      </w:r>
    </w:p>
    <w:p w14:paraId="3F1105BC" w14:textId="77777777" w:rsidR="001A3CB6" w:rsidRDefault="001A3CB6" w:rsidP="00B7491C">
      <w:pPr>
        <w:tabs>
          <w:tab w:val="left" w:pos="3960"/>
        </w:tabs>
      </w:pPr>
    </w:p>
    <w:p w14:paraId="0B15D1AB" w14:textId="77777777" w:rsidR="001A3CB6" w:rsidRDefault="001A3CB6" w:rsidP="00B7491C">
      <w:pPr>
        <w:tabs>
          <w:tab w:val="left" w:pos="3960"/>
        </w:tabs>
      </w:pPr>
    </w:p>
    <w:p w14:paraId="5F1954D3" w14:textId="77777777" w:rsidR="001A3CB6" w:rsidRDefault="001A3CB6" w:rsidP="00B7491C">
      <w:pPr>
        <w:tabs>
          <w:tab w:val="left" w:pos="3960"/>
        </w:tabs>
      </w:pPr>
    </w:p>
    <w:p w14:paraId="69D81C55" w14:textId="77777777" w:rsidR="001A3CB6" w:rsidRDefault="001A3CB6" w:rsidP="00B7491C">
      <w:pPr>
        <w:tabs>
          <w:tab w:val="left" w:pos="3960"/>
        </w:tabs>
      </w:pPr>
    </w:p>
    <w:p w14:paraId="22C3E87C" w14:textId="77777777" w:rsidR="001A3CB6" w:rsidRDefault="001A3CB6" w:rsidP="00B7491C">
      <w:pPr>
        <w:tabs>
          <w:tab w:val="left" w:pos="3960"/>
        </w:tabs>
      </w:pPr>
    </w:p>
    <w:p w14:paraId="50BA9D56" w14:textId="77777777" w:rsidR="001A3CB6" w:rsidRDefault="001A3CB6" w:rsidP="00B7491C">
      <w:pPr>
        <w:tabs>
          <w:tab w:val="left" w:pos="3960"/>
        </w:tabs>
      </w:pPr>
    </w:p>
    <w:p w14:paraId="2232C03D" w14:textId="77777777" w:rsidR="001A3CB6" w:rsidRDefault="001A3CB6" w:rsidP="00B7491C">
      <w:pPr>
        <w:tabs>
          <w:tab w:val="left" w:pos="3960"/>
        </w:tabs>
      </w:pPr>
    </w:p>
    <w:p w14:paraId="1005AF64" w14:textId="77777777" w:rsidR="001A3CB6" w:rsidRDefault="001A3CB6" w:rsidP="00B7491C">
      <w:pPr>
        <w:tabs>
          <w:tab w:val="left" w:pos="3960"/>
        </w:tabs>
      </w:pPr>
    </w:p>
    <w:p w14:paraId="452650E4" w14:textId="77777777" w:rsidR="001A3CB6" w:rsidRDefault="001A3CB6" w:rsidP="00B7491C">
      <w:pPr>
        <w:tabs>
          <w:tab w:val="left" w:pos="3960"/>
        </w:tabs>
      </w:pPr>
    </w:p>
    <w:p w14:paraId="69FA1231" w14:textId="77777777" w:rsidR="001A3CB6" w:rsidRDefault="001A3CB6" w:rsidP="00B7491C">
      <w:pPr>
        <w:tabs>
          <w:tab w:val="left" w:pos="3960"/>
        </w:tabs>
      </w:pPr>
    </w:p>
    <w:p w14:paraId="3998DA10" w14:textId="77777777" w:rsidR="001A3CB6" w:rsidRDefault="001A3CB6" w:rsidP="00B7491C">
      <w:pPr>
        <w:tabs>
          <w:tab w:val="left" w:pos="3960"/>
        </w:tabs>
      </w:pPr>
    </w:p>
    <w:p w14:paraId="37F25FBF" w14:textId="77777777" w:rsidR="001A3CB6" w:rsidRDefault="001A3CB6" w:rsidP="00B7491C">
      <w:pPr>
        <w:tabs>
          <w:tab w:val="left" w:pos="3960"/>
        </w:tabs>
      </w:pPr>
    </w:p>
    <w:p w14:paraId="684FE43F" w14:textId="77777777" w:rsidR="001A3CB6" w:rsidRDefault="001A3CB6" w:rsidP="00B7491C">
      <w:pPr>
        <w:tabs>
          <w:tab w:val="left" w:pos="3960"/>
        </w:tabs>
      </w:pPr>
    </w:p>
    <w:p w14:paraId="5BF43820" w14:textId="77777777" w:rsidR="001A3CB6" w:rsidRDefault="001A3CB6" w:rsidP="00B7491C">
      <w:pPr>
        <w:tabs>
          <w:tab w:val="left" w:pos="3960"/>
        </w:tabs>
      </w:pPr>
    </w:p>
    <w:p w14:paraId="431A0B67" w14:textId="77777777" w:rsidR="000A2178" w:rsidRDefault="000A2178" w:rsidP="00B7491C">
      <w:pPr>
        <w:tabs>
          <w:tab w:val="left" w:pos="3960"/>
        </w:tabs>
      </w:pPr>
    </w:p>
    <w:p w14:paraId="593437D9" w14:textId="77777777" w:rsidR="001A3CB6" w:rsidRDefault="001A3CB6" w:rsidP="00B7491C">
      <w:pPr>
        <w:tabs>
          <w:tab w:val="left" w:pos="3960"/>
        </w:tabs>
      </w:pPr>
    </w:p>
    <w:p w14:paraId="434F59F9" w14:textId="77777777" w:rsidR="001A3CB6" w:rsidRDefault="001A3CB6" w:rsidP="00B7491C">
      <w:pPr>
        <w:tabs>
          <w:tab w:val="left" w:pos="3960"/>
        </w:tabs>
      </w:pPr>
      <w:r>
        <w:rPr>
          <w:b/>
          <w:bCs/>
          <w:noProof/>
          <w:sz w:val="48"/>
          <w:szCs w:val="48"/>
          <w:u w:val="single"/>
          <w:lang w:eastAsia="fr-FR"/>
        </w:rPr>
        <mc:AlternateContent>
          <mc:Choice Requires="wps">
            <w:drawing>
              <wp:anchor distT="0" distB="0" distL="114300" distR="114300" simplePos="0" relativeHeight="251777024" behindDoc="0" locked="0" layoutInCell="1" allowOverlap="1" wp14:anchorId="7999A9D0" wp14:editId="17148CCC">
                <wp:simplePos x="0" y="0"/>
                <wp:positionH relativeFrom="margin">
                  <wp:posOffset>0</wp:posOffset>
                </wp:positionH>
                <wp:positionV relativeFrom="paragraph">
                  <wp:posOffset>-635</wp:posOffset>
                </wp:positionV>
                <wp:extent cx="5600700" cy="3743325"/>
                <wp:effectExtent l="0" t="0" r="19050" b="28575"/>
                <wp:wrapNone/>
                <wp:docPr id="209" name="Parchemin horizontal 209"/>
                <wp:cNvGraphicFramePr/>
                <a:graphic xmlns:a="http://schemas.openxmlformats.org/drawingml/2006/main">
                  <a:graphicData uri="http://schemas.microsoft.com/office/word/2010/wordprocessingShape">
                    <wps:wsp>
                      <wps:cNvSpPr/>
                      <wps:spPr>
                        <a:xfrm>
                          <a:off x="0" y="0"/>
                          <a:ext cx="5600700" cy="374332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2ABD9CC6" w14:textId="77777777" w:rsidR="0095621A" w:rsidRPr="00D11D21" w:rsidRDefault="0095621A" w:rsidP="00CD160A">
                            <w:pPr>
                              <w:pStyle w:val="Titre"/>
                              <w:rPr>
                                <w:sz w:val="60"/>
                                <w:szCs w:val="60"/>
                              </w:rPr>
                            </w:pPr>
                            <w:r w:rsidRPr="00D11D21">
                              <w:rPr>
                                <w:sz w:val="60"/>
                                <w:szCs w:val="60"/>
                              </w:rPr>
                              <w:t>Table des matières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999A9D0" id="Parchemin horizontal 209" o:spid="_x0000_s1083" type="#_x0000_t98" style="position:absolute;margin-left:0;margin-top:-.05pt;width:441pt;height:294.75pt;z-index:25177702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" fillcolor="#c3c3c3 [2166]" strokecolor="#a5a5a5 [3206]" strokeweight=".5pt">
                <v:fill color2="#b6b6b6 [2614]" rotate="t" colors="0 #d2d2d2;.5 #c8c8c8;1 silver" focus="100%" type="gradient">
                  <o:fill v:ext="view" type="gradientUnscaled"/>
                </v:fill>
                <v:stroke joinstyle="miter"/>
                <v:textbox>
                  <w:txbxContent>
                    <w:p w14:paraId="2ABD9CC6" w14:textId="77777777" w:rsidR="0095621A" w:rsidRPr="00D11D21" w:rsidRDefault="0095621A" w:rsidP="00CD160A">
                      <w:pPr>
                        <w:pStyle w:val="Titre"/>
                        <w:rPr>
                          <w:sz w:val="60"/>
                          <w:szCs w:val="60"/>
                        </w:rPr>
                      </w:pPr>
                      <w:r w:rsidRPr="00D11D21">
                        <w:rPr>
                          <w:sz w:val="60"/>
                          <w:szCs w:val="60"/>
                        </w:rPr>
                        <w:t>Table des matières</w:t>
                      </w:r>
                    </w:p>
                  </w:txbxContent>
                </v:textbox>
                <w10:wrap anchorx="margin"/>
              </v:shape>
            </w:pict>
          </mc:Fallback>
        </mc:AlternateContent>
      </w:r>
    </w:p>
    <w:p w14:paraId="47341598" w14:textId="77777777" w:rsidR="001A3CB6" w:rsidRPr="00581785" w:rsidRDefault="001A3CB6" w:rsidP="00B7491C"/>
    <w:p w14:paraId="342D54DE" w14:textId="77777777" w:rsidR="001A3CB6" w:rsidRPr="00581785" w:rsidRDefault="001A3CB6" w:rsidP="00B7491C"/>
    <w:p w14:paraId="4A1D8AA9" w14:textId="77777777" w:rsidR="001A3CB6" w:rsidRPr="00581785" w:rsidRDefault="001A3CB6" w:rsidP="00B7491C"/>
    <w:p w14:paraId="6A5D5035" w14:textId="77777777" w:rsidR="001A3CB6" w:rsidRPr="00581785" w:rsidRDefault="001A3CB6" w:rsidP="00B7491C"/>
    <w:p w14:paraId="18DAE0CA" w14:textId="77777777" w:rsidR="001A3CB6" w:rsidRPr="00581785" w:rsidRDefault="001A3CB6" w:rsidP="00B7491C"/>
    <w:p w14:paraId="1FEE6F90" w14:textId="77777777" w:rsidR="001A3CB6" w:rsidRPr="00581785" w:rsidRDefault="001A3CB6" w:rsidP="00B7491C"/>
    <w:p w14:paraId="193ABA69" w14:textId="77777777" w:rsidR="001A3CB6" w:rsidRPr="00581785" w:rsidRDefault="001A3CB6" w:rsidP="00B7491C"/>
    <w:p w14:paraId="7D0E127A" w14:textId="77777777" w:rsidR="001A3CB6" w:rsidRPr="00581785" w:rsidRDefault="001A3CB6" w:rsidP="00B7491C"/>
    <w:p w14:paraId="1FE7C556" w14:textId="77777777" w:rsidR="001A3CB6" w:rsidRPr="00581785" w:rsidRDefault="001A3CB6" w:rsidP="00B7491C"/>
    <w:p w14:paraId="198A4731" w14:textId="77777777" w:rsidR="001A3CB6" w:rsidRPr="00581785" w:rsidRDefault="001A3CB6" w:rsidP="00B7491C"/>
    <w:p w14:paraId="68D9D932" w14:textId="77777777" w:rsidR="001A3CB6" w:rsidRPr="00581785" w:rsidRDefault="001A3CB6" w:rsidP="00B7491C"/>
    <w:p w14:paraId="086E4E6D" w14:textId="77777777" w:rsidR="001A3CB6" w:rsidRPr="00581785" w:rsidRDefault="001A3CB6" w:rsidP="00B7491C"/>
    <w:p w14:paraId="0AC3575C" w14:textId="77777777" w:rsidR="001A3CB6" w:rsidRDefault="001A3CB6" w:rsidP="00B7491C"/>
    <w:p w14:paraId="02FB1AE6" w14:textId="77777777" w:rsidR="001A3CB6" w:rsidRDefault="001A3CB6" w:rsidP="00B7491C">
      <w:pPr>
        <w:tabs>
          <w:tab w:val="left" w:pos="3945"/>
        </w:tabs>
      </w:pPr>
      <w:r>
        <w:tab/>
      </w:r>
    </w:p>
    <w:p w14:paraId="76439F0D" w14:textId="77777777" w:rsidR="001A3CB6" w:rsidRDefault="001A3CB6" w:rsidP="00B7491C">
      <w:pPr>
        <w:tabs>
          <w:tab w:val="left" w:pos="3945"/>
        </w:tabs>
      </w:pPr>
    </w:p>
    <w:p w14:paraId="1B39AA17" w14:textId="77777777" w:rsidR="001A3CB6" w:rsidRDefault="001A3CB6" w:rsidP="00B7491C">
      <w:pPr>
        <w:tabs>
          <w:tab w:val="left" w:pos="3945"/>
        </w:tabs>
      </w:pPr>
    </w:p>
    <w:p w14:paraId="0E3F0236" w14:textId="77777777" w:rsidR="001A3CB6" w:rsidRDefault="001A3CB6" w:rsidP="00B7491C">
      <w:pPr>
        <w:tabs>
          <w:tab w:val="left" w:pos="3945"/>
        </w:tabs>
      </w:pPr>
    </w:p>
    <w:p w14:paraId="22447A88" w14:textId="77777777" w:rsidR="001A3CB6" w:rsidRDefault="001A3CB6" w:rsidP="00B7491C">
      <w:pPr>
        <w:tabs>
          <w:tab w:val="left" w:pos="3945"/>
        </w:tabs>
      </w:pPr>
    </w:p>
    <w:p w14:paraId="7832F495" w14:textId="5B2AD969" w:rsidR="001A3CB6" w:rsidRDefault="00794B80" w:rsidP="00B7491C">
      <w:pPr>
        <w:tabs>
          <w:tab w:val="left" w:pos="3945"/>
        </w:tabs>
      </w:pPr>
      <w:r>
        <w:br w:type="page"/>
      </w:r>
    </w:p>
    <w:sdt>
      <w:sdtPr>
        <w:rPr>
          <w:rFonts w:ascii="Times New Roman" w:eastAsiaTheme="minorHAnsi" w:hAnsi="Times New Roman" w:cstheme="minorBidi"/>
          <w:color w:val="auto"/>
          <w:sz w:val="24"/>
          <w:szCs w:val="22"/>
          <w:lang w:eastAsia="en-US"/>
        </w:rPr>
        <w:id w:val="872191815"/>
        <w:docPartObj>
          <w:docPartGallery w:val="Table of Contents"/>
          <w:docPartUnique/>
        </w:docPartObj>
      </w:sdtPr>
      <w:sdtEndPr>
        <w:rPr>
          <w:rFonts w:cs="Times New Roman"/>
          <w:b/>
          <w:bCs/>
          <w:szCs w:val="24"/>
        </w:rPr>
      </w:sdtEndPr>
      <w:sdtContent>
        <w:p w14:paraId="2E9AD93A" w14:textId="59303C53" w:rsidR="004321CD" w:rsidRPr="00794B80" w:rsidRDefault="004321CD" w:rsidP="0077376F">
          <w:pPr>
            <w:pStyle w:val="En-ttedetabledesmatires"/>
            <w:rPr>
              <w:rFonts w:ascii="Times New Roman" w:hAnsi="Times New Roman" w:cs="Times New Roman"/>
              <w:b/>
              <w:bCs/>
              <w:color w:val="000000" w:themeColor="text1"/>
            </w:rPr>
          </w:pPr>
          <w:r w:rsidRPr="00794B80">
            <w:rPr>
              <w:rFonts w:ascii="Times New Roman" w:hAnsi="Times New Roman" w:cs="Times New Roman"/>
              <w:b/>
              <w:bCs/>
              <w:color w:val="000000" w:themeColor="text1"/>
            </w:rPr>
            <w:t>Table des matières</w:t>
          </w:r>
        </w:p>
        <w:p w14:paraId="08E1CB6C" w14:textId="5BE766EF" w:rsidR="00A91DFF" w:rsidRPr="00794B80" w:rsidRDefault="004321CD">
          <w:pPr>
            <w:pStyle w:val="TM1"/>
            <w:tabs>
              <w:tab w:val="right" w:leader="dot" w:pos="9911"/>
            </w:tabs>
            <w:rPr>
              <w:rFonts w:eastAsiaTheme="minorEastAsia" w:cs="Times New Roman"/>
              <w:noProof/>
              <w:kern w:val="2"/>
              <w:szCs w:val="24"/>
              <w:lang w:eastAsia="fr-FR"/>
              <w14:ligatures w14:val="standardContextual"/>
            </w:rPr>
          </w:pPr>
          <w:r w:rsidRPr="00794B80">
            <w:rPr>
              <w:rFonts w:cs="Times New Roman"/>
              <w:szCs w:val="24"/>
            </w:rPr>
            <w:fldChar w:fldCharType="begin"/>
          </w:r>
          <w:r w:rsidRPr="00794B80">
            <w:rPr>
              <w:rFonts w:cs="Times New Roman"/>
              <w:szCs w:val="24"/>
            </w:rPr>
            <w:instrText xml:space="preserve"> TOC \o "1-3" \h \z \u </w:instrText>
          </w:r>
          <w:r w:rsidRPr="00794B80">
            <w:rPr>
              <w:rFonts w:cs="Times New Roman"/>
              <w:szCs w:val="24"/>
            </w:rPr>
            <w:fldChar w:fldCharType="separate"/>
          </w:r>
          <w:hyperlink w:anchor="_Toc199958792" w:history="1">
            <w:r w:rsidR="00A91DFF" w:rsidRPr="00794B80">
              <w:rPr>
                <w:rStyle w:val="Lienhypertexte"/>
                <w:rFonts w:cs="Times New Roman"/>
                <w:bCs/>
                <w:noProof/>
                <w:szCs w:val="24"/>
              </w:rPr>
              <w:t>Remerciements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w:t>
            </w:r>
            <w:r w:rsidR="00A91DFF" w:rsidRPr="00794B80">
              <w:rPr>
                <w:rFonts w:cs="Times New Roman"/>
                <w:noProof/>
                <w:webHidden/>
                <w:szCs w:val="24"/>
              </w:rPr>
              <w:fldChar w:fldCharType="end"/>
            </w:r>
          </w:hyperlink>
        </w:p>
        <w:p w14:paraId="59459725" w14:textId="26A69A05"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793" w:history="1">
            <w:r w:rsidR="00A91DFF" w:rsidRPr="00794B80">
              <w:rPr>
                <w:rStyle w:val="Lienhypertexte"/>
                <w:rFonts w:cs="Times New Roman"/>
                <w:bCs/>
                <w:noProof/>
                <w:szCs w:val="24"/>
              </w:rPr>
              <w:t>Dédicace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w:t>
            </w:r>
            <w:r w:rsidR="00A91DFF" w:rsidRPr="00794B80">
              <w:rPr>
                <w:rFonts w:cs="Times New Roman"/>
                <w:noProof/>
                <w:webHidden/>
                <w:szCs w:val="24"/>
              </w:rPr>
              <w:fldChar w:fldCharType="end"/>
            </w:r>
          </w:hyperlink>
        </w:p>
        <w:p w14:paraId="5DC44706" w14:textId="0C9E01FA"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794" w:history="1">
            <w:r w:rsidR="00A91DFF" w:rsidRPr="00794B80">
              <w:rPr>
                <w:rStyle w:val="Lienhypertexte"/>
                <w:rFonts w:cs="Times New Roman"/>
                <w:bCs/>
                <w:noProof/>
                <w:szCs w:val="24"/>
              </w:rPr>
              <w:t>Dédicace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w:t>
            </w:r>
            <w:r w:rsidR="00A91DFF" w:rsidRPr="00794B80">
              <w:rPr>
                <w:rFonts w:cs="Times New Roman"/>
                <w:noProof/>
                <w:webHidden/>
                <w:szCs w:val="24"/>
              </w:rPr>
              <w:fldChar w:fldCharType="end"/>
            </w:r>
          </w:hyperlink>
        </w:p>
        <w:p w14:paraId="4DE59030" w14:textId="5B828DDF"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795" w:history="1">
            <w:r w:rsidR="00A91DFF" w:rsidRPr="00794B80">
              <w:rPr>
                <w:rStyle w:val="Lienhypertexte"/>
                <w:rFonts w:cs="Times New Roman"/>
                <w:bCs/>
                <w:noProof/>
                <w:szCs w:val="24"/>
              </w:rPr>
              <w:t>Sommaire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w:t>
            </w:r>
            <w:r w:rsidR="00A91DFF" w:rsidRPr="00794B80">
              <w:rPr>
                <w:rFonts w:cs="Times New Roman"/>
                <w:noProof/>
                <w:webHidden/>
                <w:szCs w:val="24"/>
              </w:rPr>
              <w:fldChar w:fldCharType="end"/>
            </w:r>
          </w:hyperlink>
        </w:p>
        <w:p w14:paraId="7AD96790" w14:textId="6B7BA969"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796" w:history="1">
            <w:r w:rsidR="00A91DFF" w:rsidRPr="00794B80">
              <w:rPr>
                <w:rStyle w:val="Lienhypertexte"/>
                <w:rFonts w:cs="Times New Roman"/>
                <w:bCs/>
                <w:noProof/>
                <w:szCs w:val="24"/>
              </w:rPr>
              <w:t>Liste des figures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w:t>
            </w:r>
            <w:r w:rsidR="00A91DFF" w:rsidRPr="00794B80">
              <w:rPr>
                <w:rFonts w:cs="Times New Roman"/>
                <w:noProof/>
                <w:webHidden/>
                <w:szCs w:val="24"/>
              </w:rPr>
              <w:fldChar w:fldCharType="end"/>
            </w:r>
          </w:hyperlink>
        </w:p>
        <w:p w14:paraId="0166EF42" w14:textId="7E935FE0"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797" w:history="1">
            <w:r w:rsidR="00A91DFF" w:rsidRPr="00794B80">
              <w:rPr>
                <w:rStyle w:val="Lienhypertexte"/>
                <w:rFonts w:cs="Times New Roman"/>
                <w:bCs/>
                <w:noProof/>
                <w:szCs w:val="24"/>
              </w:rPr>
              <w:t>Liste des tableaux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w:t>
            </w:r>
            <w:r w:rsidR="00A91DFF" w:rsidRPr="00794B80">
              <w:rPr>
                <w:rFonts w:cs="Times New Roman"/>
                <w:noProof/>
                <w:webHidden/>
                <w:szCs w:val="24"/>
              </w:rPr>
              <w:fldChar w:fldCharType="end"/>
            </w:r>
          </w:hyperlink>
        </w:p>
        <w:p w14:paraId="64F578D6" w14:textId="711BD70F"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798" w:history="1">
            <w:r w:rsidR="00A91DFF" w:rsidRPr="00794B80">
              <w:rPr>
                <w:rStyle w:val="Lienhypertexte"/>
                <w:rFonts w:cs="Times New Roman"/>
                <w:bCs/>
                <w:noProof/>
                <w:szCs w:val="24"/>
              </w:rPr>
              <w:t>Liste des abréviations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8</w:t>
            </w:r>
            <w:r w:rsidR="00A91DFF" w:rsidRPr="00794B80">
              <w:rPr>
                <w:rFonts w:cs="Times New Roman"/>
                <w:noProof/>
                <w:webHidden/>
                <w:szCs w:val="24"/>
              </w:rPr>
              <w:fldChar w:fldCharType="end"/>
            </w:r>
          </w:hyperlink>
        </w:p>
        <w:p w14:paraId="38299CFC" w14:textId="01D54723" w:rsidR="00A91DFF" w:rsidRPr="00794B80" w:rsidRDefault="0095621A">
          <w:pPr>
            <w:pStyle w:val="TM1"/>
            <w:tabs>
              <w:tab w:val="right" w:leader="dot" w:pos="9911"/>
            </w:tabs>
            <w:rPr>
              <w:rStyle w:val="Lienhypertexte"/>
              <w:rFonts w:cs="Times New Roman"/>
              <w:noProof/>
              <w:szCs w:val="24"/>
            </w:rPr>
          </w:pPr>
          <w:hyperlink w:anchor="_Toc199958799" w:history="1">
            <w:r w:rsidR="00A91DFF" w:rsidRPr="00794B80">
              <w:rPr>
                <w:rStyle w:val="Lienhypertexte"/>
                <w:rFonts w:cs="Times New Roman"/>
                <w:noProof/>
                <w:szCs w:val="24"/>
              </w:rPr>
              <w:t>Introduction générale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_Toc199958799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w:t>
            </w:r>
            <w:r w:rsidR="00A91DFF" w:rsidRPr="00794B80">
              <w:rPr>
                <w:rFonts w:cs="Times New Roman"/>
                <w:noProof/>
                <w:webHidden/>
                <w:szCs w:val="24"/>
              </w:rPr>
              <w:fldChar w:fldCharType="end"/>
            </w:r>
          </w:hyperlink>
        </w:p>
        <w:p w14:paraId="313FC27A" w14:textId="26C1F44A" w:rsidR="000A0E3A" w:rsidRPr="00794B80" w:rsidRDefault="000A0E3A" w:rsidP="000A0E3A">
          <w:pPr>
            <w:rPr>
              <w:rFonts w:cs="Times New Roman"/>
              <w:noProof/>
              <w:szCs w:val="24"/>
            </w:rPr>
          </w:pPr>
          <w:r w:rsidRPr="00794B80">
            <w:rPr>
              <w:rFonts w:cs="Times New Roman"/>
              <w:noProof/>
              <w:szCs w:val="24"/>
            </w:rPr>
            <w:t>Chapitre 1 : Les Systèmes d'Information en Santé et leur Rôle dans le Financement des Établissements de Santé</w:t>
          </w:r>
        </w:p>
        <w:p w14:paraId="2F783C6D" w14:textId="333C409A"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00" w:history="1">
            <w:r w:rsidR="00A91DFF" w:rsidRPr="00794B80">
              <w:rPr>
                <w:rStyle w:val="Lienhypertexte"/>
                <w:rFonts w:cs="Times New Roman"/>
                <w:noProof/>
                <w:szCs w:val="24"/>
              </w:rPr>
              <w:t>Introduction</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w:t>
            </w:r>
            <w:r w:rsidR="00A91DFF" w:rsidRPr="00794B80">
              <w:rPr>
                <w:rFonts w:cs="Times New Roman"/>
                <w:noProof/>
                <w:webHidden/>
                <w:szCs w:val="24"/>
              </w:rPr>
              <w:fldChar w:fldCharType="end"/>
            </w:r>
          </w:hyperlink>
        </w:p>
        <w:p w14:paraId="32B2E303" w14:textId="546B66EC"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01" w:history="1">
            <w:r w:rsidR="00A91DFF" w:rsidRPr="00794B80">
              <w:rPr>
                <w:rStyle w:val="Lienhypertexte"/>
                <w:rFonts w:cs="Times New Roman"/>
                <w:noProof/>
                <w:szCs w:val="24"/>
              </w:rPr>
              <w:t>Section1 : Notions fondamentales et théoriques sur les Systèmes d’Information (SI)</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w:t>
            </w:r>
            <w:r w:rsidR="00A91DFF" w:rsidRPr="00794B80">
              <w:rPr>
                <w:rFonts w:cs="Times New Roman"/>
                <w:noProof/>
                <w:webHidden/>
                <w:szCs w:val="24"/>
              </w:rPr>
              <w:fldChar w:fldCharType="end"/>
            </w:r>
          </w:hyperlink>
        </w:p>
        <w:p w14:paraId="13BBB386" w14:textId="6000EB6F"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02"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Introduction aux Systèmes d’Information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w:t>
            </w:r>
            <w:r w:rsidR="00A91DFF" w:rsidRPr="00794B80">
              <w:rPr>
                <w:rFonts w:cs="Times New Roman"/>
                <w:noProof/>
                <w:webHidden/>
                <w:szCs w:val="24"/>
              </w:rPr>
              <w:fldChar w:fldCharType="end"/>
            </w:r>
          </w:hyperlink>
        </w:p>
        <w:p w14:paraId="22E2CF75" w14:textId="42C319ED"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03"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Définition des Systèmes d'Information (SI)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w:t>
            </w:r>
            <w:r w:rsidR="00A91DFF" w:rsidRPr="00794B80">
              <w:rPr>
                <w:rFonts w:cs="Times New Roman"/>
                <w:noProof/>
                <w:webHidden/>
                <w:szCs w:val="24"/>
              </w:rPr>
              <w:fldChar w:fldCharType="end"/>
            </w:r>
          </w:hyperlink>
        </w:p>
        <w:p w14:paraId="723D82AF" w14:textId="64A06884"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04"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Composantes d'un Système d'Information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w:t>
            </w:r>
            <w:r w:rsidR="00A91DFF" w:rsidRPr="00794B80">
              <w:rPr>
                <w:rFonts w:cs="Times New Roman"/>
                <w:noProof/>
                <w:webHidden/>
                <w:szCs w:val="24"/>
              </w:rPr>
              <w:fldChar w:fldCharType="end"/>
            </w:r>
          </w:hyperlink>
        </w:p>
        <w:p w14:paraId="3CCB62D8" w14:textId="0EAB6D4E"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05" w:history="1">
            <w:r w:rsidR="00A91DFF" w:rsidRPr="00794B80">
              <w:rPr>
                <w:rStyle w:val="Lienhypertexte"/>
                <w:rFonts w:cs="Times New Roman"/>
                <w:noProof/>
                <w:szCs w:val="24"/>
              </w:rPr>
              <w:t>1.3.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activités principales du système d'information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w:t>
            </w:r>
            <w:r w:rsidR="00A91DFF" w:rsidRPr="00794B80">
              <w:rPr>
                <w:rFonts w:cs="Times New Roman"/>
                <w:noProof/>
                <w:webHidden/>
                <w:szCs w:val="24"/>
              </w:rPr>
              <w:fldChar w:fldCharType="end"/>
            </w:r>
          </w:hyperlink>
        </w:p>
        <w:p w14:paraId="619BC844" w14:textId="7C1CD2AA"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06"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Définitions de systèmes d'information santé SIS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8</w:t>
            </w:r>
            <w:r w:rsidR="00A91DFF" w:rsidRPr="00794B80">
              <w:rPr>
                <w:rFonts w:cs="Times New Roman"/>
                <w:noProof/>
                <w:webHidden/>
                <w:szCs w:val="24"/>
              </w:rPr>
              <w:fldChar w:fldCharType="end"/>
            </w:r>
          </w:hyperlink>
        </w:p>
        <w:p w14:paraId="305EC3B4" w14:textId="66EA82F1"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07"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Objectifs du SIS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9</w:t>
            </w:r>
            <w:r w:rsidR="00A91DFF" w:rsidRPr="00794B80">
              <w:rPr>
                <w:rFonts w:cs="Times New Roman"/>
                <w:noProof/>
                <w:webHidden/>
                <w:szCs w:val="24"/>
              </w:rPr>
              <w:fldChar w:fldCharType="end"/>
            </w:r>
          </w:hyperlink>
        </w:p>
        <w:p w14:paraId="3E86928D" w14:textId="6F61F308"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08" w:history="1">
            <w:r w:rsidR="00A91DFF" w:rsidRPr="00794B80">
              <w:rPr>
                <w:rStyle w:val="Lienhypertexte"/>
                <w:rFonts w:cs="Times New Roman"/>
                <w:noProof/>
                <w:szCs w:val="24"/>
              </w:rPr>
              <w:t>Section2 : Le Système d’Information Hospitalier (SIH)</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9</w:t>
            </w:r>
            <w:r w:rsidR="00A91DFF" w:rsidRPr="00794B80">
              <w:rPr>
                <w:rFonts w:cs="Times New Roman"/>
                <w:noProof/>
                <w:webHidden/>
                <w:szCs w:val="24"/>
              </w:rPr>
              <w:fldChar w:fldCharType="end"/>
            </w:r>
          </w:hyperlink>
        </w:p>
        <w:p w14:paraId="4BB113F9" w14:textId="5C374E0C"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09"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Historique du Système d’Information Hospitalier (SIH)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_Toc199958809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10</w:t>
            </w:r>
            <w:r w:rsidR="00A91DFF" w:rsidRPr="00794B80">
              <w:rPr>
                <w:rFonts w:cs="Times New Roman"/>
                <w:noProof/>
                <w:webHidden/>
                <w:szCs w:val="24"/>
              </w:rPr>
              <w:fldChar w:fldCharType="end"/>
            </w:r>
          </w:hyperlink>
        </w:p>
        <w:p w14:paraId="63580EBF" w14:textId="4A1365D9"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10"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Définitions du Système d’Information Hospitalier (SIH)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11</w:t>
            </w:r>
            <w:r w:rsidR="00A91DFF" w:rsidRPr="00794B80">
              <w:rPr>
                <w:rFonts w:cs="Times New Roman"/>
                <w:noProof/>
                <w:webHidden/>
                <w:szCs w:val="24"/>
              </w:rPr>
              <w:fldChar w:fldCharType="end"/>
            </w:r>
          </w:hyperlink>
        </w:p>
        <w:p w14:paraId="443AA6AE" w14:textId="1846CDAB"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11"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Objectif du Système d’Information Hospitalier (SIH)</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11</w:t>
            </w:r>
            <w:r w:rsidR="00A91DFF" w:rsidRPr="00794B80">
              <w:rPr>
                <w:rFonts w:cs="Times New Roman"/>
                <w:noProof/>
                <w:webHidden/>
                <w:szCs w:val="24"/>
              </w:rPr>
              <w:fldChar w:fldCharType="end"/>
            </w:r>
          </w:hyperlink>
        </w:p>
        <w:p w14:paraId="19192D44" w14:textId="4BEAA9DA"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12" w:history="1">
            <w:r w:rsidR="00A91DFF" w:rsidRPr="00794B80">
              <w:rPr>
                <w:rStyle w:val="Lienhypertexte"/>
                <w:rFonts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composantes d’un Système d’Information Hospitalier (SIH)</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w:t>
            </w:r>
            <w:r w:rsidR="00A91DFF" w:rsidRPr="00794B80">
              <w:rPr>
                <w:rFonts w:cs="Times New Roman"/>
                <w:noProof/>
                <w:webHidden/>
                <w:szCs w:val="24"/>
              </w:rPr>
              <w:fldChar w:fldCharType="end"/>
            </w:r>
          </w:hyperlink>
        </w:p>
        <w:p w14:paraId="75EA4B30" w14:textId="02F1F565" w:rsidR="00A91DFF" w:rsidRPr="00794B80" w:rsidRDefault="0095621A">
          <w:pPr>
            <w:pStyle w:val="TM3"/>
            <w:tabs>
              <w:tab w:val="right" w:leader="dot" w:pos="9911"/>
            </w:tabs>
            <w:rPr>
              <w:rFonts w:eastAsiaTheme="minorEastAsia" w:cs="Times New Roman"/>
              <w:noProof/>
              <w:kern w:val="2"/>
              <w:szCs w:val="24"/>
              <w:lang w:eastAsia="fr-FR"/>
              <w14:ligatures w14:val="standardContextual"/>
            </w:rPr>
          </w:pPr>
          <w:hyperlink w:anchor="_Toc199958813" w:history="1">
            <w:r w:rsidR="00A91DFF" w:rsidRPr="00794B80">
              <w:rPr>
                <w:rStyle w:val="Lienhypertexte"/>
                <w:rFonts w:cs="Times New Roman"/>
                <w:noProof/>
                <w:szCs w:val="24"/>
              </w:rPr>
              <w:t>4Le système administratif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13</w:t>
            </w:r>
            <w:r w:rsidR="00A91DFF" w:rsidRPr="00794B80">
              <w:rPr>
                <w:rFonts w:cs="Times New Roman"/>
                <w:noProof/>
                <w:webHidden/>
                <w:szCs w:val="24"/>
              </w:rPr>
              <w:fldChar w:fldCharType="end"/>
            </w:r>
          </w:hyperlink>
        </w:p>
        <w:p w14:paraId="38536733" w14:textId="2EDBF2B9"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14" w:history="1">
            <w:r w:rsidR="00A91DFF" w:rsidRPr="00794B80">
              <w:rPr>
                <w:rStyle w:val="Lienhypertexte"/>
                <w:rFonts w:cs="Times New Roman"/>
                <w:noProof/>
                <w:szCs w:val="24"/>
              </w:rPr>
              <w:t>3.1.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système logistique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13</w:t>
            </w:r>
            <w:r w:rsidR="00A91DFF" w:rsidRPr="00794B80">
              <w:rPr>
                <w:rFonts w:cs="Times New Roman"/>
                <w:noProof/>
                <w:webHidden/>
                <w:szCs w:val="24"/>
              </w:rPr>
              <w:fldChar w:fldCharType="end"/>
            </w:r>
          </w:hyperlink>
        </w:p>
        <w:p w14:paraId="72AAE59E" w14:textId="0BBD6049"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15" w:history="1">
            <w:r w:rsidR="00A91DFF" w:rsidRPr="00794B80">
              <w:rPr>
                <w:rStyle w:val="Lienhypertexte"/>
                <w:rFonts w:cs="Times New Roman"/>
                <w:noProof/>
                <w:szCs w:val="24"/>
              </w:rPr>
              <w:t>3.2.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système d’information médico-techniques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13</w:t>
            </w:r>
            <w:r w:rsidR="00A91DFF" w:rsidRPr="00794B80">
              <w:rPr>
                <w:rFonts w:cs="Times New Roman"/>
                <w:noProof/>
                <w:webHidden/>
                <w:szCs w:val="24"/>
              </w:rPr>
              <w:fldChar w:fldCharType="end"/>
            </w:r>
          </w:hyperlink>
        </w:p>
        <w:p w14:paraId="2137D34A" w14:textId="36357EF4"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16" w:history="1">
            <w:r w:rsidR="00A91DFF" w:rsidRPr="00794B80">
              <w:rPr>
                <w:rStyle w:val="Lienhypertexte"/>
                <w:rFonts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Fonctionnalités Clés d’un Système d’Information Hospitalier (SIH)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14</w:t>
            </w:r>
            <w:r w:rsidR="00A91DFF" w:rsidRPr="00794B80">
              <w:rPr>
                <w:rFonts w:cs="Times New Roman"/>
                <w:noProof/>
                <w:webHidden/>
                <w:szCs w:val="24"/>
              </w:rPr>
              <w:fldChar w:fldCharType="end"/>
            </w:r>
          </w:hyperlink>
        </w:p>
        <w:p w14:paraId="75B17F24" w14:textId="61BFF36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18" w:history="1">
            <w:r w:rsidR="00A91DFF" w:rsidRPr="00794B80">
              <w:rPr>
                <w:rStyle w:val="Lienhypertexte"/>
                <w:rFonts w:cs="Times New Roman"/>
                <w:noProof/>
                <w:szCs w:val="24"/>
              </w:rPr>
              <w:t>4.1.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Gestion des Dossiers Patients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14</w:t>
            </w:r>
            <w:r w:rsidR="00A91DFF" w:rsidRPr="00794B80">
              <w:rPr>
                <w:rFonts w:cs="Times New Roman"/>
                <w:noProof/>
                <w:webHidden/>
                <w:szCs w:val="24"/>
              </w:rPr>
              <w:fldChar w:fldCharType="end"/>
            </w:r>
          </w:hyperlink>
        </w:p>
        <w:p w14:paraId="3567904C" w14:textId="2758B16C"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19" w:history="1">
            <w:r w:rsidR="00A91DFF" w:rsidRPr="00794B80">
              <w:rPr>
                <w:rStyle w:val="Lienhypertexte"/>
                <w:rFonts w:cs="Times New Roman"/>
                <w:noProof/>
                <w:szCs w:val="24"/>
              </w:rPr>
              <w:t>4.2.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Gestion des Ressources Hospitalières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_Toc199958819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15</w:t>
            </w:r>
            <w:r w:rsidR="00A91DFF" w:rsidRPr="00794B80">
              <w:rPr>
                <w:rFonts w:cs="Times New Roman"/>
                <w:noProof/>
                <w:webHidden/>
                <w:szCs w:val="24"/>
              </w:rPr>
              <w:fldChar w:fldCharType="end"/>
            </w:r>
          </w:hyperlink>
        </w:p>
        <w:p w14:paraId="61179623" w14:textId="08755D7A"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20" w:history="1">
            <w:r w:rsidR="00A91DFF" w:rsidRPr="00794B80">
              <w:rPr>
                <w:rStyle w:val="Lienhypertexte"/>
                <w:rFonts w:cs="Times New Roman"/>
                <w:noProof/>
                <w:szCs w:val="24"/>
              </w:rPr>
              <w:t>4.3.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Support à la Décision Clinique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15</w:t>
            </w:r>
            <w:r w:rsidR="00A91DFF" w:rsidRPr="00794B80">
              <w:rPr>
                <w:rFonts w:cs="Times New Roman"/>
                <w:noProof/>
                <w:webHidden/>
                <w:szCs w:val="24"/>
              </w:rPr>
              <w:fldChar w:fldCharType="end"/>
            </w:r>
          </w:hyperlink>
        </w:p>
        <w:p w14:paraId="60E7B772" w14:textId="73B883CE"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21" w:history="1">
            <w:r w:rsidR="00A91DFF" w:rsidRPr="00794B80">
              <w:rPr>
                <w:rStyle w:val="Lienhypertexte"/>
                <w:rFonts w:cs="Times New Roman"/>
                <w:noProof/>
                <w:szCs w:val="24"/>
              </w:rPr>
              <w:t>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facteurs favorisant l’implantation des systèmes d’information hospitaliers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16</w:t>
            </w:r>
            <w:r w:rsidR="00A91DFF" w:rsidRPr="00794B80">
              <w:rPr>
                <w:rFonts w:cs="Times New Roman"/>
                <w:noProof/>
                <w:webHidden/>
                <w:szCs w:val="24"/>
              </w:rPr>
              <w:fldChar w:fldCharType="end"/>
            </w:r>
          </w:hyperlink>
        </w:p>
        <w:p w14:paraId="34757E7C" w14:textId="45A2B9E1"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22" w:history="1">
            <w:r w:rsidR="00A91DFF" w:rsidRPr="00794B80">
              <w:rPr>
                <w:rStyle w:val="Lienhypertexte"/>
                <w:rFonts w:cs="Times New Roman"/>
                <w:noProof/>
                <w:szCs w:val="24"/>
                <w:lang w:eastAsia="fr-FR"/>
              </w:rPr>
              <w:t>Section3 : Le Programme de Médicalisation des Systèmes d'Information (PMSI)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16</w:t>
            </w:r>
            <w:r w:rsidR="00A91DFF" w:rsidRPr="00794B80">
              <w:rPr>
                <w:rFonts w:cs="Times New Roman"/>
                <w:noProof/>
                <w:webHidden/>
                <w:szCs w:val="24"/>
              </w:rPr>
              <w:fldChar w:fldCharType="end"/>
            </w:r>
          </w:hyperlink>
        </w:p>
        <w:p w14:paraId="1A822E5F" w14:textId="7EBAD25E"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23"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Historique et Contexte du PMSI en France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17</w:t>
            </w:r>
            <w:r w:rsidR="00A91DFF" w:rsidRPr="00794B80">
              <w:rPr>
                <w:rFonts w:cs="Times New Roman"/>
                <w:noProof/>
                <w:webHidden/>
                <w:szCs w:val="24"/>
              </w:rPr>
              <w:fldChar w:fldCharType="end"/>
            </w:r>
          </w:hyperlink>
        </w:p>
        <w:p w14:paraId="0F39A564" w14:textId="5AE3BA51"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24"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Objectifs et Enjeux du PMSI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18</w:t>
            </w:r>
            <w:r w:rsidR="00A91DFF" w:rsidRPr="00794B80">
              <w:rPr>
                <w:rFonts w:cs="Times New Roman"/>
                <w:noProof/>
                <w:webHidden/>
                <w:szCs w:val="24"/>
              </w:rPr>
              <w:fldChar w:fldCharType="end"/>
            </w:r>
          </w:hyperlink>
        </w:p>
        <w:p w14:paraId="318AAD9E" w14:textId="76D498E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25" w:history="1">
            <w:r w:rsidR="00A91DFF" w:rsidRPr="00794B80">
              <w:rPr>
                <w:rStyle w:val="Lienhypertexte"/>
                <w:rFonts w:cs="Times New Roman"/>
                <w:noProof/>
                <w:szCs w:val="24"/>
              </w:rPr>
              <w:t>2.1.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Objectifs du PMSI</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18</w:t>
            </w:r>
            <w:r w:rsidR="00A91DFF" w:rsidRPr="00794B80">
              <w:rPr>
                <w:rFonts w:cs="Times New Roman"/>
                <w:noProof/>
                <w:webHidden/>
                <w:szCs w:val="24"/>
              </w:rPr>
              <w:fldChar w:fldCharType="end"/>
            </w:r>
          </w:hyperlink>
        </w:p>
        <w:p w14:paraId="30335A65" w14:textId="7F351EF7"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26" w:history="1">
            <w:r w:rsidR="00A91DFF" w:rsidRPr="00794B80">
              <w:rPr>
                <w:rStyle w:val="Lienhypertexte"/>
                <w:rFonts w:cs="Times New Roman"/>
                <w:noProof/>
                <w:szCs w:val="24"/>
              </w:rPr>
              <w:t>2.2.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Enjeux du PMSI</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19</w:t>
            </w:r>
            <w:r w:rsidR="00A91DFF" w:rsidRPr="00794B80">
              <w:rPr>
                <w:rFonts w:cs="Times New Roman"/>
                <w:noProof/>
                <w:webHidden/>
                <w:szCs w:val="24"/>
              </w:rPr>
              <w:fldChar w:fldCharType="end"/>
            </w:r>
          </w:hyperlink>
        </w:p>
        <w:p w14:paraId="3D1F9FEB" w14:textId="18D40436"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27"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Fonctionnement du PMSI</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20</w:t>
            </w:r>
            <w:r w:rsidR="00A91DFF" w:rsidRPr="00794B80">
              <w:rPr>
                <w:rFonts w:cs="Times New Roman"/>
                <w:noProof/>
                <w:webHidden/>
                <w:szCs w:val="24"/>
              </w:rPr>
              <w:fldChar w:fldCharType="end"/>
            </w:r>
          </w:hyperlink>
        </w:p>
        <w:p w14:paraId="0146E24D" w14:textId="283F655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28" w:history="1">
            <w:r w:rsidR="00A91DFF" w:rsidRPr="00794B80">
              <w:rPr>
                <w:rStyle w:val="Lienhypertexte"/>
                <w:rFonts w:cs="Times New Roman"/>
                <w:noProof/>
                <w:szCs w:val="24"/>
              </w:rPr>
              <w:t>3.1.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Collecte et codage des données médicales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20</w:t>
            </w:r>
            <w:r w:rsidR="00A91DFF" w:rsidRPr="00794B80">
              <w:rPr>
                <w:rFonts w:cs="Times New Roman"/>
                <w:noProof/>
                <w:webHidden/>
                <w:szCs w:val="24"/>
              </w:rPr>
              <w:fldChar w:fldCharType="end"/>
            </w:r>
          </w:hyperlink>
        </w:p>
        <w:p w14:paraId="176454FB" w14:textId="49D421C4"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29" w:history="1">
            <w:r w:rsidR="00A91DFF" w:rsidRPr="00794B80">
              <w:rPr>
                <w:rStyle w:val="Lienhypertexte"/>
                <w:rFonts w:cs="Times New Roman"/>
                <w:noProof/>
                <w:szCs w:val="24"/>
              </w:rPr>
              <w:t>3.2.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Classification des Groupes Homogènes de Malades (GHM)</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_Toc199958829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21</w:t>
            </w:r>
            <w:r w:rsidR="00A91DFF" w:rsidRPr="00794B80">
              <w:rPr>
                <w:rFonts w:cs="Times New Roman"/>
                <w:noProof/>
                <w:webHidden/>
                <w:szCs w:val="24"/>
              </w:rPr>
              <w:fldChar w:fldCharType="end"/>
            </w:r>
          </w:hyperlink>
        </w:p>
        <w:p w14:paraId="7F1CCCB7" w14:textId="74607E38"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30" w:history="1">
            <w:r w:rsidR="00A91DFF" w:rsidRPr="00794B80">
              <w:rPr>
                <w:rStyle w:val="Lienhypertexte"/>
                <w:rFonts w:cs="Times New Roman"/>
                <w:noProof/>
                <w:szCs w:val="24"/>
              </w:rPr>
              <w:t>Section4 : Les Systèmes d'Information en Santé à l'International</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21</w:t>
            </w:r>
            <w:r w:rsidR="00A91DFF" w:rsidRPr="00794B80">
              <w:rPr>
                <w:rFonts w:cs="Times New Roman"/>
                <w:noProof/>
                <w:webHidden/>
                <w:szCs w:val="24"/>
              </w:rPr>
              <w:fldChar w:fldCharType="end"/>
            </w:r>
          </w:hyperlink>
        </w:p>
        <w:p w14:paraId="0EE68248" w14:textId="5AB7C33F"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31"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Système DRG aux États-Unis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21</w:t>
            </w:r>
            <w:r w:rsidR="00A91DFF" w:rsidRPr="00794B80">
              <w:rPr>
                <w:rFonts w:cs="Times New Roman"/>
                <w:noProof/>
                <w:webHidden/>
                <w:szCs w:val="24"/>
              </w:rPr>
              <w:fldChar w:fldCharType="end"/>
            </w:r>
          </w:hyperlink>
        </w:p>
        <w:p w14:paraId="3C20AE57" w14:textId="141F94BC"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32"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Avantages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22</w:t>
            </w:r>
            <w:r w:rsidR="00A91DFF" w:rsidRPr="00794B80">
              <w:rPr>
                <w:rFonts w:cs="Times New Roman"/>
                <w:noProof/>
                <w:webHidden/>
                <w:szCs w:val="24"/>
              </w:rPr>
              <w:fldChar w:fldCharType="end"/>
            </w:r>
          </w:hyperlink>
        </w:p>
        <w:p w14:paraId="4CCD238F" w14:textId="673C822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33"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Inconvénients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22</w:t>
            </w:r>
            <w:r w:rsidR="00A91DFF" w:rsidRPr="00794B80">
              <w:rPr>
                <w:rFonts w:cs="Times New Roman"/>
                <w:noProof/>
                <w:webHidden/>
                <w:szCs w:val="24"/>
              </w:rPr>
              <w:fldChar w:fldCharType="end"/>
            </w:r>
          </w:hyperlink>
        </w:p>
        <w:p w14:paraId="74DA0AA0" w14:textId="7F518C63"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34"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NHS Digital au Royaume-Uni</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23</w:t>
            </w:r>
            <w:r w:rsidR="00A91DFF" w:rsidRPr="00794B80">
              <w:rPr>
                <w:rFonts w:cs="Times New Roman"/>
                <w:noProof/>
                <w:webHidden/>
                <w:szCs w:val="24"/>
              </w:rPr>
              <w:fldChar w:fldCharType="end"/>
            </w:r>
          </w:hyperlink>
        </w:p>
        <w:p w14:paraId="6BD6889E" w14:textId="5193D76D"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35" w:history="1">
            <w:r w:rsidR="00A91DFF" w:rsidRPr="00794B80">
              <w:rPr>
                <w:rStyle w:val="Lienhypertexte"/>
                <w:rFonts w:cs="Times New Roman"/>
                <w:noProof/>
                <w:szCs w:val="24"/>
              </w:rPr>
              <w:t>2.1.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Avantages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24</w:t>
            </w:r>
            <w:r w:rsidR="00A91DFF" w:rsidRPr="00794B80">
              <w:rPr>
                <w:rFonts w:cs="Times New Roman"/>
                <w:noProof/>
                <w:webHidden/>
                <w:szCs w:val="24"/>
              </w:rPr>
              <w:fldChar w:fldCharType="end"/>
            </w:r>
          </w:hyperlink>
        </w:p>
        <w:p w14:paraId="20441634" w14:textId="1A221928"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36" w:history="1">
            <w:r w:rsidR="00A91DFF" w:rsidRPr="00794B80">
              <w:rPr>
                <w:rStyle w:val="Lienhypertexte"/>
                <w:rFonts w:cs="Times New Roman"/>
                <w:noProof/>
                <w:szCs w:val="24"/>
              </w:rPr>
              <w:t>2.2.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Inconvénients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24</w:t>
            </w:r>
            <w:r w:rsidR="00A91DFF" w:rsidRPr="00794B80">
              <w:rPr>
                <w:rFonts w:cs="Times New Roman"/>
                <w:noProof/>
                <w:webHidden/>
                <w:szCs w:val="24"/>
              </w:rPr>
              <w:fldChar w:fldCharType="end"/>
            </w:r>
          </w:hyperlink>
        </w:p>
        <w:p w14:paraId="6F1485A8" w14:textId="57D8A4E8"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37"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Tableau comparatif des systèmes d’informations santé internationaux</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25</w:t>
            </w:r>
            <w:r w:rsidR="00A91DFF" w:rsidRPr="00794B80">
              <w:rPr>
                <w:rFonts w:cs="Times New Roman"/>
                <w:noProof/>
                <w:webHidden/>
                <w:szCs w:val="24"/>
              </w:rPr>
              <w:fldChar w:fldCharType="end"/>
            </w:r>
          </w:hyperlink>
        </w:p>
        <w:p w14:paraId="015863CA" w14:textId="7D00B242"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38" w:history="1">
            <w:r w:rsidR="00A91DFF" w:rsidRPr="00794B80">
              <w:rPr>
                <w:rStyle w:val="Lienhypertexte"/>
                <w:rFonts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Identification des paramètres applicables en Algérie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26</w:t>
            </w:r>
            <w:r w:rsidR="00A91DFF" w:rsidRPr="00794B80">
              <w:rPr>
                <w:rFonts w:cs="Times New Roman"/>
                <w:noProof/>
                <w:webHidden/>
                <w:szCs w:val="24"/>
              </w:rPr>
              <w:fldChar w:fldCharType="end"/>
            </w:r>
          </w:hyperlink>
        </w:p>
        <w:p w14:paraId="36F8E345" w14:textId="2642C74E"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39" w:history="1">
            <w:r w:rsidR="00A91DFF" w:rsidRPr="00794B80">
              <w:rPr>
                <w:rStyle w:val="Lienhypertexte"/>
                <w:rFonts w:cs="Times New Roman"/>
                <w:noProof/>
                <w:szCs w:val="24"/>
              </w:rPr>
              <w:t>4.1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Système National d'Information Sanitaire (SNIS)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_Toc199958839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26</w:t>
            </w:r>
            <w:r w:rsidR="00A91DFF" w:rsidRPr="00794B80">
              <w:rPr>
                <w:rFonts w:cs="Times New Roman"/>
                <w:noProof/>
                <w:webHidden/>
                <w:szCs w:val="24"/>
              </w:rPr>
              <w:fldChar w:fldCharType="end"/>
            </w:r>
          </w:hyperlink>
        </w:p>
        <w:p w14:paraId="0533B253" w14:textId="2A946934"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40" w:history="1">
            <w:r w:rsidR="00A91DFF" w:rsidRPr="00794B80">
              <w:rPr>
                <w:rStyle w:val="Lienhypertexte"/>
                <w:rFonts w:cs="Times New Roman"/>
                <w:noProof/>
                <w:szCs w:val="24"/>
              </w:rPr>
              <w:t>4.2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Infrastructures de Soins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27</w:t>
            </w:r>
            <w:r w:rsidR="00A91DFF" w:rsidRPr="00794B80">
              <w:rPr>
                <w:rFonts w:cs="Times New Roman"/>
                <w:noProof/>
                <w:webHidden/>
                <w:szCs w:val="24"/>
              </w:rPr>
              <w:fldChar w:fldCharType="end"/>
            </w:r>
          </w:hyperlink>
        </w:p>
        <w:p w14:paraId="2B4CDA71" w14:textId="21FB7CEB"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41" w:history="1">
            <w:r w:rsidR="00A91DFF" w:rsidRPr="00794B80">
              <w:rPr>
                <w:rStyle w:val="Lienhypertexte"/>
                <w:rFonts w:cs="Times New Roman"/>
                <w:noProof/>
                <w:szCs w:val="24"/>
              </w:rPr>
              <w:t>4.3.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Logiciels de Gestion Hospitalière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27</w:t>
            </w:r>
            <w:r w:rsidR="00A91DFF" w:rsidRPr="00794B80">
              <w:rPr>
                <w:rFonts w:cs="Times New Roman"/>
                <w:noProof/>
                <w:webHidden/>
                <w:szCs w:val="24"/>
              </w:rPr>
              <w:fldChar w:fldCharType="end"/>
            </w:r>
          </w:hyperlink>
        </w:p>
        <w:p w14:paraId="3E64F50C" w14:textId="610463BD"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42" w:history="1">
            <w:r w:rsidR="00A91DFF" w:rsidRPr="00794B80">
              <w:rPr>
                <w:rStyle w:val="Lienhypertexte"/>
                <w:rFonts w:cs="Times New Roman"/>
                <w:noProof/>
                <w:szCs w:val="24"/>
              </w:rPr>
              <w:t>4.4.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Défis et Perspectives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28</w:t>
            </w:r>
            <w:r w:rsidR="00A91DFF" w:rsidRPr="00794B80">
              <w:rPr>
                <w:rFonts w:cs="Times New Roman"/>
                <w:noProof/>
                <w:webHidden/>
                <w:szCs w:val="24"/>
              </w:rPr>
              <w:fldChar w:fldCharType="end"/>
            </w:r>
          </w:hyperlink>
        </w:p>
        <w:p w14:paraId="42199896" w14:textId="0217EFAA"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43" w:history="1">
            <w:r w:rsidR="00A91DFF" w:rsidRPr="00794B80">
              <w:rPr>
                <w:rStyle w:val="Lienhypertexte"/>
                <w:rFonts w:cs="Times New Roman"/>
                <w:noProof/>
                <w:szCs w:val="24"/>
              </w:rPr>
              <w:t>4.5.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Systèmes d'Information Hospitaliers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28</w:t>
            </w:r>
            <w:r w:rsidR="00A91DFF" w:rsidRPr="00794B80">
              <w:rPr>
                <w:rFonts w:cs="Times New Roman"/>
                <w:noProof/>
                <w:webHidden/>
                <w:szCs w:val="24"/>
              </w:rPr>
              <w:fldChar w:fldCharType="end"/>
            </w:r>
          </w:hyperlink>
        </w:p>
        <w:p w14:paraId="6AFF9A6A" w14:textId="68114AD6"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44" w:history="1">
            <w:r w:rsidR="00A91DFF" w:rsidRPr="00794B80">
              <w:rPr>
                <w:rStyle w:val="Lienhypertexte"/>
                <w:rFonts w:cs="Times New Roman"/>
                <w:noProof/>
                <w:szCs w:val="24"/>
                <w:lang w:eastAsia="fr-FR"/>
              </w:rPr>
              <w:t>Section5 : Les Systèmes d’Information comme Outil de Mise en Place des Modes de Financement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28</w:t>
            </w:r>
            <w:r w:rsidR="00A91DFF" w:rsidRPr="00794B80">
              <w:rPr>
                <w:rFonts w:cs="Times New Roman"/>
                <w:noProof/>
                <w:webHidden/>
                <w:szCs w:val="24"/>
              </w:rPr>
              <w:fldChar w:fldCharType="end"/>
            </w:r>
          </w:hyperlink>
        </w:p>
        <w:p w14:paraId="6AD3D23C" w14:textId="33D60583"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45"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Lien entre les Systèmes d’Information et le Financement Hospitalier</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29</w:t>
            </w:r>
            <w:r w:rsidR="00A91DFF" w:rsidRPr="00794B80">
              <w:rPr>
                <w:rFonts w:cs="Times New Roman"/>
                <w:noProof/>
                <w:webHidden/>
                <w:szCs w:val="24"/>
              </w:rPr>
              <w:fldChar w:fldCharType="end"/>
            </w:r>
          </w:hyperlink>
        </w:p>
        <w:p w14:paraId="5B354035" w14:textId="3E41930A"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46"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Optimisation des Coûts et de la Gestion Financière grâce aux SI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30</w:t>
            </w:r>
            <w:r w:rsidR="00A91DFF" w:rsidRPr="00794B80">
              <w:rPr>
                <w:rFonts w:cs="Times New Roman"/>
                <w:noProof/>
                <w:webHidden/>
                <w:szCs w:val="24"/>
              </w:rPr>
              <w:fldChar w:fldCharType="end"/>
            </w:r>
          </w:hyperlink>
        </w:p>
        <w:p w14:paraId="24ED0733" w14:textId="02AC7CCA" w:rsidR="00A91DFF" w:rsidRPr="00794B80" w:rsidRDefault="0095621A">
          <w:pPr>
            <w:pStyle w:val="TM1"/>
            <w:tabs>
              <w:tab w:val="right" w:leader="dot" w:pos="9911"/>
            </w:tabs>
            <w:rPr>
              <w:rStyle w:val="Lienhypertexte"/>
              <w:rFonts w:cs="Times New Roman"/>
              <w:noProof/>
              <w:szCs w:val="24"/>
            </w:rPr>
          </w:pPr>
          <w:hyperlink w:anchor="_Toc199958847" w:history="1">
            <w:r w:rsidR="00A91DFF" w:rsidRPr="00794B80">
              <w:rPr>
                <w:rStyle w:val="Lienhypertexte"/>
                <w:rFonts w:cs="Times New Roman"/>
                <w:noProof/>
                <w:szCs w:val="24"/>
              </w:rPr>
              <w:t>Conclusion</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31</w:t>
            </w:r>
            <w:r w:rsidR="00A91DFF" w:rsidRPr="00794B80">
              <w:rPr>
                <w:rFonts w:cs="Times New Roman"/>
                <w:noProof/>
                <w:webHidden/>
                <w:szCs w:val="24"/>
              </w:rPr>
              <w:fldChar w:fldCharType="end"/>
            </w:r>
          </w:hyperlink>
        </w:p>
        <w:p w14:paraId="1AC02EA6" w14:textId="42173518" w:rsidR="00D12149" w:rsidRPr="00794B80" w:rsidRDefault="00D12149" w:rsidP="00D12149">
          <w:pPr>
            <w:rPr>
              <w:rFonts w:cs="Times New Roman"/>
              <w:noProof/>
              <w:szCs w:val="24"/>
            </w:rPr>
          </w:pPr>
          <w:r w:rsidRPr="00794B80">
            <w:rPr>
              <w:rFonts w:cs="Times New Roman"/>
              <w:noProof/>
              <w:szCs w:val="24"/>
            </w:rPr>
            <w:t>Chapitre 2 : Les Modes de Financement des Établissements Hospitaliers : Approche Algérienne et Perspectives Internationales</w:t>
          </w:r>
        </w:p>
        <w:p w14:paraId="3439F01E" w14:textId="67A5343A"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48" w:history="1">
            <w:r w:rsidR="00A91DFF" w:rsidRPr="00794B80">
              <w:rPr>
                <w:rStyle w:val="Lienhypertexte"/>
                <w:rFonts w:cs="Times New Roman"/>
                <w:noProof/>
                <w:szCs w:val="24"/>
              </w:rPr>
              <w:t>Introduction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33</w:t>
            </w:r>
            <w:r w:rsidR="00A91DFF" w:rsidRPr="00794B80">
              <w:rPr>
                <w:rFonts w:cs="Times New Roman"/>
                <w:noProof/>
                <w:webHidden/>
                <w:szCs w:val="24"/>
              </w:rPr>
              <w:fldChar w:fldCharType="end"/>
            </w:r>
          </w:hyperlink>
        </w:p>
        <w:p w14:paraId="2DBD7868" w14:textId="3D649528"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49" w:history="1">
            <w:r w:rsidR="00A91DFF" w:rsidRPr="00794B80">
              <w:rPr>
                <w:rStyle w:val="Lienhypertexte"/>
                <w:rFonts w:cs="Times New Roman"/>
                <w:noProof/>
                <w:szCs w:val="24"/>
                <w:lang w:eastAsia="fr-FR"/>
              </w:rPr>
              <w:t>Section 1 : Le Financement des Systèmes de Santé dans le Monde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_Toc199958849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34</w:t>
            </w:r>
            <w:r w:rsidR="00A91DFF" w:rsidRPr="00794B80">
              <w:rPr>
                <w:rFonts w:cs="Times New Roman"/>
                <w:noProof/>
                <w:webHidden/>
                <w:szCs w:val="24"/>
              </w:rPr>
              <w:fldChar w:fldCharType="end"/>
            </w:r>
          </w:hyperlink>
        </w:p>
        <w:p w14:paraId="58C0E886" w14:textId="17F35275"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50"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L’Assurance maladie obligatoire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34</w:t>
            </w:r>
            <w:r w:rsidR="00A91DFF" w:rsidRPr="00794B80">
              <w:rPr>
                <w:rFonts w:cs="Times New Roman"/>
                <w:noProof/>
                <w:webHidden/>
                <w:szCs w:val="24"/>
              </w:rPr>
              <w:fldChar w:fldCharType="end"/>
            </w:r>
          </w:hyperlink>
        </w:p>
        <w:p w14:paraId="7BA5461A" w14:textId="10C0B2F1"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51"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financement par l'impôts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35</w:t>
            </w:r>
            <w:r w:rsidR="00A91DFF" w:rsidRPr="00794B80">
              <w:rPr>
                <w:rFonts w:cs="Times New Roman"/>
                <w:noProof/>
                <w:webHidden/>
                <w:szCs w:val="24"/>
              </w:rPr>
              <w:fldChar w:fldCharType="end"/>
            </w:r>
          </w:hyperlink>
        </w:p>
        <w:p w14:paraId="0E7F4318" w14:textId="084780F9"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52"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financement par le biais des contributions sociales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36</w:t>
            </w:r>
            <w:r w:rsidR="00A91DFF" w:rsidRPr="00794B80">
              <w:rPr>
                <w:rFonts w:cs="Times New Roman"/>
                <w:noProof/>
                <w:webHidden/>
                <w:szCs w:val="24"/>
              </w:rPr>
              <w:fldChar w:fldCharType="end"/>
            </w:r>
          </w:hyperlink>
        </w:p>
        <w:p w14:paraId="433D95B5" w14:textId="466F4CF2"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53"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Organismes Complémentaires d’Assurance Maladie (OCAM)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36</w:t>
            </w:r>
            <w:r w:rsidR="00A91DFF" w:rsidRPr="00794B80">
              <w:rPr>
                <w:rFonts w:cs="Times New Roman"/>
                <w:noProof/>
                <w:webHidden/>
                <w:szCs w:val="24"/>
              </w:rPr>
              <w:fldChar w:fldCharType="end"/>
            </w:r>
          </w:hyperlink>
        </w:p>
        <w:p w14:paraId="2CA51E1E" w14:textId="016FAAF0"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54" w:history="1">
            <w:r w:rsidR="00A91DFF" w:rsidRPr="00794B80">
              <w:rPr>
                <w:rStyle w:val="Lienhypertexte"/>
                <w:rFonts w:cs="Times New Roman"/>
                <w:noProof/>
                <w:szCs w:val="24"/>
              </w:rPr>
              <w:t>2.1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mutuelles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37</w:t>
            </w:r>
            <w:r w:rsidR="00A91DFF" w:rsidRPr="00794B80">
              <w:rPr>
                <w:rFonts w:cs="Times New Roman"/>
                <w:noProof/>
                <w:webHidden/>
                <w:szCs w:val="24"/>
              </w:rPr>
              <w:fldChar w:fldCharType="end"/>
            </w:r>
          </w:hyperlink>
        </w:p>
        <w:p w14:paraId="558124D0" w14:textId="1114AA4C"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55" w:history="1">
            <w:r w:rsidR="00A91DFF" w:rsidRPr="00794B80">
              <w:rPr>
                <w:rStyle w:val="Lienhypertexte"/>
                <w:rFonts w:cs="Times New Roman"/>
                <w:noProof/>
                <w:szCs w:val="24"/>
              </w:rPr>
              <w:t>2.2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assurances privées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37</w:t>
            </w:r>
            <w:r w:rsidR="00A91DFF" w:rsidRPr="00794B80">
              <w:rPr>
                <w:rFonts w:cs="Times New Roman"/>
                <w:noProof/>
                <w:webHidden/>
                <w:szCs w:val="24"/>
              </w:rPr>
              <w:fldChar w:fldCharType="end"/>
            </w:r>
          </w:hyperlink>
        </w:p>
        <w:p w14:paraId="566E1714" w14:textId="1027A9D6"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56" w:history="1">
            <w:r w:rsidR="00A91DFF" w:rsidRPr="00794B80">
              <w:rPr>
                <w:rStyle w:val="Lienhypertexte"/>
                <w:rFonts w:cs="Times New Roman"/>
                <w:noProof/>
                <w:szCs w:val="24"/>
              </w:rPr>
              <w:t>2.3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institutions de prévoyance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37</w:t>
            </w:r>
            <w:r w:rsidR="00A91DFF" w:rsidRPr="00794B80">
              <w:rPr>
                <w:rFonts w:cs="Times New Roman"/>
                <w:noProof/>
                <w:webHidden/>
                <w:szCs w:val="24"/>
              </w:rPr>
              <w:fldChar w:fldCharType="end"/>
            </w:r>
          </w:hyperlink>
        </w:p>
        <w:p w14:paraId="58783A19" w14:textId="21092BE0"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57"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ménages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38</w:t>
            </w:r>
            <w:r w:rsidR="00A91DFF" w:rsidRPr="00794B80">
              <w:rPr>
                <w:rFonts w:cs="Times New Roman"/>
                <w:noProof/>
                <w:webHidden/>
                <w:szCs w:val="24"/>
              </w:rPr>
              <w:fldChar w:fldCharType="end"/>
            </w:r>
          </w:hyperlink>
        </w:p>
        <w:p w14:paraId="1759B723" w14:textId="68FFB3DF"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58" w:history="1">
            <w:r w:rsidR="00A91DFF" w:rsidRPr="00794B80">
              <w:rPr>
                <w:rStyle w:val="Lienhypertexte"/>
                <w:rFonts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L’état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39</w:t>
            </w:r>
            <w:r w:rsidR="00A91DFF" w:rsidRPr="00794B80">
              <w:rPr>
                <w:rFonts w:cs="Times New Roman"/>
                <w:noProof/>
                <w:webHidden/>
                <w:szCs w:val="24"/>
              </w:rPr>
              <w:fldChar w:fldCharType="end"/>
            </w:r>
          </w:hyperlink>
        </w:p>
        <w:p w14:paraId="67D37C53" w14:textId="6D4EBDF9"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59" w:history="1">
            <w:r w:rsidR="00A91DFF" w:rsidRPr="00794B80">
              <w:rPr>
                <w:rStyle w:val="Lienhypertexte"/>
                <w:rFonts w:cs="Times New Roman"/>
                <w:noProof/>
                <w:szCs w:val="24"/>
                <w:lang w:eastAsia="fr-FR"/>
              </w:rPr>
              <w:t>Section2 : Le Financement du Système de Santé en Algérie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_Toc199958859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39</w:t>
            </w:r>
            <w:r w:rsidR="00A91DFF" w:rsidRPr="00794B80">
              <w:rPr>
                <w:rFonts w:cs="Times New Roman"/>
                <w:noProof/>
                <w:webHidden/>
                <w:szCs w:val="24"/>
              </w:rPr>
              <w:fldChar w:fldCharType="end"/>
            </w:r>
          </w:hyperlink>
        </w:p>
        <w:p w14:paraId="3755685A" w14:textId="17ACC349"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60"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Maintien de la participation de l’Etat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41</w:t>
            </w:r>
            <w:r w:rsidR="00A91DFF" w:rsidRPr="00794B80">
              <w:rPr>
                <w:rFonts w:cs="Times New Roman"/>
                <w:noProof/>
                <w:webHidden/>
                <w:szCs w:val="24"/>
              </w:rPr>
              <w:fldChar w:fldCharType="end"/>
            </w:r>
          </w:hyperlink>
        </w:p>
        <w:p w14:paraId="62910342" w14:textId="03B0DF7D"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61"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Consolidation de la sécurité sociale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42</w:t>
            </w:r>
            <w:r w:rsidR="00A91DFF" w:rsidRPr="00794B80">
              <w:rPr>
                <w:rFonts w:cs="Times New Roman"/>
                <w:noProof/>
                <w:webHidden/>
                <w:szCs w:val="24"/>
              </w:rPr>
              <w:fldChar w:fldCharType="end"/>
            </w:r>
          </w:hyperlink>
        </w:p>
        <w:p w14:paraId="7036EE83" w14:textId="0BE885D0"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62"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Contribution des ménages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44</w:t>
            </w:r>
            <w:r w:rsidR="00A91DFF" w:rsidRPr="00794B80">
              <w:rPr>
                <w:rFonts w:cs="Times New Roman"/>
                <w:noProof/>
                <w:webHidden/>
                <w:szCs w:val="24"/>
              </w:rPr>
              <w:fldChar w:fldCharType="end"/>
            </w:r>
          </w:hyperlink>
        </w:p>
        <w:p w14:paraId="06691B3E" w14:textId="210FF809"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63" w:history="1">
            <w:r w:rsidR="00A91DFF" w:rsidRPr="00794B80">
              <w:rPr>
                <w:rStyle w:val="Lienhypertexte"/>
                <w:rFonts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Autres sources alternatives du financement des dépenses de santé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45</w:t>
            </w:r>
            <w:r w:rsidR="00A91DFF" w:rsidRPr="00794B80">
              <w:rPr>
                <w:rFonts w:cs="Times New Roman"/>
                <w:noProof/>
                <w:webHidden/>
                <w:szCs w:val="24"/>
              </w:rPr>
              <w:fldChar w:fldCharType="end"/>
            </w:r>
          </w:hyperlink>
        </w:p>
        <w:p w14:paraId="0946D28C" w14:textId="59920B96"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64" w:history="1">
            <w:r w:rsidR="00A91DFF" w:rsidRPr="00794B80">
              <w:rPr>
                <w:rStyle w:val="Lienhypertexte"/>
                <w:rFonts w:cs="Times New Roman"/>
                <w:noProof/>
                <w:szCs w:val="24"/>
                <w:lang w:eastAsia="fr-FR"/>
              </w:rPr>
              <w:t>Section3 : Le Financement des Hôpitaux Publics en Algérie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46</w:t>
            </w:r>
            <w:r w:rsidR="00A91DFF" w:rsidRPr="00794B80">
              <w:rPr>
                <w:rFonts w:cs="Times New Roman"/>
                <w:noProof/>
                <w:webHidden/>
                <w:szCs w:val="24"/>
              </w:rPr>
              <w:fldChar w:fldCharType="end"/>
            </w:r>
          </w:hyperlink>
        </w:p>
        <w:p w14:paraId="7D080119" w14:textId="7CC32F48"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65"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sources de financement de l’hôpital public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46</w:t>
            </w:r>
            <w:r w:rsidR="00A91DFF" w:rsidRPr="00794B80">
              <w:rPr>
                <w:rFonts w:cs="Times New Roman"/>
                <w:noProof/>
                <w:webHidden/>
                <w:szCs w:val="24"/>
              </w:rPr>
              <w:fldChar w:fldCharType="end"/>
            </w:r>
          </w:hyperlink>
        </w:p>
        <w:p w14:paraId="371F1DC9" w14:textId="0E6B95D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66"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L’état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46</w:t>
            </w:r>
            <w:r w:rsidR="00A91DFF" w:rsidRPr="00794B80">
              <w:rPr>
                <w:rFonts w:cs="Times New Roman"/>
                <w:noProof/>
                <w:webHidden/>
                <w:szCs w:val="24"/>
              </w:rPr>
              <w:fldChar w:fldCharType="end"/>
            </w:r>
          </w:hyperlink>
        </w:p>
        <w:p w14:paraId="3FC66BAE" w14:textId="746AA52D"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67"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La sécurité sociale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47</w:t>
            </w:r>
            <w:r w:rsidR="00A91DFF" w:rsidRPr="00794B80">
              <w:rPr>
                <w:rFonts w:cs="Times New Roman"/>
                <w:noProof/>
                <w:webHidden/>
                <w:szCs w:val="24"/>
              </w:rPr>
              <w:fldChar w:fldCharType="end"/>
            </w:r>
          </w:hyperlink>
        </w:p>
        <w:p w14:paraId="3A1DCCE0" w14:textId="39C59280"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68" w:history="1">
            <w:r w:rsidR="00A91DFF" w:rsidRPr="00794B80">
              <w:rPr>
                <w:rStyle w:val="Lienhypertexte"/>
                <w:rFonts w:cs="Times New Roman"/>
                <w:noProof/>
                <w:szCs w:val="24"/>
              </w:rPr>
              <w:t>1.3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ménages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49</w:t>
            </w:r>
            <w:r w:rsidR="00A91DFF" w:rsidRPr="00794B80">
              <w:rPr>
                <w:rFonts w:cs="Times New Roman"/>
                <w:noProof/>
                <w:webHidden/>
                <w:szCs w:val="24"/>
              </w:rPr>
              <w:fldChar w:fldCharType="end"/>
            </w:r>
          </w:hyperlink>
        </w:p>
        <w:p w14:paraId="24497EF9" w14:textId="3B86AF27"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69" w:history="1">
            <w:r w:rsidR="00A91DFF" w:rsidRPr="00794B80">
              <w:rPr>
                <w:rStyle w:val="Lienhypertexte"/>
                <w:rFonts w:cs="Times New Roman"/>
                <w:noProof/>
                <w:szCs w:val="24"/>
              </w:rPr>
              <w:t>Section4 : Les Autres Modes de Financement des Établissements Hospitaliers dans le Monde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_Toc199958869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50</w:t>
            </w:r>
            <w:r w:rsidR="00A91DFF" w:rsidRPr="00794B80">
              <w:rPr>
                <w:rFonts w:cs="Times New Roman"/>
                <w:noProof/>
                <w:webHidden/>
                <w:szCs w:val="24"/>
              </w:rPr>
              <w:fldChar w:fldCharType="end"/>
            </w:r>
          </w:hyperlink>
        </w:p>
        <w:p w14:paraId="3298E8E1" w14:textId="003D0E02"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70"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financement par le budget global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50</w:t>
            </w:r>
            <w:r w:rsidR="00A91DFF" w:rsidRPr="00794B80">
              <w:rPr>
                <w:rFonts w:cs="Times New Roman"/>
                <w:noProof/>
                <w:webHidden/>
                <w:szCs w:val="24"/>
              </w:rPr>
              <w:fldChar w:fldCharType="end"/>
            </w:r>
          </w:hyperlink>
        </w:p>
        <w:p w14:paraId="2F2AD216" w14:textId="46B08BB8"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1"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Fonctionnement du financement par budget global</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51</w:t>
            </w:r>
            <w:r w:rsidR="00A91DFF" w:rsidRPr="00794B80">
              <w:rPr>
                <w:rFonts w:cs="Times New Roman"/>
                <w:noProof/>
                <w:webHidden/>
                <w:szCs w:val="24"/>
              </w:rPr>
              <w:fldChar w:fldCharType="end"/>
            </w:r>
          </w:hyperlink>
        </w:p>
        <w:p w14:paraId="18CA615F" w14:textId="35FC32D0"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2"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avantages du financement par budget global</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51</w:t>
            </w:r>
            <w:r w:rsidR="00A91DFF" w:rsidRPr="00794B80">
              <w:rPr>
                <w:rFonts w:cs="Times New Roman"/>
                <w:noProof/>
                <w:webHidden/>
                <w:szCs w:val="24"/>
              </w:rPr>
              <w:fldChar w:fldCharType="end"/>
            </w:r>
          </w:hyperlink>
        </w:p>
        <w:p w14:paraId="27064903" w14:textId="78FC1398"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3" w:history="1">
            <w:r w:rsidR="00A91DFF" w:rsidRPr="00794B80">
              <w:rPr>
                <w:rStyle w:val="Lienhypertexte"/>
                <w:rFonts w:cs="Times New Roman"/>
                <w:noProof/>
                <w:szCs w:val="24"/>
              </w:rPr>
              <w:t>1.3.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inconvénients du financement par budget global</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51</w:t>
            </w:r>
            <w:r w:rsidR="00A91DFF" w:rsidRPr="00794B80">
              <w:rPr>
                <w:rFonts w:cs="Times New Roman"/>
                <w:noProof/>
                <w:webHidden/>
                <w:szCs w:val="24"/>
              </w:rPr>
              <w:fldChar w:fldCharType="end"/>
            </w:r>
          </w:hyperlink>
        </w:p>
        <w:p w14:paraId="372BC737" w14:textId="53342EB0"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74"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La Contractualisation : un futur mode de financement en Algérie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52</w:t>
            </w:r>
            <w:r w:rsidR="00A91DFF" w:rsidRPr="00794B80">
              <w:rPr>
                <w:rFonts w:cs="Times New Roman"/>
                <w:noProof/>
                <w:webHidden/>
                <w:szCs w:val="24"/>
              </w:rPr>
              <w:fldChar w:fldCharType="end"/>
            </w:r>
          </w:hyperlink>
        </w:p>
        <w:p w14:paraId="25865BA1" w14:textId="07D2E0F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5" w:history="1">
            <w:r w:rsidR="00A91DFF" w:rsidRPr="00794B80">
              <w:rPr>
                <w:rStyle w:val="Lienhypertexte"/>
                <w:rFonts w:cs="Times New Roman"/>
                <w:noProof/>
                <w:szCs w:val="24"/>
              </w:rPr>
              <w:t>2.1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Textes réglementaires d’appui</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53</w:t>
            </w:r>
            <w:r w:rsidR="00A91DFF" w:rsidRPr="00794B80">
              <w:rPr>
                <w:rFonts w:cs="Times New Roman"/>
                <w:noProof/>
                <w:webHidden/>
                <w:szCs w:val="24"/>
              </w:rPr>
              <w:fldChar w:fldCharType="end"/>
            </w:r>
          </w:hyperlink>
        </w:p>
        <w:p w14:paraId="2E75F061" w14:textId="7B8D01EA"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6" w:history="1">
            <w:r w:rsidR="00A91DFF" w:rsidRPr="00794B80">
              <w:rPr>
                <w:rStyle w:val="Lienhypertexte"/>
                <w:rFonts w:cs="Times New Roman"/>
                <w:noProof/>
                <w:szCs w:val="24"/>
              </w:rPr>
              <w:t>2.2.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Mise en œuvre expérimentale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54</w:t>
            </w:r>
            <w:r w:rsidR="00A91DFF" w:rsidRPr="00794B80">
              <w:rPr>
                <w:rFonts w:cs="Times New Roman"/>
                <w:noProof/>
                <w:webHidden/>
                <w:szCs w:val="24"/>
              </w:rPr>
              <w:fldChar w:fldCharType="end"/>
            </w:r>
          </w:hyperlink>
        </w:p>
        <w:p w14:paraId="7D937840" w14:textId="1E1F2222"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7" w:history="1">
            <w:r w:rsidR="00A91DFF" w:rsidRPr="00794B80">
              <w:rPr>
                <w:rStyle w:val="Lienhypertexte"/>
                <w:rFonts w:cs="Times New Roman"/>
                <w:noProof/>
                <w:szCs w:val="24"/>
              </w:rPr>
              <w:t>2.3.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Contraintes majeures à la mise en œuvre de la contractualisation en Algérie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54</w:t>
            </w:r>
            <w:r w:rsidR="00A91DFF" w:rsidRPr="00794B80">
              <w:rPr>
                <w:rFonts w:cs="Times New Roman"/>
                <w:noProof/>
                <w:webHidden/>
                <w:szCs w:val="24"/>
              </w:rPr>
              <w:fldChar w:fldCharType="end"/>
            </w:r>
          </w:hyperlink>
        </w:p>
        <w:p w14:paraId="1D79263D" w14:textId="60293C77"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8" w:history="1">
            <w:r w:rsidR="00A91DFF" w:rsidRPr="00794B80">
              <w:rPr>
                <w:rStyle w:val="Lienhypertexte"/>
                <w:rFonts w:cs="Times New Roman"/>
                <w:noProof/>
                <w:szCs w:val="24"/>
              </w:rPr>
              <w:t>2.4.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Avantages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56</w:t>
            </w:r>
            <w:r w:rsidR="00A91DFF" w:rsidRPr="00794B80">
              <w:rPr>
                <w:rFonts w:cs="Times New Roman"/>
                <w:noProof/>
                <w:webHidden/>
                <w:szCs w:val="24"/>
              </w:rPr>
              <w:fldChar w:fldCharType="end"/>
            </w:r>
          </w:hyperlink>
        </w:p>
        <w:p w14:paraId="4BBCB6B8" w14:textId="6504501C"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79" w:history="1">
            <w:r w:rsidR="00A91DFF" w:rsidRPr="00794B80">
              <w:rPr>
                <w:rStyle w:val="Lienhypertexte"/>
                <w:rFonts w:cs="Times New Roman"/>
                <w:noProof/>
                <w:szCs w:val="24"/>
              </w:rPr>
              <w:t>2.5.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Inconvénients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_Toc199958879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56</w:t>
            </w:r>
            <w:r w:rsidR="00A91DFF" w:rsidRPr="00794B80">
              <w:rPr>
                <w:rFonts w:cs="Times New Roman"/>
                <w:noProof/>
                <w:webHidden/>
                <w:szCs w:val="24"/>
              </w:rPr>
              <w:fldChar w:fldCharType="end"/>
            </w:r>
          </w:hyperlink>
        </w:p>
        <w:p w14:paraId="21BA9267" w14:textId="7C2E5EF5"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80"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La « T2A » mode de financement des hôpitaux en France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57</w:t>
            </w:r>
            <w:r w:rsidR="00A91DFF" w:rsidRPr="00794B80">
              <w:rPr>
                <w:rFonts w:cs="Times New Roman"/>
                <w:noProof/>
                <w:webHidden/>
                <w:szCs w:val="24"/>
              </w:rPr>
              <w:fldChar w:fldCharType="end"/>
            </w:r>
          </w:hyperlink>
        </w:p>
        <w:p w14:paraId="0D8F3FEE" w14:textId="1067EACF"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1" w:history="1">
            <w:r w:rsidR="00A91DFF" w:rsidRPr="00794B80">
              <w:rPr>
                <w:rStyle w:val="Lienhypertexte"/>
                <w:rFonts w:cs="Times New Roman"/>
                <w:noProof/>
                <w:szCs w:val="24"/>
              </w:rPr>
              <w:t>3.1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Définition de la tarification à l’activité (T2A)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57</w:t>
            </w:r>
            <w:r w:rsidR="00A91DFF" w:rsidRPr="00794B80">
              <w:rPr>
                <w:rFonts w:cs="Times New Roman"/>
                <w:noProof/>
                <w:webHidden/>
                <w:szCs w:val="24"/>
              </w:rPr>
              <w:fldChar w:fldCharType="end"/>
            </w:r>
          </w:hyperlink>
        </w:p>
        <w:p w14:paraId="4B943E04" w14:textId="29B2ADC6"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2" w:history="1">
            <w:r w:rsidR="00A91DFF" w:rsidRPr="00794B80">
              <w:rPr>
                <w:rStyle w:val="Lienhypertexte"/>
                <w:rFonts w:cs="Times New Roman"/>
                <w:noProof/>
                <w:szCs w:val="24"/>
              </w:rPr>
              <w:t>3.2.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Historique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58</w:t>
            </w:r>
            <w:r w:rsidR="00A91DFF" w:rsidRPr="00794B80">
              <w:rPr>
                <w:rFonts w:cs="Times New Roman"/>
                <w:noProof/>
                <w:webHidden/>
                <w:szCs w:val="24"/>
              </w:rPr>
              <w:fldChar w:fldCharType="end"/>
            </w:r>
          </w:hyperlink>
        </w:p>
        <w:p w14:paraId="111BEDE8" w14:textId="462F706F"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3" w:history="1">
            <w:r w:rsidR="00A91DFF" w:rsidRPr="00794B80">
              <w:rPr>
                <w:rStyle w:val="Lienhypertexte"/>
                <w:rFonts w:cs="Times New Roman"/>
                <w:noProof/>
                <w:szCs w:val="24"/>
              </w:rPr>
              <w:t>3.3.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avantages de la T2A</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59</w:t>
            </w:r>
            <w:r w:rsidR="00A91DFF" w:rsidRPr="00794B80">
              <w:rPr>
                <w:rFonts w:cs="Times New Roman"/>
                <w:noProof/>
                <w:webHidden/>
                <w:szCs w:val="24"/>
              </w:rPr>
              <w:fldChar w:fldCharType="end"/>
            </w:r>
          </w:hyperlink>
        </w:p>
        <w:p w14:paraId="77829793" w14:textId="1D5915B6"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4" w:history="1">
            <w:r w:rsidR="00A91DFF" w:rsidRPr="00794B80">
              <w:rPr>
                <w:rStyle w:val="Lienhypertexte"/>
                <w:rFonts w:cs="Times New Roman"/>
                <w:noProof/>
                <w:szCs w:val="24"/>
              </w:rPr>
              <w:t>3.4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Les effets pervers possibles de la T2A</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60</w:t>
            </w:r>
            <w:r w:rsidR="00A91DFF" w:rsidRPr="00794B80">
              <w:rPr>
                <w:rFonts w:cs="Times New Roman"/>
                <w:noProof/>
                <w:webHidden/>
                <w:szCs w:val="24"/>
              </w:rPr>
              <w:fldChar w:fldCharType="end"/>
            </w:r>
          </w:hyperlink>
        </w:p>
        <w:p w14:paraId="67FDC861" w14:textId="57D0602A"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85" w:history="1">
            <w:r w:rsidR="00A91DFF" w:rsidRPr="00794B80">
              <w:rPr>
                <w:rStyle w:val="Lienhypertexte"/>
                <w:rFonts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Le Financement par Capitation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60</w:t>
            </w:r>
            <w:r w:rsidR="00A91DFF" w:rsidRPr="00794B80">
              <w:rPr>
                <w:rFonts w:cs="Times New Roman"/>
                <w:noProof/>
                <w:webHidden/>
                <w:szCs w:val="24"/>
              </w:rPr>
              <w:fldChar w:fldCharType="end"/>
            </w:r>
          </w:hyperlink>
        </w:p>
        <w:p w14:paraId="0DFD1353" w14:textId="6A7ACA2C"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6" w:history="1">
            <w:r w:rsidR="00A91DFF" w:rsidRPr="00794B80">
              <w:rPr>
                <w:rStyle w:val="Lienhypertexte"/>
                <w:rFonts w:cs="Times New Roman"/>
                <w:noProof/>
                <w:szCs w:val="24"/>
              </w:rPr>
              <w:t>4.1.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Définition</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60</w:t>
            </w:r>
            <w:r w:rsidR="00A91DFF" w:rsidRPr="00794B80">
              <w:rPr>
                <w:rFonts w:cs="Times New Roman"/>
                <w:noProof/>
                <w:webHidden/>
                <w:szCs w:val="24"/>
              </w:rPr>
              <w:fldChar w:fldCharType="end"/>
            </w:r>
          </w:hyperlink>
        </w:p>
        <w:p w14:paraId="40DB01B6" w14:textId="0AABB059"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7" w:history="1">
            <w:r w:rsidR="00A91DFF" w:rsidRPr="00794B80">
              <w:rPr>
                <w:rStyle w:val="Lienhypertexte"/>
                <w:rFonts w:cs="Times New Roman"/>
                <w:noProof/>
                <w:szCs w:val="24"/>
              </w:rPr>
              <w:t>4.2.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Historique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61</w:t>
            </w:r>
            <w:r w:rsidR="00A91DFF" w:rsidRPr="00794B80">
              <w:rPr>
                <w:rFonts w:cs="Times New Roman"/>
                <w:noProof/>
                <w:webHidden/>
                <w:szCs w:val="24"/>
              </w:rPr>
              <w:fldChar w:fldCharType="end"/>
            </w:r>
          </w:hyperlink>
        </w:p>
        <w:p w14:paraId="2CDD838D" w14:textId="2BE23ABA"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8" w:history="1">
            <w:r w:rsidR="00A91DFF" w:rsidRPr="00794B80">
              <w:rPr>
                <w:rStyle w:val="Lienhypertexte"/>
                <w:rFonts w:cs="Times New Roman"/>
                <w:noProof/>
                <w:szCs w:val="24"/>
              </w:rPr>
              <w:t>4.3.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Fonctionnement</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61</w:t>
            </w:r>
            <w:r w:rsidR="00A91DFF" w:rsidRPr="00794B80">
              <w:rPr>
                <w:rFonts w:cs="Times New Roman"/>
                <w:noProof/>
                <w:webHidden/>
                <w:szCs w:val="24"/>
              </w:rPr>
              <w:fldChar w:fldCharType="end"/>
            </w:r>
          </w:hyperlink>
        </w:p>
        <w:p w14:paraId="490C894B" w14:textId="38E9D015"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89" w:history="1">
            <w:r w:rsidR="00A91DFF" w:rsidRPr="00794B80">
              <w:rPr>
                <w:rStyle w:val="Lienhypertexte"/>
                <w:rFonts w:cs="Times New Roman"/>
                <w:noProof/>
                <w:szCs w:val="24"/>
              </w:rPr>
              <w:t>4.4.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Avantages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_Toc199958889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62</w:t>
            </w:r>
            <w:r w:rsidR="00A91DFF" w:rsidRPr="00794B80">
              <w:rPr>
                <w:rFonts w:cs="Times New Roman"/>
                <w:noProof/>
                <w:webHidden/>
                <w:szCs w:val="24"/>
              </w:rPr>
              <w:fldChar w:fldCharType="end"/>
            </w:r>
          </w:hyperlink>
        </w:p>
        <w:p w14:paraId="00FBF09F" w14:textId="216962CA"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90" w:history="1">
            <w:r w:rsidR="00A91DFF" w:rsidRPr="00794B80">
              <w:rPr>
                <w:rStyle w:val="Lienhypertexte"/>
                <w:rFonts w:cs="Times New Roman"/>
                <w:noProof/>
                <w:szCs w:val="24"/>
              </w:rPr>
              <w:t>4.5.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Inconvénients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62</w:t>
            </w:r>
            <w:r w:rsidR="00A91DFF" w:rsidRPr="00794B80">
              <w:rPr>
                <w:rFonts w:cs="Times New Roman"/>
                <w:noProof/>
                <w:webHidden/>
                <w:szCs w:val="24"/>
              </w:rPr>
              <w:fldChar w:fldCharType="end"/>
            </w:r>
          </w:hyperlink>
        </w:p>
        <w:p w14:paraId="5C4AA63A" w14:textId="657242DB" w:rsidR="00A91DFF" w:rsidRPr="00794B80" w:rsidRDefault="0095621A">
          <w:pPr>
            <w:pStyle w:val="TM1"/>
            <w:tabs>
              <w:tab w:val="right" w:leader="dot" w:pos="9911"/>
            </w:tabs>
            <w:rPr>
              <w:rStyle w:val="Lienhypertexte"/>
              <w:rFonts w:cs="Times New Roman"/>
              <w:noProof/>
              <w:szCs w:val="24"/>
            </w:rPr>
          </w:pPr>
          <w:hyperlink w:anchor="_Toc199958891" w:history="1">
            <w:r w:rsidR="00A91DFF" w:rsidRPr="00794B80">
              <w:rPr>
                <w:rStyle w:val="Lienhypertexte"/>
                <w:rFonts w:cs="Times New Roman"/>
                <w:noProof/>
                <w:szCs w:val="24"/>
              </w:rPr>
              <w:t>Conclusion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64</w:t>
            </w:r>
            <w:r w:rsidR="00A91DFF" w:rsidRPr="00794B80">
              <w:rPr>
                <w:rFonts w:cs="Times New Roman"/>
                <w:noProof/>
                <w:webHidden/>
                <w:szCs w:val="24"/>
              </w:rPr>
              <w:fldChar w:fldCharType="end"/>
            </w:r>
          </w:hyperlink>
        </w:p>
        <w:p w14:paraId="2303296F" w14:textId="530BB6CD" w:rsidR="00D12149" w:rsidRPr="00794B80" w:rsidRDefault="00D12149" w:rsidP="00D12149">
          <w:pPr>
            <w:rPr>
              <w:rFonts w:cs="Times New Roman"/>
              <w:noProof/>
              <w:szCs w:val="24"/>
            </w:rPr>
          </w:pPr>
          <w:r w:rsidRPr="00794B80">
            <w:rPr>
              <w:rFonts w:cs="Times New Roman"/>
              <w:noProof/>
              <w:szCs w:val="24"/>
            </w:rPr>
            <w:t>Chapitre 3 : Étude empirique : SIH et Financement Hospitalier à l’EPH Bouzidi Lakhdar et à la CNAS</w:t>
          </w:r>
        </w:p>
        <w:p w14:paraId="36D7EE31" w14:textId="3B978FEC"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92" w:history="1">
            <w:r w:rsidR="00A91DFF" w:rsidRPr="00794B80">
              <w:rPr>
                <w:rStyle w:val="Lienhypertexte"/>
                <w:rFonts w:eastAsia="Times New Roman" w:cs="Times New Roman"/>
                <w:noProof/>
                <w:szCs w:val="24"/>
                <w:lang w:eastAsia="fr-FR"/>
              </w:rPr>
              <w:t>Introduction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66</w:t>
            </w:r>
            <w:r w:rsidR="00A91DFF" w:rsidRPr="00794B80">
              <w:rPr>
                <w:rFonts w:cs="Times New Roman"/>
                <w:noProof/>
                <w:webHidden/>
                <w:szCs w:val="24"/>
              </w:rPr>
              <w:fldChar w:fldCharType="end"/>
            </w:r>
          </w:hyperlink>
        </w:p>
        <w:p w14:paraId="14D99B0E" w14:textId="4D74797C"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893" w:history="1">
            <w:r w:rsidR="00A91DFF" w:rsidRPr="00794B80">
              <w:rPr>
                <w:rStyle w:val="Lienhypertexte"/>
                <w:rFonts w:cs="Times New Roman"/>
                <w:noProof/>
                <w:szCs w:val="24"/>
                <w:lang w:eastAsia="fr-FR"/>
              </w:rPr>
              <w:t>Section 01 : Compte rendu de stage et analyse du fonctionnement actuel</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67</w:t>
            </w:r>
            <w:r w:rsidR="00A91DFF" w:rsidRPr="00794B80">
              <w:rPr>
                <w:rFonts w:cs="Times New Roman"/>
                <w:noProof/>
                <w:webHidden/>
                <w:szCs w:val="24"/>
              </w:rPr>
              <w:fldChar w:fldCharType="end"/>
            </w:r>
          </w:hyperlink>
        </w:p>
        <w:p w14:paraId="7B1E25F9" w14:textId="53D26914"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894"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Présentation de l’établissement hospitalier public</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67</w:t>
            </w:r>
            <w:r w:rsidR="00A91DFF" w:rsidRPr="00794B80">
              <w:rPr>
                <w:rFonts w:cs="Times New Roman"/>
                <w:noProof/>
                <w:webHidden/>
                <w:szCs w:val="24"/>
              </w:rPr>
              <w:fldChar w:fldCharType="end"/>
            </w:r>
          </w:hyperlink>
        </w:p>
        <w:p w14:paraId="4EA3C302" w14:textId="39078A2F"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95"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Historique de l’EPH Bouzidi Lakhdar</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67</w:t>
            </w:r>
            <w:r w:rsidR="00A91DFF" w:rsidRPr="00794B80">
              <w:rPr>
                <w:rFonts w:cs="Times New Roman"/>
                <w:noProof/>
                <w:webHidden/>
                <w:szCs w:val="24"/>
              </w:rPr>
              <w:fldChar w:fldCharType="end"/>
            </w:r>
          </w:hyperlink>
        </w:p>
        <w:p w14:paraId="7B7CFFCF" w14:textId="1877C19A"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96"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Situation géographique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67</w:t>
            </w:r>
            <w:r w:rsidR="00A91DFF" w:rsidRPr="00794B80">
              <w:rPr>
                <w:rFonts w:cs="Times New Roman"/>
                <w:noProof/>
                <w:webHidden/>
                <w:szCs w:val="24"/>
              </w:rPr>
              <w:fldChar w:fldCharType="end"/>
            </w:r>
          </w:hyperlink>
        </w:p>
        <w:p w14:paraId="056EB179" w14:textId="2B98135F"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97" w:history="1">
            <w:r w:rsidR="00A91DFF" w:rsidRPr="00794B80">
              <w:rPr>
                <w:rStyle w:val="Lienhypertexte"/>
                <w:rFonts w:cs="Times New Roman"/>
                <w:noProof/>
                <w:szCs w:val="24"/>
              </w:rPr>
              <w:t>1.3.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Organisation générale et services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67</w:t>
            </w:r>
            <w:r w:rsidR="00A91DFF" w:rsidRPr="00794B80">
              <w:rPr>
                <w:rFonts w:cs="Times New Roman"/>
                <w:noProof/>
                <w:webHidden/>
                <w:szCs w:val="24"/>
              </w:rPr>
              <w:fldChar w:fldCharType="end"/>
            </w:r>
          </w:hyperlink>
        </w:p>
        <w:p w14:paraId="029B1972" w14:textId="53BC5F80"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98" w:history="1">
            <w:r w:rsidR="00A91DFF" w:rsidRPr="00794B80">
              <w:rPr>
                <w:rStyle w:val="Lienhypertexte"/>
                <w:rFonts w:cs="Times New Roman"/>
                <w:noProof/>
                <w:szCs w:val="24"/>
              </w:rPr>
              <w:t>1.4.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Organigramme général</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67</w:t>
            </w:r>
            <w:r w:rsidR="00A91DFF" w:rsidRPr="00794B80">
              <w:rPr>
                <w:rFonts w:cs="Times New Roman"/>
                <w:noProof/>
                <w:webHidden/>
                <w:szCs w:val="24"/>
              </w:rPr>
              <w:fldChar w:fldCharType="end"/>
            </w:r>
          </w:hyperlink>
        </w:p>
        <w:p w14:paraId="132BDD85" w14:textId="76BF55A0"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899" w:history="1">
            <w:r w:rsidR="00A91DFF" w:rsidRPr="00794B80">
              <w:rPr>
                <w:rStyle w:val="Lienhypertexte"/>
                <w:rFonts w:cs="Times New Roman"/>
                <w:noProof/>
                <w:szCs w:val="24"/>
              </w:rPr>
              <w:t>1.5.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Missions et organisation administrative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_Toc199958899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69</w:t>
            </w:r>
            <w:r w:rsidR="00A91DFF" w:rsidRPr="00794B80">
              <w:rPr>
                <w:rFonts w:cs="Times New Roman"/>
                <w:noProof/>
                <w:webHidden/>
                <w:szCs w:val="24"/>
              </w:rPr>
              <w:fldChar w:fldCharType="end"/>
            </w:r>
          </w:hyperlink>
        </w:p>
        <w:p w14:paraId="14DDE627" w14:textId="1C5AF0E6"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00" w:history="1">
            <w:r w:rsidR="00A91DFF" w:rsidRPr="00794B80">
              <w:rPr>
                <w:rStyle w:val="Lienhypertexte"/>
                <w:rFonts w:eastAsia="Times New Roman"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Présentation de la caisse de sécurité sociale (CNAS) – Direction Générale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69</w:t>
            </w:r>
            <w:r w:rsidR="00A91DFF" w:rsidRPr="00794B80">
              <w:rPr>
                <w:rFonts w:cs="Times New Roman"/>
                <w:noProof/>
                <w:webHidden/>
                <w:szCs w:val="24"/>
              </w:rPr>
              <w:fldChar w:fldCharType="end"/>
            </w:r>
          </w:hyperlink>
        </w:p>
        <w:p w14:paraId="1FD31E71" w14:textId="34DBD8AD"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01" w:history="1">
            <w:r w:rsidR="00A91DFF" w:rsidRPr="00794B80">
              <w:rPr>
                <w:rStyle w:val="Lienhypertexte"/>
                <w:rFonts w:cs="Times New Roman"/>
                <w:noProof/>
                <w:szCs w:val="24"/>
              </w:rPr>
              <w:t>2.1.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Historique et cadre juridique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69</w:t>
            </w:r>
            <w:r w:rsidR="00A91DFF" w:rsidRPr="00794B80">
              <w:rPr>
                <w:rFonts w:cs="Times New Roman"/>
                <w:noProof/>
                <w:webHidden/>
                <w:szCs w:val="24"/>
              </w:rPr>
              <w:fldChar w:fldCharType="end"/>
            </w:r>
          </w:hyperlink>
        </w:p>
        <w:p w14:paraId="01439857" w14:textId="433D4D8E"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02" w:history="1">
            <w:r w:rsidR="00A91DFF" w:rsidRPr="00794B80">
              <w:rPr>
                <w:rStyle w:val="Lienhypertexte"/>
                <w:rFonts w:cs="Times New Roman"/>
                <w:noProof/>
                <w:szCs w:val="24"/>
              </w:rPr>
              <w:t>2.2.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Missions et objectifs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70</w:t>
            </w:r>
            <w:r w:rsidR="00A91DFF" w:rsidRPr="00794B80">
              <w:rPr>
                <w:rFonts w:cs="Times New Roman"/>
                <w:noProof/>
                <w:webHidden/>
                <w:szCs w:val="24"/>
              </w:rPr>
              <w:fldChar w:fldCharType="end"/>
            </w:r>
          </w:hyperlink>
        </w:p>
        <w:p w14:paraId="1937F96E" w14:textId="24A07CBF"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03" w:history="1">
            <w:r w:rsidR="00A91DFF" w:rsidRPr="00794B80">
              <w:rPr>
                <w:rStyle w:val="Lienhypertexte"/>
                <w:rFonts w:cs="Times New Roman"/>
                <w:noProof/>
                <w:szCs w:val="24"/>
              </w:rPr>
              <w:t>2.3.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Organisation territoriale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70</w:t>
            </w:r>
            <w:r w:rsidR="00A91DFF" w:rsidRPr="00794B80">
              <w:rPr>
                <w:rFonts w:cs="Times New Roman"/>
                <w:noProof/>
                <w:webHidden/>
                <w:szCs w:val="24"/>
              </w:rPr>
              <w:fldChar w:fldCharType="end"/>
            </w:r>
          </w:hyperlink>
        </w:p>
        <w:p w14:paraId="1368B0CE" w14:textId="6617C7A6"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04" w:history="1">
            <w:r w:rsidR="00A91DFF" w:rsidRPr="00794B80">
              <w:rPr>
                <w:rStyle w:val="Lienhypertexte"/>
                <w:rFonts w:cs="Times New Roman"/>
                <w:noProof/>
                <w:szCs w:val="24"/>
              </w:rPr>
              <w:t>2.4.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Organisation structurelle de la Direction Générale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71</w:t>
            </w:r>
            <w:r w:rsidR="00A91DFF" w:rsidRPr="00794B80">
              <w:rPr>
                <w:rFonts w:cs="Times New Roman"/>
                <w:noProof/>
                <w:webHidden/>
                <w:szCs w:val="24"/>
              </w:rPr>
              <w:fldChar w:fldCharType="end"/>
            </w:r>
          </w:hyperlink>
        </w:p>
        <w:p w14:paraId="32538486" w14:textId="48E494D8"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05" w:history="1">
            <w:r w:rsidR="00A91DFF" w:rsidRPr="00794B80">
              <w:rPr>
                <w:rStyle w:val="Lienhypertexte"/>
                <w:rFonts w:cs="Times New Roman"/>
                <w:noProof/>
                <w:szCs w:val="24"/>
              </w:rPr>
              <w:t>2.5.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Contribution au financement du système de santé</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72</w:t>
            </w:r>
            <w:r w:rsidR="00A91DFF" w:rsidRPr="00794B80">
              <w:rPr>
                <w:rFonts w:cs="Times New Roman"/>
                <w:noProof/>
                <w:webHidden/>
                <w:szCs w:val="24"/>
              </w:rPr>
              <w:fldChar w:fldCharType="end"/>
            </w:r>
          </w:hyperlink>
        </w:p>
        <w:p w14:paraId="490FD4EB" w14:textId="2EF05F86"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06"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Mécanisme de financement actuel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72</w:t>
            </w:r>
            <w:r w:rsidR="00A91DFF" w:rsidRPr="00794B80">
              <w:rPr>
                <w:rFonts w:cs="Times New Roman"/>
                <w:noProof/>
                <w:webHidden/>
                <w:szCs w:val="24"/>
              </w:rPr>
              <w:fldChar w:fldCharType="end"/>
            </w:r>
          </w:hyperlink>
        </w:p>
        <w:p w14:paraId="7F682175" w14:textId="27A9D981"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07"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Analyse des points forts et des limites du financement dans les structures étudiées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75</w:t>
            </w:r>
            <w:r w:rsidR="00A91DFF" w:rsidRPr="00794B80">
              <w:rPr>
                <w:rFonts w:cs="Times New Roman"/>
                <w:noProof/>
                <w:webHidden/>
                <w:szCs w:val="24"/>
              </w:rPr>
              <w:fldChar w:fldCharType="end"/>
            </w:r>
          </w:hyperlink>
        </w:p>
        <w:p w14:paraId="58D8852E" w14:textId="293BAD3B"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08"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Cadre méthodologique de l'étude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77</w:t>
            </w:r>
            <w:r w:rsidR="00A91DFF" w:rsidRPr="00794B80">
              <w:rPr>
                <w:rFonts w:cs="Times New Roman"/>
                <w:noProof/>
                <w:webHidden/>
                <w:szCs w:val="24"/>
              </w:rPr>
              <w:fldChar w:fldCharType="end"/>
            </w:r>
          </w:hyperlink>
        </w:p>
        <w:p w14:paraId="057A2356" w14:textId="0E549F86"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09"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Population et échantillon de l’étude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_Toc199958909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77</w:t>
            </w:r>
            <w:r w:rsidR="00A91DFF" w:rsidRPr="00794B80">
              <w:rPr>
                <w:rFonts w:cs="Times New Roman"/>
                <w:noProof/>
                <w:webHidden/>
                <w:szCs w:val="24"/>
              </w:rPr>
              <w:fldChar w:fldCharType="end"/>
            </w:r>
          </w:hyperlink>
        </w:p>
        <w:p w14:paraId="39AA43C1" w14:textId="4E8FF90F"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10" w:history="1">
            <w:r w:rsidR="00A91DFF" w:rsidRPr="00794B80">
              <w:rPr>
                <w:rStyle w:val="Lienhypertexte"/>
                <w:rFonts w:eastAsia="Times New Roman"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eastAsia="Times New Roman" w:cs="Times New Roman"/>
                <w:noProof/>
                <w:szCs w:val="24"/>
              </w:rPr>
              <w:t>Techniques de collecte des données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78</w:t>
            </w:r>
            <w:r w:rsidR="00A91DFF" w:rsidRPr="00794B80">
              <w:rPr>
                <w:rFonts w:cs="Times New Roman"/>
                <w:noProof/>
                <w:webHidden/>
                <w:szCs w:val="24"/>
              </w:rPr>
              <w:fldChar w:fldCharType="end"/>
            </w:r>
          </w:hyperlink>
        </w:p>
        <w:p w14:paraId="53F60EB7" w14:textId="137BD99D"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11" w:history="1">
            <w:r w:rsidR="00A91DFF" w:rsidRPr="00794B80">
              <w:rPr>
                <w:rStyle w:val="Lienhypertexte"/>
                <w:rFonts w:eastAsia="Times New Roman" w:cs="Times New Roman"/>
                <w:noProof/>
                <w:szCs w:val="24"/>
              </w:rPr>
              <w:t>4.</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eastAsia="Times New Roman" w:cs="Times New Roman"/>
                <w:noProof/>
                <w:szCs w:val="24"/>
              </w:rPr>
              <w:t>Conception du questionnaire et variables de l’étude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79</w:t>
            </w:r>
            <w:r w:rsidR="00A91DFF" w:rsidRPr="00794B80">
              <w:rPr>
                <w:rFonts w:cs="Times New Roman"/>
                <w:noProof/>
                <w:webHidden/>
                <w:szCs w:val="24"/>
              </w:rPr>
              <w:fldChar w:fldCharType="end"/>
            </w:r>
          </w:hyperlink>
        </w:p>
        <w:p w14:paraId="219F66E3" w14:textId="1635248A"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12" w:history="1">
            <w:r w:rsidR="00A91DFF" w:rsidRPr="00794B80">
              <w:rPr>
                <w:rStyle w:val="Lienhypertexte"/>
                <w:rFonts w:eastAsia="Times New Roman" w:cs="Times New Roman"/>
                <w:noProof/>
                <w:szCs w:val="24"/>
                <w:lang w:eastAsia="fr-FR"/>
              </w:rPr>
              <w:t>5.</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eastAsia="Times New Roman" w:cs="Times New Roman"/>
                <w:noProof/>
                <w:szCs w:val="24"/>
                <w:lang w:eastAsia="fr-FR"/>
              </w:rPr>
              <w:t>Outils statistiques utilisés pour l’analyse des données et vérification de la validité du questionnaire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80</w:t>
            </w:r>
            <w:r w:rsidR="00A91DFF" w:rsidRPr="00794B80">
              <w:rPr>
                <w:rFonts w:cs="Times New Roman"/>
                <w:noProof/>
                <w:webHidden/>
                <w:szCs w:val="24"/>
              </w:rPr>
              <w:fldChar w:fldCharType="end"/>
            </w:r>
          </w:hyperlink>
        </w:p>
        <w:p w14:paraId="7B3AD539" w14:textId="47255103"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13"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Questionnaire Caisse de sécurité sociale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82</w:t>
            </w:r>
            <w:r w:rsidR="00A91DFF" w:rsidRPr="00794B80">
              <w:rPr>
                <w:rFonts w:cs="Times New Roman"/>
                <w:noProof/>
                <w:webHidden/>
                <w:szCs w:val="24"/>
              </w:rPr>
              <w:fldChar w:fldCharType="end"/>
            </w:r>
          </w:hyperlink>
        </w:p>
        <w:p w14:paraId="1B12E5D8" w14:textId="2C60070E"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14" w:history="1">
            <w:r w:rsidR="00A91DFF" w:rsidRPr="00794B80">
              <w:rPr>
                <w:rStyle w:val="Lienhypertexte"/>
                <w:rFonts w:cs="Times New Roman"/>
                <w:noProof/>
                <w:szCs w:val="24"/>
              </w:rPr>
              <w:t>1.1.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Tri à plat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82</w:t>
            </w:r>
            <w:r w:rsidR="00A91DFF" w:rsidRPr="00794B80">
              <w:rPr>
                <w:rFonts w:cs="Times New Roman"/>
                <w:noProof/>
                <w:webHidden/>
                <w:szCs w:val="24"/>
              </w:rPr>
              <w:fldChar w:fldCharType="end"/>
            </w:r>
          </w:hyperlink>
        </w:p>
        <w:p w14:paraId="3F0845F1" w14:textId="4BFB3C11"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15" w:history="1">
            <w:r w:rsidR="00A91DFF" w:rsidRPr="00794B80">
              <w:rPr>
                <w:rStyle w:val="Lienhypertexte"/>
                <w:rFonts w:cs="Times New Roman"/>
                <w:noProof/>
                <w:szCs w:val="24"/>
              </w:rPr>
              <w:t>1.2.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Tris croisés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98</w:t>
            </w:r>
            <w:r w:rsidR="00A91DFF" w:rsidRPr="00794B80">
              <w:rPr>
                <w:rFonts w:cs="Times New Roman"/>
                <w:noProof/>
                <w:webHidden/>
                <w:szCs w:val="24"/>
              </w:rPr>
              <w:fldChar w:fldCharType="end"/>
            </w:r>
          </w:hyperlink>
        </w:p>
        <w:p w14:paraId="3B700A6A" w14:textId="12C92829" w:rsidR="00A91DFF" w:rsidRPr="00794B80" w:rsidRDefault="0095621A">
          <w:pPr>
            <w:pStyle w:val="TM3"/>
            <w:tabs>
              <w:tab w:val="left" w:pos="960"/>
              <w:tab w:val="right" w:leader="dot" w:pos="9911"/>
            </w:tabs>
            <w:rPr>
              <w:rFonts w:eastAsiaTheme="minorEastAsia" w:cs="Times New Roman"/>
              <w:noProof/>
              <w:kern w:val="2"/>
              <w:szCs w:val="24"/>
              <w:lang w:eastAsia="fr-FR"/>
              <w14:ligatures w14:val="standardContextual"/>
            </w:rPr>
          </w:pPr>
          <w:hyperlink w:anchor="_Toc199958916" w:history="1">
            <w:r w:rsidR="00A91DFF" w:rsidRPr="00794B80">
              <w:rPr>
                <w:rStyle w:val="Lienhypertexte"/>
                <w:rFonts w:cs="Times New Roman"/>
                <w:noProof/>
                <w:szCs w:val="24"/>
              </w:rPr>
              <w:t></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Synthèse du questionnaire CNAS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100</w:t>
            </w:r>
            <w:r w:rsidR="00A91DFF" w:rsidRPr="00794B80">
              <w:rPr>
                <w:rFonts w:cs="Times New Roman"/>
                <w:noProof/>
                <w:webHidden/>
                <w:szCs w:val="24"/>
              </w:rPr>
              <w:fldChar w:fldCharType="end"/>
            </w:r>
          </w:hyperlink>
        </w:p>
        <w:p w14:paraId="544C5282" w14:textId="41D746E5"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17"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Questionnaire Établissements Hospitaliers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_Toc199958917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100</w:t>
            </w:r>
            <w:r w:rsidR="00A91DFF" w:rsidRPr="00794B80">
              <w:rPr>
                <w:rFonts w:cs="Times New Roman"/>
                <w:noProof/>
                <w:webHidden/>
                <w:szCs w:val="24"/>
              </w:rPr>
              <w:fldChar w:fldCharType="end"/>
            </w:r>
          </w:hyperlink>
        </w:p>
        <w:p w14:paraId="0F062271" w14:textId="73477D95"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18" w:history="1">
            <w:r w:rsidR="00A91DFF" w:rsidRPr="00794B80">
              <w:rPr>
                <w:rStyle w:val="Lienhypertexte"/>
                <w:rFonts w:cs="Times New Roman"/>
                <w:noProof/>
                <w:szCs w:val="24"/>
                <w:lang w:val="en-CA"/>
              </w:rPr>
              <w:t>2.1.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lang w:val="en-CA"/>
              </w:rPr>
              <w:t>Tri a plat:</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_Toc199958918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100</w:t>
            </w:r>
            <w:r w:rsidR="00A91DFF" w:rsidRPr="00794B80">
              <w:rPr>
                <w:rFonts w:cs="Times New Roman"/>
                <w:noProof/>
                <w:webHidden/>
                <w:szCs w:val="24"/>
              </w:rPr>
              <w:fldChar w:fldCharType="end"/>
            </w:r>
          </w:hyperlink>
        </w:p>
        <w:p w14:paraId="7963FB06" w14:textId="749B1941" w:rsidR="00A91DFF" w:rsidRPr="00794B80" w:rsidRDefault="0095621A">
          <w:pPr>
            <w:pStyle w:val="TM3"/>
            <w:tabs>
              <w:tab w:val="left" w:pos="1200"/>
              <w:tab w:val="right" w:leader="dot" w:pos="9911"/>
            </w:tabs>
            <w:rPr>
              <w:rFonts w:eastAsiaTheme="minorEastAsia" w:cs="Times New Roman"/>
              <w:noProof/>
              <w:kern w:val="2"/>
              <w:szCs w:val="24"/>
              <w:lang w:eastAsia="fr-FR"/>
              <w14:ligatures w14:val="standardContextual"/>
            </w:rPr>
          </w:pPr>
          <w:hyperlink w:anchor="_Toc199958919" w:history="1">
            <w:r w:rsidR="00A91DFF" w:rsidRPr="00794B80">
              <w:rPr>
                <w:rStyle w:val="Lienhypertexte"/>
                <w:rFonts w:cs="Times New Roman"/>
                <w:noProof/>
                <w:szCs w:val="24"/>
              </w:rPr>
              <w:t>2.2.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Tri croisé</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_Toc199958919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121</w:t>
            </w:r>
            <w:r w:rsidR="00A91DFF" w:rsidRPr="00794B80">
              <w:rPr>
                <w:rFonts w:cs="Times New Roman"/>
                <w:noProof/>
                <w:webHidden/>
                <w:szCs w:val="24"/>
              </w:rPr>
              <w:fldChar w:fldCharType="end"/>
            </w:r>
          </w:hyperlink>
        </w:p>
        <w:p w14:paraId="0BA21B4E" w14:textId="68596CCC" w:rsidR="00A91DFF" w:rsidRPr="00794B80" w:rsidRDefault="0095621A">
          <w:pPr>
            <w:pStyle w:val="TM3"/>
            <w:tabs>
              <w:tab w:val="left" w:pos="960"/>
              <w:tab w:val="right" w:leader="dot" w:pos="9911"/>
            </w:tabs>
            <w:rPr>
              <w:rFonts w:eastAsiaTheme="minorEastAsia" w:cs="Times New Roman"/>
              <w:noProof/>
              <w:kern w:val="2"/>
              <w:szCs w:val="24"/>
              <w:lang w:eastAsia="fr-FR"/>
              <w14:ligatures w14:val="standardContextual"/>
            </w:rPr>
          </w:pPr>
          <w:hyperlink w:anchor="_Toc199958920" w:history="1">
            <w:r w:rsidR="00A91DFF" w:rsidRPr="00794B80">
              <w:rPr>
                <w:rStyle w:val="Lienhypertexte"/>
                <w:rFonts w:cs="Times New Roman"/>
                <w:noProof/>
                <w:szCs w:val="24"/>
              </w:rPr>
              <w:t></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Synthèse du questionnaire des établissements hospitaliers</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_Toc199958920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122</w:t>
            </w:r>
            <w:r w:rsidR="00A91DFF" w:rsidRPr="00794B80">
              <w:rPr>
                <w:rFonts w:cs="Times New Roman"/>
                <w:noProof/>
                <w:webHidden/>
                <w:szCs w:val="24"/>
              </w:rPr>
              <w:fldChar w:fldCharType="end"/>
            </w:r>
          </w:hyperlink>
        </w:p>
        <w:p w14:paraId="64FE3834" w14:textId="20AAFF26"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921" w:history="1">
            <w:r w:rsidR="00A91DFF" w:rsidRPr="00794B80">
              <w:rPr>
                <w:rStyle w:val="Lienhypertexte"/>
                <w:rFonts w:cs="Times New Roman"/>
                <w:noProof/>
                <w:szCs w:val="24"/>
              </w:rPr>
              <w:t>Section 2 : Étude de faisabilité du modèle mixte proposé</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_Toc199958921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122</w:t>
            </w:r>
            <w:r w:rsidR="00A91DFF" w:rsidRPr="00794B80">
              <w:rPr>
                <w:rFonts w:cs="Times New Roman"/>
                <w:noProof/>
                <w:webHidden/>
                <w:szCs w:val="24"/>
              </w:rPr>
              <w:fldChar w:fldCharType="end"/>
            </w:r>
          </w:hyperlink>
        </w:p>
        <w:p w14:paraId="07BF1DED" w14:textId="73C16506"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22" w:history="1">
            <w:r w:rsidR="00A91DFF" w:rsidRPr="00794B80">
              <w:rPr>
                <w:rStyle w:val="Lienhypertexte"/>
                <w:rFonts w:cs="Times New Roman"/>
                <w:noProof/>
                <w:szCs w:val="24"/>
              </w:rPr>
              <w:t>1.</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Une base fixe assurée par l’État ou la sécurité sociale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_Toc199958922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123</w:t>
            </w:r>
            <w:r w:rsidR="00A91DFF" w:rsidRPr="00794B80">
              <w:rPr>
                <w:rFonts w:cs="Times New Roman"/>
                <w:noProof/>
                <w:webHidden/>
                <w:szCs w:val="24"/>
              </w:rPr>
              <w:fldChar w:fldCharType="end"/>
            </w:r>
          </w:hyperlink>
        </w:p>
        <w:p w14:paraId="49EBCA50" w14:textId="6BC94404"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23" w:history="1">
            <w:r w:rsidR="00A91DFF" w:rsidRPr="00794B80">
              <w:rPr>
                <w:rStyle w:val="Lienhypertexte"/>
                <w:rFonts w:cs="Times New Roman"/>
                <w:noProof/>
                <w:szCs w:val="24"/>
              </w:rPr>
              <w:t>2.</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Part variable liée à l’activité réelle mesurée via un SI performant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_Toc199958923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125</w:t>
            </w:r>
            <w:r w:rsidR="00A91DFF" w:rsidRPr="00794B80">
              <w:rPr>
                <w:rFonts w:cs="Times New Roman"/>
                <w:noProof/>
                <w:webHidden/>
                <w:szCs w:val="24"/>
              </w:rPr>
              <w:fldChar w:fldCharType="end"/>
            </w:r>
          </w:hyperlink>
        </w:p>
        <w:p w14:paraId="75BD4842" w14:textId="4B2A8233" w:rsidR="00A91DFF" w:rsidRPr="00794B80" w:rsidRDefault="0095621A">
          <w:pPr>
            <w:pStyle w:val="TM2"/>
            <w:tabs>
              <w:tab w:val="left" w:pos="720"/>
              <w:tab w:val="right" w:leader="dot" w:pos="9911"/>
            </w:tabs>
            <w:rPr>
              <w:rFonts w:eastAsiaTheme="minorEastAsia" w:cs="Times New Roman"/>
              <w:noProof/>
              <w:kern w:val="2"/>
              <w:szCs w:val="24"/>
              <w:lang w:eastAsia="fr-FR"/>
              <w14:ligatures w14:val="standardContextual"/>
            </w:rPr>
          </w:pPr>
          <w:hyperlink w:anchor="_Toc199958924" w:history="1">
            <w:r w:rsidR="00A91DFF" w:rsidRPr="00794B80">
              <w:rPr>
                <w:rStyle w:val="Lienhypertexte"/>
                <w:rFonts w:cs="Times New Roman"/>
                <w:noProof/>
                <w:szCs w:val="24"/>
              </w:rPr>
              <w:t>3.</w:t>
            </w:r>
            <w:r w:rsidR="00A91DFF" w:rsidRPr="00794B80">
              <w:rPr>
                <w:rFonts w:eastAsiaTheme="minorEastAsia" w:cs="Times New Roman"/>
                <w:noProof/>
                <w:kern w:val="2"/>
                <w:szCs w:val="24"/>
                <w:lang w:eastAsia="fr-FR"/>
                <w14:ligatures w14:val="standardContextual"/>
              </w:rPr>
              <w:tab/>
            </w:r>
            <w:r w:rsidR="00A91DFF" w:rsidRPr="00794B80">
              <w:rPr>
                <w:rStyle w:val="Lienhypertexte"/>
                <w:rFonts w:cs="Times New Roman"/>
                <w:noProof/>
                <w:szCs w:val="24"/>
              </w:rPr>
              <w:t>Objectifs visés : performance, transparence, équité</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_Toc199958924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129</w:t>
            </w:r>
            <w:r w:rsidR="00A91DFF" w:rsidRPr="00794B80">
              <w:rPr>
                <w:rFonts w:cs="Times New Roman"/>
                <w:noProof/>
                <w:webHidden/>
                <w:szCs w:val="24"/>
              </w:rPr>
              <w:fldChar w:fldCharType="end"/>
            </w:r>
          </w:hyperlink>
        </w:p>
        <w:p w14:paraId="798A0D13" w14:textId="02162ABB"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925" w:history="1">
            <w:r w:rsidR="00A91DFF" w:rsidRPr="00794B80">
              <w:rPr>
                <w:rStyle w:val="Lienhypertexte"/>
                <w:rFonts w:cs="Times New Roman"/>
                <w:noProof/>
                <w:szCs w:val="24"/>
              </w:rPr>
              <w:t>Conclusion :</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_Toc199958925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131</w:t>
            </w:r>
            <w:r w:rsidR="00A91DFF" w:rsidRPr="00794B80">
              <w:rPr>
                <w:rFonts w:cs="Times New Roman"/>
                <w:noProof/>
                <w:webHidden/>
                <w:szCs w:val="24"/>
              </w:rPr>
              <w:fldChar w:fldCharType="end"/>
            </w:r>
          </w:hyperlink>
        </w:p>
        <w:p w14:paraId="402490E8" w14:textId="44E9B457" w:rsidR="00A91DFF" w:rsidRPr="00794B80" w:rsidRDefault="0095621A">
          <w:pPr>
            <w:pStyle w:val="TM1"/>
            <w:tabs>
              <w:tab w:val="right" w:leader="dot" w:pos="9911"/>
            </w:tabs>
            <w:rPr>
              <w:rFonts w:eastAsiaTheme="minorEastAsia" w:cs="Times New Roman"/>
              <w:noProof/>
              <w:kern w:val="2"/>
              <w:szCs w:val="24"/>
              <w:lang w:eastAsia="fr-FR"/>
              <w14:ligatures w14:val="standardContextual"/>
            </w:rPr>
          </w:pPr>
          <w:hyperlink w:anchor="_Toc199958926" w:history="1">
            <w:r w:rsidR="00A91DFF" w:rsidRPr="00794B80">
              <w:rPr>
                <w:rStyle w:val="Lienhypertexte"/>
                <w:rFonts w:eastAsia="Calibri" w:cs="Times New Roman"/>
                <w:noProof/>
                <w:szCs w:val="24"/>
              </w:rPr>
              <w:t>Conclusion Générale</w:t>
            </w:r>
            <w:r w:rsidR="00A91DFF" w:rsidRPr="00794B80">
              <w:rPr>
                <w:rFonts w:cs="Times New Roman"/>
                <w:noProof/>
                <w:webHidden/>
                <w:szCs w:val="24"/>
              </w:rPr>
              <w:tab/>
            </w:r>
            <w:r w:rsidR="00A91DFF" w:rsidRPr="00794B80">
              <w:rPr>
                <w:rFonts w:cs="Times New Roman"/>
                <w:noProof/>
                <w:webHidden/>
                <w:szCs w:val="24"/>
              </w:rPr>
              <w:fldChar w:fldCharType="begin"/>
            </w:r>
            <w:r w:rsidR="00A91DFF" w:rsidRPr="00794B80">
              <w:rPr>
                <w:rFonts w:cs="Times New Roman"/>
                <w:noProof/>
                <w:webHidden/>
                <w:szCs w:val="24"/>
              </w:rPr>
              <w:instrText xml:space="preserve"> PAGEREF _Toc199958926 \h </w:instrText>
            </w:r>
            <w:r w:rsidR="00A91DFF" w:rsidRPr="00794B80">
              <w:rPr>
                <w:rFonts w:cs="Times New Roman"/>
                <w:noProof/>
                <w:webHidden/>
                <w:szCs w:val="24"/>
              </w:rPr>
            </w:r>
            <w:r w:rsidR="00A91DFF" w:rsidRPr="00794B80">
              <w:rPr>
                <w:rFonts w:cs="Times New Roman"/>
                <w:noProof/>
                <w:webHidden/>
                <w:szCs w:val="24"/>
              </w:rPr>
              <w:fldChar w:fldCharType="separate"/>
            </w:r>
            <w:r w:rsidR="00082DE3">
              <w:rPr>
                <w:rFonts w:cs="Times New Roman"/>
                <w:noProof/>
                <w:webHidden/>
                <w:szCs w:val="24"/>
              </w:rPr>
              <w:t>133</w:t>
            </w:r>
            <w:r w:rsidR="00A91DFF" w:rsidRPr="00794B80">
              <w:rPr>
                <w:rFonts w:cs="Times New Roman"/>
                <w:noProof/>
                <w:webHidden/>
                <w:szCs w:val="24"/>
              </w:rPr>
              <w:fldChar w:fldCharType="end"/>
            </w:r>
          </w:hyperlink>
        </w:p>
        <w:p w14:paraId="47FA4D91" w14:textId="2A8717B7" w:rsidR="00794B80" w:rsidRPr="00794B80" w:rsidRDefault="004321CD" w:rsidP="00794B80">
          <w:pPr>
            <w:pStyle w:val="TM1"/>
            <w:tabs>
              <w:tab w:val="right" w:leader="dot" w:pos="9911"/>
            </w:tabs>
            <w:rPr>
              <w:rFonts w:cs="Times New Roman"/>
              <w:b/>
              <w:bCs/>
              <w:szCs w:val="24"/>
            </w:rPr>
          </w:pPr>
          <w:r w:rsidRPr="00794B80">
            <w:rPr>
              <w:rFonts w:cs="Times New Roman"/>
              <w:b/>
              <w:bCs/>
              <w:szCs w:val="24"/>
            </w:rPr>
            <w:fldChar w:fldCharType="end"/>
          </w:r>
          <w:r w:rsidR="00794B80" w:rsidRPr="00794B80">
            <w:t xml:space="preserve"> </w:t>
          </w:r>
          <w:r w:rsidR="00794B80" w:rsidRPr="00794B80">
            <w:rPr>
              <w:rFonts w:cs="Times New Roman"/>
              <w:b/>
              <w:bCs/>
              <w:szCs w:val="24"/>
            </w:rPr>
            <w:t>Bibliographie</w:t>
          </w:r>
        </w:p>
        <w:p w14:paraId="687E87E5" w14:textId="77777777" w:rsidR="00794B80" w:rsidRPr="00794B80" w:rsidRDefault="00794B80" w:rsidP="00794B80">
          <w:pPr>
            <w:pStyle w:val="TM1"/>
            <w:tabs>
              <w:tab w:val="right" w:leader="dot" w:pos="9911"/>
            </w:tabs>
            <w:rPr>
              <w:rFonts w:cs="Times New Roman"/>
              <w:b/>
              <w:bCs/>
              <w:szCs w:val="24"/>
            </w:rPr>
          </w:pPr>
          <w:r w:rsidRPr="00794B80">
            <w:rPr>
              <w:rFonts w:cs="Times New Roman"/>
              <w:b/>
              <w:bCs/>
              <w:szCs w:val="24"/>
            </w:rPr>
            <w:t>Les Annexes</w:t>
          </w:r>
        </w:p>
        <w:p w14:paraId="18E07350" w14:textId="02D42659" w:rsidR="004321CD" w:rsidRPr="00794B80" w:rsidRDefault="00794B80" w:rsidP="00794B80">
          <w:pPr>
            <w:rPr>
              <w:rFonts w:cs="Times New Roman"/>
              <w:szCs w:val="24"/>
            </w:rPr>
          </w:pPr>
          <w:r w:rsidRPr="00794B80">
            <w:rPr>
              <w:rFonts w:cs="Times New Roman"/>
              <w:b/>
              <w:bCs/>
              <w:szCs w:val="24"/>
            </w:rPr>
            <w:t>Les Résumés</w:t>
          </w:r>
        </w:p>
      </w:sdtContent>
    </w:sdt>
    <w:p w14:paraId="013469C6" w14:textId="27431B74" w:rsidR="001A3CB6" w:rsidRPr="00581785" w:rsidRDefault="007F1EF6" w:rsidP="00B7491C">
      <w:r>
        <w:rPr>
          <w:b/>
          <w:bCs/>
          <w:noProof/>
          <w:sz w:val="48"/>
          <w:szCs w:val="48"/>
          <w:u w:val="single"/>
          <w:lang w:eastAsia="fr-FR"/>
        </w:rPr>
        <w:lastRenderedPageBreak/>
        <mc:AlternateContent>
          <mc:Choice Requires="wps">
            <w:drawing>
              <wp:anchor distT="0" distB="0" distL="114300" distR="114300" simplePos="0" relativeHeight="251778048" behindDoc="1" locked="0" layoutInCell="1" allowOverlap="1" wp14:anchorId="437D29E4" wp14:editId="152A6265">
                <wp:simplePos x="0" y="0"/>
                <wp:positionH relativeFrom="margin">
                  <wp:align>center</wp:align>
                </wp:positionH>
                <wp:positionV relativeFrom="margin">
                  <wp:align>center</wp:align>
                </wp:positionV>
                <wp:extent cx="5600700" cy="3743325"/>
                <wp:effectExtent l="0" t="0" r="19050" b="28575"/>
                <wp:wrapTight wrapText="bothSides">
                  <wp:wrapPolygon edited="0">
                    <wp:start x="20278" y="0"/>
                    <wp:lineTo x="19910" y="440"/>
                    <wp:lineTo x="19616" y="1099"/>
                    <wp:lineTo x="19616" y="1759"/>
                    <wp:lineTo x="3233" y="2418"/>
                    <wp:lineTo x="0" y="2638"/>
                    <wp:lineTo x="0" y="21215"/>
                    <wp:lineTo x="367" y="21655"/>
                    <wp:lineTo x="441" y="21655"/>
                    <wp:lineTo x="1396" y="21655"/>
                    <wp:lineTo x="1469" y="21655"/>
                    <wp:lineTo x="1837" y="21105"/>
                    <wp:lineTo x="1984" y="19347"/>
                    <wp:lineTo x="21600" y="19127"/>
                    <wp:lineTo x="21600" y="660"/>
                    <wp:lineTo x="21159" y="0"/>
                    <wp:lineTo x="20278" y="0"/>
                  </wp:wrapPolygon>
                </wp:wrapTight>
                <wp:docPr id="210" name="Parchemin horizontal 210"/>
                <wp:cNvGraphicFramePr/>
                <a:graphic xmlns:a="http://schemas.openxmlformats.org/drawingml/2006/main">
                  <a:graphicData uri="http://schemas.microsoft.com/office/word/2010/wordprocessingShape">
                    <wps:wsp>
                      <wps:cNvSpPr/>
                      <wps:spPr>
                        <a:xfrm>
                          <a:off x="0" y="0"/>
                          <a:ext cx="5600700" cy="3743325"/>
                        </a:xfrm>
                        <a:prstGeom prst="horizontalScroll">
                          <a:avLst/>
                        </a:prstGeom>
                      </wps:spPr>
                      <wps:style>
                        <a:lnRef idx="1">
                          <a:schemeClr val="accent3"/>
                        </a:lnRef>
                        <a:fillRef idx="2">
                          <a:schemeClr val="accent3"/>
                        </a:fillRef>
                        <a:effectRef idx="1">
                          <a:schemeClr val="accent3"/>
                        </a:effectRef>
                        <a:fontRef idx="minor">
                          <a:schemeClr val="dk1"/>
                        </a:fontRef>
                      </wps:style>
                      <wps:txbx>
                        <w:txbxContent>
                          <w:p w14:paraId="25D856A2" w14:textId="77777777" w:rsidR="0095621A" w:rsidRPr="00D11D21" w:rsidRDefault="0095621A" w:rsidP="00CD160A">
                            <w:pPr>
                              <w:pStyle w:val="Titre"/>
                              <w:rPr>
                                <w:sz w:val="60"/>
                                <w:szCs w:val="60"/>
                              </w:rPr>
                            </w:pPr>
                            <w:r w:rsidRPr="00D11D21">
                              <w:rPr>
                                <w:sz w:val="60"/>
                                <w:szCs w:val="60"/>
                              </w:rPr>
                              <w:t>Annexes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37D29E4" id="Parchemin horizontal 210" o:spid="_x0000_s1084" type="#_x0000_t98" style="position:absolute;margin-left:0;margin-top:0;width:441pt;height:294.75pt;z-index:-251538432;visibility:visible;mso-wrap-style:square;mso-wrap-distance-left:9pt;mso-wrap-distance-top:0;mso-wrap-distance-right:9pt;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" fillcolor="#c3c3c3 [2166]" strokecolor="#a5a5a5 [3206]" strokeweight=".5pt">
                <v:fill color2="#b6b6b6 [2614]" rotate="t" colors="0 #d2d2d2;.5 #c8c8c8;1 silver" focus="100%" type="gradient">
                  <o:fill v:ext="view" type="gradientUnscaled"/>
                </v:fill>
                <v:stroke joinstyle="miter"/>
                <v:textbox>
                  <w:txbxContent>
                    <w:p w14:paraId="25D856A2" w14:textId="77777777" w:rsidR="0095621A" w:rsidRPr="00D11D21" w:rsidRDefault="0095621A" w:rsidP="00CD160A">
                      <w:pPr>
                        <w:pStyle w:val="Titre"/>
                        <w:rPr>
                          <w:sz w:val="60"/>
                          <w:szCs w:val="60"/>
                        </w:rPr>
                      </w:pPr>
                      <w:r w:rsidRPr="00D11D21">
                        <w:rPr>
                          <w:sz w:val="60"/>
                          <w:szCs w:val="60"/>
                        </w:rPr>
                        <w:t>Annexes</w:t>
                      </w:r>
                    </w:p>
                  </w:txbxContent>
                </v:textbox>
                <w10:wrap type="tight" anchorx="margin" anchory="margin"/>
              </v:shape>
            </w:pict>
          </mc:Fallback>
        </mc:AlternateContent>
      </w:r>
    </w:p>
    <w:p w14:paraId="337C7CCE" w14:textId="77777777" w:rsidR="004C6227" w:rsidRDefault="004C6227" w:rsidP="0085381F">
      <w:pPr>
        <w:sectPr w:rsidR="004C6227" w:rsidSect="002860FC">
          <w:headerReference w:type="default" r:id="rId62"/>
          <w:pgSz w:w="11906" w:h="16838"/>
          <w:pgMar w:top="567" w:right="851" w:bottom="567" w:left="1134" w:header="340" w:footer="567" w:gutter="0"/>
          <w:cols w:space="708"/>
          <w:docGrid w:linePitch="360"/>
        </w:sectPr>
      </w:pPr>
    </w:p>
    <w:p w14:paraId="6FD3B8FD" w14:textId="11A64E85" w:rsidR="0085381F" w:rsidRPr="00D04D2D" w:rsidRDefault="00D04D2D" w:rsidP="0085381F">
      <w:r w:rsidRPr="00D04D2D">
        <w:lastRenderedPageBreak/>
        <w:t>Annexe n°01</w:t>
      </w:r>
      <w:r w:rsidR="0085381F">
        <w:t> :</w:t>
      </w:r>
      <w:r w:rsidR="0085381F" w:rsidRPr="0085381F">
        <w:t xml:space="preserve"> Situation géographique de l’établissement hospitalier</w:t>
      </w:r>
    </w:p>
    <w:p w14:paraId="286CAD5C" w14:textId="716A92BF" w:rsidR="001A3CB6" w:rsidRDefault="00583FCE" w:rsidP="009D5730">
      <w:pPr>
        <w:jc w:val="center"/>
      </w:pPr>
      <w:r>
        <w:rPr>
          <w:noProof/>
          <w:lang w:eastAsia="fr-FR"/>
        </w:rPr>
        <w:drawing>
          <wp:inline distT="0" distB="0" distL="0" distR="0" wp14:anchorId="6CB3EA19" wp14:editId="14599651">
            <wp:extent cx="4219575" cy="2688751"/>
            <wp:effectExtent l="0" t="0" r="0" b="0"/>
            <wp:docPr id="211" name="Imag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Capture d’écran 2025-05-15 024205hoptll.png"/>
                    <pic:cNvPicPr/>
                  </pic:nvPicPr>
                  <pic:blipFill>
                    <a:blip r:embed="rId63">
                      <a:extLst>
                        <a:ext uri="{28A0092B-C50C-407E-A947-70E740481C1C}">
                          <a14:useLocalDpi xmlns:a14="http://schemas.microsoft.com/office/drawing/2010/main" val="0"/>
                        </a:ext>
                      </a:extLst>
                    </a:blip>
                    <a:stretch>
                      <a:fillRect/>
                    </a:stretch>
                  </pic:blipFill>
                  <pic:spPr>
                    <a:xfrm>
                      <a:off x="0" y="0"/>
                      <a:ext cx="4261215" cy="2715285"/>
                    </a:xfrm>
                    <a:prstGeom prst="rect">
                      <a:avLst/>
                    </a:prstGeom>
                  </pic:spPr>
                </pic:pic>
              </a:graphicData>
            </a:graphic>
          </wp:inline>
        </w:drawing>
      </w:r>
    </w:p>
    <w:p w14:paraId="208CA7F1" w14:textId="323D9178" w:rsidR="009D5730" w:rsidRDefault="009D5730" w:rsidP="009D5730">
      <w:r>
        <w:t>Annexe n</w:t>
      </w:r>
      <w:r w:rsidRPr="009D5730">
        <w:t>°</w:t>
      </w:r>
      <w:r>
        <w:t>02 :</w:t>
      </w:r>
    </w:p>
    <w:p w14:paraId="14CD9F34" w14:textId="69CA3E0D" w:rsidR="001A3CB6" w:rsidRDefault="00241B53" w:rsidP="009D5730">
      <w:pPr>
        <w:jc w:val="center"/>
      </w:pPr>
      <w:r>
        <w:object w:dxaOrig="8925" w:dyaOrig="12630" w14:anchorId="4EFD96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96pt;height:468.75pt" o:ole="">
            <v:imagedata r:id="rId64" o:title=""/>
          </v:shape>
          <o:OLEObject Type="Embed" ProgID="Acrobat.Document.DC" ShapeID="_x0000_i1028" DrawAspect="Content" ObjectID="_1811610239" r:id="rId65"/>
        </w:object>
      </w:r>
    </w:p>
    <w:p w14:paraId="2F613CCC" w14:textId="77777777" w:rsidR="001A3CB6" w:rsidRDefault="001A3CB6" w:rsidP="00B7491C">
      <w:pPr>
        <w:jc w:val="center"/>
      </w:pPr>
    </w:p>
    <w:p w14:paraId="40662CB6" w14:textId="77777777" w:rsidR="001A3CB6" w:rsidRDefault="004C19B1" w:rsidP="00B7491C">
      <w:pPr>
        <w:jc w:val="center"/>
      </w:pPr>
      <w:r>
        <w:rPr>
          <w:noProof/>
          <w:lang w:eastAsia="fr-FR"/>
        </w:rPr>
        <w:drawing>
          <wp:inline distT="0" distB="0" distL="0" distR="0" wp14:anchorId="2F74CD86" wp14:editId="039DDE57">
            <wp:extent cx="3960395" cy="6191250"/>
            <wp:effectExtent l="0" t="0" r="2540" b="0"/>
            <wp:docPr id="212" name="Imag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WhatsApp Image 2025-06-01 at 01.08.30.jpeg"/>
                    <pic:cNvPicPr/>
                  </pic:nvPicPr>
                  <pic:blipFill>
                    <a:blip r:embed="rId66">
                      <a:extLst>
                        <a:ext uri="{28A0092B-C50C-407E-A947-70E740481C1C}">
                          <a14:useLocalDpi xmlns:a14="http://schemas.microsoft.com/office/drawing/2010/main" val="0"/>
                        </a:ext>
                      </a:extLst>
                    </a:blip>
                    <a:stretch>
                      <a:fillRect/>
                    </a:stretch>
                  </pic:blipFill>
                  <pic:spPr>
                    <a:xfrm>
                      <a:off x="0" y="0"/>
                      <a:ext cx="3960395" cy="6191250"/>
                    </a:xfrm>
                    <a:prstGeom prst="rect">
                      <a:avLst/>
                    </a:prstGeom>
                  </pic:spPr>
                </pic:pic>
              </a:graphicData>
            </a:graphic>
          </wp:inline>
        </w:drawing>
      </w:r>
    </w:p>
    <w:p w14:paraId="3BD96D10" w14:textId="77777777" w:rsidR="009D5730" w:rsidRDefault="004C19B1" w:rsidP="009D5730">
      <w:pPr>
        <w:jc w:val="center"/>
      </w:pPr>
      <w:r>
        <w:rPr>
          <w:noProof/>
          <w:lang w:eastAsia="fr-FR"/>
        </w:rPr>
        <w:lastRenderedPageBreak/>
        <w:drawing>
          <wp:inline distT="0" distB="0" distL="0" distR="0" wp14:anchorId="2B1BEAD3" wp14:editId="34590696">
            <wp:extent cx="4087794" cy="6505575"/>
            <wp:effectExtent l="0" t="0" r="8255" b="0"/>
            <wp:docPr id="213" name="Imag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WhatsApp Image 2025-06-01 at 01.08.29.jpeg"/>
                    <pic:cNvPicPr/>
                  </pic:nvPicPr>
                  <pic:blipFill>
                    <a:blip r:embed="rId67">
                      <a:extLst>
                        <a:ext uri="{28A0092B-C50C-407E-A947-70E740481C1C}">
                          <a14:useLocalDpi xmlns:a14="http://schemas.microsoft.com/office/drawing/2010/main" val="0"/>
                        </a:ext>
                      </a:extLst>
                    </a:blip>
                    <a:stretch>
                      <a:fillRect/>
                    </a:stretch>
                  </pic:blipFill>
                  <pic:spPr>
                    <a:xfrm>
                      <a:off x="0" y="0"/>
                      <a:ext cx="4087794" cy="6505575"/>
                    </a:xfrm>
                    <a:prstGeom prst="rect">
                      <a:avLst/>
                    </a:prstGeom>
                  </pic:spPr>
                </pic:pic>
              </a:graphicData>
            </a:graphic>
          </wp:inline>
        </w:drawing>
      </w:r>
    </w:p>
    <w:p w14:paraId="3D6FD611" w14:textId="3B8A1877" w:rsidR="00DB7EDB" w:rsidRPr="00DB7EDB" w:rsidRDefault="00DB7EDB" w:rsidP="009D5730">
      <w:r>
        <w:lastRenderedPageBreak/>
        <w:t>Annexe n°03</w:t>
      </w:r>
      <w:r w:rsidRPr="00DB7EDB">
        <w:t> :</w:t>
      </w:r>
      <w:r w:rsidR="007E1E5B" w:rsidRPr="007E1E5B">
        <w:rPr>
          <w:noProof/>
          <w:lang w:eastAsia="fr-FR"/>
        </w:rPr>
        <w:t xml:space="preserve"> </w:t>
      </w:r>
      <w:r w:rsidR="007E1E5B">
        <w:rPr>
          <w:noProof/>
          <w:lang w:eastAsia="fr-FR"/>
        </w:rPr>
        <w:drawing>
          <wp:inline distT="0" distB="0" distL="0" distR="0" wp14:anchorId="0E783FC2" wp14:editId="669B2984">
            <wp:extent cx="5902815" cy="8355330"/>
            <wp:effectExtent l="0" t="0" r="3175" b="7620"/>
            <wp:docPr id="216" name="Imag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WhatsApp Image 2025-06-01 at 12.06.16.jpeg"/>
                    <pic:cNvPicPr/>
                  </pic:nvPicPr>
                  <pic:blipFill>
                    <a:blip r:embed="rId68">
                      <a:extLst>
                        <a:ext uri="{28A0092B-C50C-407E-A947-70E740481C1C}">
                          <a14:useLocalDpi xmlns:a14="http://schemas.microsoft.com/office/drawing/2010/main" val="0"/>
                        </a:ext>
                      </a:extLst>
                    </a:blip>
                    <a:stretch>
                      <a:fillRect/>
                    </a:stretch>
                  </pic:blipFill>
                  <pic:spPr>
                    <a:xfrm>
                      <a:off x="0" y="0"/>
                      <a:ext cx="5928979" cy="8392365"/>
                    </a:xfrm>
                    <a:prstGeom prst="rect">
                      <a:avLst/>
                    </a:prstGeom>
                  </pic:spPr>
                </pic:pic>
              </a:graphicData>
            </a:graphic>
          </wp:inline>
        </w:drawing>
      </w:r>
    </w:p>
    <w:p w14:paraId="06742CEF" w14:textId="77777777" w:rsidR="001A3CB6" w:rsidRDefault="007E1E5B" w:rsidP="007E1E5B">
      <w:r>
        <w:rPr>
          <w:noProof/>
          <w:lang w:eastAsia="fr-FR"/>
        </w:rPr>
        <w:lastRenderedPageBreak/>
        <w:drawing>
          <wp:inline distT="0" distB="0" distL="0" distR="0" wp14:anchorId="588B65B9" wp14:editId="691C0A7D">
            <wp:extent cx="6299835" cy="8917305"/>
            <wp:effectExtent l="0" t="0" r="5715" b="0"/>
            <wp:docPr id="215" name="Imag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WhatsApp Image 2025-06-01 at 12.06.16 (1).jpeg"/>
                    <pic:cNvPicPr/>
                  </pic:nvPicPr>
                  <pic:blipFill>
                    <a:blip r:embed="rId69">
                      <a:extLst>
                        <a:ext uri="{28A0092B-C50C-407E-A947-70E740481C1C}">
                          <a14:useLocalDpi xmlns:a14="http://schemas.microsoft.com/office/drawing/2010/main" val="0"/>
                        </a:ext>
                      </a:extLst>
                    </a:blip>
                    <a:stretch>
                      <a:fillRect/>
                    </a:stretch>
                  </pic:blipFill>
                  <pic:spPr>
                    <a:xfrm>
                      <a:off x="0" y="0"/>
                      <a:ext cx="6299835" cy="8917305"/>
                    </a:xfrm>
                    <a:prstGeom prst="rect">
                      <a:avLst/>
                    </a:prstGeom>
                  </pic:spPr>
                </pic:pic>
              </a:graphicData>
            </a:graphic>
          </wp:inline>
        </w:drawing>
      </w:r>
      <w:r>
        <w:rPr>
          <w:noProof/>
          <w:lang w:eastAsia="fr-FR"/>
        </w:rPr>
        <w:lastRenderedPageBreak/>
        <w:drawing>
          <wp:inline distT="0" distB="0" distL="0" distR="0" wp14:anchorId="5FC60163" wp14:editId="7B5A0852">
            <wp:extent cx="6299835" cy="6905625"/>
            <wp:effectExtent l="0" t="0" r="5715" b="9525"/>
            <wp:docPr id="214" name="Imag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WhatsApp Image 2025-06-01 at 12.06.16 (2).jpeg"/>
                    <pic:cNvPicPr/>
                  </pic:nvPicPr>
                  <pic:blipFill rotWithShape="1">
                    <a:blip r:embed="rId70">
                      <a:extLst>
                        <a:ext uri="{28A0092B-C50C-407E-A947-70E740481C1C}">
                          <a14:useLocalDpi xmlns:a14="http://schemas.microsoft.com/office/drawing/2010/main" val="0"/>
                        </a:ext>
                      </a:extLst>
                    </a:blip>
                    <a:srcRect t="6944" b="15616"/>
                    <a:stretch/>
                  </pic:blipFill>
                  <pic:spPr bwMode="auto">
                    <a:xfrm>
                      <a:off x="0" y="0"/>
                      <a:ext cx="6299835" cy="6905625"/>
                    </a:xfrm>
                    <a:prstGeom prst="rect">
                      <a:avLst/>
                    </a:prstGeom>
                    <a:ln>
                      <a:noFill/>
                    </a:ln>
                    <a:extLst>
                      <a:ext uri="{53640926-AAD7-44D8-BBD7-CCE9431645EC}">
                        <a14:shadowObscured xmlns:a14="http://schemas.microsoft.com/office/drawing/2010/main"/>
                      </a:ext>
                    </a:extLst>
                  </pic:spPr>
                </pic:pic>
              </a:graphicData>
            </a:graphic>
          </wp:inline>
        </w:drawing>
      </w:r>
    </w:p>
    <w:p w14:paraId="31EC8FBD" w14:textId="77777777" w:rsidR="001A3CB6" w:rsidRDefault="001A3CB6" w:rsidP="00227348"/>
    <w:p w14:paraId="5B530101" w14:textId="47FE39AA" w:rsidR="001A3CB6" w:rsidRDefault="00241B53" w:rsidP="00241B53">
      <w:pPr>
        <w:tabs>
          <w:tab w:val="left" w:pos="9105"/>
        </w:tabs>
      </w:pPr>
      <w:r>
        <w:tab/>
      </w:r>
    </w:p>
    <w:p w14:paraId="1A5A57CF" w14:textId="77777777" w:rsidR="001A3CB6" w:rsidRPr="007E1E5B" w:rsidRDefault="007E1E5B" w:rsidP="007E1E5B">
      <w:r>
        <w:lastRenderedPageBreak/>
        <w:t>Annexe n°04</w:t>
      </w:r>
      <w:r w:rsidRPr="007E1E5B">
        <w:t> :</w:t>
      </w:r>
      <w:r w:rsidR="002F0DCD" w:rsidRPr="002F0DCD">
        <w:rPr>
          <w:noProof/>
          <w:lang w:eastAsia="fr-FR"/>
        </w:rPr>
        <w:t xml:space="preserve"> </w:t>
      </w:r>
      <w:r w:rsidR="002F0DCD">
        <w:rPr>
          <w:noProof/>
          <w:lang w:eastAsia="fr-FR"/>
        </w:rPr>
        <w:drawing>
          <wp:inline distT="0" distB="0" distL="0" distR="0" wp14:anchorId="44D9D6F8" wp14:editId="793BBAD2">
            <wp:extent cx="5410200" cy="6584837"/>
            <wp:effectExtent l="0" t="0" r="0" b="6985"/>
            <wp:docPr id="220" name="Imag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WhatsApp Image 2025-06-01 at 12.07.20.jpeg"/>
                    <pic:cNvPicPr/>
                  </pic:nvPicPr>
                  <pic:blipFill rotWithShape="1">
                    <a:blip r:embed="rId71">
                      <a:extLst>
                        <a:ext uri="{28A0092B-C50C-407E-A947-70E740481C1C}">
                          <a14:useLocalDpi xmlns:a14="http://schemas.microsoft.com/office/drawing/2010/main" val="0"/>
                        </a:ext>
                      </a:extLst>
                    </a:blip>
                    <a:srcRect t="6623" b="7391"/>
                    <a:stretch/>
                  </pic:blipFill>
                  <pic:spPr bwMode="auto">
                    <a:xfrm>
                      <a:off x="0" y="0"/>
                      <a:ext cx="5424805" cy="6602613"/>
                    </a:xfrm>
                    <a:prstGeom prst="rect">
                      <a:avLst/>
                    </a:prstGeom>
                    <a:ln>
                      <a:noFill/>
                    </a:ln>
                    <a:extLst>
                      <a:ext uri="{53640926-AAD7-44D8-BBD7-CCE9431645EC}">
                        <a14:shadowObscured xmlns:a14="http://schemas.microsoft.com/office/drawing/2010/main"/>
                      </a:ext>
                    </a:extLst>
                  </pic:spPr>
                </pic:pic>
              </a:graphicData>
            </a:graphic>
          </wp:inline>
        </w:drawing>
      </w:r>
    </w:p>
    <w:p w14:paraId="16E76EE0" w14:textId="16D51604" w:rsidR="001A3CB6" w:rsidRDefault="00241B53" w:rsidP="00241B53">
      <w:pPr>
        <w:jc w:val="center"/>
      </w:pPr>
      <w:r>
        <w:rPr>
          <w:noProof/>
          <w:lang w:eastAsia="fr-FR"/>
        </w:rPr>
        <w:lastRenderedPageBreak/>
        <w:drawing>
          <wp:inline distT="0" distB="0" distL="0" distR="0" wp14:anchorId="07BA636F" wp14:editId="290B4371">
            <wp:extent cx="4885737" cy="6392173"/>
            <wp:effectExtent l="0" t="0" r="0" b="8890"/>
            <wp:docPr id="217" name="Imag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WhatsApp Image 2025-06-01 at 12.07.21.jpeg"/>
                    <pic:cNvPicPr/>
                  </pic:nvPicPr>
                  <pic:blipFill rotWithShape="1">
                    <a:blip r:embed="rId72">
                      <a:extLst>
                        <a:ext uri="{28A0092B-C50C-407E-A947-70E740481C1C}">
                          <a14:useLocalDpi xmlns:a14="http://schemas.microsoft.com/office/drawing/2010/main" val="0"/>
                        </a:ext>
                      </a:extLst>
                    </a:blip>
                    <a:srcRect t="6622" r="9284" b="9528"/>
                    <a:stretch/>
                  </pic:blipFill>
                  <pic:spPr bwMode="auto">
                    <a:xfrm>
                      <a:off x="0" y="0"/>
                      <a:ext cx="4889264" cy="6396787"/>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fr-FR"/>
        </w:rPr>
        <w:lastRenderedPageBreak/>
        <w:drawing>
          <wp:inline distT="0" distB="0" distL="0" distR="0" wp14:anchorId="50369BBC" wp14:editId="0C33A54C">
            <wp:extent cx="4657477" cy="6381115"/>
            <wp:effectExtent l="0" t="0" r="0" b="635"/>
            <wp:docPr id="219" name="Imag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WhatsApp Image 2025-06-01 at 12.07.20 (1).jpeg"/>
                    <pic:cNvPicPr/>
                  </pic:nvPicPr>
                  <pic:blipFill rotWithShape="1">
                    <a:blip r:embed="rId73">
                      <a:extLst>
                        <a:ext uri="{28A0092B-C50C-407E-A947-70E740481C1C}">
                          <a14:useLocalDpi xmlns:a14="http://schemas.microsoft.com/office/drawing/2010/main" val="0"/>
                        </a:ext>
                      </a:extLst>
                    </a:blip>
                    <a:srcRect t="6796" r="11242" b="7293"/>
                    <a:stretch/>
                  </pic:blipFill>
                  <pic:spPr bwMode="auto">
                    <a:xfrm>
                      <a:off x="0" y="0"/>
                      <a:ext cx="4657477" cy="6381115"/>
                    </a:xfrm>
                    <a:prstGeom prst="rect">
                      <a:avLst/>
                    </a:prstGeom>
                    <a:ln>
                      <a:noFill/>
                    </a:ln>
                    <a:extLst>
                      <a:ext uri="{53640926-AAD7-44D8-BBD7-CCE9431645EC}">
                        <a14:shadowObscured xmlns:a14="http://schemas.microsoft.com/office/drawing/2010/main"/>
                      </a:ext>
                    </a:extLst>
                  </pic:spPr>
                </pic:pic>
              </a:graphicData>
            </a:graphic>
          </wp:inline>
        </w:drawing>
      </w:r>
      <w:r w:rsidR="002F0DCD">
        <w:rPr>
          <w:noProof/>
          <w:lang w:eastAsia="fr-FR"/>
        </w:rPr>
        <w:drawing>
          <wp:inline distT="0" distB="0" distL="0" distR="0" wp14:anchorId="3656EDEF" wp14:editId="6A7179F4">
            <wp:extent cx="4657725" cy="1539350"/>
            <wp:effectExtent l="0" t="0" r="0" b="3810"/>
            <wp:docPr id="218" name="Imag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WhatsApp Image 2025-06-01 at 12.07.20 (2).jpeg"/>
                    <pic:cNvPicPr/>
                  </pic:nvPicPr>
                  <pic:blipFill rotWithShape="1">
                    <a:blip r:embed="rId74" cstate="print">
                      <a:extLst>
                        <a:ext uri="{28A0092B-C50C-407E-A947-70E740481C1C}">
                          <a14:useLocalDpi xmlns:a14="http://schemas.microsoft.com/office/drawing/2010/main" val="0"/>
                        </a:ext>
                      </a:extLst>
                    </a:blip>
                    <a:srcRect l="1210" t="5451" r="10039" b="73811"/>
                    <a:stretch/>
                  </pic:blipFill>
                  <pic:spPr bwMode="auto">
                    <a:xfrm>
                      <a:off x="0" y="0"/>
                      <a:ext cx="4662494" cy="1540926"/>
                    </a:xfrm>
                    <a:prstGeom prst="rect">
                      <a:avLst/>
                    </a:prstGeom>
                    <a:ln>
                      <a:noFill/>
                    </a:ln>
                    <a:extLst>
                      <a:ext uri="{53640926-AAD7-44D8-BBD7-CCE9431645EC}">
                        <a14:shadowObscured xmlns:a14="http://schemas.microsoft.com/office/drawing/2010/main"/>
                      </a:ext>
                    </a:extLst>
                  </pic:spPr>
                </pic:pic>
              </a:graphicData>
            </a:graphic>
          </wp:inline>
        </w:drawing>
      </w:r>
    </w:p>
    <w:p w14:paraId="47955693" w14:textId="0B455AD2" w:rsidR="001A3CB6" w:rsidRDefault="001A3CB6" w:rsidP="004C19B1"/>
    <w:p w14:paraId="7EB9D272" w14:textId="39CB6D67" w:rsidR="00241B53" w:rsidRDefault="00241B53" w:rsidP="004C19B1"/>
    <w:p w14:paraId="4C30EA59" w14:textId="0B9B41AF" w:rsidR="00241B53" w:rsidRDefault="00241B53" w:rsidP="004C19B1"/>
    <w:p w14:paraId="5E3398E2" w14:textId="77777777" w:rsidR="00241B53" w:rsidRDefault="00241B53" w:rsidP="004C19B1"/>
    <w:p w14:paraId="47271F04" w14:textId="444BC43F" w:rsidR="006D3A5B" w:rsidRPr="0077376F" w:rsidRDefault="006D3A5B" w:rsidP="00A4321F">
      <w:pPr>
        <w:spacing w:before="100" w:beforeAutospacing="1" w:after="100" w:afterAutospacing="1" w:line="240" w:lineRule="auto"/>
        <w:jc w:val="both"/>
        <w:rPr>
          <w:rFonts w:eastAsia="Times New Roman" w:cs="Times New Roman"/>
          <w:b/>
          <w:bCs/>
          <w:sz w:val="27"/>
          <w:szCs w:val="27"/>
          <w:lang w:eastAsia="fr-FR" w:bidi="ar-DZ"/>
        </w:rPr>
      </w:pPr>
      <w:r>
        <w:rPr>
          <w:rFonts w:eastAsia="Times New Roman" w:cs="Times New Roman"/>
          <w:b/>
          <w:bCs/>
          <w:sz w:val="27"/>
          <w:szCs w:val="27"/>
          <w:rtl/>
          <w:lang w:eastAsia="fr-FR"/>
        </w:rPr>
        <w:lastRenderedPageBreak/>
        <w:t>الملخ</w:t>
      </w:r>
      <w:r>
        <w:rPr>
          <w:rFonts w:eastAsia="Times New Roman" w:cs="Times New Roman" w:hint="cs"/>
          <w:b/>
          <w:bCs/>
          <w:sz w:val="27"/>
          <w:szCs w:val="27"/>
          <w:rtl/>
          <w:lang w:eastAsia="fr-FR" w:bidi="ar-DZ"/>
        </w:rPr>
        <w:t>ص</w:t>
      </w:r>
      <w:r>
        <w:rPr>
          <w:rFonts w:eastAsia="Times New Roman" w:cs="Times New Roman"/>
          <w:b/>
          <w:bCs/>
          <w:sz w:val="27"/>
          <w:szCs w:val="27"/>
          <w:lang w:eastAsia="fr-FR"/>
        </w:rPr>
        <w:t xml:space="preserve"> (</w:t>
      </w:r>
      <w:r w:rsidR="002A2096">
        <w:rPr>
          <w:rFonts w:eastAsia="Times New Roman" w:cs="Times New Roman"/>
          <w:b/>
          <w:bCs/>
          <w:sz w:val="27"/>
          <w:szCs w:val="27"/>
          <w:lang w:eastAsia="fr-FR"/>
        </w:rPr>
        <w:t>Arabe</w:t>
      </w:r>
      <w:r w:rsidR="002A2096">
        <w:rPr>
          <w:rFonts w:eastAsia="Times New Roman" w:cs="Times New Roman" w:hint="cs"/>
          <w:b/>
          <w:bCs/>
          <w:sz w:val="27"/>
          <w:szCs w:val="27"/>
          <w:rtl/>
          <w:lang w:eastAsia="fr-FR"/>
        </w:rPr>
        <w:t xml:space="preserve"> </w:t>
      </w:r>
      <w:r w:rsidR="002A2096">
        <w:rPr>
          <w:rFonts w:eastAsia="Times New Roman" w:cs="Times New Roman"/>
          <w:b/>
          <w:bCs/>
          <w:sz w:val="27"/>
          <w:szCs w:val="27"/>
          <w:rtl/>
          <w:lang w:eastAsia="fr-FR"/>
        </w:rPr>
        <w:t>(</w:t>
      </w:r>
    </w:p>
    <w:p w14:paraId="42DDBF95" w14:textId="77777777" w:rsidR="006D3A5B" w:rsidRPr="00AB63BC" w:rsidRDefault="006D3A5B" w:rsidP="00A4321F">
      <w:pPr>
        <w:spacing w:before="100" w:beforeAutospacing="1" w:after="100" w:afterAutospacing="1" w:line="240" w:lineRule="auto"/>
        <w:jc w:val="both"/>
        <w:rPr>
          <w:rFonts w:eastAsia="Times New Roman" w:cs="Times New Roman"/>
          <w:szCs w:val="24"/>
          <w:lang w:eastAsia="fr-FR"/>
        </w:rPr>
      </w:pPr>
      <w:r w:rsidRPr="00AB63BC">
        <w:rPr>
          <w:rFonts w:eastAsia="Times New Roman" w:cs="Times New Roman"/>
          <w:szCs w:val="24"/>
          <w:rtl/>
          <w:lang w:eastAsia="fr-FR"/>
        </w:rPr>
        <w:t xml:space="preserve">يتناول هذا البحث دور تطوير نظم المعلومات الصحية في إعادة هيكلة أنماط تمويل المؤسسات الاستشفائية العمومية في الجزائر. من خلال الدمج بين الدراسة النظرية والتحقيق الميداني على مستوى مستشفى بوزيدي لخضر </w:t>
      </w:r>
      <w:proofErr w:type="spellStart"/>
      <w:r w:rsidRPr="00AB63BC">
        <w:rPr>
          <w:rFonts w:eastAsia="Times New Roman" w:cs="Times New Roman"/>
          <w:szCs w:val="24"/>
          <w:rtl/>
          <w:lang w:eastAsia="fr-FR"/>
        </w:rPr>
        <w:t>ببورج</w:t>
      </w:r>
      <w:proofErr w:type="spellEnd"/>
      <w:r w:rsidRPr="00AB63BC">
        <w:rPr>
          <w:rFonts w:eastAsia="Times New Roman" w:cs="Times New Roman"/>
          <w:szCs w:val="24"/>
          <w:rtl/>
          <w:lang w:eastAsia="fr-FR"/>
        </w:rPr>
        <w:t xml:space="preserve"> بوعريريج والمديرية العامة للصندوق الوطني للتأمينات الاجتماعية بالجزائر، تهدف هذه الدراسة إلى إبراز مساهمة نظم المعلومات في تحديث آليات التسيير المالي بالمستشفيات. أظهرت النتائج أن دمج نظام معلومات موحد وفعّال يسمح بتتبع أدق للنفقات، ويعزز الشفافية والعدالة في توزيع الموارد. تم اقتراح نموذج تمويل مختلط يجمع بين جزء ثابت وآخر متغير حسب النشاط الفعلي. كما سلط البحث الضوء على التحديات الضرورية لإنجاح الإصلاح: البنية التحتية، التكوين، قابلية التوافق، ومرافقة التغيير</w:t>
      </w:r>
      <w:r w:rsidRPr="00AB63BC">
        <w:rPr>
          <w:rFonts w:eastAsia="Times New Roman" w:cs="Times New Roman"/>
          <w:szCs w:val="24"/>
          <w:lang w:eastAsia="fr-FR"/>
        </w:rPr>
        <w:t>.</w:t>
      </w:r>
    </w:p>
    <w:p w14:paraId="500B9CE2" w14:textId="77777777" w:rsidR="006D3A5B" w:rsidRPr="00AB63BC" w:rsidRDefault="006D3A5B" w:rsidP="00A4321F">
      <w:pPr>
        <w:spacing w:before="100" w:beforeAutospacing="1" w:after="100" w:afterAutospacing="1" w:line="240" w:lineRule="auto"/>
        <w:jc w:val="both"/>
        <w:rPr>
          <w:rFonts w:eastAsia="Times New Roman" w:cs="Times New Roman"/>
          <w:szCs w:val="24"/>
          <w:lang w:eastAsia="fr-FR"/>
        </w:rPr>
      </w:pPr>
      <w:r w:rsidRPr="00AB63BC">
        <w:rPr>
          <w:rFonts w:eastAsia="Times New Roman" w:cs="Times New Roman"/>
          <w:b/>
          <w:bCs/>
          <w:szCs w:val="24"/>
          <w:rtl/>
          <w:lang w:eastAsia="fr-FR"/>
        </w:rPr>
        <w:t>الكلمات المفتاحية</w:t>
      </w:r>
      <w:r w:rsidR="00483520">
        <w:rPr>
          <w:rFonts w:eastAsia="Times New Roman" w:cs="Times New Roman"/>
          <w:szCs w:val="24"/>
          <w:lang w:eastAsia="fr-FR"/>
        </w:rPr>
        <w:t>:</w:t>
      </w:r>
      <w:r w:rsidR="00483520" w:rsidRPr="00483520">
        <w:rPr>
          <w:rtl/>
        </w:rPr>
        <w:t xml:space="preserve"> </w:t>
      </w:r>
      <w:r w:rsidR="00483520" w:rsidRPr="00483520">
        <w:rPr>
          <w:rFonts w:eastAsia="Times New Roman" w:cs="Times New Roman"/>
          <w:szCs w:val="24"/>
          <w:rtl/>
          <w:lang w:eastAsia="fr-FR"/>
        </w:rPr>
        <w:t>نظام المعلومات، طريقة تمويل المستشفى، المستشفى</w:t>
      </w:r>
    </w:p>
    <w:p w14:paraId="688E5733" w14:textId="77777777" w:rsidR="006D3A5B" w:rsidRDefault="0095621A" w:rsidP="006D3A5B">
      <w:pPr>
        <w:rPr>
          <w:rFonts w:asciiTheme="majorBidi" w:hAnsiTheme="majorBidi" w:cstheme="majorBidi"/>
          <w:b/>
          <w:bCs/>
          <w:szCs w:val="24"/>
        </w:rPr>
      </w:pPr>
      <w:r>
        <w:rPr>
          <w:rFonts w:asciiTheme="majorBidi" w:hAnsiTheme="majorBidi" w:cstheme="majorBidi"/>
          <w:szCs w:val="24"/>
        </w:rPr>
        <w:pict w14:anchorId="2DBF0B88">
          <v:rect id="_x0000_i1029" style="width:0;height:1.5pt" o:hralign="center" o:hrstd="t" o:hr="t" fillcolor="#a0a0a0" stroked="f"/>
        </w:pict>
      </w:r>
    </w:p>
    <w:p w14:paraId="6E9AD8B8" w14:textId="77777777" w:rsidR="006D3A5B" w:rsidRPr="00504C12" w:rsidRDefault="006D3A5B" w:rsidP="006D3A5B">
      <w:pPr>
        <w:rPr>
          <w:rFonts w:asciiTheme="majorBidi" w:hAnsiTheme="majorBidi" w:cstheme="majorBidi"/>
          <w:b/>
          <w:bCs/>
          <w:szCs w:val="24"/>
        </w:rPr>
      </w:pPr>
      <w:r w:rsidRPr="00504C12">
        <w:rPr>
          <w:rFonts w:asciiTheme="majorBidi" w:hAnsiTheme="majorBidi" w:cstheme="majorBidi"/>
          <w:b/>
          <w:bCs/>
          <w:szCs w:val="24"/>
        </w:rPr>
        <w:t>Résumé (Français)</w:t>
      </w:r>
    </w:p>
    <w:p w14:paraId="45790906" w14:textId="0151D101" w:rsidR="006D3A5B" w:rsidRPr="00504C12" w:rsidRDefault="006D3A5B" w:rsidP="006D3A5B">
      <w:pPr>
        <w:rPr>
          <w:rFonts w:asciiTheme="majorBidi" w:hAnsiTheme="majorBidi" w:cstheme="majorBidi"/>
          <w:szCs w:val="24"/>
        </w:rPr>
      </w:pPr>
      <w:r w:rsidRPr="00504C12">
        <w:rPr>
          <w:rFonts w:asciiTheme="majorBidi" w:hAnsiTheme="majorBidi" w:cstheme="majorBidi"/>
          <w:szCs w:val="24"/>
        </w:rPr>
        <w:t>Ce mémoire de fin d'études s'intéresse à l'impact du développement des systèmes d'information en santé (SIS) sur la restructuration des modes de financement des établissements hospitaliers publics en Algérie. En combinant une analyse théorique avec une enquête de terrain menée au sein de l'EPH Bouzidi Lakhdar (B</w:t>
      </w:r>
      <w:r w:rsidR="00F915BC">
        <w:rPr>
          <w:rFonts w:asciiTheme="majorBidi" w:hAnsiTheme="majorBidi" w:cstheme="majorBidi"/>
          <w:szCs w:val="24"/>
        </w:rPr>
        <w:t xml:space="preserve">ordj Bou </w:t>
      </w:r>
      <w:proofErr w:type="spellStart"/>
      <w:r w:rsidR="00F915BC">
        <w:rPr>
          <w:rFonts w:asciiTheme="majorBidi" w:hAnsiTheme="majorBidi" w:cstheme="majorBidi"/>
          <w:szCs w:val="24"/>
        </w:rPr>
        <w:t>Arréridj</w:t>
      </w:r>
      <w:proofErr w:type="spellEnd"/>
      <w:r w:rsidR="00F915BC">
        <w:rPr>
          <w:rFonts w:asciiTheme="majorBidi" w:hAnsiTheme="majorBidi" w:cstheme="majorBidi"/>
          <w:szCs w:val="24"/>
        </w:rPr>
        <w:t xml:space="preserve">) et de la Caisse nationale des assurances sociales des travailleurs </w:t>
      </w:r>
      <w:r w:rsidR="002A2096">
        <w:rPr>
          <w:rFonts w:asciiTheme="majorBidi" w:hAnsiTheme="majorBidi" w:cstheme="majorBidi"/>
          <w:szCs w:val="24"/>
        </w:rPr>
        <w:t>salariés (</w:t>
      </w:r>
      <w:r w:rsidR="00F915BC">
        <w:rPr>
          <w:rFonts w:asciiTheme="majorBidi" w:hAnsiTheme="majorBidi" w:cstheme="majorBidi"/>
          <w:szCs w:val="24"/>
        </w:rPr>
        <w:t xml:space="preserve">CNAS) </w:t>
      </w:r>
      <w:r w:rsidR="00F915BC" w:rsidRPr="00504C12">
        <w:rPr>
          <w:rFonts w:asciiTheme="majorBidi" w:hAnsiTheme="majorBidi" w:cstheme="majorBidi"/>
          <w:szCs w:val="24"/>
        </w:rPr>
        <w:t>(</w:t>
      </w:r>
      <w:r w:rsidRPr="00504C12">
        <w:rPr>
          <w:rFonts w:asciiTheme="majorBidi" w:hAnsiTheme="majorBidi" w:cstheme="majorBidi"/>
          <w:szCs w:val="24"/>
        </w:rPr>
        <w:t>Direction Générale à Alger), cette étude met en évidence les apports potentiels des SIS dans la modernisation du pilotage financier hospitalier. Les résultats montrent que l’intégration d’un système d'information performant permettrait une meilleure traçabilité des dépenses, une transparence accrue, et une équité renforcée dans l’allocation des ressources. Un modèle mixte de financement, associant une part fixe et une part variable liée à l’activité réelle, a été proposé. Ce mémoire souligne également les défis à relever pour une mise en œuvre efficace : infrastructure, formation, interopérabilité et accompagnement au changement.</w:t>
      </w:r>
    </w:p>
    <w:p w14:paraId="4F5C0086" w14:textId="77777777" w:rsidR="006D3A5B" w:rsidRPr="00504C12" w:rsidRDefault="006D3A5B" w:rsidP="006D3A5B">
      <w:pPr>
        <w:rPr>
          <w:rFonts w:asciiTheme="majorBidi" w:hAnsiTheme="majorBidi" w:cstheme="majorBidi"/>
          <w:szCs w:val="24"/>
        </w:rPr>
      </w:pPr>
      <w:r w:rsidRPr="00504C12">
        <w:rPr>
          <w:rFonts w:asciiTheme="majorBidi" w:hAnsiTheme="majorBidi" w:cstheme="majorBidi"/>
          <w:b/>
          <w:bCs/>
          <w:szCs w:val="24"/>
        </w:rPr>
        <w:t>Mots-clés</w:t>
      </w:r>
      <w:r w:rsidRPr="00504C12">
        <w:rPr>
          <w:rFonts w:asciiTheme="majorBidi" w:hAnsiTheme="majorBidi" w:cstheme="majorBidi"/>
          <w:szCs w:val="24"/>
        </w:rPr>
        <w:t xml:space="preserve"> : Système d’information, </w:t>
      </w:r>
      <w:r w:rsidR="00483520">
        <w:rPr>
          <w:rFonts w:asciiTheme="majorBidi" w:hAnsiTheme="majorBidi" w:cstheme="majorBidi"/>
          <w:szCs w:val="24"/>
        </w:rPr>
        <w:t xml:space="preserve">mode de </w:t>
      </w:r>
      <w:r w:rsidRPr="00504C12">
        <w:rPr>
          <w:rFonts w:asciiTheme="majorBidi" w:hAnsiTheme="majorBidi" w:cstheme="majorBidi"/>
          <w:szCs w:val="24"/>
        </w:rPr>
        <w:t>fi</w:t>
      </w:r>
      <w:r w:rsidR="00483520">
        <w:rPr>
          <w:rFonts w:asciiTheme="majorBidi" w:hAnsiTheme="majorBidi" w:cstheme="majorBidi"/>
          <w:szCs w:val="24"/>
        </w:rPr>
        <w:t xml:space="preserve">nancement hospitalier, hôpital </w:t>
      </w:r>
    </w:p>
    <w:p w14:paraId="178CEA40" w14:textId="77777777" w:rsidR="006D3A5B" w:rsidRPr="00504C12" w:rsidRDefault="0095621A" w:rsidP="006D3A5B">
      <w:pPr>
        <w:rPr>
          <w:rFonts w:asciiTheme="majorBidi" w:hAnsiTheme="majorBidi" w:cstheme="majorBidi"/>
          <w:szCs w:val="24"/>
        </w:rPr>
      </w:pPr>
      <w:r>
        <w:rPr>
          <w:rFonts w:asciiTheme="majorBidi" w:hAnsiTheme="majorBidi" w:cstheme="majorBidi"/>
          <w:szCs w:val="24"/>
        </w:rPr>
        <w:pict w14:anchorId="152A2C16">
          <v:rect id="_x0000_i1030" style="width:0;height:1.5pt" o:hralign="center" o:hrstd="t" o:hr="t" fillcolor="#a0a0a0" stroked="f"/>
        </w:pict>
      </w:r>
    </w:p>
    <w:p w14:paraId="1FAA9840" w14:textId="77777777" w:rsidR="006D3A5B" w:rsidRPr="00504C12" w:rsidRDefault="006D3A5B" w:rsidP="006D3A5B">
      <w:pPr>
        <w:rPr>
          <w:rFonts w:asciiTheme="majorBidi" w:hAnsiTheme="majorBidi" w:cstheme="majorBidi"/>
          <w:b/>
          <w:bCs/>
          <w:szCs w:val="24"/>
          <w:lang w:val="en-US"/>
        </w:rPr>
      </w:pPr>
      <w:r w:rsidRPr="00504C12">
        <w:rPr>
          <w:rFonts w:asciiTheme="majorBidi" w:hAnsiTheme="majorBidi" w:cstheme="majorBidi"/>
          <w:b/>
          <w:bCs/>
          <w:szCs w:val="24"/>
          <w:lang w:val="en-US"/>
        </w:rPr>
        <w:t>Abstract (English)</w:t>
      </w:r>
    </w:p>
    <w:p w14:paraId="6E9F8C9D" w14:textId="77777777" w:rsidR="006D3A5B" w:rsidRPr="00504C12" w:rsidRDefault="006D3A5B" w:rsidP="006D3A5B">
      <w:pPr>
        <w:rPr>
          <w:rFonts w:asciiTheme="majorBidi" w:hAnsiTheme="majorBidi" w:cstheme="majorBidi"/>
          <w:szCs w:val="24"/>
          <w:lang w:val="en-US"/>
        </w:rPr>
      </w:pPr>
      <w:r w:rsidRPr="00504C12">
        <w:rPr>
          <w:rFonts w:asciiTheme="majorBidi" w:hAnsiTheme="majorBidi" w:cstheme="majorBidi"/>
          <w:szCs w:val="24"/>
          <w:lang w:val="en-US"/>
        </w:rPr>
        <w:t xml:space="preserve">This thesis investigates how the development of Health Information Systems (HIS) can contribute to restructuring the funding mechanisms of public hospitals in Algeria. By combining theoretical analysis with a field study conducted at EPH Bouzidi </w:t>
      </w:r>
      <w:proofErr w:type="spellStart"/>
      <w:r w:rsidRPr="00504C12">
        <w:rPr>
          <w:rFonts w:asciiTheme="majorBidi" w:hAnsiTheme="majorBidi" w:cstheme="majorBidi"/>
          <w:szCs w:val="24"/>
          <w:lang w:val="en-US"/>
        </w:rPr>
        <w:t>Lakhdar</w:t>
      </w:r>
      <w:proofErr w:type="spellEnd"/>
      <w:r w:rsidRPr="00504C12">
        <w:rPr>
          <w:rFonts w:asciiTheme="majorBidi" w:hAnsiTheme="majorBidi" w:cstheme="majorBidi"/>
          <w:szCs w:val="24"/>
          <w:lang w:val="en-US"/>
        </w:rPr>
        <w:t xml:space="preserve"> (</w:t>
      </w:r>
      <w:proofErr w:type="spellStart"/>
      <w:r w:rsidRPr="00504C12">
        <w:rPr>
          <w:rFonts w:asciiTheme="majorBidi" w:hAnsiTheme="majorBidi" w:cstheme="majorBidi"/>
          <w:szCs w:val="24"/>
          <w:lang w:val="en-US"/>
        </w:rPr>
        <w:t>Bordj</w:t>
      </w:r>
      <w:proofErr w:type="spellEnd"/>
      <w:r w:rsidRPr="00504C12">
        <w:rPr>
          <w:rFonts w:asciiTheme="majorBidi" w:hAnsiTheme="majorBidi" w:cstheme="majorBidi"/>
          <w:szCs w:val="24"/>
          <w:lang w:val="en-US"/>
        </w:rPr>
        <w:t xml:space="preserve"> </w:t>
      </w:r>
      <w:proofErr w:type="spellStart"/>
      <w:r w:rsidRPr="00504C12">
        <w:rPr>
          <w:rFonts w:asciiTheme="majorBidi" w:hAnsiTheme="majorBidi" w:cstheme="majorBidi"/>
          <w:szCs w:val="24"/>
          <w:lang w:val="en-US"/>
        </w:rPr>
        <w:t>Bou</w:t>
      </w:r>
      <w:proofErr w:type="spellEnd"/>
      <w:r w:rsidRPr="00504C12">
        <w:rPr>
          <w:rFonts w:asciiTheme="majorBidi" w:hAnsiTheme="majorBidi" w:cstheme="majorBidi"/>
          <w:szCs w:val="24"/>
          <w:lang w:val="en-US"/>
        </w:rPr>
        <w:t xml:space="preserve"> </w:t>
      </w:r>
      <w:proofErr w:type="spellStart"/>
      <w:r w:rsidRPr="00504C12">
        <w:rPr>
          <w:rFonts w:asciiTheme="majorBidi" w:hAnsiTheme="majorBidi" w:cstheme="majorBidi"/>
          <w:szCs w:val="24"/>
          <w:lang w:val="en-US"/>
        </w:rPr>
        <w:t>Arréridj</w:t>
      </w:r>
      <w:proofErr w:type="spellEnd"/>
      <w:r w:rsidRPr="00504C12">
        <w:rPr>
          <w:rFonts w:asciiTheme="majorBidi" w:hAnsiTheme="majorBidi" w:cstheme="majorBidi"/>
          <w:szCs w:val="24"/>
          <w:lang w:val="en-US"/>
        </w:rPr>
        <w:t>) and the CNAS General Directorate (Algiers), this research highlights the potential of HIS to modernize hospital financial management. The results indicate that an integrated information system would improve expenditure tracking, enhance transparency, and support a more equitable allocation of resources. A hybrid financing model combining a fixed base with a variable component linked to real activity is proposed. The study also outlines the prerequisites for successful implementation: infrastructure, training, interoperability, and change management.</w:t>
      </w:r>
    </w:p>
    <w:p w14:paraId="7BAA1CA1" w14:textId="7EF7B6D5" w:rsidR="002210A7" w:rsidRPr="009D5730" w:rsidRDefault="006D3A5B" w:rsidP="009D5730">
      <w:pPr>
        <w:rPr>
          <w:lang w:val="en-US"/>
        </w:rPr>
        <w:sectPr w:rsidR="002210A7" w:rsidRPr="009D5730" w:rsidSect="004C6227">
          <w:footerReference w:type="default" r:id="rId75"/>
          <w:pgSz w:w="11906" w:h="16838"/>
          <w:pgMar w:top="567" w:right="851" w:bottom="567" w:left="1134" w:header="340" w:footer="567" w:gutter="0"/>
          <w:pgNumType w:start="1"/>
          <w:cols w:space="708"/>
          <w:docGrid w:linePitch="360"/>
        </w:sectPr>
      </w:pPr>
      <w:r w:rsidRPr="00504C12">
        <w:rPr>
          <w:rFonts w:asciiTheme="majorBidi" w:hAnsiTheme="majorBidi" w:cstheme="majorBidi"/>
          <w:b/>
          <w:bCs/>
          <w:szCs w:val="24"/>
          <w:lang w:val="en-US"/>
        </w:rPr>
        <w:t>Keywords</w:t>
      </w:r>
      <w:r w:rsidRPr="00504C12">
        <w:rPr>
          <w:rFonts w:asciiTheme="majorBidi" w:hAnsiTheme="majorBidi" w:cstheme="majorBidi"/>
          <w:szCs w:val="24"/>
          <w:lang w:val="en-US"/>
        </w:rPr>
        <w:t>: Health Informat</w:t>
      </w:r>
      <w:r w:rsidR="00483520">
        <w:rPr>
          <w:rFonts w:asciiTheme="majorBidi" w:hAnsiTheme="majorBidi" w:cstheme="majorBidi"/>
          <w:szCs w:val="24"/>
          <w:lang w:val="en-US"/>
        </w:rPr>
        <w:t xml:space="preserve">ion System, Hospital Financing </w:t>
      </w:r>
      <w:r w:rsidR="00483520" w:rsidRPr="00483520">
        <w:rPr>
          <w:rFonts w:asciiTheme="majorBidi" w:hAnsiTheme="majorBidi" w:cstheme="majorBidi"/>
          <w:szCs w:val="24"/>
          <w:lang w:val="en-US"/>
        </w:rPr>
        <w:t>method, hospital</w:t>
      </w:r>
      <w:r w:rsidR="009D5730">
        <w:rPr>
          <w:lang w:val="en-US"/>
        </w:rPr>
        <w:t>.</w:t>
      </w:r>
    </w:p>
    <w:p w14:paraId="0C746BD2" w14:textId="0DE3CF08" w:rsidR="009D5730" w:rsidRDefault="009D5730" w:rsidP="009D5730">
      <w:pPr>
        <w:rPr>
          <w:rFonts w:asciiTheme="majorBidi" w:hAnsiTheme="majorBidi" w:cstheme="majorBidi"/>
          <w:szCs w:val="24"/>
          <w:lang w:val="en-US"/>
        </w:rPr>
      </w:pPr>
    </w:p>
    <w:sectPr w:rsidR="009D5730" w:rsidSect="00D4431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4A4DA8" w14:textId="77777777" w:rsidR="00DB5605" w:rsidRDefault="00DB5605" w:rsidP="00E1433F">
      <w:pPr>
        <w:spacing w:after="0" w:line="240" w:lineRule="auto"/>
      </w:pPr>
      <w:r>
        <w:separator/>
      </w:r>
    </w:p>
  </w:endnote>
  <w:endnote w:type="continuationSeparator" w:id="0">
    <w:p w14:paraId="796ECC18" w14:textId="77777777" w:rsidR="00DB5605" w:rsidRDefault="00DB5605" w:rsidP="00E143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dalus">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15A84" w14:textId="77777777" w:rsidR="0095621A" w:rsidRDefault="0095621A" w:rsidP="007238AC">
    <w:pPr>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2869960"/>
      <w:docPartObj>
        <w:docPartGallery w:val="Page Numbers (Bottom of Page)"/>
        <w:docPartUnique/>
      </w:docPartObj>
    </w:sdtPr>
    <w:sdtContent>
      <w:p w14:paraId="7E66C066" w14:textId="06B29E99" w:rsidR="0095621A" w:rsidRDefault="0095621A">
        <w:pPr>
          <w:pStyle w:val="Pieddepage"/>
          <w:jc w:val="right"/>
        </w:pPr>
        <w:r>
          <w:fldChar w:fldCharType="begin"/>
        </w:r>
        <w:r>
          <w:instrText>PAGE   \* MERGEFORMAT</w:instrText>
        </w:r>
        <w:r>
          <w:fldChar w:fldCharType="separate"/>
        </w:r>
        <w:r w:rsidR="00375A26">
          <w:rPr>
            <w:noProof/>
          </w:rPr>
          <w:t>i</w:t>
        </w:r>
        <w:r>
          <w:fldChar w:fldCharType="end"/>
        </w:r>
      </w:p>
    </w:sdtContent>
  </w:sdt>
  <w:p w14:paraId="7481D937" w14:textId="77777777" w:rsidR="0095621A" w:rsidRDefault="0095621A" w:rsidP="007238AC">
    <w:pP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7059278"/>
      <w:docPartObj>
        <w:docPartGallery w:val="Page Numbers (Bottom of Page)"/>
        <w:docPartUnique/>
      </w:docPartObj>
    </w:sdtPr>
    <w:sdtContent>
      <w:p w14:paraId="1C98D317" w14:textId="60D043E6" w:rsidR="0095621A" w:rsidRDefault="0095621A" w:rsidP="007238AC">
        <w:pPr>
          <w:jc w:val="center"/>
        </w:pPr>
        <w:r>
          <w:rPr>
            <w:noProof/>
            <w:lang w:eastAsia="fr-FR"/>
          </w:rPr>
          <mc:AlternateContent>
            <mc:Choice Requires="wpg">
              <w:drawing>
                <wp:anchor distT="0" distB="0" distL="114300" distR="114300" simplePos="0" relativeHeight="251659264" behindDoc="0" locked="0" layoutInCell="1" allowOverlap="1" wp14:anchorId="18B6BB7B" wp14:editId="7E78821A">
                  <wp:simplePos x="0" y="0"/>
                  <wp:positionH relativeFrom="margin">
                    <wp:align>right</wp:align>
                  </wp:positionH>
                  <wp:positionV relativeFrom="page">
                    <wp:align>bottom</wp:align>
                  </wp:positionV>
                  <wp:extent cx="436880" cy="716915"/>
                  <wp:effectExtent l="7620" t="9525" r="12700" b="6985"/>
                  <wp:wrapNone/>
                  <wp:docPr id="123381082" name="Groupe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504791317"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1536652424"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35431BF3" w14:textId="4ED34FA1" w:rsidR="0095621A" w:rsidRDefault="0095621A">
                                <w:pPr>
                                  <w:pStyle w:val="Pieddepage"/>
                                  <w:jc w:val="center"/>
                                  <w:rPr>
                                    <w:sz w:val="16"/>
                                    <w:szCs w:val="16"/>
                                  </w:rPr>
                                </w:pPr>
                                <w:r>
                                  <w:rPr>
                                    <w:sz w:val="22"/>
                                  </w:rPr>
                                  <w:fldChar w:fldCharType="begin"/>
                                </w:r>
                                <w:r>
                                  <w:instrText>PAGE    \* MERGEFORMAT</w:instrText>
                                </w:r>
                                <w:r>
                                  <w:rPr>
                                    <w:sz w:val="22"/>
                                  </w:rPr>
                                  <w:fldChar w:fldCharType="separate"/>
                                </w:r>
                                <w:r w:rsidR="00375A26" w:rsidRPr="00375A26">
                                  <w:rPr>
                                    <w:noProof/>
                                    <w:sz w:val="16"/>
                                    <w:szCs w:val="16"/>
                                  </w:rPr>
                                  <w:t>2</w:t>
                                </w:r>
                                <w:r>
                                  <w:rPr>
                                    <w:sz w:val="16"/>
                                    <w:szCs w:val="1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B6BB7B" id="Groupe 113" o:spid="_x0000_s1085" style="position:absolute;left:0;text-align:left;margin-left:-16.8pt;margin-top:0;width:34.4pt;height:56.45pt;z-index:251659264;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">
                  <v:shapetype id="_x0000_t32" coordsize="21600,21600" o:spt="32" o:oned="t" path="m,l21600,21600e" filled="f">
                    <v:path arrowok="t" fillok="f" o:connecttype="none"/>
                    <o:lock v:ext="edit" shapetype="t"/>
                  </v:shapetype>
                  <v:shape id="AutoShape 77" o:spid="_x0000_s1086"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" strokecolor="#7f7f7f"/>
                  <v:rect id="Rectangle 78" o:spid="_x0000_s1087"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" filled="f" strokecolor="#7f7f7f">
                    <v:textbox>
                      <w:txbxContent>
                        <w:p w14:paraId="35431BF3" w14:textId="4ED34FA1" w:rsidR="0095621A" w:rsidRDefault="0095621A">
                          <w:pPr>
                            <w:pStyle w:val="Pieddepage"/>
                            <w:jc w:val="center"/>
                            <w:rPr>
                              <w:sz w:val="16"/>
                              <w:szCs w:val="16"/>
                            </w:rPr>
                          </w:pPr>
                          <w:r>
                            <w:rPr>
                              <w:sz w:val="22"/>
                            </w:rPr>
                            <w:fldChar w:fldCharType="begin"/>
                          </w:r>
                          <w:r>
                            <w:instrText>PAGE    \* MERGEFORMAT</w:instrText>
                          </w:r>
                          <w:r>
                            <w:rPr>
                              <w:sz w:val="22"/>
                            </w:rPr>
                            <w:fldChar w:fldCharType="separate"/>
                          </w:r>
                          <w:r w:rsidR="00375A26" w:rsidRPr="00375A26">
                            <w:rPr>
                              <w:noProof/>
                              <w:sz w:val="16"/>
                              <w:szCs w:val="16"/>
                            </w:rPr>
                            <w:t>2</w:t>
                          </w:r>
                          <w:r>
                            <w:rPr>
                              <w:sz w:val="16"/>
                              <w:szCs w:val="16"/>
                            </w:rPr>
                            <w:fldChar w:fldCharType="end"/>
                          </w:r>
                        </w:p>
                      </w:txbxContent>
                    </v:textbox>
                  </v:rect>
                  <w10:wrap anchorx="margin" anchory="page"/>
                </v:group>
              </w:pict>
            </mc:Fallback>
          </mc:AlternateContent>
        </w:r>
      </w:p>
    </w:sdtContent>
  </w:sdt>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A44C5" w14:textId="6069F6CA" w:rsidR="0095621A" w:rsidRDefault="0095621A" w:rsidP="007238AC">
    <w:pPr>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46ABB" w14:textId="77777777" w:rsidR="0095621A" w:rsidRDefault="0095621A" w:rsidP="007238AC">
    <w:p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2CD7BD" w14:textId="77777777" w:rsidR="00DB5605" w:rsidRDefault="00DB5605" w:rsidP="00E1433F">
      <w:pPr>
        <w:spacing w:after="0" w:line="240" w:lineRule="auto"/>
      </w:pPr>
      <w:r>
        <w:separator/>
      </w:r>
    </w:p>
  </w:footnote>
  <w:footnote w:type="continuationSeparator" w:id="0">
    <w:p w14:paraId="205BED5F" w14:textId="77777777" w:rsidR="00DB5605" w:rsidRDefault="00DB5605" w:rsidP="00E1433F">
      <w:pPr>
        <w:spacing w:after="0" w:line="240" w:lineRule="auto"/>
      </w:pPr>
      <w:r>
        <w:continuationSeparator/>
      </w:r>
    </w:p>
  </w:footnote>
  <w:footnote w:id="1">
    <w:p w14:paraId="2BC769A2" w14:textId="77777777" w:rsidR="0095621A" w:rsidRPr="001305F4" w:rsidRDefault="0095621A" w:rsidP="00B7491C">
      <w:pPr>
        <w:pStyle w:val="Notedebasdepage"/>
      </w:pPr>
      <w:r w:rsidRPr="001305F4">
        <w:rPr>
          <w:rStyle w:val="Appelnotedebasdep"/>
        </w:rPr>
        <w:footnoteRef/>
      </w:r>
      <w:r w:rsidRPr="001305F4">
        <w:t xml:space="preserve"> </w:t>
      </w:r>
      <w:r w:rsidRPr="00AD5F38">
        <w:rPr>
          <w:b/>
          <w:bCs/>
        </w:rPr>
        <w:t>IBRAHIM S. M.</w:t>
      </w:r>
      <w:r w:rsidRPr="00AD5F38">
        <w:t xml:space="preserve">, </w:t>
      </w:r>
      <w:r w:rsidRPr="00AD5F38">
        <w:rPr>
          <w:i/>
          <w:iCs/>
        </w:rPr>
        <w:t>Les informations et leur rôle dans la prise de décision stratégique</w:t>
      </w:r>
      <w:r w:rsidRPr="00AD5F38">
        <w:t>, Groupe Arabe de Formation et d'Édition, Le Caire, 2012, p. 178.</w:t>
      </w:r>
    </w:p>
  </w:footnote>
  <w:footnote w:id="2">
    <w:p w14:paraId="1C2C23E7" w14:textId="77777777" w:rsidR="0095621A" w:rsidRDefault="0095621A" w:rsidP="00B7491C">
      <w:pPr>
        <w:pStyle w:val="Notedebasdepage"/>
      </w:pPr>
      <w:r>
        <w:rPr>
          <w:rStyle w:val="Appelnotedebasdep"/>
        </w:rPr>
        <w:footnoteRef/>
      </w:r>
      <w:r w:rsidRPr="00C131AC">
        <w:t xml:space="preserve"> </w:t>
      </w:r>
      <w:r w:rsidRPr="00AD5F38">
        <w:rPr>
          <w:b/>
          <w:bCs/>
        </w:rPr>
        <w:t>AL-HAYALI S. M. M., HUSSEIN S. S.</w:t>
      </w:r>
      <w:r w:rsidRPr="00AD5F38">
        <w:t xml:space="preserve">, « L’impact du commerce électronique sur la qualité des informations comptables », </w:t>
      </w:r>
      <w:r w:rsidRPr="00AD5F38">
        <w:rPr>
          <w:i/>
          <w:iCs/>
        </w:rPr>
        <w:t xml:space="preserve">Revue de </w:t>
      </w:r>
      <w:proofErr w:type="spellStart"/>
      <w:r w:rsidRPr="00AD5F38">
        <w:rPr>
          <w:i/>
          <w:iCs/>
        </w:rPr>
        <w:t>Tikrit</w:t>
      </w:r>
      <w:proofErr w:type="spellEnd"/>
      <w:r w:rsidRPr="00AD5F38">
        <w:rPr>
          <w:i/>
          <w:iCs/>
        </w:rPr>
        <w:t xml:space="preserve"> des sciences administratives et économiques</w:t>
      </w:r>
      <w:r>
        <w:t>, vol. 3, n° 3, 2006, p. 132</w:t>
      </w:r>
      <w:r w:rsidRPr="001305F4">
        <w:t>.</w:t>
      </w:r>
    </w:p>
  </w:footnote>
  <w:footnote w:id="3">
    <w:p w14:paraId="646A034C" w14:textId="77777777" w:rsidR="0095621A" w:rsidRDefault="0095621A" w:rsidP="00B7491C">
      <w:pPr>
        <w:pStyle w:val="Notedebasdepage"/>
      </w:pPr>
      <w:r>
        <w:rPr>
          <w:rStyle w:val="Appelnotedebasdep"/>
        </w:rPr>
        <w:footnoteRef/>
      </w:r>
      <w:r>
        <w:t xml:space="preserve"> </w:t>
      </w:r>
      <w:r w:rsidRPr="00AD5F38">
        <w:rPr>
          <w:b/>
          <w:bCs/>
        </w:rPr>
        <w:t>NOUI S.</w:t>
      </w:r>
      <w:r w:rsidRPr="00AD5F38">
        <w:t xml:space="preserve">, </w:t>
      </w:r>
      <w:r w:rsidRPr="00AD5F38">
        <w:rPr>
          <w:i/>
          <w:iCs/>
        </w:rPr>
        <w:t>Le rôle du système d'information comptable dans l'évaluation de la performance financière de l'entreprise économique</w:t>
      </w:r>
      <w:r w:rsidRPr="00AD5F38">
        <w:t xml:space="preserve">, Thèse de doctorat, Université Mohamed </w:t>
      </w:r>
      <w:proofErr w:type="spellStart"/>
      <w:r w:rsidRPr="00AD5F38">
        <w:t>Khider</w:t>
      </w:r>
      <w:proofErr w:type="spellEnd"/>
      <w:r w:rsidRPr="00AD5F38">
        <w:t xml:space="preserve"> de Biskra, Faculté des sciences économiques, commerciales et de gestion, 2019, p. 15.</w:t>
      </w:r>
    </w:p>
  </w:footnote>
  <w:footnote w:id="4">
    <w:p w14:paraId="520D6528" w14:textId="77777777" w:rsidR="0095621A" w:rsidRDefault="0095621A" w:rsidP="00B7491C">
      <w:pPr>
        <w:pStyle w:val="Notedebasdepage"/>
      </w:pPr>
      <w:r>
        <w:rPr>
          <w:rStyle w:val="Appelnotedebasdep"/>
        </w:rPr>
        <w:footnoteRef/>
      </w:r>
      <w:r>
        <w:t xml:space="preserve"> </w:t>
      </w:r>
      <w:r w:rsidRPr="00AD5F38">
        <w:rPr>
          <w:b/>
          <w:bCs/>
        </w:rPr>
        <w:t>MAOUJ S.</w:t>
      </w:r>
      <w:r w:rsidRPr="00AD5F38">
        <w:t xml:space="preserve">, </w:t>
      </w:r>
      <w:r w:rsidRPr="00AD5F38">
        <w:rPr>
          <w:i/>
          <w:iCs/>
        </w:rPr>
        <w:t>L'impact des systèmes d'information sur la qualité des services de santé en Algérie</w:t>
      </w:r>
      <w:r w:rsidRPr="00AD5F38">
        <w:t>, Thèse de doctorat, Université d'Alger, Faculté des sciences économiques, commerciales et de gestion, 2023, p. 7.</w:t>
      </w:r>
    </w:p>
  </w:footnote>
  <w:footnote w:id="5">
    <w:p w14:paraId="66EE949C" w14:textId="77777777" w:rsidR="0095621A" w:rsidRDefault="0095621A" w:rsidP="00B7491C">
      <w:pPr>
        <w:pStyle w:val="Notedebasdepage"/>
      </w:pPr>
      <w:r>
        <w:rPr>
          <w:rStyle w:val="Appelnotedebasdep"/>
        </w:rPr>
        <w:footnoteRef/>
      </w:r>
      <w:r>
        <w:t xml:space="preserve"> </w:t>
      </w:r>
      <w:r w:rsidRPr="004E2E6D">
        <w:rPr>
          <w:b/>
          <w:bCs/>
        </w:rPr>
        <w:t>BOUDJEMA F. Z.</w:t>
      </w:r>
      <w:r w:rsidRPr="004E2E6D">
        <w:t xml:space="preserve">, </w:t>
      </w:r>
      <w:r w:rsidRPr="004E2E6D">
        <w:rPr>
          <w:i/>
          <w:iCs/>
        </w:rPr>
        <w:t>Les systèmes d'information et leurs applications dans le processus de prise de décision à l'ère des transitions technologiques</w:t>
      </w:r>
      <w:r w:rsidRPr="004E2E6D">
        <w:t>, Thèse de doctorat, Faculté des sciences économiques, commerciales et de gestion, Université de Tlemcen, 2021, p. 33.</w:t>
      </w:r>
    </w:p>
  </w:footnote>
  <w:footnote w:id="6">
    <w:p w14:paraId="69C7FFC8" w14:textId="77777777" w:rsidR="0095621A" w:rsidRPr="008C68E8" w:rsidRDefault="0095621A" w:rsidP="00B7491C">
      <w:pPr>
        <w:pStyle w:val="Notedebasdepage"/>
      </w:pPr>
      <w:r>
        <w:rPr>
          <w:rStyle w:val="Appelnotedebasdep"/>
        </w:rPr>
        <w:footnoteRef/>
      </w:r>
      <w:r w:rsidRPr="004E2E6D">
        <w:t xml:space="preserve"> </w:t>
      </w:r>
      <w:r w:rsidRPr="004E2E6D">
        <w:rPr>
          <w:b/>
          <w:bCs/>
        </w:rPr>
        <w:t>REIX R., FALLERY B. &amp; KALIKA M.</w:t>
      </w:r>
      <w:r w:rsidRPr="004E2E6D">
        <w:t xml:space="preserve">, </w:t>
      </w:r>
      <w:r w:rsidRPr="004E2E6D">
        <w:rPr>
          <w:i/>
          <w:iCs/>
        </w:rPr>
        <w:t>Systèmes d’information et management</w:t>
      </w:r>
      <w:r w:rsidRPr="004E2E6D">
        <w:t>, 7ᵉ éd., Paris, Vuibert, 2011.</w:t>
      </w:r>
    </w:p>
    <w:p w14:paraId="38AC9710" w14:textId="77777777" w:rsidR="0095621A" w:rsidRDefault="0095621A" w:rsidP="00B7491C">
      <w:pPr>
        <w:pStyle w:val="Notedebasdepage"/>
      </w:pPr>
    </w:p>
  </w:footnote>
  <w:footnote w:id="7">
    <w:p w14:paraId="502C20DF" w14:textId="77777777" w:rsidR="0095621A" w:rsidRDefault="0095621A" w:rsidP="00B7491C">
      <w:pPr>
        <w:pStyle w:val="Notedebasdepage"/>
      </w:pPr>
      <w:r>
        <w:rPr>
          <w:rStyle w:val="Appelnotedebasdep"/>
        </w:rPr>
        <w:footnoteRef/>
      </w:r>
      <w:r>
        <w:t xml:space="preserve"> </w:t>
      </w:r>
      <w:r>
        <w:rPr>
          <w:rStyle w:val="fadeinm1hgl8"/>
        </w:rPr>
        <w:t>Al-</w:t>
      </w:r>
      <w:proofErr w:type="spellStart"/>
      <w:r>
        <w:rPr>
          <w:rStyle w:val="fadeinm1hgl8"/>
        </w:rPr>
        <w:t>Souissi</w:t>
      </w:r>
      <w:proofErr w:type="spellEnd"/>
      <w:r>
        <w:rPr>
          <w:rStyle w:val="fadeinm1hgl8"/>
        </w:rPr>
        <w:t xml:space="preserve">, D. (2013). </w:t>
      </w:r>
      <w:r>
        <w:rPr>
          <w:rStyle w:val="fadeinm1hgl8"/>
          <w:i/>
          <w:iCs/>
        </w:rPr>
        <w:t>Le système d'information comme outil d'amélioration de la qualité des services de santé dans l'établissement hospitalier public</w:t>
      </w:r>
      <w:r>
        <w:rPr>
          <w:rStyle w:val="fadeinm1hgl8"/>
        </w:rPr>
        <w:t xml:space="preserve"> (Mémoire de Master, Université </w:t>
      </w:r>
      <w:proofErr w:type="spellStart"/>
      <w:r>
        <w:rPr>
          <w:rStyle w:val="fadeinm1hgl8"/>
        </w:rPr>
        <w:t>Kasdi</w:t>
      </w:r>
      <w:proofErr w:type="spellEnd"/>
      <w:r>
        <w:rPr>
          <w:rStyle w:val="fadeinm1hgl8"/>
        </w:rPr>
        <w:t xml:space="preserve"> </w:t>
      </w:r>
      <w:proofErr w:type="spellStart"/>
      <w:r>
        <w:rPr>
          <w:rStyle w:val="fadeinm1hgl8"/>
        </w:rPr>
        <w:t>Merbah</w:t>
      </w:r>
      <w:proofErr w:type="spellEnd"/>
      <w:r>
        <w:rPr>
          <w:rStyle w:val="fadeinm1hgl8"/>
        </w:rPr>
        <w:t xml:space="preserve"> Ouargla, Faculté des sciences économiques, commerciales et des sciences de gestion), pp. 51–52.</w:t>
      </w:r>
    </w:p>
  </w:footnote>
  <w:footnote w:id="8">
    <w:p w14:paraId="47F5DF9B" w14:textId="77777777" w:rsidR="0095621A" w:rsidRPr="005156D9" w:rsidRDefault="0095621A" w:rsidP="00B900FC">
      <w:pPr>
        <w:pStyle w:val="Notedebasdepage"/>
      </w:pPr>
      <w:r>
        <w:rPr>
          <w:rStyle w:val="Appelnotedebasdep"/>
        </w:rPr>
        <w:footnoteRef/>
      </w:r>
      <w:r>
        <w:t xml:space="preserve"> </w:t>
      </w:r>
      <w:r w:rsidRPr="005156D9">
        <w:t xml:space="preserve">Organisation Mondiale de la Santé (OMS). </w:t>
      </w:r>
      <w:r w:rsidRPr="005156D9">
        <w:rPr>
          <w:lang w:val="en-US"/>
        </w:rPr>
        <w:t xml:space="preserve">(2008). Health information systems: Toolkit on monitoring health systems strengthening. </w:t>
      </w:r>
      <w:r w:rsidRPr="005156D9">
        <w:t>Genève : Organisation Mondiale de la Santé. Disponible sur : https://apps.who.int/iris/handle/10665/43963. Consulté le 6 avril 2025.</w:t>
      </w:r>
    </w:p>
  </w:footnote>
  <w:footnote w:id="9">
    <w:p w14:paraId="3E9019EC" w14:textId="77777777" w:rsidR="0095621A" w:rsidRDefault="0095621A" w:rsidP="00B7491C">
      <w:pPr>
        <w:pStyle w:val="Notedebasdepage"/>
      </w:pPr>
      <w:r>
        <w:rPr>
          <w:rStyle w:val="Appelnotedebasdep"/>
        </w:rPr>
        <w:footnoteRef/>
      </w:r>
      <w:r w:rsidRPr="00437F98">
        <w:t xml:space="preserve"> Taleb Salem Adel </w:t>
      </w:r>
      <w:proofErr w:type="spellStart"/>
      <w:r w:rsidRPr="00437F98">
        <w:t>Atta</w:t>
      </w:r>
      <w:proofErr w:type="spellEnd"/>
      <w:r w:rsidRPr="00437F98">
        <w:t xml:space="preserve"> Allah, &amp; Hussein </w:t>
      </w:r>
      <w:proofErr w:type="spellStart"/>
      <w:r w:rsidRPr="00437F98">
        <w:t>Hafsa</w:t>
      </w:r>
      <w:proofErr w:type="spellEnd"/>
      <w:r w:rsidRPr="00437F98">
        <w:t xml:space="preserve">. </w:t>
      </w:r>
      <w:r w:rsidRPr="00844F9C">
        <w:t xml:space="preserve">(2013). </w:t>
      </w:r>
      <w:r w:rsidRPr="00844F9C">
        <w:rPr>
          <w:i/>
          <w:iCs/>
        </w:rPr>
        <w:t>Les systèmes d'information et leur lien avec l'évaluation de la performance stratégique des organisations de santé</w:t>
      </w:r>
      <w:r w:rsidRPr="00844F9C">
        <w:t>. Revue de la Faculté de Sciences Économiques de Bagdad, n°37, Bagdad, p. 200.</w:t>
      </w:r>
    </w:p>
  </w:footnote>
  <w:footnote w:id="10">
    <w:p w14:paraId="393F39B1" w14:textId="77777777" w:rsidR="0095621A" w:rsidRDefault="0095621A" w:rsidP="00B7491C">
      <w:pPr>
        <w:pStyle w:val="Notedebasdepage"/>
      </w:pPr>
      <w:r>
        <w:rPr>
          <w:rStyle w:val="Appelnotedebasdep"/>
        </w:rPr>
        <w:footnoteRef/>
      </w:r>
      <w:r>
        <w:t xml:space="preserve"> </w:t>
      </w:r>
      <w:proofErr w:type="spellStart"/>
      <w:r w:rsidRPr="00576B7D">
        <w:t>Souissi</w:t>
      </w:r>
      <w:proofErr w:type="spellEnd"/>
      <w:r w:rsidRPr="00576B7D">
        <w:t xml:space="preserve">, D. (2013). </w:t>
      </w:r>
      <w:r w:rsidRPr="00576B7D">
        <w:rPr>
          <w:i/>
          <w:iCs/>
        </w:rPr>
        <w:t>Le système d'information comme outil d'amélioration de la qualité du service de santé dans les établissements publics hospitaliers</w:t>
      </w:r>
      <w:r w:rsidRPr="00576B7D">
        <w:t xml:space="preserve"> (Mémoire de Magister, Université </w:t>
      </w:r>
      <w:proofErr w:type="spellStart"/>
      <w:r w:rsidRPr="00576B7D">
        <w:t>Kasdi</w:t>
      </w:r>
      <w:proofErr w:type="spellEnd"/>
      <w:r w:rsidRPr="00576B7D">
        <w:t xml:space="preserve"> </w:t>
      </w:r>
      <w:proofErr w:type="spellStart"/>
      <w:r w:rsidRPr="00576B7D">
        <w:t>Merbah</w:t>
      </w:r>
      <w:proofErr w:type="spellEnd"/>
      <w:r w:rsidRPr="00576B7D">
        <w:t xml:space="preserve"> – Ouargla), p. 57.</w:t>
      </w:r>
    </w:p>
  </w:footnote>
  <w:footnote w:id="11">
    <w:p w14:paraId="499515AA" w14:textId="77777777" w:rsidR="0095621A" w:rsidRDefault="0095621A" w:rsidP="00B7491C">
      <w:pPr>
        <w:pStyle w:val="Notedebasdepage"/>
      </w:pPr>
      <w:r>
        <w:rPr>
          <w:rStyle w:val="Appelnotedebasdep"/>
        </w:rPr>
        <w:footnoteRef/>
      </w:r>
      <w:r>
        <w:t xml:space="preserve"> </w:t>
      </w:r>
      <w:proofErr w:type="spellStart"/>
      <w:r w:rsidRPr="00844F9C">
        <w:rPr>
          <w:b/>
          <w:bCs/>
        </w:rPr>
        <w:t>Guiral</w:t>
      </w:r>
      <w:proofErr w:type="spellEnd"/>
      <w:r w:rsidRPr="00844F9C">
        <w:rPr>
          <w:b/>
          <w:bCs/>
        </w:rPr>
        <w:t>, É.</w:t>
      </w:r>
      <w:r w:rsidRPr="00844F9C">
        <w:t xml:space="preserve"> (2014). </w:t>
      </w:r>
      <w:r w:rsidRPr="00844F9C">
        <w:rPr>
          <w:i/>
          <w:iCs/>
        </w:rPr>
        <w:t>Les systèmes d’information hospitaliers : histoire, enjeux et difficultés rencontrées, devenir et lien avec la médecine de ville</w:t>
      </w:r>
      <w:r w:rsidRPr="00844F9C">
        <w:t xml:space="preserve"> (Thèse de doctorat en pharmacie, Université Toulouse III – Paul Sabatier), p. 18.</w:t>
      </w:r>
    </w:p>
  </w:footnote>
  <w:footnote w:id="12">
    <w:p w14:paraId="776CF6D7" w14:textId="77777777" w:rsidR="0095621A" w:rsidRDefault="0095621A" w:rsidP="00B7491C">
      <w:pPr>
        <w:pStyle w:val="Notedebasdepage"/>
      </w:pPr>
      <w:r>
        <w:rPr>
          <w:rStyle w:val="Appelnotedebasdep"/>
        </w:rPr>
        <w:footnoteRef/>
      </w:r>
      <w:r>
        <w:t xml:space="preserve"> </w:t>
      </w:r>
      <w:r w:rsidRPr="000B17BA">
        <w:rPr>
          <w:b/>
          <w:bCs/>
        </w:rPr>
        <w:t>Ministère de la Solidarité, de la Santé et de la Protection sociale.</w:t>
      </w:r>
      <w:r w:rsidRPr="000B17BA">
        <w:t xml:space="preserve"> (1989). </w:t>
      </w:r>
      <w:r w:rsidRPr="000B17BA">
        <w:rPr>
          <w:i/>
          <w:iCs/>
        </w:rPr>
        <w:t>Circulaire n°275 du 6 janvier 1989 relative à l’informatisation des hôpitaux publics</w:t>
      </w:r>
      <w:r w:rsidRPr="000B17BA">
        <w:t>, p. 2.</w:t>
      </w:r>
    </w:p>
  </w:footnote>
  <w:footnote w:id="13">
    <w:p w14:paraId="2A469F60" w14:textId="77777777" w:rsidR="0095621A" w:rsidRPr="000E4976" w:rsidRDefault="0095621A" w:rsidP="00B7491C">
      <w:pPr>
        <w:pStyle w:val="Notedebasdepage"/>
      </w:pPr>
      <w:r>
        <w:rPr>
          <w:rStyle w:val="Appelnotedebasdep"/>
        </w:rPr>
        <w:footnoteRef/>
      </w:r>
      <w:r>
        <w:t xml:space="preserve"> </w:t>
      </w:r>
      <w:proofErr w:type="spellStart"/>
      <w:r w:rsidRPr="000E4976">
        <w:rPr>
          <w:b/>
          <w:bCs/>
        </w:rPr>
        <w:t>Grasseler</w:t>
      </w:r>
      <w:proofErr w:type="spellEnd"/>
      <w:r w:rsidRPr="000E4976">
        <w:rPr>
          <w:b/>
          <w:bCs/>
        </w:rPr>
        <w:t>, C.</w:t>
      </w:r>
      <w:r w:rsidRPr="000E4976">
        <w:t xml:space="preserve"> (2011). </w:t>
      </w:r>
      <w:r w:rsidRPr="000E4976">
        <w:rPr>
          <w:i/>
          <w:iCs/>
        </w:rPr>
        <w:t>Le système d’information hospitalier entre culture et usages : les enjeux de la formation des professionnels de santé</w:t>
      </w:r>
      <w:r w:rsidRPr="000E4976">
        <w:t xml:space="preserve"> (Mémoire de Master professionnel en Sciences de l’éducation, Université de Provence Aix-Marseille I), p. 15.</w:t>
      </w:r>
    </w:p>
  </w:footnote>
  <w:footnote w:id="14">
    <w:p w14:paraId="725CF6B8" w14:textId="77777777" w:rsidR="0095621A" w:rsidRPr="000E4976" w:rsidRDefault="0095621A" w:rsidP="00B7491C">
      <w:pPr>
        <w:pStyle w:val="Notedebasdepage"/>
      </w:pPr>
      <w:r w:rsidRPr="000E4976">
        <w:rPr>
          <w:rStyle w:val="Appelnotedebasdep"/>
        </w:rPr>
        <w:footnoteRef/>
      </w:r>
      <w:r w:rsidRPr="000E4976">
        <w:t xml:space="preserve"> </w:t>
      </w:r>
      <w:proofErr w:type="spellStart"/>
      <w:r w:rsidRPr="000E4976">
        <w:rPr>
          <w:b/>
          <w:bCs/>
        </w:rPr>
        <w:t>Degoulet</w:t>
      </w:r>
      <w:proofErr w:type="spellEnd"/>
      <w:r w:rsidRPr="000E4976">
        <w:rPr>
          <w:b/>
          <w:bCs/>
        </w:rPr>
        <w:t>, P.</w:t>
      </w:r>
      <w:r w:rsidRPr="000E4976">
        <w:t xml:space="preserve"> (2013). Les systèmes d’information hospitalier. In A. </w:t>
      </w:r>
      <w:proofErr w:type="spellStart"/>
      <w:r w:rsidRPr="000E4976">
        <w:t>Venot</w:t>
      </w:r>
      <w:proofErr w:type="spellEnd"/>
      <w:r w:rsidRPr="000E4976">
        <w:t xml:space="preserve">, A. </w:t>
      </w:r>
      <w:proofErr w:type="spellStart"/>
      <w:r w:rsidRPr="000E4976">
        <w:t>Burgun</w:t>
      </w:r>
      <w:proofErr w:type="spellEnd"/>
      <w:r w:rsidRPr="000E4976">
        <w:t xml:space="preserve"> &amp; C. </w:t>
      </w:r>
      <w:proofErr w:type="spellStart"/>
      <w:r w:rsidRPr="000E4976">
        <w:t>Quantin</w:t>
      </w:r>
      <w:proofErr w:type="spellEnd"/>
      <w:r w:rsidRPr="000E4976">
        <w:t xml:space="preserve"> (</w:t>
      </w:r>
      <w:proofErr w:type="spellStart"/>
      <w:r w:rsidRPr="000E4976">
        <w:t>Éds</w:t>
      </w:r>
      <w:proofErr w:type="spellEnd"/>
      <w:r w:rsidRPr="000E4976">
        <w:t xml:space="preserve">.), </w:t>
      </w:r>
      <w:r w:rsidRPr="000E4976">
        <w:rPr>
          <w:i/>
          <w:iCs/>
        </w:rPr>
        <w:t>Informatique médicale, e-santé, fondements et applications</w:t>
      </w:r>
      <w:r w:rsidRPr="000E4976">
        <w:t xml:space="preserve"> (p. 307). Paris : Springer-</w:t>
      </w:r>
      <w:proofErr w:type="spellStart"/>
      <w:r w:rsidRPr="000E4976">
        <w:t>Verlag</w:t>
      </w:r>
      <w:proofErr w:type="spellEnd"/>
    </w:p>
  </w:footnote>
  <w:footnote w:id="15">
    <w:p w14:paraId="7371F0AB" w14:textId="77777777" w:rsidR="0095621A" w:rsidRDefault="0095621A" w:rsidP="00B7491C">
      <w:pPr>
        <w:pStyle w:val="Notedebasdepage"/>
      </w:pPr>
      <w:r>
        <w:rPr>
          <w:rStyle w:val="Appelnotedebasdep"/>
        </w:rPr>
        <w:footnoteRef/>
      </w:r>
      <w:r>
        <w:t xml:space="preserve"> </w:t>
      </w:r>
      <w:proofErr w:type="spellStart"/>
      <w:r w:rsidRPr="00D53749">
        <w:rPr>
          <w:b/>
          <w:bCs/>
        </w:rPr>
        <w:t>Maaoudj</w:t>
      </w:r>
      <w:proofErr w:type="spellEnd"/>
      <w:r w:rsidRPr="00D53749">
        <w:rPr>
          <w:b/>
          <w:bCs/>
        </w:rPr>
        <w:t>, S.</w:t>
      </w:r>
      <w:r w:rsidRPr="00D53749">
        <w:t xml:space="preserve"> (2023). </w:t>
      </w:r>
      <w:r w:rsidRPr="00D53749">
        <w:rPr>
          <w:i/>
          <w:iCs/>
        </w:rPr>
        <w:t>L’impact des systèmes d’information sur la qualité du service de santé en Algérie</w:t>
      </w:r>
      <w:r w:rsidRPr="00D53749">
        <w:t xml:space="preserve"> (Thèse de doctorat, Faculté des sciences économiques, commerciales et des sciences de gestion, Algérie).</w:t>
      </w:r>
    </w:p>
  </w:footnote>
  <w:footnote w:id="16">
    <w:p w14:paraId="752ACBD3" w14:textId="77777777" w:rsidR="0095621A" w:rsidRDefault="0095621A" w:rsidP="00B7491C">
      <w:pPr>
        <w:pStyle w:val="Notedebasdepage"/>
      </w:pPr>
      <w:r>
        <w:rPr>
          <w:rStyle w:val="Appelnotedebasdep"/>
        </w:rPr>
        <w:footnoteRef/>
      </w:r>
      <w:r>
        <w:t xml:space="preserve"> </w:t>
      </w:r>
      <w:r w:rsidRPr="00F82918">
        <w:t xml:space="preserve">El </w:t>
      </w:r>
      <w:proofErr w:type="spellStart"/>
      <w:r w:rsidRPr="00F82918">
        <w:t>Sarraj</w:t>
      </w:r>
      <w:proofErr w:type="spellEnd"/>
      <w:r w:rsidRPr="00F82918">
        <w:t xml:space="preserve">, L. (2014). </w:t>
      </w:r>
      <w:r w:rsidRPr="00F82918">
        <w:rPr>
          <w:i/>
          <w:iCs/>
        </w:rPr>
        <w:t>Exploitation d’un entrepôt de données guidée par des ontologies : Application au management hospitalier</w:t>
      </w:r>
      <w:r w:rsidRPr="00F82918">
        <w:t xml:space="preserve"> (Thèse de doctorat en informatique, Université d’Aix-Marseille), p. 37.</w:t>
      </w:r>
    </w:p>
  </w:footnote>
  <w:footnote w:id="17">
    <w:p w14:paraId="05DA59AA" w14:textId="77777777" w:rsidR="0095621A" w:rsidRDefault="0095621A" w:rsidP="00B7491C">
      <w:pPr>
        <w:pStyle w:val="Notedebasdepage"/>
      </w:pPr>
      <w:r>
        <w:rPr>
          <w:rStyle w:val="Appelnotedebasdep"/>
        </w:rPr>
        <w:footnoteRef/>
      </w:r>
      <w:r>
        <w:t xml:space="preserve"> </w:t>
      </w:r>
      <w:proofErr w:type="spellStart"/>
      <w:r w:rsidRPr="00905471">
        <w:rPr>
          <w:b/>
          <w:bCs/>
        </w:rPr>
        <w:t>Bayongwa</w:t>
      </w:r>
      <w:proofErr w:type="spellEnd"/>
      <w:r w:rsidRPr="00905471">
        <w:rPr>
          <w:b/>
          <w:bCs/>
        </w:rPr>
        <w:t>, B.</w:t>
      </w:r>
      <w:r w:rsidRPr="00905471">
        <w:t xml:space="preserve"> (2022). </w:t>
      </w:r>
      <w:r w:rsidRPr="00905471">
        <w:rPr>
          <w:i/>
          <w:iCs/>
        </w:rPr>
        <w:t>Systèmes d'information hospitaliers</w:t>
      </w:r>
      <w:r w:rsidRPr="00905471">
        <w:t>. Sarrebruck : Éditions Universitaires Européennes.</w:t>
      </w:r>
    </w:p>
  </w:footnote>
  <w:footnote w:id="18">
    <w:p w14:paraId="24AE738D" w14:textId="77777777" w:rsidR="0095621A" w:rsidRDefault="0095621A" w:rsidP="00A10AAB">
      <w:pPr>
        <w:pStyle w:val="Notedebasdepage"/>
      </w:pPr>
      <w:r>
        <w:rPr>
          <w:rStyle w:val="Appelnotedebasdep"/>
        </w:rPr>
        <w:footnoteRef/>
      </w:r>
      <w:r>
        <w:t xml:space="preserve"> </w:t>
      </w:r>
      <w:r w:rsidRPr="00905471">
        <w:rPr>
          <w:b/>
          <w:bCs/>
        </w:rPr>
        <w:t>Bouamrane, S. F.-Z.</w:t>
      </w:r>
      <w:r w:rsidRPr="00905471">
        <w:t xml:space="preserve"> (2010). </w:t>
      </w:r>
      <w:r w:rsidRPr="00905471">
        <w:rPr>
          <w:i/>
          <w:iCs/>
        </w:rPr>
        <w:t>Système d’information hospitalier : Admission et planification des blocs opératoires</w:t>
      </w:r>
      <w:r w:rsidRPr="00905471">
        <w:t xml:space="preserve"> (Mémoire de Magister en informatique, Université d’Oran, Faculté des sciences), pp. 16–17.</w:t>
      </w:r>
    </w:p>
  </w:footnote>
  <w:footnote w:id="19">
    <w:p w14:paraId="5393A2D1" w14:textId="77777777" w:rsidR="0095621A" w:rsidRDefault="0095621A" w:rsidP="00B7491C">
      <w:pPr>
        <w:pStyle w:val="Notedebasdepage"/>
      </w:pPr>
      <w:r>
        <w:rPr>
          <w:rStyle w:val="Appelnotedebasdep"/>
        </w:rPr>
        <w:footnoteRef/>
      </w:r>
      <w:r>
        <w:t xml:space="preserve"> </w:t>
      </w:r>
      <w:proofErr w:type="spellStart"/>
      <w:r w:rsidRPr="004337F0">
        <w:rPr>
          <w:b/>
          <w:bCs/>
        </w:rPr>
        <w:t>Ad'valorem</w:t>
      </w:r>
      <w:proofErr w:type="spellEnd"/>
      <w:r w:rsidRPr="004337F0">
        <w:rPr>
          <w:b/>
          <w:bCs/>
        </w:rPr>
        <w:t>.</w:t>
      </w:r>
      <w:r w:rsidRPr="003B1551">
        <w:t xml:space="preserve"> (2025, 10 janvier). </w:t>
      </w:r>
      <w:r w:rsidRPr="003B1551">
        <w:rPr>
          <w:i/>
          <w:iCs/>
        </w:rPr>
        <w:t>Le guide complet sur le logiciel hôpital pour la gestion des dossiers patients</w:t>
      </w:r>
      <w:r w:rsidRPr="003B1551">
        <w:t>. Consulté le 6 mars 2025 sur : https://www.advalorem.fr/le-guide-complet-sur-le-logiciel-hopital-pour-la-gestion-des-dossiers-patients/.</w:t>
      </w:r>
    </w:p>
  </w:footnote>
  <w:footnote w:id="20">
    <w:p w14:paraId="61DA0769" w14:textId="77777777" w:rsidR="0095621A" w:rsidRDefault="0095621A" w:rsidP="00B7491C">
      <w:pPr>
        <w:pStyle w:val="Notedebasdepage"/>
      </w:pPr>
      <w:r>
        <w:rPr>
          <w:rStyle w:val="Appelnotedebasdep"/>
        </w:rPr>
        <w:footnoteRef/>
      </w:r>
      <w:r w:rsidRPr="006F059B">
        <w:rPr>
          <w:lang w:val="en-US"/>
        </w:rPr>
        <w:t xml:space="preserve"> </w:t>
      </w:r>
      <w:proofErr w:type="spellStart"/>
      <w:r w:rsidRPr="004337F0">
        <w:rPr>
          <w:b/>
          <w:bCs/>
          <w:lang w:val="en-US"/>
        </w:rPr>
        <w:t>Ahmadian</w:t>
      </w:r>
      <w:proofErr w:type="spellEnd"/>
      <w:r w:rsidRPr="004337F0">
        <w:rPr>
          <w:b/>
          <w:bCs/>
          <w:lang w:val="en-US"/>
        </w:rPr>
        <w:t xml:space="preserve">, L., </w:t>
      </w:r>
      <w:proofErr w:type="spellStart"/>
      <w:r w:rsidRPr="004337F0">
        <w:rPr>
          <w:b/>
          <w:bCs/>
          <w:lang w:val="en-US"/>
        </w:rPr>
        <w:t>Dorosti</w:t>
      </w:r>
      <w:proofErr w:type="spellEnd"/>
      <w:r w:rsidRPr="004337F0">
        <w:rPr>
          <w:b/>
          <w:bCs/>
          <w:lang w:val="en-US"/>
        </w:rPr>
        <w:t xml:space="preserve">, N., </w:t>
      </w:r>
      <w:proofErr w:type="spellStart"/>
      <w:r w:rsidRPr="004337F0">
        <w:rPr>
          <w:b/>
          <w:bCs/>
          <w:lang w:val="en-US"/>
        </w:rPr>
        <w:t>Khajouei</w:t>
      </w:r>
      <w:proofErr w:type="spellEnd"/>
      <w:r w:rsidRPr="004337F0">
        <w:rPr>
          <w:b/>
          <w:bCs/>
          <w:lang w:val="en-US"/>
        </w:rPr>
        <w:t xml:space="preserve">, R., &amp; </w:t>
      </w:r>
      <w:proofErr w:type="spellStart"/>
      <w:r w:rsidRPr="004337F0">
        <w:rPr>
          <w:b/>
          <w:bCs/>
          <w:lang w:val="en-US"/>
        </w:rPr>
        <w:t>Hajesmaeel</w:t>
      </w:r>
      <w:proofErr w:type="spellEnd"/>
      <w:r w:rsidRPr="004337F0">
        <w:rPr>
          <w:b/>
          <w:bCs/>
          <w:lang w:val="en-US"/>
        </w:rPr>
        <w:t xml:space="preserve"> </w:t>
      </w:r>
      <w:proofErr w:type="spellStart"/>
      <w:r w:rsidRPr="004337F0">
        <w:rPr>
          <w:b/>
          <w:bCs/>
          <w:lang w:val="en-US"/>
        </w:rPr>
        <w:t>Gohari</w:t>
      </w:r>
      <w:proofErr w:type="spellEnd"/>
      <w:r w:rsidRPr="004337F0">
        <w:rPr>
          <w:b/>
          <w:bCs/>
          <w:lang w:val="en-US"/>
        </w:rPr>
        <w:t>, S.</w:t>
      </w:r>
      <w:r w:rsidRPr="004337F0">
        <w:rPr>
          <w:lang w:val="en-US"/>
        </w:rPr>
        <w:t xml:space="preserve"> (2017). Challenges of using hospital information systems by nurses: Comparing academic and non-academic hospitals. </w:t>
      </w:r>
      <w:proofErr w:type="spellStart"/>
      <w:r w:rsidRPr="004337F0">
        <w:rPr>
          <w:i/>
          <w:iCs/>
        </w:rPr>
        <w:t>Electronic</w:t>
      </w:r>
      <w:proofErr w:type="spellEnd"/>
      <w:r w:rsidRPr="004337F0">
        <w:rPr>
          <w:i/>
          <w:iCs/>
        </w:rPr>
        <w:t xml:space="preserve"> </w:t>
      </w:r>
      <w:proofErr w:type="spellStart"/>
      <w:r w:rsidRPr="004337F0">
        <w:rPr>
          <w:i/>
          <w:iCs/>
        </w:rPr>
        <w:t>Physician</w:t>
      </w:r>
      <w:proofErr w:type="spellEnd"/>
      <w:r w:rsidRPr="004337F0">
        <w:t>, 9(6), 4625–4630. https://doi.org/10.19082/4625. Consulté le 6 avril 2025.</w:t>
      </w:r>
    </w:p>
  </w:footnote>
  <w:footnote w:id="21">
    <w:p w14:paraId="045B3F09" w14:textId="77777777" w:rsidR="0095621A" w:rsidRDefault="0095621A" w:rsidP="00B7491C">
      <w:pPr>
        <w:pStyle w:val="Notedebasdepage"/>
      </w:pPr>
      <w:r>
        <w:rPr>
          <w:rStyle w:val="Appelnotedebasdep"/>
        </w:rPr>
        <w:footnoteRef/>
      </w:r>
      <w:r>
        <w:t xml:space="preserve"> </w:t>
      </w:r>
      <w:r w:rsidRPr="007A4F72">
        <w:t>APM Intelligence. (</w:t>
      </w:r>
      <w:proofErr w:type="spellStart"/>
      <w:proofErr w:type="gramStart"/>
      <w:r w:rsidRPr="007A4F72">
        <w:t>s.d</w:t>
      </w:r>
      <w:proofErr w:type="spellEnd"/>
      <w:r w:rsidRPr="007A4F72">
        <w:t>.</w:t>
      </w:r>
      <w:proofErr w:type="gramEnd"/>
      <w:r w:rsidRPr="007A4F72">
        <w:t xml:space="preserve">). </w:t>
      </w:r>
      <w:r w:rsidRPr="007A4F72">
        <w:rPr>
          <w:i/>
          <w:iCs/>
        </w:rPr>
        <w:t>Le système d'information hospitalier (SIH)</w:t>
      </w:r>
      <w:r w:rsidRPr="007A4F72">
        <w:t xml:space="preserve">. Consulté le 6 avril 2025 sur : </w:t>
      </w:r>
      <w:hyperlink r:id="rId1" w:tgtFrame="_new" w:history="1">
        <w:r w:rsidRPr="007A4F72">
          <w:rPr>
            <w:rStyle w:val="Lienhypertexte"/>
          </w:rPr>
          <w:t>https://www.apmintelligence.com/libre_liste?id=45</w:t>
        </w:r>
      </w:hyperlink>
    </w:p>
  </w:footnote>
  <w:footnote w:id="22">
    <w:p w14:paraId="3B8DE15C" w14:textId="622BBC9E" w:rsidR="0095621A" w:rsidRDefault="0095621A" w:rsidP="00B7491C">
      <w:pPr>
        <w:pStyle w:val="Notedebasdepage"/>
      </w:pPr>
      <w:r>
        <w:rPr>
          <w:rStyle w:val="Appelnotedebasdep"/>
        </w:rPr>
        <w:footnoteRef/>
      </w:r>
      <w:r w:rsidRPr="00692AB9">
        <w:rPr>
          <w:lang w:val="en-US"/>
        </w:rPr>
        <w:t xml:space="preserve"> </w:t>
      </w:r>
      <w:r w:rsidRPr="007A4F72">
        <w:rPr>
          <w:b/>
          <w:bCs/>
          <w:lang w:val="en-US"/>
        </w:rPr>
        <w:t xml:space="preserve">Bajaj </w:t>
      </w:r>
      <w:proofErr w:type="spellStart"/>
      <w:r w:rsidRPr="007A4F72">
        <w:rPr>
          <w:b/>
          <w:bCs/>
          <w:lang w:val="en-US"/>
        </w:rPr>
        <w:t>Finserv</w:t>
      </w:r>
      <w:proofErr w:type="spellEnd"/>
      <w:r w:rsidRPr="007A4F72">
        <w:rPr>
          <w:b/>
          <w:bCs/>
          <w:lang w:val="en-US"/>
        </w:rPr>
        <w:t>.</w:t>
      </w:r>
      <w:r w:rsidRPr="007A4F72">
        <w:rPr>
          <w:lang w:val="en-US"/>
        </w:rPr>
        <w:t xml:space="preserve"> (2024, 16 </w:t>
      </w:r>
      <w:proofErr w:type="spellStart"/>
      <w:r w:rsidRPr="007A4F72">
        <w:rPr>
          <w:lang w:val="en-US"/>
        </w:rPr>
        <w:t>Decembre</w:t>
      </w:r>
      <w:proofErr w:type="spellEnd"/>
      <w:r w:rsidRPr="007A4F72">
        <w:rPr>
          <w:lang w:val="en-US"/>
        </w:rPr>
        <w:t xml:space="preserve">). </w:t>
      </w:r>
      <w:r w:rsidRPr="007A4F72">
        <w:rPr>
          <w:i/>
          <w:iCs/>
          <w:lang w:val="en-US"/>
        </w:rPr>
        <w:t>Hospital information system: Check meaning, benefits and components</w:t>
      </w:r>
      <w:r w:rsidRPr="007A4F72">
        <w:rPr>
          <w:lang w:val="en-US"/>
        </w:rPr>
        <w:t xml:space="preserve">. </w:t>
      </w:r>
      <w:r w:rsidRPr="007A4F72">
        <w:t xml:space="preserve">Consulté le 6 avril 2025 sur : </w:t>
      </w:r>
      <w:hyperlink r:id="rId2" w:tgtFrame="_new" w:history="1">
        <w:r w:rsidRPr="007A4F72">
          <w:rPr>
            <w:rStyle w:val="Lienhypertexte"/>
          </w:rPr>
          <w:t>https://www.bajajfinserv.in/hospital-information-system</w:t>
        </w:r>
      </w:hyperlink>
    </w:p>
  </w:footnote>
  <w:footnote w:id="23">
    <w:p w14:paraId="4D0B5CE3" w14:textId="77777777" w:rsidR="0095621A" w:rsidRDefault="0095621A" w:rsidP="00B7491C">
      <w:pPr>
        <w:pStyle w:val="Notedebasdepage"/>
      </w:pPr>
      <w:r>
        <w:rPr>
          <w:rStyle w:val="Appelnotedebasdep"/>
        </w:rPr>
        <w:footnoteRef/>
      </w:r>
      <w:r>
        <w:t xml:space="preserve"> </w:t>
      </w:r>
      <w:r w:rsidRPr="007A4F72">
        <w:rPr>
          <w:b/>
          <w:bCs/>
        </w:rPr>
        <w:t>Bonis, P.</w:t>
      </w:r>
      <w:r w:rsidRPr="007A4F72">
        <w:t xml:space="preserve"> (2022, janvier). Système d’aide à la décision clinique. </w:t>
      </w:r>
      <w:r w:rsidRPr="007A4F72">
        <w:rPr>
          <w:i/>
          <w:iCs/>
        </w:rPr>
        <w:t>Gestions hospitalières</w:t>
      </w:r>
      <w:r w:rsidRPr="007A4F72">
        <w:t xml:space="preserve">, (n° 612), p. 33. </w:t>
      </w:r>
      <w:proofErr w:type="spellStart"/>
      <w:r w:rsidRPr="007A4F72">
        <w:t>Wolters</w:t>
      </w:r>
      <w:proofErr w:type="spellEnd"/>
      <w:r w:rsidRPr="007A4F72">
        <w:t xml:space="preserve"> Kluwer Health. Disponible sur : </w:t>
      </w:r>
      <w:hyperlink r:id="rId3" w:tgtFrame="_new" w:history="1">
        <w:r w:rsidRPr="007A4F72">
          <w:rPr>
            <w:rStyle w:val="Lienhypertexte"/>
          </w:rPr>
          <w:t>https://gestions-hospitalieres.fr/systeme-daide-a-la-decision-clinique/</w:t>
        </w:r>
      </w:hyperlink>
      <w:r w:rsidRPr="007A4F72">
        <w:t>. Consulté le 6 avril 2025</w:t>
      </w:r>
    </w:p>
  </w:footnote>
  <w:footnote w:id="24">
    <w:p w14:paraId="47F761D5" w14:textId="09CBEBB1" w:rsidR="0095621A" w:rsidRDefault="0095621A" w:rsidP="00B7491C">
      <w:pPr>
        <w:pStyle w:val="Notedebasdepage"/>
      </w:pPr>
      <w:r>
        <w:rPr>
          <w:rStyle w:val="Appelnotedebasdep"/>
        </w:rPr>
        <w:footnoteRef/>
      </w:r>
      <w:r w:rsidRPr="00B47001">
        <w:rPr>
          <w:lang w:val="en-US"/>
        </w:rPr>
        <w:t xml:space="preserve"> </w:t>
      </w:r>
      <w:r w:rsidRPr="007A4F72">
        <w:rPr>
          <w:b/>
          <w:bCs/>
          <w:lang w:val="en-US"/>
        </w:rPr>
        <w:t>Bhargava, A.</w:t>
      </w:r>
      <w:r w:rsidRPr="007A4F72">
        <w:rPr>
          <w:lang w:val="en-US"/>
        </w:rPr>
        <w:t xml:space="preserve"> (2023, 6 Avril). </w:t>
      </w:r>
      <w:r w:rsidRPr="007A4F72">
        <w:rPr>
          <w:i/>
          <w:iCs/>
          <w:lang w:val="en-US"/>
        </w:rPr>
        <w:t>Hospital information system: Types, features, benefits &amp; drawbacks</w:t>
      </w:r>
      <w:r w:rsidRPr="007A4F72">
        <w:rPr>
          <w:lang w:val="en-US"/>
        </w:rPr>
        <w:t xml:space="preserve">. </w:t>
      </w:r>
      <w:r w:rsidRPr="007A4F72">
        <w:t xml:space="preserve">Vocal Media. Disponible sur : </w:t>
      </w:r>
      <w:hyperlink r:id="rId4" w:tgtFrame="_new" w:history="1">
        <w:r w:rsidRPr="007A4F72">
          <w:rPr>
            <w:rStyle w:val="Lienhypertexte"/>
          </w:rPr>
          <w:t>https://vocal.media/journal/hospital-information-system-types-features-benefits-and-drawbacks</w:t>
        </w:r>
      </w:hyperlink>
      <w:r w:rsidRPr="007A4F72">
        <w:t>. Consulté le 6 avril 2025</w:t>
      </w:r>
    </w:p>
  </w:footnote>
  <w:footnote w:id="25">
    <w:p w14:paraId="7870FB65" w14:textId="77777777" w:rsidR="0095621A" w:rsidRPr="00DB3E8C" w:rsidRDefault="0095621A" w:rsidP="00B7491C">
      <w:pPr>
        <w:pStyle w:val="Notedebasdepage"/>
      </w:pPr>
      <w:r w:rsidRPr="00DB3E8C">
        <w:rPr>
          <w:rStyle w:val="Appelnotedebasdep"/>
        </w:rPr>
        <w:footnoteRef/>
      </w:r>
      <w:r w:rsidRPr="00DB3E8C">
        <w:t xml:space="preserve"> </w:t>
      </w:r>
      <w:proofErr w:type="spellStart"/>
      <w:r w:rsidRPr="007A4F72">
        <w:rPr>
          <w:b/>
          <w:bCs/>
        </w:rPr>
        <w:t>Douik</w:t>
      </w:r>
      <w:proofErr w:type="spellEnd"/>
      <w:r w:rsidRPr="007A4F72">
        <w:rPr>
          <w:b/>
          <w:bCs/>
        </w:rPr>
        <w:t>, M. A. H.</w:t>
      </w:r>
      <w:r w:rsidRPr="007A4F72">
        <w:t xml:space="preserve"> (2010). </w:t>
      </w:r>
      <w:r w:rsidRPr="007A4F72">
        <w:rPr>
          <w:i/>
          <w:iCs/>
        </w:rPr>
        <w:t>Les systèmes d'information de santé informatisés et leur impact sur les décisions administratives et médicales</w:t>
      </w:r>
      <w:r w:rsidRPr="007A4F72">
        <w:t xml:space="preserve"> (Mémoire de Master, Faculté de Commerce, Gaza), p. 56.</w:t>
      </w:r>
    </w:p>
  </w:footnote>
  <w:footnote w:id="26">
    <w:p w14:paraId="21695BC9" w14:textId="77777777" w:rsidR="0095621A" w:rsidRDefault="0095621A" w:rsidP="00B7491C">
      <w:pPr>
        <w:pStyle w:val="Notedebasdepage"/>
      </w:pPr>
      <w:r>
        <w:rPr>
          <w:rStyle w:val="Appelnotedebasdep"/>
        </w:rPr>
        <w:footnoteRef/>
      </w:r>
      <w:r>
        <w:t xml:space="preserve"> </w:t>
      </w:r>
      <w:r w:rsidRPr="007A4F72">
        <w:rPr>
          <w:b/>
          <w:bCs/>
        </w:rPr>
        <w:t>Gagneur, É.</w:t>
      </w:r>
      <w:r w:rsidRPr="007A4F72">
        <w:t xml:space="preserve"> (2013). </w:t>
      </w:r>
      <w:r w:rsidRPr="007A4F72">
        <w:rPr>
          <w:i/>
          <w:iCs/>
        </w:rPr>
        <w:t>Recherche sur les applications du PMSI dans le cadre d’un diagnostic territorial de santé et mise en application</w:t>
      </w:r>
      <w:r w:rsidRPr="007A4F72">
        <w:t xml:space="preserve"> (Mémoire de Master 2, École des Hautes Études en Santé Publique – EHESP), p. 11.</w:t>
      </w:r>
    </w:p>
  </w:footnote>
  <w:footnote w:id="27">
    <w:p w14:paraId="61F2FEDE" w14:textId="77777777" w:rsidR="0095621A" w:rsidRDefault="0095621A" w:rsidP="00B7491C">
      <w:pPr>
        <w:pStyle w:val="Notedebasdepage"/>
      </w:pPr>
      <w:r>
        <w:rPr>
          <w:rStyle w:val="Appelnotedebasdep"/>
        </w:rPr>
        <w:footnoteRef/>
      </w:r>
      <w:r>
        <w:t xml:space="preserve"> </w:t>
      </w:r>
      <w:r w:rsidRPr="00510B0B">
        <w:rPr>
          <w:b/>
          <w:bCs/>
        </w:rPr>
        <w:t>Cairn.info</w:t>
      </w:r>
      <w:r w:rsidRPr="00510B0B">
        <w:t xml:space="preserve">. </w:t>
      </w:r>
      <w:r w:rsidRPr="00510B0B">
        <w:rPr>
          <w:i/>
          <w:iCs/>
        </w:rPr>
        <w:t>Le programme de médicalisation du système d'information (PMSI)</w:t>
      </w:r>
      <w:r w:rsidRPr="00510B0B">
        <w:t xml:space="preserve">, in </w:t>
      </w:r>
      <w:r w:rsidRPr="00510B0B">
        <w:rPr>
          <w:i/>
          <w:iCs/>
        </w:rPr>
        <w:t>Management hospitalier</w:t>
      </w:r>
      <w:r w:rsidRPr="00510B0B">
        <w:t xml:space="preserve">, 2e éd., Paris : </w:t>
      </w:r>
      <w:proofErr w:type="spellStart"/>
      <w:r w:rsidRPr="00510B0B">
        <w:t>Dunod</w:t>
      </w:r>
      <w:proofErr w:type="spellEnd"/>
      <w:r w:rsidRPr="00510B0B">
        <w:t>, 2016, p. 553.</w:t>
      </w:r>
    </w:p>
  </w:footnote>
  <w:footnote w:id="28">
    <w:p w14:paraId="4228641D" w14:textId="77777777" w:rsidR="0095621A" w:rsidRDefault="0095621A" w:rsidP="009A6B1C">
      <w:pPr>
        <w:pStyle w:val="Notedebasdepage"/>
      </w:pPr>
      <w:r>
        <w:rPr>
          <w:rStyle w:val="Appelnotedebasdep"/>
        </w:rPr>
        <w:footnoteRef/>
      </w:r>
      <w:r>
        <w:t xml:space="preserve"> </w:t>
      </w:r>
      <w:proofErr w:type="spellStart"/>
      <w:r w:rsidRPr="00510B0B">
        <w:rPr>
          <w:b/>
          <w:bCs/>
        </w:rPr>
        <w:t>Elghazel</w:t>
      </w:r>
      <w:proofErr w:type="spellEnd"/>
      <w:r w:rsidRPr="00510B0B">
        <w:rPr>
          <w:b/>
          <w:bCs/>
        </w:rPr>
        <w:t>, H.</w:t>
      </w:r>
      <w:r w:rsidRPr="00510B0B">
        <w:t xml:space="preserve"> (2005, février). </w:t>
      </w:r>
      <w:r w:rsidRPr="00510B0B">
        <w:rPr>
          <w:i/>
          <w:iCs/>
        </w:rPr>
        <w:t>Initiation au Programme de Médicalisation des Systèmes d’Information (PMSI) : court séjour</w:t>
      </w:r>
      <w:r w:rsidRPr="00510B0B">
        <w:t xml:space="preserve">. Rapport interne, Laboratoire </w:t>
      </w:r>
      <w:proofErr w:type="spellStart"/>
      <w:r w:rsidRPr="00510B0B">
        <w:t>PRISMa</w:t>
      </w:r>
      <w:proofErr w:type="spellEnd"/>
      <w:r w:rsidRPr="00510B0B">
        <w:t>, Université Claude Bernard Lyon 1, p. 5.</w:t>
      </w:r>
    </w:p>
  </w:footnote>
  <w:footnote w:id="29">
    <w:p w14:paraId="229581BB" w14:textId="77777777" w:rsidR="0095621A" w:rsidRDefault="0095621A" w:rsidP="00B7491C">
      <w:pPr>
        <w:pStyle w:val="Notedebasdepage"/>
      </w:pPr>
      <w:r>
        <w:rPr>
          <w:rStyle w:val="Appelnotedebasdep"/>
        </w:rPr>
        <w:footnoteRef/>
      </w:r>
      <w:r>
        <w:t xml:space="preserve"> </w:t>
      </w:r>
      <w:r w:rsidRPr="009F2604">
        <w:rPr>
          <w:b/>
          <w:bCs/>
        </w:rPr>
        <w:t>Gagneur, E.</w:t>
      </w:r>
      <w:r w:rsidRPr="009F2604">
        <w:t xml:space="preserve"> (2013). </w:t>
      </w:r>
      <w:r w:rsidRPr="009F2604">
        <w:rPr>
          <w:i/>
          <w:iCs/>
        </w:rPr>
        <w:t>Recherche sur les applications du PMSI dans le cadre d'un diagnostic territorial de santé et mise en application</w:t>
      </w:r>
      <w:r w:rsidRPr="009F2604">
        <w:t xml:space="preserve"> (Mémoire de Master 2, École des Hautes Études en Sant</w:t>
      </w:r>
      <w:r>
        <w:t xml:space="preserve">é Publique). Consulté le 12 mars </w:t>
      </w:r>
      <w:r w:rsidRPr="009F2604">
        <w:t xml:space="preserve">2025, sur </w:t>
      </w:r>
      <w:hyperlink r:id="rId5" w:tgtFrame="_new" w:history="1">
        <w:r w:rsidRPr="009F2604">
          <w:rPr>
            <w:rStyle w:val="Lienhypertexte"/>
          </w:rPr>
          <w:t>https://documentation.ehesp.fr/doc_num.php?explnum_id=14489</w:t>
        </w:r>
      </w:hyperlink>
    </w:p>
  </w:footnote>
  <w:footnote w:id="30">
    <w:p w14:paraId="5C9EAA90" w14:textId="77777777" w:rsidR="0095621A" w:rsidRDefault="0095621A" w:rsidP="00B7491C">
      <w:pPr>
        <w:pStyle w:val="Notedebasdepage"/>
      </w:pPr>
      <w:r>
        <w:rPr>
          <w:rStyle w:val="Appelnotedebasdep"/>
        </w:rPr>
        <w:footnoteRef/>
      </w:r>
      <w:r>
        <w:t xml:space="preserve"> </w:t>
      </w:r>
      <w:r w:rsidRPr="009D17D0">
        <w:t xml:space="preserve">Haas Avocats. (2019). </w:t>
      </w:r>
      <w:r w:rsidRPr="009D17D0">
        <w:rPr>
          <w:i/>
          <w:iCs/>
        </w:rPr>
        <w:t>Le PMSI, un outil clé de la tarification à l’activité (T2A)</w:t>
      </w:r>
      <w:r w:rsidRPr="009D17D0">
        <w:t>. Disponible sur : https://www.haas-avocats.com/le-pmsi-un-outil-cle-de-la-tarification-a-lactivite-t2a. Consulté le 6 avril 2025.</w:t>
      </w:r>
    </w:p>
  </w:footnote>
  <w:footnote w:id="31">
    <w:p w14:paraId="4E024907" w14:textId="77777777" w:rsidR="0095621A" w:rsidRDefault="0095621A" w:rsidP="00B7491C">
      <w:pPr>
        <w:pStyle w:val="Notedebasdepage"/>
      </w:pPr>
      <w:r>
        <w:rPr>
          <w:rStyle w:val="Appelnotedebasdep"/>
        </w:rPr>
        <w:footnoteRef/>
      </w:r>
      <w:r>
        <w:t xml:space="preserve"> </w:t>
      </w:r>
      <w:r w:rsidRPr="009F2604">
        <w:rPr>
          <w:b/>
          <w:bCs/>
        </w:rPr>
        <w:t>Faure, E.</w:t>
      </w:r>
      <w:r w:rsidRPr="009F2604">
        <w:t xml:space="preserve"> (2002, 15 avril). </w:t>
      </w:r>
      <w:r w:rsidRPr="009F2604">
        <w:rPr>
          <w:i/>
          <w:iCs/>
        </w:rPr>
        <w:t>Le programme de médicalisation des systèmes d'information (PMSI)</w:t>
      </w:r>
      <w:r w:rsidRPr="009F2604">
        <w:t xml:space="preserve">. Caducee.net. </w:t>
      </w:r>
      <w:hyperlink r:id="rId6" w:tgtFrame="_new" w:history="1">
        <w:r w:rsidRPr="009F2604">
          <w:rPr>
            <w:rStyle w:val="Lienhypertexte"/>
          </w:rPr>
          <w:t>https://www.caducee.net/DossierSpecialises/systeme-information-sante/pmsi.asp</w:t>
        </w:r>
      </w:hyperlink>
      <w:r w:rsidRPr="009F2604">
        <w:t xml:space="preserve"> (Consulté le 6 avril 2025)</w:t>
      </w:r>
    </w:p>
  </w:footnote>
  <w:footnote w:id="32">
    <w:p w14:paraId="48B86EE7" w14:textId="77777777" w:rsidR="0095621A" w:rsidRDefault="0095621A" w:rsidP="00B7491C">
      <w:pPr>
        <w:pStyle w:val="Notedebasdepage"/>
      </w:pPr>
      <w:r>
        <w:rPr>
          <w:rStyle w:val="Appelnotedebasdep"/>
        </w:rPr>
        <w:footnoteRef/>
      </w:r>
      <w:r>
        <w:t xml:space="preserve"> </w:t>
      </w:r>
      <w:r w:rsidRPr="009F2604">
        <w:rPr>
          <w:b/>
          <w:bCs/>
        </w:rPr>
        <w:t>ATIH (Agence technique de l'information sur l'hospitalisation).</w:t>
      </w:r>
      <w:r w:rsidRPr="009F2604">
        <w:t xml:space="preserve"> (</w:t>
      </w:r>
      <w:proofErr w:type="spellStart"/>
      <w:proofErr w:type="gramStart"/>
      <w:r w:rsidRPr="009F2604">
        <w:t>s.d</w:t>
      </w:r>
      <w:proofErr w:type="spellEnd"/>
      <w:r w:rsidRPr="009F2604">
        <w:t>.</w:t>
      </w:r>
      <w:proofErr w:type="gramEnd"/>
      <w:r w:rsidRPr="009F2604">
        <w:t xml:space="preserve">). </w:t>
      </w:r>
      <w:r w:rsidRPr="009F2604">
        <w:rPr>
          <w:i/>
          <w:iCs/>
        </w:rPr>
        <w:t>Le PMSI, fonctionnement et enjeux</w:t>
      </w:r>
      <w:r w:rsidRPr="009F2604">
        <w:t xml:space="preserve">. </w:t>
      </w:r>
      <w:hyperlink r:id="rId7" w:tgtFrame="_new" w:history="1">
        <w:r w:rsidRPr="009F2604">
          <w:rPr>
            <w:rStyle w:val="Lienhypertexte"/>
          </w:rPr>
          <w:t>https://www.atih.sante.fr</w:t>
        </w:r>
      </w:hyperlink>
      <w:r w:rsidRPr="009F2604">
        <w:t xml:space="preserve"> (Consulté le 6 avril 2025)</w:t>
      </w:r>
    </w:p>
  </w:footnote>
  <w:footnote w:id="33">
    <w:p w14:paraId="66837A31" w14:textId="77777777" w:rsidR="0095621A" w:rsidRDefault="0095621A">
      <w:pPr>
        <w:pStyle w:val="Notedebasdepage"/>
      </w:pPr>
      <w:r w:rsidRPr="009F2604">
        <w:rPr>
          <w:rStyle w:val="fadeinm1hgl8"/>
          <w:lang w:val="en-US"/>
        </w:rPr>
        <w:t xml:space="preserve">Office of Inspector General, U.S. Department of Health and Human Services. (2001, </w:t>
      </w:r>
      <w:proofErr w:type="spellStart"/>
      <w:r w:rsidRPr="009F2604">
        <w:rPr>
          <w:rStyle w:val="fadeinm1hgl8"/>
          <w:lang w:val="en-US"/>
        </w:rPr>
        <w:t>août</w:t>
      </w:r>
      <w:proofErr w:type="spellEnd"/>
      <w:r w:rsidRPr="009F2604">
        <w:rPr>
          <w:rStyle w:val="fadeinm1hgl8"/>
          <w:lang w:val="en-US"/>
        </w:rPr>
        <w:t xml:space="preserve">). </w:t>
      </w:r>
      <w:r w:rsidRPr="009F2604">
        <w:rPr>
          <w:rStyle w:val="fadeinm1hgl8"/>
          <w:i/>
          <w:iCs/>
          <w:lang w:val="en-US"/>
        </w:rPr>
        <w:t>Medicare Hospital Prospective Payment System: How DRG Rates Are Calculated and Updated (OEI-09-00-00200)</w:t>
      </w:r>
      <w:r w:rsidRPr="009F2604">
        <w:rPr>
          <w:rStyle w:val="fadeinm1hgl8"/>
          <w:lang w:val="en-US"/>
        </w:rPr>
        <w:t xml:space="preserve">. </w:t>
      </w:r>
      <w:hyperlink r:id="rId8" w:tgtFrame="_new" w:history="1">
        <w:r>
          <w:rPr>
            <w:rStyle w:val="fadeinm1hgl8"/>
            <w:color w:val="0000FF"/>
            <w:u w:val="single"/>
          </w:rPr>
          <w:t>https://www.kff.org/wp-content/uploads/sites/2/2011/07/oei-09-00-00200.pdf</w:t>
        </w:r>
      </w:hyperlink>
      <w:r>
        <w:rPr>
          <w:rStyle w:val="fadeinm1hgl8"/>
        </w:rPr>
        <w:t xml:space="preserve"> (Consulté le 7 avril 2025)</w:t>
      </w:r>
    </w:p>
  </w:footnote>
  <w:footnote w:id="34">
    <w:p w14:paraId="5CF3A7AE" w14:textId="02404B3E" w:rsidR="0095621A" w:rsidRPr="00C6524F" w:rsidRDefault="0095621A" w:rsidP="00B7491C">
      <w:pPr>
        <w:pStyle w:val="Notedebasdepage"/>
        <w:rPr>
          <w:lang w:val="en-US"/>
        </w:rPr>
      </w:pPr>
      <w:r>
        <w:rPr>
          <w:rStyle w:val="Appelnotedebasdep"/>
        </w:rPr>
        <w:footnoteRef/>
      </w:r>
      <w:r>
        <w:t xml:space="preserve"> </w:t>
      </w:r>
      <w:r w:rsidRPr="009F2604">
        <w:rPr>
          <w:b/>
          <w:bCs/>
        </w:rPr>
        <w:t xml:space="preserve">Mihailovic, N., Kocic, S., &amp; </w:t>
      </w:r>
      <w:proofErr w:type="spellStart"/>
      <w:r w:rsidRPr="009F2604">
        <w:rPr>
          <w:b/>
          <w:bCs/>
        </w:rPr>
        <w:t>Jakovljevic</w:t>
      </w:r>
      <w:proofErr w:type="spellEnd"/>
      <w:r w:rsidRPr="009F2604">
        <w:rPr>
          <w:b/>
          <w:bCs/>
        </w:rPr>
        <w:t>, M.</w:t>
      </w:r>
      <w:r w:rsidRPr="009F2604">
        <w:t xml:space="preserve"> (2016). </w:t>
      </w:r>
      <w:r w:rsidRPr="009F2604">
        <w:rPr>
          <w:lang w:val="en-US"/>
        </w:rPr>
        <w:t xml:space="preserve">Review of Diagnosis-Related Group-Based Financing of Hospital Care. </w:t>
      </w:r>
      <w:r w:rsidRPr="009F2604">
        <w:rPr>
          <w:i/>
          <w:iCs/>
          <w:lang w:val="en-US"/>
        </w:rPr>
        <w:t>Health Services Research and Managerial Epidemiology</w:t>
      </w:r>
      <w:r w:rsidRPr="009F2604">
        <w:rPr>
          <w:lang w:val="en-US"/>
        </w:rPr>
        <w:t xml:space="preserve">, 3, 1–10. </w:t>
      </w:r>
      <w:hyperlink r:id="rId9" w:tgtFrame="_new" w:history="1">
        <w:r w:rsidRPr="009F2604">
          <w:rPr>
            <w:rStyle w:val="Lienhypertexte"/>
            <w:lang w:val="en-US"/>
          </w:rPr>
          <w:t>https://doi.org/10.1177/2333392816647892</w:t>
        </w:r>
      </w:hyperlink>
      <w:r w:rsidRPr="009F2604">
        <w:rPr>
          <w:lang w:val="en-US"/>
        </w:rPr>
        <w:t xml:space="preserve"> (</w:t>
      </w:r>
      <w:proofErr w:type="spellStart"/>
      <w:r w:rsidRPr="009F2604">
        <w:rPr>
          <w:lang w:val="en-US"/>
        </w:rPr>
        <w:t>Consulté</w:t>
      </w:r>
      <w:proofErr w:type="spellEnd"/>
      <w:r w:rsidRPr="009F2604">
        <w:rPr>
          <w:lang w:val="en-US"/>
        </w:rPr>
        <w:t xml:space="preserve"> le 7 Avril 2025)</w:t>
      </w:r>
      <w:r>
        <w:rPr>
          <w:lang w:val="en-US"/>
        </w:rPr>
        <w:t xml:space="preserve"> </w:t>
      </w:r>
    </w:p>
  </w:footnote>
  <w:footnote w:id="35">
    <w:p w14:paraId="0A749E0C" w14:textId="77777777" w:rsidR="0095621A" w:rsidRPr="00F870A8" w:rsidRDefault="0095621A" w:rsidP="00B7491C">
      <w:pPr>
        <w:rPr>
          <w:sz w:val="20"/>
          <w:szCs w:val="20"/>
        </w:rPr>
      </w:pPr>
      <w:r>
        <w:rPr>
          <w:rStyle w:val="Appelnotedebasdep"/>
        </w:rPr>
        <w:footnoteRef/>
      </w:r>
      <w:r>
        <w:t xml:space="preserve"> </w:t>
      </w:r>
      <w:r w:rsidRPr="003E1E30">
        <w:rPr>
          <w:b/>
          <w:bCs/>
          <w:sz w:val="20"/>
          <w:szCs w:val="20"/>
        </w:rPr>
        <w:t xml:space="preserve">De </w:t>
      </w:r>
      <w:proofErr w:type="spellStart"/>
      <w:r w:rsidRPr="003E1E30">
        <w:rPr>
          <w:b/>
          <w:bCs/>
          <w:sz w:val="20"/>
          <w:szCs w:val="20"/>
        </w:rPr>
        <w:t>Pouvourville</w:t>
      </w:r>
      <w:proofErr w:type="spellEnd"/>
      <w:r w:rsidRPr="003E1E30">
        <w:rPr>
          <w:b/>
          <w:bCs/>
          <w:sz w:val="20"/>
          <w:szCs w:val="20"/>
        </w:rPr>
        <w:t>, G.</w:t>
      </w:r>
      <w:r w:rsidRPr="003E1E30">
        <w:rPr>
          <w:sz w:val="20"/>
          <w:szCs w:val="20"/>
        </w:rPr>
        <w:t xml:space="preserve"> (1990). La régulation financière de l'hôpital par les DRG : enjeux, principes, faisabilité. </w:t>
      </w:r>
      <w:r w:rsidRPr="003E1E30">
        <w:rPr>
          <w:i/>
          <w:iCs/>
          <w:sz w:val="20"/>
          <w:szCs w:val="20"/>
        </w:rPr>
        <w:t>Sciences Sociales et Santé</w:t>
      </w:r>
      <w:r w:rsidRPr="003E1E30">
        <w:rPr>
          <w:sz w:val="20"/>
          <w:szCs w:val="20"/>
        </w:rPr>
        <w:t xml:space="preserve">, 8(2), 59. </w:t>
      </w:r>
      <w:hyperlink r:id="rId10" w:tgtFrame="_new" w:history="1">
        <w:r w:rsidRPr="003E1E30">
          <w:rPr>
            <w:rStyle w:val="Lienhypertexte"/>
            <w:sz w:val="20"/>
            <w:szCs w:val="20"/>
          </w:rPr>
          <w:t>https://www.persee.fr/doc/sosan_0294-0337_1990_num_8_2_1160</w:t>
        </w:r>
      </w:hyperlink>
    </w:p>
  </w:footnote>
  <w:footnote w:id="36">
    <w:p w14:paraId="36DFF20D" w14:textId="77777777" w:rsidR="0095621A" w:rsidRDefault="0095621A" w:rsidP="00B7491C">
      <w:pPr>
        <w:pStyle w:val="Notedebasdepage"/>
      </w:pPr>
      <w:r>
        <w:rPr>
          <w:rStyle w:val="Appelnotedebasdep"/>
        </w:rPr>
        <w:footnoteRef/>
      </w:r>
      <w:r w:rsidRPr="00F870A8">
        <w:rPr>
          <w:lang w:val="en-US"/>
        </w:rPr>
        <w:t xml:space="preserve"> </w:t>
      </w:r>
      <w:proofErr w:type="spellStart"/>
      <w:r w:rsidRPr="003E1E30">
        <w:rPr>
          <w:b/>
          <w:bCs/>
          <w:lang w:val="en-US"/>
        </w:rPr>
        <w:t>Brundage</w:t>
      </w:r>
      <w:proofErr w:type="spellEnd"/>
      <w:r w:rsidRPr="003E1E30">
        <w:rPr>
          <w:b/>
          <w:bCs/>
          <w:lang w:val="en-US"/>
        </w:rPr>
        <w:t xml:space="preserve"> Group.</w:t>
      </w:r>
      <w:r w:rsidRPr="003E1E30">
        <w:rPr>
          <w:lang w:val="en-US"/>
        </w:rPr>
        <w:t xml:space="preserve"> (2025, mars 26). </w:t>
      </w:r>
      <w:r w:rsidRPr="003E1E30">
        <w:rPr>
          <w:i/>
          <w:iCs/>
          <w:lang w:val="en-US"/>
        </w:rPr>
        <w:t>What are Diagnosis Related Groups (DRGs)?</w:t>
      </w:r>
      <w:r w:rsidRPr="003E1E30">
        <w:rPr>
          <w:lang w:val="en-US"/>
        </w:rPr>
        <w:t xml:space="preserve"> </w:t>
      </w:r>
      <w:proofErr w:type="spellStart"/>
      <w:r w:rsidRPr="003E1E30">
        <w:t>Brundage</w:t>
      </w:r>
      <w:proofErr w:type="spellEnd"/>
      <w:r w:rsidRPr="003E1E30">
        <w:t xml:space="preserve"> Group. </w:t>
      </w:r>
      <w:hyperlink r:id="rId11" w:tgtFrame="_new" w:history="1">
        <w:r w:rsidRPr="003E1E30">
          <w:rPr>
            <w:rStyle w:val="Lienhypertexte"/>
          </w:rPr>
          <w:t>https://brundagegroup.com/what-are-diagnosis-related-groups-drgs/</w:t>
        </w:r>
      </w:hyperlink>
      <w:r w:rsidRPr="003E1E30">
        <w:t xml:space="preserve"> (Consulté le 8 avril 2025)</w:t>
      </w:r>
    </w:p>
  </w:footnote>
  <w:footnote w:id="37">
    <w:p w14:paraId="48559F55" w14:textId="77777777" w:rsidR="0095621A" w:rsidRPr="00A81B8A" w:rsidRDefault="0095621A" w:rsidP="00B7491C">
      <w:pPr>
        <w:rPr>
          <w:sz w:val="20"/>
          <w:szCs w:val="20"/>
        </w:rPr>
      </w:pPr>
      <w:r>
        <w:rPr>
          <w:rStyle w:val="Appelnotedebasdep"/>
        </w:rPr>
        <w:footnoteRef/>
      </w:r>
      <w:r>
        <w:t xml:space="preserve"> </w:t>
      </w:r>
      <w:r w:rsidRPr="003E1E30">
        <w:rPr>
          <w:b/>
          <w:bCs/>
          <w:sz w:val="20"/>
          <w:szCs w:val="20"/>
        </w:rPr>
        <w:t xml:space="preserve">NHS </w:t>
      </w:r>
      <w:proofErr w:type="spellStart"/>
      <w:r w:rsidRPr="003E1E30">
        <w:rPr>
          <w:b/>
          <w:bCs/>
          <w:sz w:val="20"/>
          <w:szCs w:val="20"/>
        </w:rPr>
        <w:t>England</w:t>
      </w:r>
      <w:proofErr w:type="spellEnd"/>
      <w:r w:rsidRPr="003E1E30">
        <w:rPr>
          <w:b/>
          <w:bCs/>
          <w:sz w:val="20"/>
          <w:szCs w:val="20"/>
        </w:rPr>
        <w:t>.</w:t>
      </w:r>
      <w:r w:rsidRPr="003E1E30">
        <w:rPr>
          <w:sz w:val="20"/>
          <w:szCs w:val="20"/>
        </w:rPr>
        <w:t xml:space="preserve"> (2023, février 16). </w:t>
      </w:r>
      <w:r w:rsidRPr="003E1E30">
        <w:rPr>
          <w:i/>
          <w:iCs/>
          <w:sz w:val="20"/>
          <w:szCs w:val="20"/>
        </w:rPr>
        <w:t>NHS.UK – Ressource en ligne pour les patients</w:t>
      </w:r>
      <w:r w:rsidRPr="003E1E30">
        <w:rPr>
          <w:sz w:val="20"/>
          <w:szCs w:val="20"/>
        </w:rPr>
        <w:t xml:space="preserve">. </w:t>
      </w:r>
      <w:hyperlink r:id="rId12" w:tgtFrame="_new" w:history="1">
        <w:r w:rsidRPr="003E1E30">
          <w:rPr>
            <w:rStyle w:val="Lienhypertexte"/>
            <w:sz w:val="20"/>
            <w:szCs w:val="20"/>
          </w:rPr>
          <w:t>https://www.england.nhs.uk/long-read/nhs-uk-online-resource-for-patients/</w:t>
        </w:r>
      </w:hyperlink>
      <w:r w:rsidRPr="003E1E30">
        <w:rPr>
          <w:sz w:val="20"/>
          <w:szCs w:val="20"/>
        </w:rPr>
        <w:t xml:space="preserve"> (Consulté le 6 avril 2025)</w:t>
      </w:r>
    </w:p>
  </w:footnote>
  <w:footnote w:id="38">
    <w:p w14:paraId="17CE6C14" w14:textId="77777777" w:rsidR="0095621A" w:rsidRDefault="0095621A" w:rsidP="00B7491C">
      <w:pPr>
        <w:pStyle w:val="Notedebasdepage"/>
      </w:pPr>
      <w:r>
        <w:rPr>
          <w:rStyle w:val="Appelnotedebasdep"/>
        </w:rPr>
        <w:footnoteRef/>
      </w:r>
      <w:r w:rsidRPr="00A81B8A">
        <w:rPr>
          <w:lang w:val="en-US"/>
        </w:rPr>
        <w:t xml:space="preserve"> </w:t>
      </w:r>
      <w:r w:rsidRPr="003E1E30">
        <w:rPr>
          <w:b/>
          <w:bCs/>
          <w:lang w:val="en-US"/>
        </w:rPr>
        <w:t>NHS Transformation Directorate.</w:t>
      </w:r>
      <w:r w:rsidRPr="003E1E30">
        <w:rPr>
          <w:lang w:val="en-US"/>
        </w:rPr>
        <w:t xml:space="preserve"> (</w:t>
      </w:r>
      <w:proofErr w:type="spellStart"/>
      <w:r w:rsidRPr="003E1E30">
        <w:rPr>
          <w:lang w:val="en-US"/>
        </w:rPr>
        <w:t>s.d.</w:t>
      </w:r>
      <w:proofErr w:type="spellEnd"/>
      <w:r w:rsidRPr="003E1E30">
        <w:rPr>
          <w:lang w:val="en-US"/>
        </w:rPr>
        <w:t xml:space="preserve">). </w:t>
      </w:r>
      <w:r w:rsidRPr="003E1E30">
        <w:rPr>
          <w:i/>
          <w:iCs/>
          <w:lang w:val="en-US"/>
        </w:rPr>
        <w:t xml:space="preserve">Our strategy to </w:t>
      </w:r>
      <w:proofErr w:type="spellStart"/>
      <w:r w:rsidRPr="003E1E30">
        <w:rPr>
          <w:i/>
          <w:iCs/>
          <w:lang w:val="en-US"/>
        </w:rPr>
        <w:t>digitise</w:t>
      </w:r>
      <w:proofErr w:type="spellEnd"/>
      <w:r w:rsidRPr="003E1E30">
        <w:rPr>
          <w:i/>
          <w:iCs/>
          <w:lang w:val="en-US"/>
        </w:rPr>
        <w:t>, connect and transform</w:t>
      </w:r>
      <w:r w:rsidRPr="003E1E30">
        <w:rPr>
          <w:lang w:val="en-US"/>
        </w:rPr>
        <w:t xml:space="preserve">. </w:t>
      </w:r>
      <w:r w:rsidRPr="003E1E30">
        <w:t xml:space="preserve">NHS </w:t>
      </w:r>
      <w:proofErr w:type="spellStart"/>
      <w:r w:rsidRPr="003E1E30">
        <w:t>England</w:t>
      </w:r>
      <w:proofErr w:type="spellEnd"/>
      <w:r w:rsidRPr="003E1E30">
        <w:t xml:space="preserve">. </w:t>
      </w:r>
      <w:hyperlink r:id="rId13" w:tgtFrame="_new" w:history="1">
        <w:r w:rsidRPr="003E1E30">
          <w:rPr>
            <w:rStyle w:val="Lienhypertexte"/>
          </w:rPr>
          <w:t>https://transform.england.nhs.uk/digitise-connect-transform/our-strategy-to-digitise-connect-and-transform/</w:t>
        </w:r>
      </w:hyperlink>
      <w:r w:rsidRPr="003E1E30">
        <w:t xml:space="preserve"> (Consulté le 7 avril 2025)</w:t>
      </w:r>
    </w:p>
  </w:footnote>
  <w:footnote w:id="39">
    <w:p w14:paraId="6514F9D4" w14:textId="67589202" w:rsidR="0095621A" w:rsidRDefault="0095621A" w:rsidP="00B7491C">
      <w:pPr>
        <w:pStyle w:val="Notedebasdepage"/>
      </w:pPr>
      <w:r>
        <w:rPr>
          <w:rStyle w:val="Appelnotedebasdep"/>
        </w:rPr>
        <w:footnoteRef/>
      </w:r>
      <w:r w:rsidRPr="00A81B8A">
        <w:rPr>
          <w:lang w:val="en-US"/>
        </w:rPr>
        <w:t xml:space="preserve"> </w:t>
      </w:r>
      <w:r w:rsidRPr="003E1E30">
        <w:rPr>
          <w:b/>
          <w:bCs/>
          <w:lang w:val="en-US"/>
        </w:rPr>
        <w:t>Government Digital Service, NHS Digital, &amp; Central Digital and Data Office.</w:t>
      </w:r>
      <w:r w:rsidRPr="003E1E30">
        <w:rPr>
          <w:lang w:val="en-US"/>
        </w:rPr>
        <w:t xml:space="preserve"> (2021, </w:t>
      </w:r>
      <w:proofErr w:type="spellStart"/>
      <w:r w:rsidRPr="003E1E30">
        <w:rPr>
          <w:lang w:val="en-US"/>
        </w:rPr>
        <w:t>Decembre</w:t>
      </w:r>
      <w:proofErr w:type="spellEnd"/>
      <w:r w:rsidRPr="003E1E30">
        <w:rPr>
          <w:lang w:val="en-US"/>
        </w:rPr>
        <w:t xml:space="preserve"> 15). </w:t>
      </w:r>
      <w:r w:rsidRPr="003E1E30">
        <w:rPr>
          <w:i/>
          <w:iCs/>
          <w:lang w:val="en-US"/>
        </w:rPr>
        <w:t>How NHS Digital used API management to support APIs at scale</w:t>
      </w:r>
      <w:r w:rsidRPr="003E1E30">
        <w:rPr>
          <w:lang w:val="en-US"/>
        </w:rPr>
        <w:t xml:space="preserve">. </w:t>
      </w:r>
      <w:r w:rsidRPr="003E1E30">
        <w:t xml:space="preserve">Gov.uk. </w:t>
      </w:r>
      <w:hyperlink r:id="rId14" w:tgtFrame="_new" w:history="1">
        <w:r w:rsidRPr="003E1E30">
          <w:rPr>
            <w:rStyle w:val="Lienhypertexte"/>
          </w:rPr>
          <w:t>https://www.gov.uk/government/case-studies/how-nhs-digital-used-api-management-to-support-apis-at-scale</w:t>
        </w:r>
      </w:hyperlink>
      <w:r w:rsidRPr="003E1E30">
        <w:t xml:space="preserve"> (Consulté le 7 avril 2025)</w:t>
      </w:r>
    </w:p>
  </w:footnote>
  <w:footnote w:id="40">
    <w:p w14:paraId="70C12D8D" w14:textId="5B20E27B" w:rsidR="0095621A" w:rsidRPr="000867D4" w:rsidRDefault="0095621A" w:rsidP="00B7491C">
      <w:pPr>
        <w:rPr>
          <w:sz w:val="20"/>
          <w:szCs w:val="20"/>
        </w:rPr>
      </w:pPr>
      <w:r>
        <w:rPr>
          <w:rStyle w:val="Appelnotedebasdep"/>
        </w:rPr>
        <w:footnoteRef/>
      </w:r>
      <w:r w:rsidRPr="000867D4">
        <w:rPr>
          <w:lang w:val="en-US"/>
        </w:rPr>
        <w:t xml:space="preserve"> </w:t>
      </w:r>
      <w:r w:rsidRPr="003E1E30">
        <w:rPr>
          <w:b/>
          <w:bCs/>
          <w:sz w:val="20"/>
          <w:szCs w:val="20"/>
          <w:lang w:val="en-US"/>
        </w:rPr>
        <w:t>House of Commons Health and Social Care Committee.</w:t>
      </w:r>
      <w:r w:rsidRPr="003E1E30">
        <w:rPr>
          <w:sz w:val="20"/>
          <w:szCs w:val="20"/>
          <w:lang w:val="en-US"/>
        </w:rPr>
        <w:t xml:space="preserve"> (2023, </w:t>
      </w:r>
      <w:proofErr w:type="spellStart"/>
      <w:r w:rsidRPr="003E1E30">
        <w:rPr>
          <w:sz w:val="20"/>
          <w:szCs w:val="20"/>
          <w:lang w:val="en-US"/>
        </w:rPr>
        <w:t>Juin</w:t>
      </w:r>
      <w:proofErr w:type="spellEnd"/>
      <w:r w:rsidRPr="003E1E30">
        <w:rPr>
          <w:sz w:val="20"/>
          <w:szCs w:val="20"/>
          <w:lang w:val="en-US"/>
        </w:rPr>
        <w:t xml:space="preserve"> 21). </w:t>
      </w:r>
      <w:r w:rsidRPr="003E1E30">
        <w:rPr>
          <w:i/>
          <w:iCs/>
          <w:sz w:val="20"/>
          <w:szCs w:val="20"/>
          <w:lang w:val="en-US"/>
        </w:rPr>
        <w:t>Digital transformation in the NHS: Eighth Report of Session 2022–23 (HC 223)</w:t>
      </w:r>
      <w:r w:rsidRPr="003E1E30">
        <w:rPr>
          <w:sz w:val="20"/>
          <w:szCs w:val="20"/>
          <w:lang w:val="en-US"/>
        </w:rPr>
        <w:t xml:space="preserve">. </w:t>
      </w:r>
      <w:r w:rsidRPr="003E1E30">
        <w:rPr>
          <w:sz w:val="20"/>
          <w:szCs w:val="20"/>
        </w:rPr>
        <w:t xml:space="preserve">UK </w:t>
      </w:r>
      <w:proofErr w:type="spellStart"/>
      <w:r w:rsidRPr="003E1E30">
        <w:rPr>
          <w:sz w:val="20"/>
          <w:szCs w:val="20"/>
        </w:rPr>
        <w:t>Parliament</w:t>
      </w:r>
      <w:proofErr w:type="spellEnd"/>
      <w:r w:rsidRPr="003E1E30">
        <w:rPr>
          <w:sz w:val="20"/>
          <w:szCs w:val="20"/>
        </w:rPr>
        <w:t xml:space="preserve">. </w:t>
      </w:r>
      <w:hyperlink r:id="rId15" w:tgtFrame="_new" w:history="1">
        <w:r w:rsidRPr="003E1E30">
          <w:rPr>
            <w:rStyle w:val="Lienhypertexte"/>
            <w:sz w:val="20"/>
            <w:szCs w:val="20"/>
          </w:rPr>
          <w:t>https://publications.parliament.uk/pa/cm5803/cmselect/cmhealth/223/report.html</w:t>
        </w:r>
      </w:hyperlink>
      <w:r w:rsidRPr="003E1E30">
        <w:rPr>
          <w:sz w:val="20"/>
          <w:szCs w:val="20"/>
        </w:rPr>
        <w:t xml:space="preserve"> (Consulté le 8 avril 2025)</w:t>
      </w:r>
    </w:p>
  </w:footnote>
  <w:footnote w:id="41">
    <w:p w14:paraId="3DFD7DDF" w14:textId="77777777" w:rsidR="0095621A" w:rsidRPr="000867D4" w:rsidRDefault="0095621A" w:rsidP="00B7491C">
      <w:pPr>
        <w:rPr>
          <w:sz w:val="20"/>
          <w:szCs w:val="20"/>
        </w:rPr>
      </w:pPr>
      <w:r>
        <w:rPr>
          <w:rStyle w:val="Appelnotedebasdep"/>
        </w:rPr>
        <w:footnoteRef/>
      </w:r>
      <w:r w:rsidRPr="000867D4">
        <w:rPr>
          <w:lang w:val="en-US"/>
        </w:rPr>
        <w:t xml:space="preserve"> </w:t>
      </w:r>
      <w:proofErr w:type="spellStart"/>
      <w:r w:rsidRPr="003E1E30">
        <w:rPr>
          <w:b/>
          <w:bCs/>
          <w:sz w:val="20"/>
          <w:szCs w:val="20"/>
          <w:lang w:val="en-US"/>
        </w:rPr>
        <w:t>Savience</w:t>
      </w:r>
      <w:proofErr w:type="spellEnd"/>
      <w:r w:rsidRPr="003E1E30">
        <w:rPr>
          <w:b/>
          <w:bCs/>
          <w:sz w:val="20"/>
          <w:szCs w:val="20"/>
          <w:lang w:val="en-US"/>
        </w:rPr>
        <w:t xml:space="preserve"> Ltd.</w:t>
      </w:r>
      <w:r w:rsidRPr="003E1E30">
        <w:rPr>
          <w:sz w:val="20"/>
          <w:szCs w:val="20"/>
          <w:lang w:val="en-US"/>
        </w:rPr>
        <w:t xml:space="preserve"> (2023, </w:t>
      </w:r>
      <w:proofErr w:type="spellStart"/>
      <w:r w:rsidRPr="003E1E30">
        <w:rPr>
          <w:sz w:val="20"/>
          <w:szCs w:val="20"/>
          <w:lang w:val="en-US"/>
        </w:rPr>
        <w:t>août</w:t>
      </w:r>
      <w:proofErr w:type="spellEnd"/>
      <w:r w:rsidRPr="003E1E30">
        <w:rPr>
          <w:sz w:val="20"/>
          <w:szCs w:val="20"/>
          <w:lang w:val="en-US"/>
        </w:rPr>
        <w:t xml:space="preserve"> 7). </w:t>
      </w:r>
      <w:r w:rsidRPr="003E1E30">
        <w:rPr>
          <w:i/>
          <w:iCs/>
          <w:sz w:val="20"/>
          <w:szCs w:val="20"/>
          <w:lang w:val="en-US"/>
        </w:rPr>
        <w:t>Pros and cons of digital health</w:t>
      </w:r>
      <w:r w:rsidRPr="003E1E30">
        <w:rPr>
          <w:sz w:val="20"/>
          <w:szCs w:val="20"/>
          <w:lang w:val="en-US"/>
        </w:rPr>
        <w:t xml:space="preserve">. </w:t>
      </w:r>
      <w:hyperlink r:id="rId16" w:tgtFrame="_new" w:history="1">
        <w:r w:rsidRPr="003E1E30">
          <w:rPr>
            <w:rStyle w:val="Lienhypertexte"/>
            <w:sz w:val="20"/>
            <w:szCs w:val="20"/>
          </w:rPr>
          <w:t>https://savience.com/2023/08/07/pros-and-cons-of-digital-health/</w:t>
        </w:r>
      </w:hyperlink>
      <w:r w:rsidRPr="003E1E30">
        <w:rPr>
          <w:sz w:val="20"/>
          <w:szCs w:val="20"/>
        </w:rPr>
        <w:t xml:space="preserve"> (Consulté le 8 avril 2025)</w:t>
      </w:r>
    </w:p>
    <w:p w14:paraId="40D2B365" w14:textId="77777777" w:rsidR="0095621A" w:rsidRDefault="0095621A">
      <w:pPr>
        <w:pStyle w:val="Notedebasdepage"/>
      </w:pPr>
    </w:p>
  </w:footnote>
  <w:footnote w:id="42">
    <w:p w14:paraId="6E390C4B" w14:textId="77777777" w:rsidR="0095621A" w:rsidRPr="00DE463A" w:rsidRDefault="0095621A" w:rsidP="00B7491C">
      <w:pPr>
        <w:rPr>
          <w:sz w:val="20"/>
          <w:szCs w:val="20"/>
        </w:rPr>
      </w:pPr>
      <w:r>
        <w:rPr>
          <w:rStyle w:val="Appelnotedebasdep"/>
        </w:rPr>
        <w:footnoteRef/>
      </w:r>
      <w:r>
        <w:t xml:space="preserve"> </w:t>
      </w:r>
      <w:r w:rsidRPr="008E7CFC">
        <w:rPr>
          <w:sz w:val="20"/>
          <w:szCs w:val="20"/>
        </w:rPr>
        <w:t xml:space="preserve">Institut National de Santé Publique (INSP). (2011). </w:t>
      </w:r>
      <w:r w:rsidRPr="008E7CFC">
        <w:rPr>
          <w:i/>
          <w:iCs/>
          <w:sz w:val="20"/>
          <w:szCs w:val="20"/>
        </w:rPr>
        <w:t>Évaluation du Système National d’Information Sanitaire (SNIS) – Algérie : Rapport final</w:t>
      </w:r>
      <w:r w:rsidRPr="008E7CFC">
        <w:rPr>
          <w:sz w:val="20"/>
          <w:szCs w:val="20"/>
        </w:rPr>
        <w:t xml:space="preserve"> (p. 34). Consulté le 8 avril 2025, à l'adresse : </w:t>
      </w:r>
      <w:hyperlink r:id="rId17" w:tgtFrame="_new" w:history="1">
        <w:r w:rsidRPr="008E7CFC">
          <w:rPr>
            <w:rStyle w:val="Lienhypertexte"/>
            <w:sz w:val="20"/>
            <w:szCs w:val="20"/>
          </w:rPr>
          <w:t>https://insp.dz/images/PDF/SNIS/Evaluation%20du%20SNIS%20Alg%C3%A9rie%20%202011-%20Rapport%20final.pdf</w:t>
        </w:r>
      </w:hyperlink>
    </w:p>
  </w:footnote>
  <w:footnote w:id="43">
    <w:p w14:paraId="1D999AF3" w14:textId="77777777" w:rsidR="0095621A" w:rsidRDefault="0095621A" w:rsidP="00B7491C">
      <w:pPr>
        <w:pStyle w:val="Notedebasdepage"/>
      </w:pPr>
      <w:r>
        <w:rPr>
          <w:rStyle w:val="Appelnotedebasdep"/>
        </w:rPr>
        <w:footnoteRef/>
      </w:r>
      <w:r>
        <w:t xml:space="preserve"> </w:t>
      </w:r>
      <w:proofErr w:type="spellStart"/>
      <w:r w:rsidRPr="008E7CFC">
        <w:t>DNAlgérie</w:t>
      </w:r>
      <w:proofErr w:type="spellEnd"/>
      <w:r w:rsidRPr="008E7CFC">
        <w:t xml:space="preserve">. (2025, 28 mars). </w:t>
      </w:r>
      <w:r w:rsidRPr="008E7CFC">
        <w:rPr>
          <w:i/>
          <w:iCs/>
        </w:rPr>
        <w:t>L’Algérie va inaugurer plus de 80 hôpitaux en 2025</w:t>
      </w:r>
      <w:r w:rsidRPr="008E7CFC">
        <w:t xml:space="preserve">. Consulté le 14 avril 2025, à l'adresse : </w:t>
      </w:r>
      <w:hyperlink r:id="rId18" w:tgtFrame="_new" w:history="1">
        <w:r w:rsidRPr="008E7CFC">
          <w:rPr>
            <w:rStyle w:val="Lienhypertexte"/>
          </w:rPr>
          <w:t>https://dnalgerie.com/algerie-va-inaugurer-plus-de-80-hopitaux-en-2025/</w:t>
        </w:r>
      </w:hyperlink>
    </w:p>
  </w:footnote>
  <w:footnote w:id="44">
    <w:p w14:paraId="28DA1FF0" w14:textId="77777777" w:rsidR="0095621A" w:rsidRPr="00127892" w:rsidRDefault="0095621A" w:rsidP="00B7491C">
      <w:pPr>
        <w:pStyle w:val="Notedebasdepage"/>
      </w:pPr>
      <w:r>
        <w:rPr>
          <w:rStyle w:val="Appelnotedebasdep"/>
        </w:rPr>
        <w:footnoteRef/>
      </w:r>
      <w:r w:rsidRPr="00127892">
        <w:t xml:space="preserve"> </w:t>
      </w:r>
      <w:r w:rsidRPr="00F8360A">
        <w:t>II Algérie. (</w:t>
      </w:r>
      <w:proofErr w:type="gramStart"/>
      <w:r w:rsidRPr="00F8360A">
        <w:t>s.</w:t>
      </w:r>
      <w:proofErr w:type="gramEnd"/>
      <w:r w:rsidRPr="00F8360A">
        <w:t xml:space="preserve"> d.). </w:t>
      </w:r>
      <w:proofErr w:type="spellStart"/>
      <w:r w:rsidRPr="00F8360A">
        <w:rPr>
          <w:i/>
          <w:iCs/>
        </w:rPr>
        <w:t>Hospitix</w:t>
      </w:r>
      <w:proofErr w:type="spellEnd"/>
      <w:r w:rsidRPr="00F8360A">
        <w:rPr>
          <w:i/>
          <w:iCs/>
        </w:rPr>
        <w:t xml:space="preserve"> – Logiciel de gestion des établissements hospitaliers en Algérie</w:t>
      </w:r>
      <w:r w:rsidRPr="00F8360A">
        <w:t xml:space="preserve">. Consulté le 14 avril 2025, à l’adresse : </w:t>
      </w:r>
      <w:hyperlink r:id="rId19" w:tgtFrame="_new" w:history="1">
        <w:r w:rsidRPr="00F8360A">
          <w:rPr>
            <w:rStyle w:val="Lienhypertexte"/>
          </w:rPr>
          <w:t>https://www.solutionsinformatiques.dz/logiciel-de-gestion-des-etablissements-hospitaliere-Algerie</w:t>
        </w:r>
      </w:hyperlink>
    </w:p>
  </w:footnote>
  <w:footnote w:id="45">
    <w:p w14:paraId="530814DA" w14:textId="0EBF1EFD" w:rsidR="0095621A" w:rsidRPr="00EA19E0" w:rsidRDefault="0095621A" w:rsidP="00B7491C">
      <w:pPr>
        <w:pStyle w:val="Notedebasdepage"/>
        <w:rPr>
          <w:lang w:val="en-US"/>
        </w:rPr>
      </w:pPr>
      <w:r>
        <w:rPr>
          <w:rStyle w:val="Appelnotedebasdep"/>
        </w:rPr>
        <w:footnoteRef/>
      </w:r>
      <w:r w:rsidRPr="009752E3">
        <w:rPr>
          <w:lang w:val="en-US"/>
        </w:rPr>
        <w:t xml:space="preserve"> </w:t>
      </w:r>
      <w:proofErr w:type="spellStart"/>
      <w:r w:rsidRPr="00F8360A">
        <w:rPr>
          <w:lang w:val="en-US"/>
        </w:rPr>
        <w:t>Hidra</w:t>
      </w:r>
      <w:proofErr w:type="spellEnd"/>
      <w:r w:rsidRPr="00F8360A">
        <w:rPr>
          <w:lang w:val="en-US"/>
        </w:rPr>
        <w:t xml:space="preserve">, M., Smith, J., &amp; Johnson, L. (2024). </w:t>
      </w:r>
      <w:r w:rsidRPr="00F8360A">
        <w:rPr>
          <w:i/>
          <w:iCs/>
          <w:lang w:val="en-US"/>
        </w:rPr>
        <w:t>Healthcare Innovations in the 21st Century</w:t>
      </w:r>
      <w:r w:rsidRPr="00F8360A">
        <w:rPr>
          <w:lang w:val="en-US"/>
        </w:rPr>
        <w:t xml:space="preserve">. University of the West of Scotland. </w:t>
      </w:r>
      <w:proofErr w:type="spellStart"/>
      <w:r w:rsidRPr="00F8360A">
        <w:rPr>
          <w:lang w:val="en-US"/>
        </w:rPr>
        <w:t>Consulté</w:t>
      </w:r>
      <w:proofErr w:type="spellEnd"/>
      <w:r w:rsidRPr="00F8360A">
        <w:rPr>
          <w:lang w:val="en-US"/>
        </w:rPr>
        <w:t xml:space="preserve"> le 14 Avril 2025, à </w:t>
      </w:r>
      <w:proofErr w:type="spellStart"/>
      <w:r w:rsidRPr="00F8360A">
        <w:rPr>
          <w:lang w:val="en-US"/>
        </w:rPr>
        <w:t>l’adresse</w:t>
      </w:r>
      <w:proofErr w:type="spellEnd"/>
      <w:r w:rsidRPr="00F8360A">
        <w:rPr>
          <w:lang w:val="en-US"/>
        </w:rPr>
        <w:t xml:space="preserve"> : </w:t>
      </w:r>
      <w:hyperlink r:id="rId20" w:tgtFrame="_new" w:history="1">
        <w:r w:rsidRPr="00F8360A">
          <w:rPr>
            <w:rStyle w:val="Lienhypertexte"/>
            <w:lang w:val="en-US"/>
          </w:rPr>
          <w:t>https://myresearchspace.uws.ac.uk/ws/portalfiles/portal/59036145/2024_10_01_Hidra_et_al_Healthcare_accepted.pdf</w:t>
        </w:r>
      </w:hyperlink>
    </w:p>
  </w:footnote>
  <w:footnote w:id="46">
    <w:p w14:paraId="7814C0CA" w14:textId="77777777" w:rsidR="0095621A" w:rsidRDefault="0095621A" w:rsidP="00B7491C">
      <w:pPr>
        <w:pStyle w:val="Notedebasdepage"/>
      </w:pPr>
      <w:r>
        <w:rPr>
          <w:rStyle w:val="Appelnotedebasdep"/>
        </w:rPr>
        <w:footnoteRef/>
      </w:r>
      <w:r w:rsidRPr="00E9144A">
        <w:rPr>
          <w:lang w:val="en-US"/>
        </w:rPr>
        <w:t xml:space="preserve"> </w:t>
      </w:r>
      <w:proofErr w:type="spellStart"/>
      <w:r w:rsidRPr="00F8360A">
        <w:rPr>
          <w:lang w:val="en-US"/>
        </w:rPr>
        <w:t>Benmessaoud</w:t>
      </w:r>
      <w:proofErr w:type="spellEnd"/>
      <w:r w:rsidRPr="00F8360A">
        <w:rPr>
          <w:lang w:val="en-US"/>
        </w:rPr>
        <w:t xml:space="preserve">, K., &amp; </w:t>
      </w:r>
      <w:proofErr w:type="spellStart"/>
      <w:r w:rsidRPr="00F8360A">
        <w:rPr>
          <w:lang w:val="en-US"/>
        </w:rPr>
        <w:t>Benchikha</w:t>
      </w:r>
      <w:proofErr w:type="spellEnd"/>
      <w:r w:rsidRPr="00F8360A">
        <w:rPr>
          <w:lang w:val="en-US"/>
        </w:rPr>
        <w:t xml:space="preserve">, F.-Z. (2022). </w:t>
      </w:r>
      <w:r w:rsidRPr="00F8360A">
        <w:t xml:space="preserve">Les systèmes d’information hospitaliers en Algérie entre mythes et réalités. Dans </w:t>
      </w:r>
      <w:r w:rsidRPr="00F8360A">
        <w:rPr>
          <w:i/>
          <w:iCs/>
        </w:rPr>
        <w:t>Les ouvrages du CRASC</w:t>
      </w:r>
      <w:r w:rsidRPr="00F8360A">
        <w:t xml:space="preserve"> (Intelligence artificielle appliquée aux systèmes d’information hospitaliers en Algérie, pp. 165–185). CRASC. Consulté le 8 avril 2025, à l’adresse : </w:t>
      </w:r>
      <w:hyperlink r:id="rId21" w:tgtFrame="_new" w:history="1">
        <w:r w:rsidRPr="00F8360A">
          <w:rPr>
            <w:rStyle w:val="Lienhypertexte"/>
          </w:rPr>
          <w:t>https://www.ouvrages.crasc.dz/pdfs/intelligence-artificielle-appliquee-systmes-information-hospitaliers-algerie.pdf</w:t>
        </w:r>
      </w:hyperlink>
    </w:p>
  </w:footnote>
  <w:footnote w:id="47">
    <w:p w14:paraId="4F34FE2B" w14:textId="77777777" w:rsidR="0095621A" w:rsidRDefault="0095621A" w:rsidP="00B7491C">
      <w:pPr>
        <w:pStyle w:val="Notedebasdepage"/>
      </w:pPr>
      <w:r>
        <w:rPr>
          <w:rStyle w:val="Appelnotedebasdep"/>
        </w:rPr>
        <w:footnoteRef/>
      </w:r>
      <w:r>
        <w:t xml:space="preserve"> </w:t>
      </w:r>
      <w:proofErr w:type="spellStart"/>
      <w:r w:rsidRPr="00977150">
        <w:t>Aïssaoui</w:t>
      </w:r>
      <w:proofErr w:type="spellEnd"/>
      <w:r w:rsidRPr="00977150">
        <w:t xml:space="preserve">, N. (2017). L’implantation et le management d’un nouveau système d’information hospitalier : Réalité et défis du système 3COH à l’hôpital Ibn </w:t>
      </w:r>
      <w:proofErr w:type="spellStart"/>
      <w:r w:rsidRPr="00977150">
        <w:t>Sina</w:t>
      </w:r>
      <w:proofErr w:type="spellEnd"/>
      <w:r w:rsidRPr="00977150">
        <w:t xml:space="preserve"> OEB/Algérie. </w:t>
      </w:r>
      <w:r w:rsidRPr="00977150">
        <w:rPr>
          <w:i/>
          <w:iCs/>
        </w:rPr>
        <w:t>Annales des Sciences de la Santé, 1</w:t>
      </w:r>
      <w:r w:rsidRPr="00977150">
        <w:t xml:space="preserve">(12), 5. </w:t>
      </w:r>
      <w:hyperlink r:id="rId22" w:tgtFrame="_new" w:history="1">
        <w:r w:rsidRPr="00977150">
          <w:rPr>
            <w:rStyle w:val="Lienhypertexte"/>
          </w:rPr>
          <w:t>https://revues.imist.ma/index.php/A2S/article/download/9958/5679/24321</w:t>
        </w:r>
      </w:hyperlink>
    </w:p>
  </w:footnote>
  <w:footnote w:id="48">
    <w:p w14:paraId="3F0789F8" w14:textId="77777777" w:rsidR="0095621A" w:rsidRDefault="0095621A" w:rsidP="00B7491C">
      <w:pPr>
        <w:pStyle w:val="Notedebasdepage"/>
      </w:pPr>
      <w:r>
        <w:rPr>
          <w:rStyle w:val="Appelnotedebasdep"/>
        </w:rPr>
        <w:footnoteRef/>
      </w:r>
      <w:r>
        <w:t xml:space="preserve"> </w:t>
      </w:r>
      <w:r w:rsidRPr="00977150">
        <w:t xml:space="preserve">Kara </w:t>
      </w:r>
      <w:proofErr w:type="spellStart"/>
      <w:r w:rsidRPr="00977150">
        <w:t>Terki</w:t>
      </w:r>
      <w:proofErr w:type="spellEnd"/>
      <w:r w:rsidRPr="00977150">
        <w:t xml:space="preserve">, A. (2018). Austérité économique et financement de la santé en Algérie : Quel rôle pour le système d’information ? </w:t>
      </w:r>
      <w:r w:rsidRPr="00977150">
        <w:rPr>
          <w:i/>
          <w:iCs/>
        </w:rPr>
        <w:t xml:space="preserve">Algerian Business Performance </w:t>
      </w:r>
      <w:proofErr w:type="spellStart"/>
      <w:r w:rsidRPr="00977150">
        <w:rPr>
          <w:i/>
          <w:iCs/>
        </w:rPr>
        <w:t>Review</w:t>
      </w:r>
      <w:proofErr w:type="spellEnd"/>
      <w:r w:rsidRPr="00977150">
        <w:t>, (13), 321.</w:t>
      </w:r>
    </w:p>
  </w:footnote>
  <w:footnote w:id="49">
    <w:p w14:paraId="1F44BA79" w14:textId="5FE490D1" w:rsidR="0095621A" w:rsidRDefault="0095621A" w:rsidP="00B7491C">
      <w:pPr>
        <w:pStyle w:val="Notedebasdepage"/>
      </w:pPr>
      <w:r>
        <w:rPr>
          <w:rStyle w:val="Appelnotedebasdep"/>
        </w:rPr>
        <w:footnoteRef/>
      </w:r>
      <w:r>
        <w:t xml:space="preserve"> </w:t>
      </w:r>
      <w:r w:rsidRPr="00977150">
        <w:t xml:space="preserve">Solutions Informatiques Algérie. (S. d.). </w:t>
      </w:r>
      <w:proofErr w:type="spellStart"/>
      <w:r w:rsidRPr="00977150">
        <w:rPr>
          <w:i/>
          <w:iCs/>
        </w:rPr>
        <w:t>Hospitix</w:t>
      </w:r>
      <w:proofErr w:type="spellEnd"/>
      <w:r w:rsidRPr="00977150">
        <w:rPr>
          <w:i/>
          <w:iCs/>
        </w:rPr>
        <w:t xml:space="preserve"> : Logiciel de gestion des établissements hospitaliers</w:t>
      </w:r>
      <w:r w:rsidRPr="00977150">
        <w:t xml:space="preserve">. Consulté le 15 avril 2025, à l’adresse : </w:t>
      </w:r>
      <w:hyperlink r:id="rId23" w:tgtFrame="_new" w:history="1">
        <w:r w:rsidRPr="00977150">
          <w:rPr>
            <w:rStyle w:val="Lienhypertexte"/>
          </w:rPr>
          <w:t>https://www.solutionsinformatiques.dz/logiciel-de-gestion-des-etablissements-hospitaliere-Algerie</w:t>
        </w:r>
      </w:hyperlink>
    </w:p>
  </w:footnote>
  <w:footnote w:id="50">
    <w:p w14:paraId="2AB28375" w14:textId="77777777" w:rsidR="0095621A" w:rsidRDefault="0095621A">
      <w:pPr>
        <w:pStyle w:val="Notedebasdepage"/>
      </w:pPr>
      <w:r>
        <w:rPr>
          <w:rStyle w:val="Appelnotedebasdep"/>
        </w:rPr>
        <w:footnoteRef/>
      </w:r>
      <w:r>
        <w:t xml:space="preserve"> </w:t>
      </w:r>
      <w:proofErr w:type="spellStart"/>
      <w:r>
        <w:rPr>
          <w:rStyle w:val="lev"/>
        </w:rPr>
        <w:t>Wanert</w:t>
      </w:r>
      <w:proofErr w:type="spellEnd"/>
      <w:r>
        <w:rPr>
          <w:rStyle w:val="lev"/>
        </w:rPr>
        <w:t>, S.</w:t>
      </w:r>
      <w:r>
        <w:t xml:space="preserve"> (2009). </w:t>
      </w:r>
      <w:r>
        <w:rPr>
          <w:rStyle w:val="Accentuation"/>
        </w:rPr>
        <w:t>Aspects organisationnels du système de financement de la santé français : réforme de l'Assurance Maladie Obligatoire</w:t>
      </w:r>
      <w:r>
        <w:t xml:space="preserve"> (p. 25). Genève : Organisation mondiale de la Santé.</w:t>
      </w:r>
    </w:p>
  </w:footnote>
  <w:footnote w:id="51">
    <w:p w14:paraId="1D69EEA1" w14:textId="77777777" w:rsidR="0095621A" w:rsidRDefault="0095621A" w:rsidP="00B7491C">
      <w:pPr>
        <w:pStyle w:val="Notedebasdepage"/>
      </w:pPr>
      <w:r>
        <w:rPr>
          <w:rStyle w:val="Appelnotedebasdep"/>
        </w:rPr>
        <w:footnoteRef/>
      </w:r>
      <w:r>
        <w:t xml:space="preserve"> </w:t>
      </w:r>
      <w:proofErr w:type="spellStart"/>
      <w:r w:rsidRPr="00530849">
        <w:rPr>
          <w:b/>
          <w:bCs/>
        </w:rPr>
        <w:t>Wanert</w:t>
      </w:r>
      <w:proofErr w:type="spellEnd"/>
      <w:r w:rsidRPr="00530849">
        <w:rPr>
          <w:b/>
          <w:bCs/>
        </w:rPr>
        <w:t>, S.</w:t>
      </w:r>
      <w:r w:rsidRPr="00530849">
        <w:t xml:space="preserve"> (2009). </w:t>
      </w:r>
      <w:r w:rsidRPr="00530849">
        <w:rPr>
          <w:i/>
          <w:iCs/>
        </w:rPr>
        <w:t>Aspects organisationnels du système de financement de la santé français : réforme de l'Assurance Maladie Obligatoire</w:t>
      </w:r>
      <w:r w:rsidRPr="00530849">
        <w:t xml:space="preserve"> (p. 26). Genève : Organisation mondiale de la Santé.</w:t>
      </w:r>
    </w:p>
  </w:footnote>
  <w:footnote w:id="52">
    <w:p w14:paraId="03F46923" w14:textId="77777777" w:rsidR="0095621A" w:rsidRPr="002039E3" w:rsidRDefault="0095621A" w:rsidP="00B7491C">
      <w:pPr>
        <w:pStyle w:val="Notedebasdepage"/>
      </w:pPr>
      <w:r w:rsidRPr="002039E3">
        <w:rPr>
          <w:rStyle w:val="Appelnotedebasdep"/>
        </w:rPr>
        <w:footnoteRef/>
      </w:r>
      <w:r w:rsidRPr="002039E3">
        <w:t xml:space="preserve"> </w:t>
      </w:r>
      <w:proofErr w:type="spellStart"/>
      <w:r w:rsidRPr="002039E3">
        <w:rPr>
          <w:b/>
          <w:bCs/>
        </w:rPr>
        <w:t>Yelouassi</w:t>
      </w:r>
      <w:proofErr w:type="spellEnd"/>
      <w:r w:rsidRPr="002039E3">
        <w:rPr>
          <w:b/>
          <w:bCs/>
        </w:rPr>
        <w:t>, E.</w:t>
      </w:r>
      <w:r w:rsidRPr="002039E3">
        <w:t xml:space="preserve"> (2021, 26 novembre). </w:t>
      </w:r>
      <w:r w:rsidRPr="002039E3">
        <w:rPr>
          <w:i/>
          <w:iCs/>
        </w:rPr>
        <w:t>Assurance maladie : Comment ça marche ?</w:t>
      </w:r>
      <w:r w:rsidRPr="002039E3">
        <w:t xml:space="preserve"> Information Hospitalière. Consulté le 3 mars 2025, à l’adresse : </w:t>
      </w:r>
      <w:hyperlink r:id="rId24" w:tgtFrame="_new" w:history="1">
        <w:r w:rsidRPr="002039E3">
          <w:rPr>
            <w:rStyle w:val="Lienhypertexte"/>
          </w:rPr>
          <w:t>https://www.informationhospitaliere.com/assurance-maladie-comment-ca-marche</w:t>
        </w:r>
      </w:hyperlink>
    </w:p>
  </w:footnote>
  <w:footnote w:id="53">
    <w:p w14:paraId="5272249A" w14:textId="77777777" w:rsidR="0095621A" w:rsidRPr="00A360A5" w:rsidRDefault="0095621A" w:rsidP="00B7491C">
      <w:pPr>
        <w:pStyle w:val="Notedebasdepage"/>
      </w:pPr>
      <w:r>
        <w:rPr>
          <w:rStyle w:val="Appelnotedebasdep"/>
        </w:rPr>
        <w:footnoteRef/>
      </w:r>
      <w:r>
        <w:t xml:space="preserve"> </w:t>
      </w:r>
      <w:proofErr w:type="spellStart"/>
      <w:r w:rsidRPr="00A360A5">
        <w:t>Bizard</w:t>
      </w:r>
      <w:proofErr w:type="spellEnd"/>
      <w:r w:rsidRPr="00A360A5">
        <w:t xml:space="preserve">, F. (2016). </w:t>
      </w:r>
      <w:r w:rsidRPr="00A360A5">
        <w:rPr>
          <w:i/>
          <w:iCs/>
        </w:rPr>
        <w:t>Qui sont les organismes complémentaires d’assurance maladie (</w:t>
      </w:r>
      <w:proofErr w:type="spellStart"/>
      <w:r w:rsidRPr="00A360A5">
        <w:rPr>
          <w:i/>
          <w:iCs/>
        </w:rPr>
        <w:t>Ocam</w:t>
      </w:r>
      <w:proofErr w:type="spellEnd"/>
      <w:r w:rsidRPr="00A360A5">
        <w:rPr>
          <w:i/>
          <w:iCs/>
        </w:rPr>
        <w:t>) ?</w:t>
      </w:r>
      <w:r w:rsidRPr="00A360A5">
        <w:t xml:space="preserve"> Dans </w:t>
      </w:r>
      <w:r w:rsidRPr="00A360A5">
        <w:rPr>
          <w:i/>
          <w:iCs/>
        </w:rPr>
        <w:t>Le financement du système de santé en France</w:t>
      </w:r>
      <w:r w:rsidRPr="00A360A5">
        <w:t xml:space="preserve"> (pp. 7-31). </w:t>
      </w:r>
      <w:proofErr w:type="spellStart"/>
      <w:r w:rsidRPr="00A360A5">
        <w:t>Dunod</w:t>
      </w:r>
      <w:proofErr w:type="spellEnd"/>
      <w:r w:rsidRPr="00A360A5">
        <w:t xml:space="preserve">. Consulté le 3 mars 2025, depuis </w:t>
      </w:r>
      <w:hyperlink r:id="rId25" w:tgtFrame="_new" w:history="1">
        <w:r w:rsidRPr="00A360A5">
          <w:rPr>
            <w:rStyle w:val="Lienhypertexte"/>
          </w:rPr>
          <w:t>https://shs.cairn.info/article/DUNOD_BIZAR_2016_01_0007?lang=fr&amp;tab=premieres-lignes</w:t>
        </w:r>
      </w:hyperlink>
    </w:p>
    <w:p w14:paraId="7FF30D52" w14:textId="77777777" w:rsidR="0095621A" w:rsidRDefault="0095621A">
      <w:pPr>
        <w:pStyle w:val="Notedebasdepage"/>
      </w:pPr>
    </w:p>
  </w:footnote>
  <w:footnote w:id="54">
    <w:p w14:paraId="2A52F9C7" w14:textId="02AD30BF" w:rsidR="0095621A" w:rsidRPr="00567FDD" w:rsidRDefault="0095621A" w:rsidP="00B7491C">
      <w:pPr>
        <w:pStyle w:val="Notedebasdepage"/>
      </w:pPr>
      <w:r>
        <w:rPr>
          <w:rStyle w:val="Appelnotedebasdep"/>
        </w:rPr>
        <w:footnoteRef/>
      </w:r>
      <w:r>
        <w:t xml:space="preserve"> </w:t>
      </w:r>
      <w:r w:rsidRPr="00567FDD">
        <w:t>Ministère du Travail, de l’Emploi et de la Sécurité sociale (MTESS). (</w:t>
      </w:r>
      <w:proofErr w:type="spellStart"/>
      <w:r w:rsidRPr="00567FDD">
        <w:t>S.d</w:t>
      </w:r>
      <w:proofErr w:type="spellEnd"/>
      <w:r w:rsidRPr="00567FDD">
        <w:t xml:space="preserve">.). </w:t>
      </w:r>
      <w:r w:rsidRPr="00567FDD">
        <w:rPr>
          <w:i/>
          <w:iCs/>
        </w:rPr>
        <w:t>Une journée d’étude sur la contribution des Mutuelles Sociales dans le développement du système de la sécurité sociale en Algérie</w:t>
      </w:r>
      <w:r w:rsidRPr="00567FDD">
        <w:t xml:space="preserve">. Consulté le 2 mars 2025, depuis </w:t>
      </w:r>
      <w:hyperlink r:id="rId26" w:tgtFrame="_new" w:history="1">
        <w:r w:rsidRPr="00567FDD">
          <w:rPr>
            <w:rStyle w:val="Lienhypertexte"/>
          </w:rPr>
          <w:t>https://www.mtess.gov.dz/fr/une-journee-detude-sur-la-contribution-des-mutuelles-sociales-dans-le-developpement-du-systeme-de-la-securite-sociale-en-algerie/</w:t>
        </w:r>
      </w:hyperlink>
    </w:p>
    <w:p w14:paraId="4C450BDA" w14:textId="77777777" w:rsidR="0095621A" w:rsidRDefault="0095621A">
      <w:pPr>
        <w:pStyle w:val="Notedebasdepage"/>
      </w:pPr>
    </w:p>
  </w:footnote>
  <w:footnote w:id="55">
    <w:p w14:paraId="0FE48BC1" w14:textId="77777777" w:rsidR="0095621A" w:rsidRDefault="0095621A" w:rsidP="00B7491C">
      <w:pPr>
        <w:pStyle w:val="Notedebasdepage"/>
      </w:pPr>
      <w:r>
        <w:rPr>
          <w:rStyle w:val="Appelnotedebasdep"/>
        </w:rPr>
        <w:footnoteRef/>
      </w:r>
      <w:r>
        <w:t xml:space="preserve"> </w:t>
      </w:r>
      <w:proofErr w:type="spellStart"/>
      <w:r w:rsidRPr="000C6DBB">
        <w:t>Fagart</w:t>
      </w:r>
      <w:proofErr w:type="spellEnd"/>
      <w:r w:rsidRPr="000C6DBB">
        <w:t xml:space="preserve">, M.-C., &amp; </w:t>
      </w:r>
      <w:proofErr w:type="spellStart"/>
      <w:r w:rsidRPr="000C6DBB">
        <w:t>Kambia</w:t>
      </w:r>
      <w:proofErr w:type="spellEnd"/>
      <w:r w:rsidRPr="000C6DBB">
        <w:t xml:space="preserve">-Chopin, B. (2002). </w:t>
      </w:r>
      <w:r w:rsidRPr="000C6DBB">
        <w:rPr>
          <w:i/>
          <w:iCs/>
        </w:rPr>
        <w:t>Aléa moral et sélection adverse sur le marché de l’assurance</w:t>
      </w:r>
      <w:r w:rsidRPr="000C6DBB">
        <w:t xml:space="preserve"> (THEMA </w:t>
      </w:r>
      <w:proofErr w:type="spellStart"/>
      <w:r w:rsidRPr="000C6DBB">
        <w:t>Working</w:t>
      </w:r>
      <w:proofErr w:type="spellEnd"/>
      <w:r w:rsidRPr="000C6DBB">
        <w:t xml:space="preserve"> Paper No. 2002-09, p. 16). Université de Cergy-Pontoise. Consulté sur </w:t>
      </w:r>
      <w:hyperlink r:id="rId27" w:tgtFrame="_new" w:history="1">
        <w:r w:rsidRPr="000C6DBB">
          <w:rPr>
            <w:rStyle w:val="Lienhypertexte"/>
          </w:rPr>
          <w:t>https://crest.science/RePEc/wpstorage/2003-39.pdf</w:t>
        </w:r>
      </w:hyperlink>
    </w:p>
  </w:footnote>
  <w:footnote w:id="56">
    <w:p w14:paraId="4DD2319F" w14:textId="77777777" w:rsidR="0095621A" w:rsidRDefault="0095621A" w:rsidP="00B7491C">
      <w:pPr>
        <w:pStyle w:val="Notedebasdepage"/>
      </w:pPr>
      <w:r>
        <w:rPr>
          <w:rStyle w:val="Appelnotedebasdep"/>
        </w:rPr>
        <w:footnoteRef/>
      </w:r>
      <w:r>
        <w:t xml:space="preserve"> </w:t>
      </w:r>
      <w:r w:rsidRPr="00BE50B3">
        <w:t xml:space="preserve">Oxford Policy Management. (2012). </w:t>
      </w:r>
      <w:r w:rsidRPr="00BE50B3">
        <w:rPr>
          <w:i/>
          <w:iCs/>
        </w:rPr>
        <w:t>Financement de la santé : Tendances en Afrique subsaharienne</w:t>
      </w:r>
      <w:r w:rsidRPr="00BE50B3">
        <w:t xml:space="preserve"> (p. 15). CABRI. Consulté le 13 mai 2025, à l’adresse : </w:t>
      </w:r>
      <w:hyperlink r:id="rId28" w:tgtFrame="_new" w:history="1">
        <w:r w:rsidRPr="00BE50B3">
          <w:rPr>
            <w:rStyle w:val="Lienhypertexte"/>
          </w:rPr>
          <w:t>https://www.cabri-sbo.org/uploads/files/Documents/report_2012_oxford_policy_management_value_for_money_health_1st_dialogue_french_financement_de_la_sante_tendances_en_afrique_subsaharienne.pdf</w:t>
        </w:r>
      </w:hyperlink>
    </w:p>
  </w:footnote>
  <w:footnote w:id="57">
    <w:p w14:paraId="13C677AE" w14:textId="77777777" w:rsidR="0095621A" w:rsidRDefault="0095621A" w:rsidP="00233D25">
      <w:pPr>
        <w:pStyle w:val="Notedebasdepage"/>
      </w:pPr>
      <w:r>
        <w:rPr>
          <w:rStyle w:val="Appelnotedebasdep"/>
        </w:rPr>
        <w:footnoteRef/>
      </w:r>
      <w:r w:rsidRPr="007A04FA">
        <w:rPr>
          <w:lang w:val="en-US"/>
        </w:rPr>
        <w:t xml:space="preserve"> </w:t>
      </w:r>
      <w:proofErr w:type="spellStart"/>
      <w:r w:rsidRPr="007A04FA">
        <w:rPr>
          <w:lang w:val="en-US"/>
        </w:rPr>
        <w:t>Castonguay</w:t>
      </w:r>
      <w:proofErr w:type="spellEnd"/>
      <w:r w:rsidRPr="007A04FA">
        <w:rPr>
          <w:lang w:val="en-US"/>
        </w:rPr>
        <w:t xml:space="preserve">, J., </w:t>
      </w:r>
      <w:proofErr w:type="spellStart"/>
      <w:r w:rsidRPr="007A04FA">
        <w:rPr>
          <w:lang w:val="en-US"/>
        </w:rPr>
        <w:t>Castonguay</w:t>
      </w:r>
      <w:proofErr w:type="spellEnd"/>
      <w:r w:rsidRPr="007A04FA">
        <w:rPr>
          <w:lang w:val="en-US"/>
        </w:rPr>
        <w:t xml:space="preserve">, C., </w:t>
      </w:r>
      <w:proofErr w:type="spellStart"/>
      <w:r w:rsidRPr="007A04FA">
        <w:rPr>
          <w:lang w:val="en-US"/>
        </w:rPr>
        <w:t>Montmarquette</w:t>
      </w:r>
      <w:proofErr w:type="spellEnd"/>
      <w:r w:rsidRPr="007A04FA">
        <w:rPr>
          <w:lang w:val="en-US"/>
        </w:rPr>
        <w:t xml:space="preserve">, C., &amp; Scott, I. (2007). </w:t>
      </w:r>
      <w:r w:rsidRPr="00233D25">
        <w:rPr>
          <w:i/>
          <w:iCs/>
        </w:rPr>
        <w:t>Analyse comparative sur le financement de la santé</w:t>
      </w:r>
      <w:r w:rsidRPr="00233D25">
        <w:t xml:space="preserve"> (Rapport de projet 2007RP-04). CIRANO – Centre interuniversitaire de recherche en analyse des organisations, </w:t>
      </w:r>
      <w:r w:rsidRPr="00233D25">
        <w:rPr>
          <w:b/>
          <w:bCs/>
        </w:rPr>
        <w:t>p. 18</w:t>
      </w:r>
      <w:r w:rsidRPr="00233D25">
        <w:t xml:space="preserve">. </w:t>
      </w:r>
      <w:hyperlink r:id="rId29" w:tgtFrame="_new" w:history="1">
        <w:r w:rsidRPr="00233D25">
          <w:rPr>
            <w:rStyle w:val="Lienhypertexte"/>
          </w:rPr>
          <w:t>https://enavantmath.org/files/publications/2007RP-04.pdf</w:t>
        </w:r>
      </w:hyperlink>
    </w:p>
  </w:footnote>
  <w:footnote w:id="58">
    <w:p w14:paraId="3FEA1CA9" w14:textId="77777777" w:rsidR="0095621A" w:rsidRDefault="0095621A" w:rsidP="00B7491C">
      <w:pPr>
        <w:pStyle w:val="Notedebasdepage"/>
      </w:pPr>
      <w:r>
        <w:rPr>
          <w:rStyle w:val="Appelnotedebasdep"/>
        </w:rPr>
        <w:footnoteRef/>
      </w:r>
      <w:r>
        <w:t xml:space="preserve"> </w:t>
      </w:r>
      <w:r w:rsidRPr="00A14B08">
        <w:t xml:space="preserve">Abbou, Y., &amp; </w:t>
      </w:r>
      <w:proofErr w:type="spellStart"/>
      <w:r w:rsidRPr="00A14B08">
        <w:t>Brahamia</w:t>
      </w:r>
      <w:proofErr w:type="spellEnd"/>
      <w:r w:rsidRPr="00A14B08">
        <w:t xml:space="preserve">, B. (2017). Le système de santé algérien entre gratuité des soins et maîtrise des dépenses de santé. </w:t>
      </w:r>
      <w:proofErr w:type="spellStart"/>
      <w:r w:rsidRPr="00A14B08">
        <w:rPr>
          <w:i/>
          <w:iCs/>
        </w:rPr>
        <w:t>Insaniyat</w:t>
      </w:r>
      <w:proofErr w:type="spellEnd"/>
      <w:r w:rsidRPr="00A14B08">
        <w:t xml:space="preserve">, 75-76, 149–171. </w:t>
      </w:r>
      <w:hyperlink r:id="rId30" w:tgtFrame="_new" w:history="1">
        <w:r w:rsidRPr="00A14B08">
          <w:rPr>
            <w:rStyle w:val="Lienhypertexte"/>
          </w:rPr>
          <w:t>https://doi.org/10.4000/insaniyat.17492</w:t>
        </w:r>
      </w:hyperlink>
      <w:r w:rsidRPr="00A14B08">
        <w:t>. Consulté le 03 mars 2025.</w:t>
      </w:r>
    </w:p>
  </w:footnote>
  <w:footnote w:id="59">
    <w:p w14:paraId="135A600E" w14:textId="77777777" w:rsidR="0095621A" w:rsidRDefault="0095621A" w:rsidP="00B7491C">
      <w:pPr>
        <w:pStyle w:val="Notedebasdepage"/>
      </w:pPr>
      <w:r>
        <w:rPr>
          <w:rStyle w:val="Appelnotedebasdep"/>
        </w:rPr>
        <w:footnoteRef/>
      </w:r>
      <w:r>
        <w:t xml:space="preserve"> </w:t>
      </w:r>
      <w:proofErr w:type="spellStart"/>
      <w:r w:rsidRPr="00921A50">
        <w:rPr>
          <w:b/>
          <w:bCs/>
        </w:rPr>
        <w:t>Touazi</w:t>
      </w:r>
      <w:proofErr w:type="spellEnd"/>
      <w:r w:rsidRPr="00921A50">
        <w:rPr>
          <w:b/>
          <w:bCs/>
        </w:rPr>
        <w:t>, A.</w:t>
      </w:r>
      <w:r w:rsidRPr="00921A50">
        <w:t xml:space="preserve"> (2012). </w:t>
      </w:r>
      <w:r w:rsidRPr="00921A50">
        <w:rPr>
          <w:i/>
          <w:iCs/>
        </w:rPr>
        <w:t>Le financement du système de santé algérien : État et réformes</w:t>
      </w:r>
      <w:r w:rsidRPr="00921A50">
        <w:t xml:space="preserve"> (Mémoire de master en sciences économiques, Université de </w:t>
      </w:r>
      <w:proofErr w:type="spellStart"/>
      <w:r w:rsidRPr="00921A50">
        <w:t>Béjaïa</w:t>
      </w:r>
      <w:proofErr w:type="spellEnd"/>
      <w:r w:rsidRPr="00921A50">
        <w:t>), p. 23.</w:t>
      </w:r>
    </w:p>
  </w:footnote>
  <w:footnote w:id="60">
    <w:p w14:paraId="0D23B8B4" w14:textId="77777777" w:rsidR="0095621A" w:rsidRDefault="0095621A" w:rsidP="00B7491C">
      <w:pPr>
        <w:pStyle w:val="Notedebasdepage"/>
      </w:pPr>
      <w:r>
        <w:rPr>
          <w:rStyle w:val="Appelnotedebasdep"/>
        </w:rPr>
        <w:footnoteRef/>
      </w:r>
      <w:r>
        <w:t xml:space="preserve"> </w:t>
      </w:r>
      <w:r w:rsidRPr="00B07A34">
        <w:rPr>
          <w:b/>
          <w:bCs/>
        </w:rPr>
        <w:t>Ministère de la Santé, de la Population et de la Réforme Hospitalière (MSPRH).</w:t>
      </w:r>
      <w:r w:rsidRPr="00B07A34">
        <w:t xml:space="preserve"> (2006). </w:t>
      </w:r>
      <w:r w:rsidRPr="00B07A34">
        <w:rPr>
          <w:i/>
          <w:iCs/>
        </w:rPr>
        <w:t>La politique nationale de la santé</w:t>
      </w:r>
      <w:r w:rsidRPr="00B07A34">
        <w:t>. MSPRH, Algérie.</w:t>
      </w:r>
    </w:p>
  </w:footnote>
  <w:footnote w:id="61">
    <w:p w14:paraId="2E718D09" w14:textId="77777777" w:rsidR="0095621A" w:rsidRDefault="0095621A" w:rsidP="00B7491C">
      <w:pPr>
        <w:pStyle w:val="Notedebasdepage"/>
      </w:pPr>
      <w:r>
        <w:rPr>
          <w:rStyle w:val="Appelnotedebasdep"/>
        </w:rPr>
        <w:footnoteRef/>
      </w:r>
      <w:r>
        <w:t xml:space="preserve"> </w:t>
      </w:r>
      <w:r w:rsidRPr="00552223">
        <w:t xml:space="preserve">Larbi, L. (2004). </w:t>
      </w:r>
      <w:r w:rsidRPr="00552223">
        <w:rPr>
          <w:i/>
          <w:iCs/>
        </w:rPr>
        <w:t>Le système de sécurité sociale de l’Algérie : Une approche économique</w:t>
      </w:r>
      <w:r>
        <w:t>. Ben-</w:t>
      </w:r>
      <w:proofErr w:type="spellStart"/>
      <w:r>
        <w:t>Aknoun</w:t>
      </w:r>
      <w:proofErr w:type="spellEnd"/>
      <w:r>
        <w:t>, Alger, p.</w:t>
      </w:r>
      <w:r w:rsidRPr="00552223">
        <w:t>51.</w:t>
      </w:r>
    </w:p>
  </w:footnote>
  <w:footnote w:id="62">
    <w:p w14:paraId="553C5C39" w14:textId="77777777" w:rsidR="0095621A" w:rsidRPr="003E0C55" w:rsidRDefault="0095621A" w:rsidP="00B7491C">
      <w:pPr>
        <w:pStyle w:val="Notedebasdepage"/>
      </w:pPr>
      <w:r>
        <w:rPr>
          <w:rStyle w:val="Appelnotedebasdep"/>
        </w:rPr>
        <w:footnoteRef/>
      </w:r>
      <w:r>
        <w:t xml:space="preserve"> </w:t>
      </w:r>
      <w:r w:rsidRPr="003E0C55">
        <w:t>OUFRIHA F.Z : une analyse économique du système des soins en Algérie. P 137.</w:t>
      </w:r>
    </w:p>
  </w:footnote>
  <w:footnote w:id="63">
    <w:p w14:paraId="07AADB44" w14:textId="77777777" w:rsidR="0095621A" w:rsidRDefault="0095621A" w:rsidP="00B7491C">
      <w:pPr>
        <w:pStyle w:val="Notedebasdepage"/>
      </w:pPr>
      <w:r>
        <w:rPr>
          <w:rStyle w:val="Appelnotedebasdep"/>
        </w:rPr>
        <w:footnoteRef/>
      </w:r>
      <w:r>
        <w:t xml:space="preserve"> </w:t>
      </w:r>
      <w:proofErr w:type="spellStart"/>
      <w:r w:rsidRPr="00552223">
        <w:t>Ziani</w:t>
      </w:r>
      <w:proofErr w:type="spellEnd"/>
      <w:r w:rsidRPr="00552223">
        <w:t xml:space="preserve">, Z. (2012, mai). </w:t>
      </w:r>
      <w:r w:rsidRPr="00552223">
        <w:rPr>
          <w:i/>
          <w:iCs/>
        </w:rPr>
        <w:t>Essai d’analyse de l’apport de la politique des dépenses de médicaments dans la régularisation des dépenses de santé en Algérie</w:t>
      </w:r>
      <w:r w:rsidRPr="00552223">
        <w:t xml:space="preserve"> (Mémoire de magistère en sciences économiques). Université Abderrahmane Mira de </w:t>
      </w:r>
      <w:proofErr w:type="spellStart"/>
      <w:r w:rsidRPr="00552223">
        <w:t>Béjaïa</w:t>
      </w:r>
      <w:proofErr w:type="spellEnd"/>
      <w:r w:rsidRPr="00552223">
        <w:t>, p. 40.</w:t>
      </w:r>
    </w:p>
  </w:footnote>
  <w:footnote w:id="64">
    <w:p w14:paraId="40AA6A0A" w14:textId="77777777" w:rsidR="0095621A" w:rsidRDefault="0095621A">
      <w:pPr>
        <w:pStyle w:val="Notedebasdepage"/>
      </w:pPr>
      <w:r>
        <w:rPr>
          <w:rStyle w:val="Appelnotedebasdep"/>
        </w:rPr>
        <w:footnoteRef/>
      </w:r>
      <w:r>
        <w:t xml:space="preserve"> </w:t>
      </w:r>
      <w:r w:rsidRPr="00E702D0">
        <w:t>BARA, S., &amp; OURAGHI, K. (2021). Les réformes introduites dans le système de santé algérien avec l’avènement de la loi sanitaire 18/11 (Mémoire de master, Université Mouloud Mammeri de Tizi-Ouzou, Faculté des sciences économiques, commerciales et sciences de gestion, Département des sciences économiques), p. 15.</w:t>
      </w:r>
    </w:p>
  </w:footnote>
  <w:footnote w:id="65">
    <w:p w14:paraId="64B2CD29" w14:textId="77777777" w:rsidR="0095621A" w:rsidRPr="002300E5" w:rsidRDefault="0095621A" w:rsidP="00B7491C">
      <w:pPr>
        <w:pStyle w:val="Notedebasdepage"/>
      </w:pPr>
      <w:r>
        <w:rPr>
          <w:rStyle w:val="Appelnotedebasdep"/>
        </w:rPr>
        <w:footnoteRef/>
      </w:r>
      <w:r>
        <w:t xml:space="preserve"> </w:t>
      </w:r>
      <w:r w:rsidRPr="002300E5">
        <w:t>MSPRH : La politique nationale de la santé. MSPRH, Algérie, 2006.</w:t>
      </w:r>
    </w:p>
  </w:footnote>
  <w:footnote w:id="66">
    <w:p w14:paraId="3A757B55" w14:textId="77777777" w:rsidR="0095621A" w:rsidRPr="00895EA4" w:rsidRDefault="0095621A" w:rsidP="00B7491C">
      <w:pPr>
        <w:pStyle w:val="Notedebasdepage"/>
      </w:pPr>
      <w:r>
        <w:rPr>
          <w:rStyle w:val="Appelnotedebasdep"/>
        </w:rPr>
        <w:footnoteRef/>
      </w:r>
      <w:r>
        <w:t xml:space="preserve"> </w:t>
      </w:r>
      <w:r w:rsidRPr="00895EA4">
        <w:t>CASTONGUAY, Joanne. Analyse comparative des mécanismes de financement des hôpitaux, Montréal Mrs 2013, p. 176.</w:t>
      </w:r>
    </w:p>
  </w:footnote>
  <w:footnote w:id="67">
    <w:p w14:paraId="480932C3" w14:textId="575BBAE3" w:rsidR="0095621A" w:rsidRDefault="0095621A" w:rsidP="00B7491C">
      <w:pPr>
        <w:pStyle w:val="Notedebasdepage"/>
      </w:pPr>
      <w:r>
        <w:rPr>
          <w:rStyle w:val="Appelnotedebasdep"/>
        </w:rPr>
        <w:footnoteRef/>
      </w:r>
      <w:r>
        <w:t xml:space="preserve"> </w:t>
      </w:r>
      <w:r w:rsidRPr="006457AB">
        <w:t>LAMRI, LARBI. Problématique du financement de la santé en Algérie, édition savoir et compétence n°2. L’E.F.P.M. de MASCARA, p.110.</w:t>
      </w:r>
    </w:p>
  </w:footnote>
  <w:footnote w:id="68">
    <w:p w14:paraId="23ED363D" w14:textId="77777777" w:rsidR="0095621A" w:rsidRPr="000D4A82" w:rsidRDefault="0095621A" w:rsidP="00B7491C">
      <w:pPr>
        <w:pStyle w:val="Notedebasdepage"/>
      </w:pPr>
      <w:r>
        <w:rPr>
          <w:rStyle w:val="Appelnotedebasdep"/>
        </w:rPr>
        <w:footnoteRef/>
      </w:r>
      <w:r>
        <w:t xml:space="preserve"> </w:t>
      </w:r>
      <w:r w:rsidRPr="000D4A82">
        <w:t xml:space="preserve">LARBI, </w:t>
      </w:r>
      <w:proofErr w:type="spellStart"/>
      <w:r w:rsidRPr="000D4A82">
        <w:t>Lamri</w:t>
      </w:r>
      <w:proofErr w:type="spellEnd"/>
      <w:r w:rsidRPr="000D4A82">
        <w:t>. Le système de sécurité sociale en Algérie une approche économique, édition office des publications universitaires (OPU), 2001, p.63</w:t>
      </w:r>
    </w:p>
  </w:footnote>
  <w:footnote w:id="69">
    <w:p w14:paraId="5E467C01" w14:textId="55F14BD0" w:rsidR="0095621A" w:rsidRDefault="0095621A" w:rsidP="00B7491C">
      <w:pPr>
        <w:pStyle w:val="Notedebasdepage"/>
      </w:pPr>
      <w:r>
        <w:rPr>
          <w:rStyle w:val="Appelnotedebasdep"/>
        </w:rPr>
        <w:footnoteRef/>
      </w:r>
      <w:r>
        <w:t xml:space="preserve"> </w:t>
      </w:r>
      <w:proofErr w:type="spellStart"/>
      <w:r w:rsidRPr="002300E5">
        <w:t>Foudi</w:t>
      </w:r>
      <w:proofErr w:type="spellEnd"/>
      <w:r w:rsidRPr="002300E5">
        <w:t xml:space="preserve"> Brahim : La contractualisation dans le système de santé Algérien et Marocain : Etat des lieu, Mémoire de magister en sciences économiques, Université A Mira de </w:t>
      </w:r>
      <w:proofErr w:type="spellStart"/>
      <w:r w:rsidRPr="002300E5">
        <w:t>Béjaia</w:t>
      </w:r>
      <w:proofErr w:type="spellEnd"/>
      <w:r w:rsidRPr="002300E5">
        <w:t>, 2011, p117.</w:t>
      </w:r>
    </w:p>
  </w:footnote>
  <w:footnote w:id="70">
    <w:p w14:paraId="511014E5" w14:textId="77777777" w:rsidR="0095621A" w:rsidRDefault="0095621A" w:rsidP="00B7491C">
      <w:pPr>
        <w:pStyle w:val="Notedebasdepage"/>
      </w:pPr>
      <w:r>
        <w:rPr>
          <w:rStyle w:val="Appelnotedebasdep"/>
        </w:rPr>
        <w:footnoteRef/>
      </w:r>
      <w:r>
        <w:t xml:space="preserve"> </w:t>
      </w:r>
      <w:r w:rsidRPr="00D328D7">
        <w:t xml:space="preserve">JORADP. (1974). </w:t>
      </w:r>
      <w:r w:rsidRPr="00D328D7">
        <w:rPr>
          <w:i/>
          <w:iCs/>
        </w:rPr>
        <w:t>Ordonnance n° 73-65 du 28 décembre 1973 portant institution de la médecine gratuite dans les secteurs sanitaires en Algérie</w:t>
      </w:r>
      <w:r w:rsidRPr="00D328D7">
        <w:t xml:space="preserve">. </w:t>
      </w:r>
      <w:r w:rsidRPr="00D328D7">
        <w:rPr>
          <w:i/>
          <w:iCs/>
        </w:rPr>
        <w:t>Journal Officiel de la République Algérienne</w:t>
      </w:r>
      <w:r w:rsidRPr="00D328D7">
        <w:t xml:space="preserve">, n°1, 1er janvier 1974. </w:t>
      </w:r>
      <w:hyperlink r:id="rId31" w:tgtFrame="_new" w:history="1">
        <w:r w:rsidRPr="00D328D7">
          <w:rPr>
            <w:rStyle w:val="Lienhypertexte"/>
          </w:rPr>
          <w:t>https://www.joradp.dz/FTP/jo-francais/1974/F1974001.PDF</w:t>
        </w:r>
      </w:hyperlink>
    </w:p>
  </w:footnote>
  <w:footnote w:id="71">
    <w:p w14:paraId="70FE698F" w14:textId="77777777" w:rsidR="0095621A" w:rsidRDefault="0095621A" w:rsidP="00B7491C">
      <w:pPr>
        <w:pStyle w:val="Notedebasdepage"/>
      </w:pPr>
      <w:r>
        <w:rPr>
          <w:rStyle w:val="Appelnotedebasdep"/>
        </w:rPr>
        <w:footnoteRef/>
      </w:r>
      <w:r>
        <w:t xml:space="preserve"> </w:t>
      </w:r>
      <w:proofErr w:type="spellStart"/>
      <w:r w:rsidRPr="00FD1AF9">
        <w:t>Kourta</w:t>
      </w:r>
      <w:proofErr w:type="spellEnd"/>
      <w:r w:rsidRPr="00FD1AF9">
        <w:t xml:space="preserve">, D. (2023). </w:t>
      </w:r>
      <w:r w:rsidRPr="00FD1AF9">
        <w:rPr>
          <w:i/>
          <w:iCs/>
        </w:rPr>
        <w:t>Projet de contractualisation : Pour un nouveau mode de financement des activités de soins</w:t>
      </w:r>
      <w:r w:rsidRPr="00FD1AF9">
        <w:t xml:space="preserve">. TDM Santé </w:t>
      </w:r>
      <w:proofErr w:type="spellStart"/>
      <w:r w:rsidRPr="00FD1AF9">
        <w:t>Innov.Consulté</w:t>
      </w:r>
      <w:proofErr w:type="spellEnd"/>
      <w:r w:rsidRPr="00FD1AF9">
        <w:t xml:space="preserve"> le 22 avril 2025, sur : </w:t>
      </w:r>
      <w:hyperlink r:id="rId32" w:tgtFrame="_new" w:history="1">
        <w:r w:rsidRPr="00FD1AF9">
          <w:rPr>
            <w:rStyle w:val="Lienhypertexte"/>
          </w:rPr>
          <w:t>https://www.tdmsanteinov.dz/projet-de-contractualisation/</w:t>
        </w:r>
      </w:hyperlink>
      <w:r w:rsidRPr="00FD1AF9">
        <w:t>​</w:t>
      </w:r>
    </w:p>
  </w:footnote>
  <w:footnote w:id="72">
    <w:p w14:paraId="6B248104" w14:textId="77777777" w:rsidR="0095621A" w:rsidRDefault="0095621A" w:rsidP="00B7491C">
      <w:pPr>
        <w:pStyle w:val="Notedebasdepage"/>
      </w:pPr>
      <w:r>
        <w:rPr>
          <w:rStyle w:val="Appelnotedebasdep"/>
        </w:rPr>
        <w:footnoteRef/>
      </w:r>
      <w:r>
        <w:t xml:space="preserve"> </w:t>
      </w:r>
      <w:r w:rsidRPr="00FD1AF9">
        <w:t xml:space="preserve">Salmi, M. (2022). La contractualisation des relations entre les bailleurs de fonds et les prestataires de soins : une réforme à l’épreuve du temps. Revue des Sciences Humaines, 33(4), 81–93. Université des Frères </w:t>
      </w:r>
      <w:proofErr w:type="spellStart"/>
      <w:r w:rsidRPr="00FD1AF9">
        <w:t>Mentouri</w:t>
      </w:r>
      <w:proofErr w:type="spellEnd"/>
      <w:r w:rsidRPr="00FD1AF9">
        <w:t xml:space="preserve"> Constantine 1, p. 89.</w:t>
      </w:r>
    </w:p>
  </w:footnote>
  <w:footnote w:id="73">
    <w:p w14:paraId="72767035" w14:textId="77777777" w:rsidR="0095621A" w:rsidRDefault="0095621A" w:rsidP="00B7491C">
      <w:pPr>
        <w:pStyle w:val="Notedebasdepage"/>
      </w:pPr>
      <w:r>
        <w:rPr>
          <w:rStyle w:val="Appelnotedebasdep"/>
        </w:rPr>
        <w:footnoteRef/>
      </w:r>
      <w:r w:rsidRPr="00AF3C94">
        <w:rPr>
          <w:lang w:val="en-US"/>
        </w:rPr>
        <w:t xml:space="preserve"> </w:t>
      </w:r>
      <w:proofErr w:type="spellStart"/>
      <w:r w:rsidRPr="00AF3C94">
        <w:rPr>
          <w:b/>
          <w:bCs/>
          <w:lang w:val="en-US"/>
        </w:rPr>
        <w:t>Nesnas</w:t>
      </w:r>
      <w:proofErr w:type="spellEnd"/>
      <w:r w:rsidRPr="00AF3C94">
        <w:rPr>
          <w:b/>
          <w:bCs/>
          <w:lang w:val="en-US"/>
        </w:rPr>
        <w:t xml:space="preserve">, C., &amp; </w:t>
      </w:r>
      <w:proofErr w:type="spellStart"/>
      <w:r w:rsidRPr="00AF3C94">
        <w:rPr>
          <w:b/>
          <w:bCs/>
          <w:lang w:val="en-US"/>
        </w:rPr>
        <w:t>Kadid</w:t>
      </w:r>
      <w:proofErr w:type="spellEnd"/>
      <w:r w:rsidRPr="00AF3C94">
        <w:rPr>
          <w:b/>
          <w:bCs/>
          <w:lang w:val="en-US"/>
        </w:rPr>
        <w:t>, L.</w:t>
      </w:r>
      <w:r w:rsidRPr="00AF3C94">
        <w:rPr>
          <w:lang w:val="en-US"/>
        </w:rPr>
        <w:t xml:space="preserve"> (</w:t>
      </w:r>
      <w:proofErr w:type="spellStart"/>
      <w:r w:rsidRPr="00AF3C94">
        <w:rPr>
          <w:lang w:val="en-US"/>
        </w:rPr>
        <w:t>s.d.</w:t>
      </w:r>
      <w:proofErr w:type="spellEnd"/>
      <w:r w:rsidRPr="00AF3C94">
        <w:rPr>
          <w:lang w:val="en-US"/>
        </w:rPr>
        <w:t xml:space="preserve">). </w:t>
      </w:r>
      <w:r w:rsidRPr="00AF3C94">
        <w:rPr>
          <w:i/>
          <w:iCs/>
        </w:rPr>
        <w:t>Les rapports contractuels entre les organismes de sécurité sociale et les établissements publics de santé</w:t>
      </w:r>
      <w:r w:rsidRPr="00AF3C94">
        <w:t xml:space="preserve"> (Mémoire de post-graduation spécialisée en management de la sécurité sociale, École Supérieure de la Sécurité Sociale). Ministère du Travail et de la Sécurité Sociale, Algérie, p. 78.</w:t>
      </w:r>
    </w:p>
  </w:footnote>
  <w:footnote w:id="74">
    <w:p w14:paraId="44BBA7E6" w14:textId="77777777" w:rsidR="0095621A" w:rsidRDefault="0095621A">
      <w:pPr>
        <w:pStyle w:val="Notedebasdepage"/>
      </w:pPr>
      <w:r>
        <w:rPr>
          <w:rStyle w:val="Appelnotedebasdep"/>
        </w:rPr>
        <w:footnoteRef/>
      </w:r>
      <w:r>
        <w:t xml:space="preserve"> CNAS. (2025). Document interne fourni dans le cadre du stage. Source non publiée</w:t>
      </w:r>
    </w:p>
  </w:footnote>
  <w:footnote w:id="75">
    <w:p w14:paraId="6E250C20" w14:textId="77777777" w:rsidR="0095621A" w:rsidRDefault="0095621A" w:rsidP="00B7491C">
      <w:pPr>
        <w:pStyle w:val="Notedebasdepage"/>
      </w:pPr>
      <w:r>
        <w:rPr>
          <w:rStyle w:val="Appelnotedebasdep"/>
        </w:rPr>
        <w:footnoteRef/>
      </w:r>
      <w:r>
        <w:t xml:space="preserve"> </w:t>
      </w:r>
      <w:proofErr w:type="spellStart"/>
      <w:r w:rsidRPr="008C2C61">
        <w:t>Chougrani</w:t>
      </w:r>
      <w:proofErr w:type="spellEnd"/>
      <w:r w:rsidRPr="008C2C61">
        <w:t xml:space="preserve">, S. (1998). </w:t>
      </w:r>
      <w:r w:rsidRPr="008C2C61">
        <w:rPr>
          <w:i/>
          <w:iCs/>
        </w:rPr>
        <w:t>La contractualisation et l'information : défis et enjeux entre les financeurs et les producteurs de soins en Algérie</w:t>
      </w:r>
      <w:r w:rsidRPr="008C2C61">
        <w:t xml:space="preserve">. </w:t>
      </w:r>
      <w:proofErr w:type="spellStart"/>
      <w:r w:rsidRPr="008C2C61">
        <w:rPr>
          <w:b/>
          <w:bCs/>
        </w:rPr>
        <w:t>Insaniyat</w:t>
      </w:r>
      <w:proofErr w:type="spellEnd"/>
      <w:r w:rsidRPr="008C2C61">
        <w:rPr>
          <w:b/>
          <w:bCs/>
        </w:rPr>
        <w:t xml:space="preserve"> / </w:t>
      </w:r>
      <w:r w:rsidRPr="008C2C61">
        <w:rPr>
          <w:b/>
          <w:bCs/>
          <w:rtl/>
        </w:rPr>
        <w:t>إنسانيات</w:t>
      </w:r>
      <w:r w:rsidRPr="008C2C61">
        <w:t>, (6), 143–161.</w:t>
      </w:r>
      <w:r w:rsidRPr="008C2C61">
        <w:br/>
        <w:t xml:space="preserve">Consulté le 22 avril 2025, sur </w:t>
      </w:r>
      <w:hyperlink r:id="rId33" w:tgtFrame="_new" w:history="1">
        <w:r w:rsidRPr="008C2C61">
          <w:rPr>
            <w:rStyle w:val="Lienhypertexte"/>
          </w:rPr>
          <w:t>https://insaniyat.crasc.dz/index.php/fr/component/content/article/443-la-contractualisation-et-l-information-d%C3%A9fis-et-enjeux-entre-les-financeurs-et-les-producteurs-de-soins-en-alg%C3%A9rie?catid=14&amp;Itemid=219</w:t>
        </w:r>
      </w:hyperlink>
    </w:p>
  </w:footnote>
  <w:footnote w:id="76">
    <w:p w14:paraId="1E4F2535" w14:textId="49568268" w:rsidR="0095621A" w:rsidRDefault="0095621A" w:rsidP="00B7491C">
      <w:pPr>
        <w:pStyle w:val="Notedebasdepage"/>
      </w:pPr>
      <w:r>
        <w:rPr>
          <w:rStyle w:val="Appelnotedebasdep"/>
        </w:rPr>
        <w:footnoteRef/>
      </w:r>
      <w:r>
        <w:t xml:space="preserve"> </w:t>
      </w:r>
      <w:proofErr w:type="spellStart"/>
      <w:r w:rsidRPr="008D59CE">
        <w:t>Ziani</w:t>
      </w:r>
      <w:proofErr w:type="spellEnd"/>
      <w:r w:rsidRPr="008D59CE">
        <w:t xml:space="preserve">, L., &amp; </w:t>
      </w:r>
      <w:proofErr w:type="spellStart"/>
      <w:r w:rsidRPr="008D59CE">
        <w:t>Ziani</w:t>
      </w:r>
      <w:proofErr w:type="spellEnd"/>
      <w:r w:rsidRPr="008D59CE">
        <w:t xml:space="preserve">, F. (2021). </w:t>
      </w:r>
      <w:r w:rsidRPr="008D59CE">
        <w:rPr>
          <w:i/>
          <w:iCs/>
        </w:rPr>
        <w:t>La contractualisation dans le secteur de santé en Algérie : État des lieux et contraintes</w:t>
      </w:r>
      <w:r w:rsidRPr="008D59CE">
        <w:t>. Les Cahiers du P</w:t>
      </w:r>
      <w:r>
        <w:t>OIDEX, 10(1), 567–584.</w:t>
      </w:r>
      <w:r>
        <w:br/>
        <w:t>Page 47.</w:t>
      </w:r>
      <w:r w:rsidRPr="008D59CE">
        <w:t xml:space="preserve"> Consulté le 22 avril 2025, sur : </w:t>
      </w:r>
      <w:hyperlink r:id="rId34" w:tgtFrame="_new" w:history="1">
        <w:r w:rsidRPr="008D59CE">
          <w:rPr>
            <w:rStyle w:val="Lienhypertexte"/>
          </w:rPr>
          <w:t>https://asjp.cerist.dz/en/article/157116</w:t>
        </w:r>
      </w:hyperlink>
    </w:p>
  </w:footnote>
  <w:footnote w:id="77">
    <w:p w14:paraId="5D532636" w14:textId="77777777" w:rsidR="0095621A" w:rsidRDefault="0095621A" w:rsidP="00B7491C">
      <w:pPr>
        <w:pStyle w:val="Notedebasdepage"/>
      </w:pPr>
      <w:r>
        <w:rPr>
          <w:rStyle w:val="Appelnotedebasdep"/>
        </w:rPr>
        <w:footnoteRef/>
      </w:r>
      <w:r>
        <w:t xml:space="preserve"> </w:t>
      </w:r>
      <w:proofErr w:type="spellStart"/>
      <w:r w:rsidRPr="00FF6D61">
        <w:rPr>
          <w:b/>
          <w:bCs/>
        </w:rPr>
        <w:t>Cheurfa</w:t>
      </w:r>
      <w:proofErr w:type="spellEnd"/>
      <w:r w:rsidRPr="00FF6D61">
        <w:rPr>
          <w:b/>
          <w:bCs/>
        </w:rPr>
        <w:t xml:space="preserve">, T., &amp; </w:t>
      </w:r>
      <w:proofErr w:type="spellStart"/>
      <w:r w:rsidRPr="00FF6D61">
        <w:rPr>
          <w:b/>
          <w:bCs/>
        </w:rPr>
        <w:t>Kaïd</w:t>
      </w:r>
      <w:proofErr w:type="spellEnd"/>
      <w:r w:rsidRPr="00FF6D61">
        <w:rPr>
          <w:b/>
          <w:bCs/>
        </w:rPr>
        <w:t xml:space="preserve"> </w:t>
      </w:r>
      <w:proofErr w:type="spellStart"/>
      <w:r w:rsidRPr="00FF6D61">
        <w:rPr>
          <w:b/>
          <w:bCs/>
        </w:rPr>
        <w:t>Tlilane</w:t>
      </w:r>
      <w:proofErr w:type="spellEnd"/>
      <w:r w:rsidRPr="00FF6D61">
        <w:rPr>
          <w:b/>
          <w:bCs/>
        </w:rPr>
        <w:t>, N.</w:t>
      </w:r>
      <w:r w:rsidRPr="00FF6D61">
        <w:t xml:space="preserve"> (2014). La contractualisation externe dans les hôpitaux publics en Algérie : Enjeux et perspectives. </w:t>
      </w:r>
      <w:r w:rsidRPr="00FF6D61">
        <w:rPr>
          <w:i/>
          <w:iCs/>
        </w:rPr>
        <w:t>Economie &amp; Société</w:t>
      </w:r>
      <w:r w:rsidRPr="00FF6D61">
        <w:t>, (10), p. 87.</w:t>
      </w:r>
    </w:p>
  </w:footnote>
  <w:footnote w:id="78">
    <w:p w14:paraId="59EDDC27" w14:textId="77777777" w:rsidR="0095621A" w:rsidRDefault="0095621A" w:rsidP="00B7491C">
      <w:pPr>
        <w:pStyle w:val="Notedebasdepage"/>
      </w:pPr>
      <w:r>
        <w:rPr>
          <w:rStyle w:val="Appelnotedebasdep"/>
        </w:rPr>
        <w:footnoteRef/>
      </w:r>
      <w:r w:rsidRPr="0077376F">
        <w:t xml:space="preserve"> </w:t>
      </w:r>
      <w:proofErr w:type="spellStart"/>
      <w:r w:rsidRPr="0077376F">
        <w:rPr>
          <w:b/>
          <w:bCs/>
        </w:rPr>
        <w:t>Benhammouda</w:t>
      </w:r>
      <w:proofErr w:type="spellEnd"/>
      <w:r w:rsidRPr="0077376F">
        <w:rPr>
          <w:b/>
          <w:bCs/>
        </w:rPr>
        <w:t xml:space="preserve">, A., &amp; </w:t>
      </w:r>
      <w:proofErr w:type="spellStart"/>
      <w:r w:rsidRPr="0077376F">
        <w:rPr>
          <w:b/>
          <w:bCs/>
        </w:rPr>
        <w:t>Ould</w:t>
      </w:r>
      <w:proofErr w:type="spellEnd"/>
      <w:r w:rsidRPr="0077376F">
        <w:rPr>
          <w:b/>
          <w:bCs/>
        </w:rPr>
        <w:t xml:space="preserve"> </w:t>
      </w:r>
      <w:proofErr w:type="spellStart"/>
      <w:r w:rsidRPr="0077376F">
        <w:rPr>
          <w:b/>
          <w:bCs/>
        </w:rPr>
        <w:t>Amrouche</w:t>
      </w:r>
      <w:proofErr w:type="spellEnd"/>
      <w:r w:rsidRPr="0077376F">
        <w:rPr>
          <w:b/>
          <w:bCs/>
        </w:rPr>
        <w:t>, K.</w:t>
      </w:r>
      <w:r w:rsidRPr="0077376F">
        <w:t xml:space="preserve"> (2005). </w:t>
      </w:r>
      <w:r w:rsidRPr="004E65D0">
        <w:rPr>
          <w:i/>
          <w:iCs/>
        </w:rPr>
        <w:t>Les relations des systèmes sécurité sociale et santé : Examen de la mise en œuvre des nouvelles relations contractuelles santé–sécurité sociale</w:t>
      </w:r>
      <w:r w:rsidRPr="004E65D0">
        <w:t xml:space="preserve"> (Mémoire de post-graduation spécialisée en management de la sécurité sociale). École Supérieure de la Sécurité Sociale, en collaboration avec la Faculté des Sciences Économiques et de Gestion de l’Université d’Alger, p. 121.</w:t>
      </w:r>
    </w:p>
  </w:footnote>
  <w:footnote w:id="79">
    <w:p w14:paraId="1523ABA6" w14:textId="77777777" w:rsidR="0095621A" w:rsidRDefault="0095621A" w:rsidP="00B7491C">
      <w:pPr>
        <w:pStyle w:val="Notedebasdepage"/>
      </w:pPr>
      <w:r>
        <w:rPr>
          <w:rStyle w:val="Appelnotedebasdep"/>
        </w:rPr>
        <w:footnoteRef/>
      </w:r>
      <w:r>
        <w:t xml:space="preserve"> </w:t>
      </w:r>
      <w:r w:rsidRPr="00265A74">
        <w:rPr>
          <w:b/>
          <w:bCs/>
        </w:rPr>
        <w:t>Saint-Paul, G.</w:t>
      </w:r>
      <w:r w:rsidRPr="00265A74">
        <w:t xml:space="preserve"> (2012). </w:t>
      </w:r>
      <w:r w:rsidRPr="00265A74">
        <w:rPr>
          <w:i/>
          <w:iCs/>
        </w:rPr>
        <w:t>Réflexion sur l’organisation du système de santé</w:t>
      </w:r>
      <w:r w:rsidRPr="00265A74">
        <w:t xml:space="preserve"> (Rapport, Direction de l’information légale et administrative). France.</w:t>
      </w:r>
    </w:p>
  </w:footnote>
  <w:footnote w:id="80">
    <w:p w14:paraId="147CACDD" w14:textId="77777777" w:rsidR="0095621A" w:rsidRDefault="0095621A" w:rsidP="00B7491C">
      <w:pPr>
        <w:pStyle w:val="Notedebasdepage"/>
      </w:pPr>
      <w:r>
        <w:rPr>
          <w:rStyle w:val="Appelnotedebasdep"/>
        </w:rPr>
        <w:footnoteRef/>
      </w:r>
      <w:r>
        <w:t xml:space="preserve"> </w:t>
      </w:r>
      <w:r w:rsidRPr="00265A74">
        <w:rPr>
          <w:b/>
          <w:bCs/>
        </w:rPr>
        <w:t>Or, Z., &amp; Renaud, T.</w:t>
      </w:r>
      <w:r w:rsidRPr="00265A74">
        <w:t xml:space="preserve"> (2009, mars). </w:t>
      </w:r>
      <w:r w:rsidRPr="00265A74">
        <w:rPr>
          <w:i/>
          <w:iCs/>
        </w:rPr>
        <w:t>Principes et enjeux de la tarification à l’activité à l’hôpital (T2A) : Enseignements de la théorie économique et des expériences étrangères</w:t>
      </w:r>
      <w:r w:rsidRPr="00265A74">
        <w:t xml:space="preserve">. IRDES. </w:t>
      </w:r>
      <w:hyperlink r:id="rId35" w:tgtFrame="_new" w:history="1">
        <w:r w:rsidRPr="00265A74">
          <w:rPr>
            <w:rStyle w:val="Lienhypertexte"/>
          </w:rPr>
          <w:t>https://www.irdes.fr</w:t>
        </w:r>
      </w:hyperlink>
    </w:p>
  </w:footnote>
  <w:footnote w:id="81">
    <w:p w14:paraId="0E005E8C" w14:textId="77777777" w:rsidR="0095621A" w:rsidRDefault="0095621A" w:rsidP="00B7491C">
      <w:pPr>
        <w:pStyle w:val="Notedebasdepage"/>
      </w:pPr>
      <w:r>
        <w:rPr>
          <w:rStyle w:val="Appelnotedebasdep"/>
        </w:rPr>
        <w:footnoteRef/>
      </w:r>
      <w:r>
        <w:t xml:space="preserve"> </w:t>
      </w:r>
      <w:proofErr w:type="spellStart"/>
      <w:r w:rsidRPr="00F031FE">
        <w:rPr>
          <w:b/>
          <w:bCs/>
        </w:rPr>
        <w:t>Fessler</w:t>
      </w:r>
      <w:proofErr w:type="spellEnd"/>
      <w:r w:rsidRPr="00F031FE">
        <w:rPr>
          <w:b/>
          <w:bCs/>
        </w:rPr>
        <w:t xml:space="preserve">, J.-M., &amp; </w:t>
      </w:r>
      <w:proofErr w:type="spellStart"/>
      <w:r w:rsidRPr="00F031FE">
        <w:rPr>
          <w:b/>
          <w:bCs/>
        </w:rPr>
        <w:t>Frutiger</w:t>
      </w:r>
      <w:proofErr w:type="spellEnd"/>
      <w:r w:rsidRPr="00F031FE">
        <w:rPr>
          <w:b/>
          <w:bCs/>
        </w:rPr>
        <w:t>, P.</w:t>
      </w:r>
      <w:r w:rsidRPr="00F031FE">
        <w:t xml:space="preserve"> (2003). </w:t>
      </w:r>
      <w:r w:rsidRPr="00F031FE">
        <w:rPr>
          <w:i/>
          <w:iCs/>
        </w:rPr>
        <w:t>La tarification hospitalière à l’activité : éléments d’un débat nécessaire et propositions</w:t>
      </w:r>
      <w:r w:rsidRPr="00F031FE">
        <w:t xml:space="preserve"> (p. 173). Éditions Lamarre.</w:t>
      </w:r>
    </w:p>
  </w:footnote>
  <w:footnote w:id="82">
    <w:p w14:paraId="3F37E68B" w14:textId="77777777" w:rsidR="0095621A" w:rsidRDefault="0095621A" w:rsidP="00B7491C">
      <w:pPr>
        <w:pStyle w:val="Notedebasdepage"/>
      </w:pPr>
      <w:r>
        <w:rPr>
          <w:rStyle w:val="Appelnotedebasdep"/>
        </w:rPr>
        <w:footnoteRef/>
      </w:r>
      <w:r>
        <w:t xml:space="preserve"> </w:t>
      </w:r>
      <w:r w:rsidRPr="006D4BCC">
        <w:rPr>
          <w:b/>
          <w:bCs/>
        </w:rPr>
        <w:t>Goursat, M.</w:t>
      </w:r>
      <w:r w:rsidRPr="006D4BCC">
        <w:t xml:space="preserve"> (2009). </w:t>
      </w:r>
      <w:r w:rsidRPr="006D4BCC">
        <w:rPr>
          <w:i/>
          <w:iCs/>
        </w:rPr>
        <w:t>Principes et modalités de la capitation : Un système innovant de contractualisation des prestataires de soins en micro-assurance santé</w:t>
      </w:r>
      <w:r w:rsidRPr="006D4BCC">
        <w:t xml:space="preserve"> (p. 2). GRET-SKY. </w:t>
      </w:r>
      <w:hyperlink r:id="rId36" w:tgtFrame="_new" w:history="1">
        <w:r w:rsidRPr="006D4BCC">
          <w:rPr>
            <w:rStyle w:val="Lienhypertexte"/>
          </w:rPr>
          <w:t>https://www.findevgateway.org/sites/default/files/publications/files/mfg-fr-etudes-de-cas-capitation-au-cambodge-08-2009.pdf</w:t>
        </w:r>
      </w:hyperlink>
      <w:r w:rsidRPr="006D4BCC">
        <w:t xml:space="preserve"> </w:t>
      </w:r>
      <w:r>
        <w:rPr>
          <w:i/>
          <w:iCs/>
        </w:rPr>
        <w:t>(consulté le 22/03/2025</w:t>
      </w:r>
      <w:r w:rsidRPr="006D4BCC">
        <w:rPr>
          <w:i/>
          <w:iCs/>
        </w:rPr>
        <w:t>)</w:t>
      </w:r>
    </w:p>
  </w:footnote>
  <w:footnote w:id="83">
    <w:p w14:paraId="5E94397C" w14:textId="77777777" w:rsidR="0095621A" w:rsidRDefault="0095621A" w:rsidP="00B7491C">
      <w:pPr>
        <w:pStyle w:val="Notedebasdepage"/>
      </w:pPr>
      <w:r>
        <w:rPr>
          <w:rStyle w:val="Appelnotedebasdep"/>
        </w:rPr>
        <w:footnoteRef/>
      </w:r>
      <w:r>
        <w:t xml:space="preserve"> </w:t>
      </w:r>
      <w:r w:rsidRPr="0037180F">
        <w:rPr>
          <w:b/>
          <w:bCs/>
        </w:rPr>
        <w:t>Bras, P.-L.</w:t>
      </w:r>
      <w:r w:rsidRPr="0037180F">
        <w:t xml:space="preserve"> (2017). Paiement à l’acte/capitation : une réforme ébauchée mais avortée. </w:t>
      </w:r>
      <w:r w:rsidRPr="0037180F">
        <w:rPr>
          <w:i/>
          <w:iCs/>
        </w:rPr>
        <w:t>Les Tribunes de la santé</w:t>
      </w:r>
      <w:r w:rsidRPr="0037180F">
        <w:t xml:space="preserve">, 2017/4(57), 71–89. </w:t>
      </w:r>
      <w:hyperlink r:id="rId37" w:tgtFrame="_new" w:history="1">
        <w:r w:rsidRPr="0037180F">
          <w:rPr>
            <w:rStyle w:val="Lienhypertexte"/>
          </w:rPr>
          <w:t>https://stm.cairn.info/revue-les-tribunes-de-la-sante1-2017-4-page-71?lang=fr</w:t>
        </w:r>
      </w:hyperlink>
    </w:p>
  </w:footnote>
  <w:footnote w:id="84">
    <w:p w14:paraId="776E45D3" w14:textId="77777777" w:rsidR="0095621A" w:rsidRDefault="0095621A" w:rsidP="00B7491C">
      <w:pPr>
        <w:pStyle w:val="Notedebasdepage"/>
      </w:pPr>
      <w:r>
        <w:rPr>
          <w:rStyle w:val="Appelnotedebasdep"/>
        </w:rPr>
        <w:footnoteRef/>
      </w:r>
      <w:r>
        <w:t xml:space="preserve"> </w:t>
      </w:r>
      <w:r w:rsidRPr="00A614C7">
        <w:rPr>
          <w:b/>
          <w:bCs/>
        </w:rPr>
        <w:t xml:space="preserve">Goursat, M. </w:t>
      </w:r>
      <w:r w:rsidRPr="00A614C7">
        <w:t xml:space="preserve">(2009). </w:t>
      </w:r>
      <w:r w:rsidRPr="00A614C7">
        <w:rPr>
          <w:i/>
          <w:iCs/>
        </w:rPr>
        <w:t>Principes et modalités de la capitation : Un système innovant de contractualisation des prestataires de soins en micro-assurance santé</w:t>
      </w:r>
      <w:r w:rsidRPr="00A614C7">
        <w:t xml:space="preserve"> (p. 3). GRET-SKY. Consulté le 22 mars 2025, à l'adresse : </w:t>
      </w:r>
      <w:hyperlink r:id="rId38" w:tgtFrame="_new" w:history="1">
        <w:r w:rsidRPr="00A614C7">
          <w:rPr>
            <w:rStyle w:val="Lienhypertexte"/>
          </w:rPr>
          <w:t>https://www.findevgateway.org/sites/default/files/publications/files/mfg-fr-etudes-de-cas-capitation-au-cambodge-08-2009.pdf</w:t>
        </w:r>
      </w:hyperlink>
    </w:p>
  </w:footnote>
  <w:footnote w:id="85">
    <w:p w14:paraId="5C79B28D" w14:textId="77777777" w:rsidR="0095621A" w:rsidRDefault="0095621A" w:rsidP="00B7491C">
      <w:pPr>
        <w:pStyle w:val="Notedebasdepage"/>
      </w:pPr>
      <w:r>
        <w:rPr>
          <w:rStyle w:val="Appelnotedebasdep"/>
        </w:rPr>
        <w:footnoteRef/>
      </w:r>
      <w:r>
        <w:t xml:space="preserve"> </w:t>
      </w:r>
      <w:r w:rsidRPr="00A614C7">
        <w:rPr>
          <w:b/>
          <w:bCs/>
        </w:rPr>
        <w:t>Castonguay, J.</w:t>
      </w:r>
      <w:r w:rsidRPr="00A614C7">
        <w:t xml:space="preserve"> (2013). Analyse comparative des mécanismes de financement des hôpitaux (Rapport de projet 2013RP-06, p. 26). CIRANO.</w:t>
      </w:r>
    </w:p>
  </w:footnote>
  <w:footnote w:id="86">
    <w:p w14:paraId="43C3B1A6" w14:textId="77777777" w:rsidR="0095621A" w:rsidRPr="009757B2" w:rsidRDefault="0095621A" w:rsidP="00B7491C">
      <w:pPr>
        <w:pStyle w:val="Notedebasdepage"/>
      </w:pPr>
      <w:r>
        <w:rPr>
          <w:rStyle w:val="Appelnotedebasdep"/>
        </w:rPr>
        <w:footnoteRef/>
      </w:r>
      <w:r>
        <w:t xml:space="preserve"> </w:t>
      </w:r>
      <w:hyperlink r:id="rId39" w:history="1">
        <w:r w:rsidRPr="0090340E">
          <w:rPr>
            <w:rStyle w:val="Lienhypertexte"/>
          </w:rPr>
          <w:t>https://www.definitions-marketing.com/definition/tri-a-plat</w:t>
        </w:r>
      </w:hyperlink>
      <w:r>
        <w:t xml:space="preserve"> consulté le 23/05/2025 á 03 :44</w:t>
      </w:r>
    </w:p>
    <w:p w14:paraId="458312C2" w14:textId="77777777" w:rsidR="0095621A" w:rsidRPr="006A120F" w:rsidRDefault="0095621A" w:rsidP="00B7491C">
      <w:pPr>
        <w:pStyle w:val="Notedebasdepage"/>
      </w:pPr>
    </w:p>
  </w:footnote>
  <w:footnote w:id="87">
    <w:p w14:paraId="50737411" w14:textId="77777777" w:rsidR="0095621A" w:rsidRPr="009757B2" w:rsidRDefault="0095621A" w:rsidP="00B7491C">
      <w:pPr>
        <w:pStyle w:val="Notedebasdepage"/>
      </w:pPr>
      <w:r>
        <w:rPr>
          <w:rStyle w:val="Appelnotedebasdep"/>
        </w:rPr>
        <w:footnoteRef/>
      </w:r>
      <w:r>
        <w:t xml:space="preserve"> </w:t>
      </w:r>
      <w:hyperlink r:id="rId40" w:history="1">
        <w:r w:rsidRPr="0090340E">
          <w:rPr>
            <w:rStyle w:val="Lienhypertexte"/>
          </w:rPr>
          <w:t>https://www.definitions-marketing.com/definition/tri-a-plat</w:t>
        </w:r>
      </w:hyperlink>
      <w:r>
        <w:t xml:space="preserve"> consulté le 23/05/2025 á 03 :46</w:t>
      </w:r>
    </w:p>
    <w:p w14:paraId="783896F9" w14:textId="77777777" w:rsidR="0095621A" w:rsidRPr="006A120F" w:rsidRDefault="0095621A" w:rsidP="00B7491C">
      <w:pPr>
        <w:pStyle w:val="Notedebasdepag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B098D" w14:textId="7D77CF98" w:rsidR="0095621A" w:rsidRPr="00242051" w:rsidRDefault="0095621A" w:rsidP="000B1E0F">
    <w:pPr>
      <w:pStyle w:val="En-tte"/>
      <w:rPr>
        <w:b/>
        <w:bCs/>
        <w:color w:val="3B3838" w:themeColor="background2" w:themeShade="40"/>
        <w:sz w:val="22"/>
      </w:rPr>
    </w:pPr>
    <w:r w:rsidRPr="00242051">
      <w:rPr>
        <w:b/>
        <w:bCs/>
        <w:color w:val="3B3838" w:themeColor="background2" w:themeShade="40"/>
        <w:sz w:val="22"/>
      </w:rPr>
      <w:t xml:space="preserve">Introduction Générale </w:t>
    </w:r>
  </w:p>
  <w:p w14:paraId="774975C0" w14:textId="7C1E0B7D" w:rsidR="0095621A" w:rsidRDefault="0095621A" w:rsidP="00B7491C">
    <w:pPr>
      <w:pStyle w:val="En-tte"/>
      <w:tabs>
        <w:tab w:val="clear" w:pos="4536"/>
        <w:tab w:val="clear" w:pos="9072"/>
        <w:tab w:val="left" w:pos="2415"/>
      </w:tabs>
    </w:pPr>
    <w:r>
      <w:rPr>
        <w:noProof/>
        <w:sz w:val="20"/>
        <w:lang w:eastAsia="fr-FR"/>
      </w:rPr>
      <mc:AlternateContent>
        <mc:Choice Requires="wpg">
          <w:drawing>
            <wp:anchor distT="0" distB="0" distL="0" distR="0" simplePos="0" relativeHeight="251661312" behindDoc="1" locked="0" layoutInCell="1" allowOverlap="1" wp14:anchorId="27ABC6AD" wp14:editId="03F1B5E4">
              <wp:simplePos x="0" y="0"/>
              <wp:positionH relativeFrom="page">
                <wp:posOffset>899795</wp:posOffset>
              </wp:positionH>
              <wp:positionV relativeFrom="page">
                <wp:posOffset>609600</wp:posOffset>
              </wp:positionV>
              <wp:extent cx="5798185" cy="74930"/>
              <wp:effectExtent l="0" t="0" r="0" b="0"/>
              <wp:wrapNone/>
              <wp:docPr id="12338105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74930"/>
                        <a:chOff x="0" y="0"/>
                        <a:chExt cx="5798185" cy="74930"/>
                      </a:xfrm>
                    </wpg:grpSpPr>
                    <wps:wsp>
                      <wps:cNvPr id="123381057" name="Graphic 47"/>
                      <wps:cNvSpPr/>
                      <wps:spPr>
                        <a:xfrm>
                          <a:off x="0" y="56388"/>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C0C0C0"/>
                        </a:solidFill>
                      </wps:spPr>
                      <wps:bodyPr wrap="square" lIns="0" tIns="0" rIns="0" bIns="0" rtlCol="0">
                        <a:prstTxWarp prst="textNoShape">
                          <a:avLst/>
                        </a:prstTxWarp>
                        <a:noAutofit/>
                      </wps:bodyPr>
                    </wps:wsp>
                    <wps:wsp>
                      <wps:cNvPr id="123381058" name="Graphic 48"/>
                      <wps:cNvSpPr/>
                      <wps:spPr>
                        <a:xfrm>
                          <a:off x="0" y="18288"/>
                          <a:ext cx="5798185" cy="38100"/>
                        </a:xfrm>
                        <a:custGeom>
                          <a:avLst/>
                          <a:gdLst/>
                          <a:ahLst/>
                          <a:cxnLst/>
                          <a:rect l="l" t="t" r="r" b="b"/>
                          <a:pathLst>
                            <a:path w="5798185" h="38100">
                              <a:moveTo>
                                <a:pt x="5798184" y="0"/>
                              </a:moveTo>
                              <a:lnTo>
                                <a:pt x="0" y="0"/>
                              </a:lnTo>
                              <a:lnTo>
                                <a:pt x="0" y="38100"/>
                              </a:lnTo>
                              <a:lnTo>
                                <a:pt x="5798184" y="38100"/>
                              </a:lnTo>
                              <a:lnTo>
                                <a:pt x="5798184" y="0"/>
                              </a:lnTo>
                              <a:close/>
                            </a:path>
                          </a:pathLst>
                        </a:custGeom>
                        <a:solidFill>
                          <a:srgbClr val="5F5F5F"/>
                        </a:solidFill>
                      </wps:spPr>
                      <wps:bodyPr wrap="square" lIns="0" tIns="0" rIns="0" bIns="0" rtlCol="0">
                        <a:prstTxWarp prst="textNoShape">
                          <a:avLst/>
                        </a:prstTxWarp>
                        <a:noAutofit/>
                      </wps:bodyPr>
                    </wps:wsp>
                    <wps:wsp>
                      <wps:cNvPr id="123381059" name="Graphic 49"/>
                      <wps:cNvSpPr/>
                      <wps:spPr>
                        <a:xfrm>
                          <a:off x="0" y="0"/>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B3B62F9" id="Group 46" o:spid="_x0000_s1026" style="position:absolute;margin-left:70.85pt;margin-top:48pt;width:456.55pt;height:5.9pt;z-index:-251655168;mso-wrap-distance-left:0;mso-wrap-distance-right:0;mso-position-horizontal-relative:page;mso-position-vertical-relative:page" coordsize="57981,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">
              <v:shape id="Graphic 47" o:spid="_x0000_s1027" style="position:absolute;top:563;width:57981;height:185;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" path="m5798184,l,,,18288r5798184,l5798184,xe" fillcolor="silver" stroked="f">
                <v:path arrowok="t"/>
              </v:shape>
              <v:shape id="Graphic 48" o:spid="_x0000_s1028" style="position:absolute;top:182;width:57981;height:381;visibility:visible;mso-wrap-style:square;v-text-anchor:top" coordsize="579818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" path="m5798184,l,,,38100r5798184,l5798184,xe" fillcolor="#5f5f5f" stroked="f">
                <v:path arrowok="t"/>
              </v:shape>
              <v:shape id="Graphic 49" o:spid="_x0000_s1029" style="position:absolute;width:57981;height:184;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" path="m5798184,l,,,18288r5798184,l5798184,xe" fillcolor="black" stroked="f">
                <v:path arrowok="t"/>
              </v:shape>
              <w10:wrap anchorx="page" anchory="page"/>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AD2D3" w14:textId="77777777" w:rsidR="0095621A" w:rsidRPr="00242051" w:rsidRDefault="0095621A" w:rsidP="00EC6BD4">
    <w:pPr>
      <w:pStyle w:val="Sansinterligne"/>
    </w:pPr>
    <w:r w:rsidRPr="00242051">
      <w:ptab w:relativeTo="margin" w:alignment="right" w:leader="none"/>
    </w:r>
    <w:r w:rsidRPr="00242051">
      <w:rPr>
        <w:sz w:val="32"/>
        <w:szCs w:val="28"/>
      </w:rPr>
      <w:t xml:space="preserve"> </w:t>
    </w:r>
    <w:r w:rsidRPr="00242051">
      <w:rPr>
        <w:i/>
        <w:iCs/>
      </w:rPr>
      <w:t>Chapitre 1 :</w:t>
    </w:r>
    <w:r w:rsidRPr="00242051">
      <w:t xml:space="preserve"> Les Systèmes d'Information en Santé et leur Rôle dans le Financement des Établissements de Santé</w:t>
    </w:r>
  </w:p>
  <w:p w14:paraId="412D36DB" w14:textId="7E9E438D" w:rsidR="0095621A" w:rsidRPr="00767F4E" w:rsidRDefault="0095621A" w:rsidP="00347B09">
    <w:pPr>
      <w:pStyle w:val="En-tte"/>
      <w:rPr>
        <w:color w:val="3B3838" w:themeColor="background2" w:themeShade="40"/>
        <w:sz w:val="20"/>
        <w:szCs w:val="20"/>
      </w:rPr>
    </w:pPr>
    <w:r>
      <w:rPr>
        <w:color w:val="3B3838" w:themeColor="background2" w:themeShade="40"/>
        <w:sz w:val="20"/>
        <w:szCs w:val="20"/>
      </w:rPr>
      <w:ptab w:relativeTo="margin" w:alignment="center" w:leader="underscore"/>
    </w:r>
  </w:p>
  <w:p w14:paraId="6E0BB3F9" w14:textId="07F6C677" w:rsidR="0095621A" w:rsidRPr="00347B09" w:rsidRDefault="0095621A" w:rsidP="00347B09">
    <w:pPr>
      <w:pStyle w:val="En-tte"/>
      <w:rPr>
        <w:color w:val="AEAAAA" w:themeColor="background2" w:themeShade="BF"/>
        <w:sz w:val="20"/>
        <w:szCs w:val="20"/>
      </w:rPr>
    </w:pPr>
    <w:r>
      <w:rPr>
        <w:color w:val="767171" w:themeColor="background2" w:themeShade="80"/>
        <w:sz w:val="20"/>
        <w:szCs w:val="20"/>
      </w:rPr>
      <w:ptab w:relativeTo="margin" w:alignment="left" w:leader="hyphen"/>
    </w:r>
    <w:r>
      <w:rPr>
        <w:color w:val="767171" w:themeColor="background2" w:themeShade="80"/>
        <w:sz w:val="20"/>
        <w:szCs w:val="20"/>
      </w:rPr>
      <w:ptab w:relativeTo="margin" w:alignment="left" w:leader="hyphen"/>
    </w:r>
    <w:r>
      <w:rPr>
        <w:color w:val="767171" w:themeColor="background2" w:themeShade="80"/>
        <w:sz w:val="20"/>
        <w:szCs w:val="20"/>
      </w:rPr>
      <w:ptab w:relativeTo="indent" w:alignment="left" w:leader="hyphen"/>
    </w:r>
    <w:r>
      <w:rPr>
        <w:noProof/>
        <w:sz w:val="20"/>
        <w:lang w:eastAsia="fr-FR"/>
      </w:rPr>
      <mc:AlternateContent>
        <mc:Choice Requires="wpg">
          <w:drawing>
            <wp:anchor distT="0" distB="0" distL="0" distR="0" simplePos="0" relativeHeight="251663360" behindDoc="1" locked="0" layoutInCell="1" allowOverlap="1" wp14:anchorId="21286F71" wp14:editId="2747FBF9">
              <wp:simplePos x="0" y="0"/>
              <wp:positionH relativeFrom="page">
                <wp:posOffset>899795</wp:posOffset>
              </wp:positionH>
              <wp:positionV relativeFrom="page">
                <wp:posOffset>945515</wp:posOffset>
              </wp:positionV>
              <wp:extent cx="5798185" cy="74930"/>
              <wp:effectExtent l="0" t="0" r="0" b="0"/>
              <wp:wrapNone/>
              <wp:docPr id="12338106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74930"/>
                        <a:chOff x="0" y="0"/>
                        <a:chExt cx="5798185" cy="74930"/>
                      </a:xfrm>
                    </wpg:grpSpPr>
                    <wps:wsp>
                      <wps:cNvPr id="123381061" name="Graphic 47"/>
                      <wps:cNvSpPr/>
                      <wps:spPr>
                        <a:xfrm>
                          <a:off x="0" y="56388"/>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C0C0C0"/>
                        </a:solidFill>
                      </wps:spPr>
                      <wps:bodyPr wrap="square" lIns="0" tIns="0" rIns="0" bIns="0" rtlCol="0">
                        <a:prstTxWarp prst="textNoShape">
                          <a:avLst/>
                        </a:prstTxWarp>
                        <a:noAutofit/>
                      </wps:bodyPr>
                    </wps:wsp>
                    <wps:wsp>
                      <wps:cNvPr id="123381062" name="Graphic 48"/>
                      <wps:cNvSpPr/>
                      <wps:spPr>
                        <a:xfrm>
                          <a:off x="0" y="18288"/>
                          <a:ext cx="5798185" cy="38100"/>
                        </a:xfrm>
                        <a:custGeom>
                          <a:avLst/>
                          <a:gdLst/>
                          <a:ahLst/>
                          <a:cxnLst/>
                          <a:rect l="l" t="t" r="r" b="b"/>
                          <a:pathLst>
                            <a:path w="5798185" h="38100">
                              <a:moveTo>
                                <a:pt x="5798184" y="0"/>
                              </a:moveTo>
                              <a:lnTo>
                                <a:pt x="0" y="0"/>
                              </a:lnTo>
                              <a:lnTo>
                                <a:pt x="0" y="38100"/>
                              </a:lnTo>
                              <a:lnTo>
                                <a:pt x="5798184" y="38100"/>
                              </a:lnTo>
                              <a:lnTo>
                                <a:pt x="5798184" y="0"/>
                              </a:lnTo>
                              <a:close/>
                            </a:path>
                          </a:pathLst>
                        </a:custGeom>
                        <a:solidFill>
                          <a:srgbClr val="5F5F5F"/>
                        </a:solidFill>
                      </wps:spPr>
                      <wps:bodyPr wrap="square" lIns="0" tIns="0" rIns="0" bIns="0" rtlCol="0">
                        <a:prstTxWarp prst="textNoShape">
                          <a:avLst/>
                        </a:prstTxWarp>
                        <a:noAutofit/>
                      </wps:bodyPr>
                    </wps:wsp>
                    <wps:wsp>
                      <wps:cNvPr id="123381063" name="Graphic 49"/>
                      <wps:cNvSpPr/>
                      <wps:spPr>
                        <a:xfrm>
                          <a:off x="0" y="0"/>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76CDC36" id="Group 46" o:spid="_x0000_s1026" style="position:absolute;margin-left:70.85pt;margin-top:74.45pt;width:456.55pt;height:5.9pt;z-index:-251653120;mso-wrap-distance-left:0;mso-wrap-distance-right:0;mso-position-horizontal-relative:page;mso-position-vertical-relative:page" coordsize="57981,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">
              <v:shape id="Graphic 47" o:spid="_x0000_s1027" style="position:absolute;top:563;width:57981;height:185;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" path="m5798184,l,,,18288r5798184,l5798184,xe" fillcolor="silver" stroked="f">
                <v:path arrowok="t"/>
              </v:shape>
              <v:shape id="Graphic 48" o:spid="_x0000_s1028" style="position:absolute;top:182;width:57981;height:381;visibility:visible;mso-wrap-style:square;v-text-anchor:top" coordsize="579818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" path="m5798184,l,,,38100r5798184,l5798184,xe" fillcolor="#5f5f5f" stroked="f">
                <v:path arrowok="t"/>
              </v:shape>
              <v:shape id="Graphic 49" o:spid="_x0000_s1029" style="position:absolute;width:57981;height:184;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" path="m5798184,l,,,18288r5798184,l5798184,xe" fillcolor="black" stroked="f">
                <v:path arrowok="t"/>
              </v:shape>
              <w10:wrap anchorx="page" anchory="page"/>
            </v:group>
          </w:pict>
        </mc:Fallback>
      </mc:AlternateContent>
    </w:r>
    <w:r>
      <w:rPr>
        <w:color w:val="767171" w:themeColor="background2" w:themeShade="80"/>
        <w:sz w:val="20"/>
        <w:szCs w:val="20"/>
      </w:rPr>
      <w:ptab w:relativeTo="margin" w:alignment="center" w:leader="middleDot"/>
    </w:r>
    <w:r>
      <w:rPr>
        <w:color w:val="767171" w:themeColor="background2" w:themeShade="80"/>
        <w:sz w:val="20"/>
        <w:szCs w:val="20"/>
      </w:rPr>
      <w:ptab w:relativeTo="margin" w:alignment="center" w:leader="hyphen"/>
    </w:r>
    <w:r>
      <w:rPr>
        <w:color w:val="767171" w:themeColor="background2" w:themeShade="80"/>
        <w:sz w:val="20"/>
        <w:szCs w:val="20"/>
      </w:rPr>
      <w:ptab w:relativeTo="margin" w:alignment="left" w:leader="none"/>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352C4" w14:textId="2BC4D63D" w:rsidR="0095621A" w:rsidRDefault="0095621A" w:rsidP="00EC6BD4">
    <w:pPr>
      <w:pStyle w:val="Sansinterligne"/>
    </w:pPr>
    <w:r w:rsidRPr="00242051">
      <w:rPr>
        <w:color w:val="AEAAAA" w:themeColor="background2" w:themeShade="BF"/>
      </w:rPr>
      <w:ptab w:relativeTo="margin" w:alignment="right" w:leader="none"/>
    </w:r>
    <w:r w:rsidRPr="00242051">
      <w:t xml:space="preserve"> </w:t>
    </w:r>
    <w:r>
      <w:rPr>
        <w:i/>
        <w:iCs/>
      </w:rPr>
      <w:t xml:space="preserve">Chapitre 2 : </w:t>
    </w:r>
    <w:r w:rsidRPr="00242051">
      <w:t>Les Modes de Financement des Établissements Hospitaliers : Approche Algérienne et Perspectives Internationales</w:t>
    </w:r>
  </w:p>
  <w:p w14:paraId="395B999C" w14:textId="6C577C38" w:rsidR="0095621A" w:rsidRPr="00242051" w:rsidRDefault="0095621A" w:rsidP="00242051">
    <w:pPr>
      <w:pStyle w:val="En-tte"/>
      <w:rPr>
        <w:b/>
        <w:bCs/>
        <w:color w:val="3B3838" w:themeColor="background2" w:themeShade="40"/>
        <w:szCs w:val="24"/>
      </w:rPr>
    </w:pPr>
    <w:r>
      <w:rPr>
        <w:noProof/>
        <w:sz w:val="20"/>
        <w:lang w:eastAsia="fr-FR"/>
      </w:rPr>
      <mc:AlternateContent>
        <mc:Choice Requires="wpg">
          <w:drawing>
            <wp:anchor distT="0" distB="0" distL="0" distR="0" simplePos="0" relativeHeight="251665408" behindDoc="1" locked="0" layoutInCell="1" allowOverlap="1" wp14:anchorId="7290E1D5" wp14:editId="4FFC095A">
              <wp:simplePos x="0" y="0"/>
              <wp:positionH relativeFrom="margin">
                <wp:align>left</wp:align>
              </wp:positionH>
              <wp:positionV relativeFrom="margin">
                <wp:posOffset>-400050</wp:posOffset>
              </wp:positionV>
              <wp:extent cx="5798185" cy="74930"/>
              <wp:effectExtent l="0" t="0" r="0" b="1270"/>
              <wp:wrapNone/>
              <wp:docPr id="123381068"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74930"/>
                        <a:chOff x="0" y="0"/>
                        <a:chExt cx="5798185" cy="74803"/>
                      </a:xfrm>
                    </wpg:grpSpPr>
                    <wps:wsp>
                      <wps:cNvPr id="123381069" name="Graphic 47"/>
                      <wps:cNvSpPr/>
                      <wps:spPr>
                        <a:xfrm>
                          <a:off x="0" y="56388"/>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C0C0C0"/>
                        </a:solidFill>
                      </wps:spPr>
                      <wps:bodyPr wrap="square" lIns="0" tIns="0" rIns="0" bIns="0" rtlCol="0">
                        <a:prstTxWarp prst="textNoShape">
                          <a:avLst/>
                        </a:prstTxWarp>
                        <a:noAutofit/>
                      </wps:bodyPr>
                    </wps:wsp>
                    <wps:wsp>
                      <wps:cNvPr id="123381070" name="Graphic 48"/>
                      <wps:cNvSpPr/>
                      <wps:spPr>
                        <a:xfrm>
                          <a:off x="0" y="18288"/>
                          <a:ext cx="5798185" cy="38100"/>
                        </a:xfrm>
                        <a:custGeom>
                          <a:avLst/>
                          <a:gdLst/>
                          <a:ahLst/>
                          <a:cxnLst/>
                          <a:rect l="l" t="t" r="r" b="b"/>
                          <a:pathLst>
                            <a:path w="5798185" h="38100">
                              <a:moveTo>
                                <a:pt x="5798184" y="0"/>
                              </a:moveTo>
                              <a:lnTo>
                                <a:pt x="0" y="0"/>
                              </a:lnTo>
                              <a:lnTo>
                                <a:pt x="0" y="38100"/>
                              </a:lnTo>
                              <a:lnTo>
                                <a:pt x="5798184" y="38100"/>
                              </a:lnTo>
                              <a:lnTo>
                                <a:pt x="5798184" y="0"/>
                              </a:lnTo>
                              <a:close/>
                            </a:path>
                          </a:pathLst>
                        </a:custGeom>
                        <a:solidFill>
                          <a:srgbClr val="5F5F5F"/>
                        </a:solidFill>
                      </wps:spPr>
                      <wps:bodyPr wrap="square" lIns="0" tIns="0" rIns="0" bIns="0" rtlCol="0">
                        <a:prstTxWarp prst="textNoShape">
                          <a:avLst/>
                        </a:prstTxWarp>
                        <a:noAutofit/>
                      </wps:bodyPr>
                    </wps:wsp>
                    <wps:wsp>
                      <wps:cNvPr id="123381071" name="Graphic 49"/>
                      <wps:cNvSpPr/>
                      <wps:spPr>
                        <a:xfrm>
                          <a:off x="0" y="0"/>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000000"/>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608CEA5" id="Group 46" o:spid="_x0000_s1026" style="position:absolute;margin-left:0;margin-top:-31.5pt;width:456.55pt;height:5.9pt;z-index:-251651072;mso-wrap-distance-left:0;mso-wrap-distance-right:0;mso-position-horizontal:left;mso-position-horizontal-relative:margin;mso-position-vertical-relative:margin;mso-width-relative:margin;mso-height-relative:margin" coordsize="57981,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">
              <v:shape id="Graphic 47" o:spid="_x0000_s1027" style="position:absolute;top:563;width:57981;height:185;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" path="m5798184,l,,,18288r5798184,l5798184,xe" fillcolor="silver" stroked="f">
                <v:path arrowok="t"/>
              </v:shape>
              <v:shape id="Graphic 48" o:spid="_x0000_s1028" style="position:absolute;top:182;width:57981;height:381;visibility:visible;mso-wrap-style:square;v-text-anchor:top" coordsize="579818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" path="m5798184,l,,,38100r5798184,l5798184,xe" fillcolor="#5f5f5f" stroked="f">
                <v:path arrowok="t"/>
              </v:shape>
              <v:shape id="Graphic 49" o:spid="_x0000_s1029" style="position:absolute;width:57981;height:184;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" path="m5798184,l,,,18288r5798184,l5798184,xe" fillcolor="black" stroked="f">
                <v:path arrowok="t"/>
              </v:shape>
              <w10:wrap anchorx="margin" anchory="margin"/>
            </v:group>
          </w:pict>
        </mc:Fallback>
      </mc:AlternateContent>
    </w:r>
  </w:p>
  <w:p w14:paraId="7AEC6282" w14:textId="440AC5EA" w:rsidR="0095621A" w:rsidRDefault="0095621A"/>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387F1" w14:textId="77777777" w:rsidR="0095621A" w:rsidRPr="005C3BEE" w:rsidRDefault="0095621A" w:rsidP="005C3BEE">
    <w:pPr>
      <w:pStyle w:val="En-tte"/>
    </w:pPr>
    <w:r w:rsidRPr="005C3BEE">
      <w:rPr>
        <w:b/>
        <w:i/>
        <w:iCs/>
      </w:rPr>
      <w:t>Chapitre 03 :</w:t>
    </w:r>
    <w:r w:rsidRPr="005C3BEE">
      <w:rPr>
        <w:b/>
      </w:rPr>
      <w:t xml:space="preserve"> Étude empirique sur le rôle des systèmes d'information dans le financement hospitalier : cas de l’EPH Bouzidi Lakhdar de Bordj Bou Arreridj et de la Direction Générale de la Caisse Nationale des Assurances Sociales des Travailleurs Salariés (CNAS), Alger</w:t>
    </w:r>
  </w:p>
  <w:p w14:paraId="04BC8FCA" w14:textId="7DA358BB" w:rsidR="0095621A" w:rsidRPr="00EC079D" w:rsidRDefault="0095621A" w:rsidP="00347B09">
    <w:pPr>
      <w:pStyle w:val="En-tte"/>
      <w:rPr>
        <w:color w:val="3B3838" w:themeColor="background2" w:themeShade="40"/>
        <w:sz w:val="20"/>
        <w:szCs w:val="20"/>
      </w:rPr>
    </w:pPr>
    <w:r>
      <w:rPr>
        <w:noProof/>
        <w:sz w:val="20"/>
        <w:lang w:eastAsia="fr-FR"/>
      </w:rPr>
      <mc:AlternateContent>
        <mc:Choice Requires="wpg">
          <w:drawing>
            <wp:anchor distT="0" distB="0" distL="0" distR="0" simplePos="0" relativeHeight="251667456" behindDoc="1" locked="0" layoutInCell="1" allowOverlap="1" wp14:anchorId="46BCA741" wp14:editId="4C2F9349">
              <wp:simplePos x="0" y="0"/>
              <wp:positionH relativeFrom="margin">
                <wp:align>right</wp:align>
              </wp:positionH>
              <wp:positionV relativeFrom="topMargin">
                <wp:align>bottom</wp:align>
              </wp:positionV>
              <wp:extent cx="5798185" cy="74930"/>
              <wp:effectExtent l="0" t="0" r="0" b="1270"/>
              <wp:wrapNone/>
              <wp:docPr id="123381072"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74930"/>
                        <a:chOff x="0" y="0"/>
                        <a:chExt cx="5798185" cy="74803"/>
                      </a:xfrm>
                    </wpg:grpSpPr>
                    <wps:wsp>
                      <wps:cNvPr id="123381073" name="Graphic 47"/>
                      <wps:cNvSpPr/>
                      <wps:spPr>
                        <a:xfrm>
                          <a:off x="0" y="56388"/>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C0C0C0"/>
                        </a:solidFill>
                      </wps:spPr>
                      <wps:bodyPr wrap="square" lIns="0" tIns="0" rIns="0" bIns="0" rtlCol="0">
                        <a:prstTxWarp prst="textNoShape">
                          <a:avLst/>
                        </a:prstTxWarp>
                        <a:noAutofit/>
                      </wps:bodyPr>
                    </wps:wsp>
                    <wps:wsp>
                      <wps:cNvPr id="123381074" name="Graphic 48"/>
                      <wps:cNvSpPr/>
                      <wps:spPr>
                        <a:xfrm>
                          <a:off x="0" y="18288"/>
                          <a:ext cx="5798185" cy="38100"/>
                        </a:xfrm>
                        <a:custGeom>
                          <a:avLst/>
                          <a:gdLst/>
                          <a:ahLst/>
                          <a:cxnLst/>
                          <a:rect l="l" t="t" r="r" b="b"/>
                          <a:pathLst>
                            <a:path w="5798185" h="38100">
                              <a:moveTo>
                                <a:pt x="5798184" y="0"/>
                              </a:moveTo>
                              <a:lnTo>
                                <a:pt x="0" y="0"/>
                              </a:lnTo>
                              <a:lnTo>
                                <a:pt x="0" y="38100"/>
                              </a:lnTo>
                              <a:lnTo>
                                <a:pt x="5798184" y="38100"/>
                              </a:lnTo>
                              <a:lnTo>
                                <a:pt x="5798184" y="0"/>
                              </a:lnTo>
                              <a:close/>
                            </a:path>
                          </a:pathLst>
                        </a:custGeom>
                        <a:solidFill>
                          <a:srgbClr val="5F5F5F"/>
                        </a:solidFill>
                      </wps:spPr>
                      <wps:bodyPr wrap="square" lIns="0" tIns="0" rIns="0" bIns="0" rtlCol="0">
                        <a:prstTxWarp prst="textNoShape">
                          <a:avLst/>
                        </a:prstTxWarp>
                        <a:noAutofit/>
                      </wps:bodyPr>
                    </wps:wsp>
                    <wps:wsp>
                      <wps:cNvPr id="123381075" name="Graphic 49"/>
                      <wps:cNvSpPr/>
                      <wps:spPr>
                        <a:xfrm>
                          <a:off x="0" y="0"/>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000000"/>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CDA8D66" id="Group 46" o:spid="_x0000_s1026" style="position:absolute;margin-left:405.35pt;margin-top:0;width:456.55pt;height:5.9pt;z-index:-251649024;mso-wrap-distance-left:0;mso-wrap-distance-right:0;mso-position-horizontal:right;mso-position-horizontal-relative:margin;mso-position-vertical:bottom;mso-position-vertical-relative:top-margin-area;mso-width-relative:margin;mso-height-relative:margin" coordsize="57981,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">
              <v:shape id="Graphic 47" o:spid="_x0000_s1027" style="position:absolute;top:563;width:57981;height:185;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" path="m5798184,l,,,18288r5798184,l5798184,xe" fillcolor="silver" stroked="f">
                <v:path arrowok="t"/>
              </v:shape>
              <v:shape id="Graphic 48" o:spid="_x0000_s1028" style="position:absolute;top:182;width:57981;height:381;visibility:visible;mso-wrap-style:square;v-text-anchor:top" coordsize="579818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" path="m5798184,l,,,38100r5798184,l5798184,xe" fillcolor="#5f5f5f" stroked="f">
                <v:path arrowok="t"/>
              </v:shape>
              <v:shape id="Graphic 49" o:spid="_x0000_s1029" style="position:absolute;width:57981;height:184;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" path="m5798184,l,,,18288r5798184,l5798184,xe" fillcolor="black" stroked="f">
                <v:path arrowok="t"/>
              </v:shape>
              <w10:wrap anchorx="margin" anchory="margin"/>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00131" w14:textId="6461BAD3" w:rsidR="0095621A" w:rsidRDefault="0095621A" w:rsidP="00315D77">
    <w:pPr>
      <w:pStyle w:val="En-tte"/>
      <w:rPr>
        <w:b/>
        <w:bCs/>
        <w:color w:val="3B3838" w:themeColor="background2" w:themeShade="40"/>
        <w:sz w:val="20"/>
        <w:szCs w:val="20"/>
        <w:lang w:val="en-US"/>
      </w:rPr>
    </w:pPr>
    <w:r>
      <w:rPr>
        <w:b/>
        <w:bCs/>
        <w:color w:val="3B3838" w:themeColor="background2" w:themeShade="40"/>
        <w:sz w:val="20"/>
        <w:szCs w:val="20"/>
        <w:lang w:val="en-US"/>
      </w:rPr>
      <w:t xml:space="preserve">Conclusion </w:t>
    </w:r>
    <w:proofErr w:type="spellStart"/>
    <w:r>
      <w:rPr>
        <w:b/>
        <w:bCs/>
        <w:color w:val="3B3838" w:themeColor="background2" w:themeShade="40"/>
        <w:sz w:val="20"/>
        <w:szCs w:val="20"/>
        <w:lang w:val="en-US"/>
      </w:rPr>
      <w:t>Géné</w:t>
    </w:r>
    <w:r w:rsidRPr="00315D77">
      <w:rPr>
        <w:b/>
        <w:bCs/>
        <w:color w:val="3B3838" w:themeColor="background2" w:themeShade="40"/>
        <w:sz w:val="20"/>
        <w:szCs w:val="20"/>
        <w:lang w:val="en-US"/>
      </w:rPr>
      <w:t>rale</w:t>
    </w:r>
    <w:proofErr w:type="spellEnd"/>
  </w:p>
  <w:p w14:paraId="160B198D" w14:textId="6D21880D" w:rsidR="0095621A" w:rsidRPr="00315D77" w:rsidRDefault="0095621A" w:rsidP="00315D77">
    <w:pPr>
      <w:pStyle w:val="En-tte"/>
      <w:rPr>
        <w:b/>
        <w:bCs/>
        <w:color w:val="3B3838" w:themeColor="background2" w:themeShade="40"/>
        <w:sz w:val="20"/>
        <w:szCs w:val="20"/>
        <w:lang w:val="en-US"/>
      </w:rPr>
    </w:pPr>
    <w:r w:rsidRPr="00315D77">
      <w:rPr>
        <w:b/>
        <w:bCs/>
        <w:color w:val="3B3838" w:themeColor="background2" w:themeShade="40"/>
        <w:sz w:val="20"/>
        <w:szCs w:val="20"/>
        <w:lang w:val="en-US"/>
      </w:rPr>
      <w:t xml:space="preserve"> </w:t>
    </w:r>
    <w:r>
      <w:rPr>
        <w:noProof/>
        <w:sz w:val="20"/>
        <w:lang w:eastAsia="fr-FR"/>
      </w:rPr>
      <mc:AlternateContent>
        <mc:Choice Requires="wpg">
          <w:drawing>
            <wp:anchor distT="0" distB="0" distL="0" distR="0" simplePos="0" relativeHeight="251669504" behindDoc="1" locked="0" layoutInCell="1" allowOverlap="1" wp14:anchorId="5ADFCD50" wp14:editId="56D45A8A">
              <wp:simplePos x="0" y="0"/>
              <wp:positionH relativeFrom="page">
                <wp:posOffset>720090</wp:posOffset>
              </wp:positionH>
              <wp:positionV relativeFrom="page">
                <wp:posOffset>361315</wp:posOffset>
              </wp:positionV>
              <wp:extent cx="5798185" cy="74930"/>
              <wp:effectExtent l="0" t="0" r="0" b="0"/>
              <wp:wrapNone/>
              <wp:docPr id="123381064"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74930"/>
                        <a:chOff x="0" y="0"/>
                        <a:chExt cx="5798185" cy="74930"/>
                      </a:xfrm>
                    </wpg:grpSpPr>
                    <wps:wsp>
                      <wps:cNvPr id="123381065" name="Graphic 47"/>
                      <wps:cNvSpPr/>
                      <wps:spPr>
                        <a:xfrm>
                          <a:off x="0" y="56388"/>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C0C0C0"/>
                        </a:solidFill>
                      </wps:spPr>
                      <wps:bodyPr wrap="square" lIns="0" tIns="0" rIns="0" bIns="0" rtlCol="0">
                        <a:prstTxWarp prst="textNoShape">
                          <a:avLst/>
                        </a:prstTxWarp>
                        <a:noAutofit/>
                      </wps:bodyPr>
                    </wps:wsp>
                    <wps:wsp>
                      <wps:cNvPr id="123381066" name="Graphic 48"/>
                      <wps:cNvSpPr/>
                      <wps:spPr>
                        <a:xfrm>
                          <a:off x="0" y="18288"/>
                          <a:ext cx="5798185" cy="38100"/>
                        </a:xfrm>
                        <a:custGeom>
                          <a:avLst/>
                          <a:gdLst/>
                          <a:ahLst/>
                          <a:cxnLst/>
                          <a:rect l="l" t="t" r="r" b="b"/>
                          <a:pathLst>
                            <a:path w="5798185" h="38100">
                              <a:moveTo>
                                <a:pt x="5798184" y="0"/>
                              </a:moveTo>
                              <a:lnTo>
                                <a:pt x="0" y="0"/>
                              </a:lnTo>
                              <a:lnTo>
                                <a:pt x="0" y="38100"/>
                              </a:lnTo>
                              <a:lnTo>
                                <a:pt x="5798184" y="38100"/>
                              </a:lnTo>
                              <a:lnTo>
                                <a:pt x="5798184" y="0"/>
                              </a:lnTo>
                              <a:close/>
                            </a:path>
                          </a:pathLst>
                        </a:custGeom>
                        <a:solidFill>
                          <a:srgbClr val="5F5F5F"/>
                        </a:solidFill>
                      </wps:spPr>
                      <wps:bodyPr wrap="square" lIns="0" tIns="0" rIns="0" bIns="0" rtlCol="0">
                        <a:prstTxWarp prst="textNoShape">
                          <a:avLst/>
                        </a:prstTxWarp>
                        <a:noAutofit/>
                      </wps:bodyPr>
                    </wps:wsp>
                    <wps:wsp>
                      <wps:cNvPr id="123381067" name="Graphic 49"/>
                      <wps:cNvSpPr/>
                      <wps:spPr>
                        <a:xfrm>
                          <a:off x="0" y="0"/>
                          <a:ext cx="5798185" cy="18415"/>
                        </a:xfrm>
                        <a:custGeom>
                          <a:avLst/>
                          <a:gdLst/>
                          <a:ahLst/>
                          <a:cxnLst/>
                          <a:rect l="l" t="t" r="r" b="b"/>
                          <a:pathLst>
                            <a:path w="5798185" h="18415">
                              <a:moveTo>
                                <a:pt x="5798184" y="0"/>
                              </a:moveTo>
                              <a:lnTo>
                                <a:pt x="0" y="0"/>
                              </a:lnTo>
                              <a:lnTo>
                                <a:pt x="0" y="18288"/>
                              </a:lnTo>
                              <a:lnTo>
                                <a:pt x="5798184" y="18288"/>
                              </a:lnTo>
                              <a:lnTo>
                                <a:pt x="57981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2D3B593" id="Group 46" o:spid="_x0000_s1026" style="position:absolute;margin-left:56.7pt;margin-top:28.45pt;width:456.55pt;height:5.9pt;z-index:-251646976;mso-wrap-distance-left:0;mso-wrap-distance-right:0;mso-position-horizontal-relative:page;mso-position-vertical-relative:page" coordsize="57981,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">
              <v:shape id="Graphic 47" o:spid="_x0000_s1027" style="position:absolute;top:563;width:57981;height:185;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" path="m5798184,l,,,18288r5798184,l5798184,xe" fillcolor="silver" stroked="f">
                <v:path arrowok="t"/>
              </v:shape>
              <v:shape id="Graphic 48" o:spid="_x0000_s1028" style="position:absolute;top:182;width:57981;height:381;visibility:visible;mso-wrap-style:square;v-text-anchor:top" coordsize="579818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" path="m5798184,l,,,38100r5798184,l5798184,xe" fillcolor="#5f5f5f" stroked="f">
                <v:path arrowok="t"/>
              </v:shape>
              <v:shape id="Graphic 49" o:spid="_x0000_s1029" style="position:absolute;width:57981;height:184;visibility:visible;mso-wrap-style:square;v-text-anchor:top" coordsize="579818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" path="m5798184,l,,,18288r5798184,l5798184,xe" fillcolor="black" stroked="f">
                <v:path arrowok="t"/>
              </v:shape>
              <w10:wrap anchorx="page" anchory="page"/>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2B7E2" w14:textId="59BA0A58" w:rsidR="0095621A" w:rsidRPr="00026526" w:rsidRDefault="0095621A" w:rsidP="00026526">
    <w:pPr>
      <w:pStyle w:val="En-tte"/>
      <w:jc w:val="right"/>
      <w:rPr>
        <w:color w:val="AEAAAA" w:themeColor="background2" w:themeShade="BF"/>
        <w:sz w:val="20"/>
        <w:szCs w:val="20"/>
        <w:lang w:val="en-US"/>
      </w:rPr>
    </w:pPr>
    <w:r>
      <w:rPr>
        <w:color w:val="AEAAAA" w:themeColor="background2" w:themeShade="BF"/>
        <w:sz w:val="20"/>
        <w:szCs w:val="20"/>
        <w:lang w:val="en-US"/>
      </w:rPr>
      <w:t xml:space="preserve"> </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3FFCA" w14:textId="2AD8B663" w:rsidR="0095621A" w:rsidRPr="009D5730" w:rsidRDefault="0095621A" w:rsidP="009D5730">
    <w:pPr>
      <w:pStyle w:val="En-t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85FF6"/>
    <w:multiLevelType w:val="hybridMultilevel"/>
    <w:tmpl w:val="514A19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584D34"/>
    <w:multiLevelType w:val="multilevel"/>
    <w:tmpl w:val="E93A00D4"/>
    <w:lvl w:ilvl="0">
      <w:start w:val="1"/>
      <w:numFmt w:val="upperRoman"/>
      <w:pStyle w:val="Titre5"/>
      <w:lvlText w:val="%1."/>
      <w:lvlJc w:val="left"/>
      <w:pPr>
        <w:ind w:left="720"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2" w15:restartNumberingAfterBreak="0">
    <w:nsid w:val="021C2280"/>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756EE9"/>
    <w:multiLevelType w:val="multilevel"/>
    <w:tmpl w:val="54522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7C6E9C"/>
    <w:multiLevelType w:val="hybridMultilevel"/>
    <w:tmpl w:val="BB64919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3254F48"/>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3CF5446"/>
    <w:multiLevelType w:val="multilevel"/>
    <w:tmpl w:val="95E85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3F7512B"/>
    <w:multiLevelType w:val="multilevel"/>
    <w:tmpl w:val="66C87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41B3912"/>
    <w:multiLevelType w:val="hybridMultilevel"/>
    <w:tmpl w:val="5842307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6966691"/>
    <w:multiLevelType w:val="multilevel"/>
    <w:tmpl w:val="41AE1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6C67E98"/>
    <w:multiLevelType w:val="multilevel"/>
    <w:tmpl w:val="C41E62D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15:restartNumberingAfterBreak="0">
    <w:nsid w:val="07C82AF1"/>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7DF1BE0"/>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8C657C4"/>
    <w:multiLevelType w:val="multilevel"/>
    <w:tmpl w:val="92F09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9133C9B"/>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9B753DA"/>
    <w:multiLevelType w:val="hybridMultilevel"/>
    <w:tmpl w:val="589842D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15:restartNumberingAfterBreak="0">
    <w:nsid w:val="0A3F4CF0"/>
    <w:multiLevelType w:val="hybridMultilevel"/>
    <w:tmpl w:val="AAF056C6"/>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0CA3747C"/>
    <w:multiLevelType w:val="multilevel"/>
    <w:tmpl w:val="FC04D0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D594B6D"/>
    <w:multiLevelType w:val="multilevel"/>
    <w:tmpl w:val="9B42A7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D5C26EB"/>
    <w:multiLevelType w:val="multilevel"/>
    <w:tmpl w:val="A1A00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DAF19E9"/>
    <w:multiLevelType w:val="multilevel"/>
    <w:tmpl w:val="4524D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DC61110"/>
    <w:multiLevelType w:val="hybridMultilevel"/>
    <w:tmpl w:val="AB1CEAF6"/>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0E795C5A"/>
    <w:multiLevelType w:val="hybridMultilevel"/>
    <w:tmpl w:val="1A06CAD2"/>
    <w:lvl w:ilvl="0" w:tplc="040C0005">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3" w15:restartNumberingAfterBreak="0">
    <w:nsid w:val="100414F2"/>
    <w:multiLevelType w:val="multilevel"/>
    <w:tmpl w:val="026C3870"/>
    <w:lvl w:ilvl="0">
      <w:start w:val="1"/>
      <w:numFmt w:val="decimal"/>
      <w:pStyle w:val="Titre2"/>
      <w:lvlText w:val="%1."/>
      <w:lvlJc w:val="left"/>
      <w:pPr>
        <w:ind w:left="360" w:hanging="360"/>
      </w:pPr>
      <w:rPr>
        <w:rFonts w:hint="default"/>
      </w:rPr>
    </w:lvl>
    <w:lvl w:ilvl="1">
      <w:start w:val="1"/>
      <w:numFmt w:val="decimal"/>
      <w:lvlText w:val="%1.%2."/>
      <w:lvlJc w:val="left"/>
      <w:pPr>
        <w:ind w:left="785"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08627D4"/>
    <w:multiLevelType w:val="multilevel"/>
    <w:tmpl w:val="7804C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13D76E5"/>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2724074"/>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31416D9"/>
    <w:multiLevelType w:val="hybridMultilevel"/>
    <w:tmpl w:val="7212A5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14B63FD2"/>
    <w:multiLevelType w:val="hybridMultilevel"/>
    <w:tmpl w:val="5C2EE7BC"/>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9" w15:restartNumberingAfterBreak="0">
    <w:nsid w:val="15576279"/>
    <w:multiLevelType w:val="multilevel"/>
    <w:tmpl w:val="256AA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5BF639A"/>
    <w:multiLevelType w:val="multilevel"/>
    <w:tmpl w:val="89E0D0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63776C7"/>
    <w:multiLevelType w:val="multilevel"/>
    <w:tmpl w:val="E3B2CA44"/>
    <w:lvl w:ilvl="0">
      <w:start w:val="1"/>
      <w:numFmt w:val="bullet"/>
      <w:lvlText w:val=""/>
      <w:lvlJc w:val="left"/>
      <w:pPr>
        <w:tabs>
          <w:tab w:val="num" w:pos="-242"/>
        </w:tabs>
        <w:ind w:left="-242" w:hanging="360"/>
      </w:pPr>
      <w:rPr>
        <w:rFonts w:ascii="Symbol" w:hAnsi="Symbol" w:hint="default"/>
        <w:sz w:val="20"/>
      </w:rPr>
    </w:lvl>
    <w:lvl w:ilvl="1" w:tentative="1">
      <w:start w:val="1"/>
      <w:numFmt w:val="bullet"/>
      <w:lvlText w:val="o"/>
      <w:lvlJc w:val="left"/>
      <w:pPr>
        <w:tabs>
          <w:tab w:val="num" w:pos="696"/>
        </w:tabs>
        <w:ind w:left="696" w:hanging="360"/>
      </w:pPr>
      <w:rPr>
        <w:rFonts w:ascii="Courier New" w:hAnsi="Courier New" w:hint="default"/>
        <w:sz w:val="20"/>
      </w:rPr>
    </w:lvl>
    <w:lvl w:ilvl="2" w:tentative="1">
      <w:start w:val="1"/>
      <w:numFmt w:val="bullet"/>
      <w:lvlText w:val=""/>
      <w:lvlJc w:val="left"/>
      <w:pPr>
        <w:tabs>
          <w:tab w:val="num" w:pos="1416"/>
        </w:tabs>
        <w:ind w:left="1416" w:hanging="360"/>
      </w:pPr>
      <w:rPr>
        <w:rFonts w:ascii="Wingdings" w:hAnsi="Wingdings" w:hint="default"/>
        <w:sz w:val="20"/>
      </w:rPr>
    </w:lvl>
    <w:lvl w:ilvl="3" w:tentative="1">
      <w:start w:val="1"/>
      <w:numFmt w:val="bullet"/>
      <w:lvlText w:val=""/>
      <w:lvlJc w:val="left"/>
      <w:pPr>
        <w:tabs>
          <w:tab w:val="num" w:pos="2136"/>
        </w:tabs>
        <w:ind w:left="2136" w:hanging="360"/>
      </w:pPr>
      <w:rPr>
        <w:rFonts w:ascii="Wingdings" w:hAnsi="Wingdings" w:hint="default"/>
        <w:sz w:val="20"/>
      </w:rPr>
    </w:lvl>
    <w:lvl w:ilvl="4" w:tentative="1">
      <w:start w:val="1"/>
      <w:numFmt w:val="bullet"/>
      <w:lvlText w:val=""/>
      <w:lvlJc w:val="left"/>
      <w:pPr>
        <w:tabs>
          <w:tab w:val="num" w:pos="2856"/>
        </w:tabs>
        <w:ind w:left="2856" w:hanging="360"/>
      </w:pPr>
      <w:rPr>
        <w:rFonts w:ascii="Wingdings" w:hAnsi="Wingdings" w:hint="default"/>
        <w:sz w:val="20"/>
      </w:rPr>
    </w:lvl>
    <w:lvl w:ilvl="5" w:tentative="1">
      <w:start w:val="1"/>
      <w:numFmt w:val="bullet"/>
      <w:lvlText w:val=""/>
      <w:lvlJc w:val="left"/>
      <w:pPr>
        <w:tabs>
          <w:tab w:val="num" w:pos="3576"/>
        </w:tabs>
        <w:ind w:left="3576" w:hanging="360"/>
      </w:pPr>
      <w:rPr>
        <w:rFonts w:ascii="Wingdings" w:hAnsi="Wingdings" w:hint="default"/>
        <w:sz w:val="20"/>
      </w:rPr>
    </w:lvl>
    <w:lvl w:ilvl="6" w:tentative="1">
      <w:start w:val="1"/>
      <w:numFmt w:val="bullet"/>
      <w:lvlText w:val=""/>
      <w:lvlJc w:val="left"/>
      <w:pPr>
        <w:tabs>
          <w:tab w:val="num" w:pos="4296"/>
        </w:tabs>
        <w:ind w:left="4296" w:hanging="360"/>
      </w:pPr>
      <w:rPr>
        <w:rFonts w:ascii="Wingdings" w:hAnsi="Wingdings" w:hint="default"/>
        <w:sz w:val="20"/>
      </w:rPr>
    </w:lvl>
    <w:lvl w:ilvl="7" w:tentative="1">
      <w:start w:val="1"/>
      <w:numFmt w:val="bullet"/>
      <w:lvlText w:val=""/>
      <w:lvlJc w:val="left"/>
      <w:pPr>
        <w:tabs>
          <w:tab w:val="num" w:pos="5016"/>
        </w:tabs>
        <w:ind w:left="5016" w:hanging="360"/>
      </w:pPr>
      <w:rPr>
        <w:rFonts w:ascii="Wingdings" w:hAnsi="Wingdings" w:hint="default"/>
        <w:sz w:val="20"/>
      </w:rPr>
    </w:lvl>
    <w:lvl w:ilvl="8" w:tentative="1">
      <w:start w:val="1"/>
      <w:numFmt w:val="bullet"/>
      <w:lvlText w:val=""/>
      <w:lvlJc w:val="left"/>
      <w:pPr>
        <w:tabs>
          <w:tab w:val="num" w:pos="5736"/>
        </w:tabs>
        <w:ind w:left="5736" w:hanging="360"/>
      </w:pPr>
      <w:rPr>
        <w:rFonts w:ascii="Wingdings" w:hAnsi="Wingdings" w:hint="default"/>
        <w:sz w:val="20"/>
      </w:rPr>
    </w:lvl>
  </w:abstractNum>
  <w:abstractNum w:abstractNumId="32" w15:restartNumberingAfterBreak="0">
    <w:nsid w:val="164335A1"/>
    <w:multiLevelType w:val="multilevel"/>
    <w:tmpl w:val="2252F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678292F"/>
    <w:multiLevelType w:val="multilevel"/>
    <w:tmpl w:val="57D27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6CE0FDF"/>
    <w:multiLevelType w:val="multilevel"/>
    <w:tmpl w:val="44FA8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7000078"/>
    <w:multiLevelType w:val="multilevel"/>
    <w:tmpl w:val="450E9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723525B"/>
    <w:multiLevelType w:val="multilevel"/>
    <w:tmpl w:val="7988FC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73620C5"/>
    <w:multiLevelType w:val="hybridMultilevel"/>
    <w:tmpl w:val="CC4C19FE"/>
    <w:lvl w:ilvl="0" w:tplc="040C0005">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8" w15:restartNumberingAfterBreak="0">
    <w:nsid w:val="1AA447C4"/>
    <w:multiLevelType w:val="hybridMultilevel"/>
    <w:tmpl w:val="FCB6588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9" w15:restartNumberingAfterBreak="0">
    <w:nsid w:val="1B4131CB"/>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B901EFE"/>
    <w:multiLevelType w:val="hybridMultilevel"/>
    <w:tmpl w:val="3AB0FE8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1B996FD1"/>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D267464"/>
    <w:multiLevelType w:val="multilevel"/>
    <w:tmpl w:val="06F8A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E346815"/>
    <w:multiLevelType w:val="hybridMultilevel"/>
    <w:tmpl w:val="401A7E56"/>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4" w15:restartNumberingAfterBreak="0">
    <w:nsid w:val="1E530F6F"/>
    <w:multiLevelType w:val="hybridMultilevel"/>
    <w:tmpl w:val="1D78DF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1E9F7E72"/>
    <w:multiLevelType w:val="multilevel"/>
    <w:tmpl w:val="3CD07184"/>
    <w:lvl w:ilvl="0">
      <w:start w:val="4"/>
      <w:numFmt w:val="decimal"/>
      <w:lvlText w:val="%1."/>
      <w:lvlJc w:val="left"/>
      <w:pPr>
        <w:ind w:left="360" w:hanging="360"/>
      </w:pPr>
      <w:rPr>
        <w:rFonts w:hint="default"/>
      </w:rPr>
    </w:lvl>
    <w:lvl w:ilvl="1">
      <w:start w:val="1"/>
      <w:numFmt w:val="none"/>
      <w:isLgl/>
      <w:lvlText w:val="2.2"/>
      <w:lvlJc w:val="left"/>
      <w:pPr>
        <w:ind w:left="106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6" w15:restartNumberingAfterBreak="0">
    <w:nsid w:val="1FD01D3C"/>
    <w:multiLevelType w:val="multilevel"/>
    <w:tmpl w:val="72105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05C123B"/>
    <w:multiLevelType w:val="hybridMultilevel"/>
    <w:tmpl w:val="1D825DA4"/>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8" w15:restartNumberingAfterBreak="0">
    <w:nsid w:val="21D36726"/>
    <w:multiLevelType w:val="multilevel"/>
    <w:tmpl w:val="0F6E4AB0"/>
    <w:lvl w:ilvl="0">
      <w:start w:val="1"/>
      <w:numFmt w:val="bullet"/>
      <w:lvlText w:val=""/>
      <w:lvlJc w:val="left"/>
      <w:pPr>
        <w:tabs>
          <w:tab w:val="num" w:pos="502"/>
        </w:tabs>
        <w:ind w:left="502" w:hanging="360"/>
      </w:pPr>
      <w:rPr>
        <w:rFonts w:ascii="Symbol" w:hAnsi="Symbol" w:hint="default"/>
        <w:sz w:val="20"/>
      </w:rPr>
    </w:lvl>
    <w:lvl w:ilvl="1">
      <w:start w:val="1"/>
      <w:numFmt w:val="bullet"/>
      <w:lvlText w:val="o"/>
      <w:lvlJc w:val="left"/>
      <w:pPr>
        <w:tabs>
          <w:tab w:val="num" w:pos="1352"/>
        </w:tabs>
        <w:ind w:left="1352" w:hanging="360"/>
      </w:pPr>
      <w:rPr>
        <w:rFonts w:ascii="Courier New" w:hAnsi="Courier New" w:cs="Times New Roman" w:hint="default"/>
        <w:sz w:val="20"/>
      </w:rPr>
    </w:lvl>
    <w:lvl w:ilvl="2">
      <w:start w:val="1"/>
      <w:numFmt w:val="decimal"/>
      <w:lvlText w:val="%3-"/>
      <w:lvlJc w:val="left"/>
      <w:pPr>
        <w:ind w:left="2160" w:hanging="360"/>
      </w:p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3A47F0D"/>
    <w:multiLevelType w:val="hybridMultilevel"/>
    <w:tmpl w:val="8348D64E"/>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0" w15:restartNumberingAfterBreak="0">
    <w:nsid w:val="246C014D"/>
    <w:multiLevelType w:val="multilevel"/>
    <w:tmpl w:val="199AA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5D10EBB"/>
    <w:multiLevelType w:val="hybridMultilevel"/>
    <w:tmpl w:val="7B96AE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26C1071C"/>
    <w:multiLevelType w:val="hybridMultilevel"/>
    <w:tmpl w:val="FE6650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26F25EA7"/>
    <w:multiLevelType w:val="multilevel"/>
    <w:tmpl w:val="E1FC1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7551F1F"/>
    <w:multiLevelType w:val="multilevel"/>
    <w:tmpl w:val="5DCCC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8876D7B"/>
    <w:multiLevelType w:val="multilevel"/>
    <w:tmpl w:val="9482B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8EE6521"/>
    <w:multiLevelType w:val="multilevel"/>
    <w:tmpl w:val="BF0E2460"/>
    <w:lvl w:ilvl="0">
      <w:start w:val="3"/>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7" w15:restartNumberingAfterBreak="0">
    <w:nsid w:val="29B4285A"/>
    <w:multiLevelType w:val="hybridMultilevel"/>
    <w:tmpl w:val="7DB27A9E"/>
    <w:lvl w:ilvl="0" w:tplc="05281B10">
      <w:numFmt w:val="bullet"/>
      <w:lvlText w:val="•"/>
      <w:lvlJc w:val="left"/>
      <w:pPr>
        <w:ind w:left="1776" w:hanging="360"/>
      </w:pPr>
      <w:rPr>
        <w:rFonts w:ascii="Times New Roman" w:eastAsia="Times New Roman" w:hAnsi="Times New Roman" w:cs="Times New Roman"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58" w15:restartNumberingAfterBreak="0">
    <w:nsid w:val="2ADA1B65"/>
    <w:multiLevelType w:val="multilevel"/>
    <w:tmpl w:val="3962E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C625FE2"/>
    <w:multiLevelType w:val="multilevel"/>
    <w:tmpl w:val="1D28E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E6226DB"/>
    <w:multiLevelType w:val="hybridMultilevel"/>
    <w:tmpl w:val="CBECAD3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1" w15:restartNumberingAfterBreak="0">
    <w:nsid w:val="2F144135"/>
    <w:multiLevelType w:val="hybridMultilevel"/>
    <w:tmpl w:val="E75E800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2" w15:restartNumberingAfterBreak="0">
    <w:nsid w:val="30531592"/>
    <w:multiLevelType w:val="multilevel"/>
    <w:tmpl w:val="8632B3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306D6F67"/>
    <w:multiLevelType w:val="hybridMultilevel"/>
    <w:tmpl w:val="21ECD10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32E65A96"/>
    <w:multiLevelType w:val="multilevel"/>
    <w:tmpl w:val="0F7EA496"/>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5" w15:restartNumberingAfterBreak="0">
    <w:nsid w:val="34264148"/>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34526A90"/>
    <w:multiLevelType w:val="hybridMultilevel"/>
    <w:tmpl w:val="A81CAC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35F7086B"/>
    <w:multiLevelType w:val="multilevel"/>
    <w:tmpl w:val="652A6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360E64A5"/>
    <w:multiLevelType w:val="multilevel"/>
    <w:tmpl w:val="88F22C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785"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68676C6"/>
    <w:multiLevelType w:val="multilevel"/>
    <w:tmpl w:val="96D26DA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7AE4652"/>
    <w:multiLevelType w:val="multilevel"/>
    <w:tmpl w:val="0B88D1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37F56D31"/>
    <w:multiLevelType w:val="multilevel"/>
    <w:tmpl w:val="64847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39CF6EBE"/>
    <w:multiLevelType w:val="hybridMultilevel"/>
    <w:tmpl w:val="8B56F5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15:restartNumberingAfterBreak="0">
    <w:nsid w:val="3ABD28F0"/>
    <w:multiLevelType w:val="hybridMultilevel"/>
    <w:tmpl w:val="70B8A55A"/>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74" w15:restartNumberingAfterBreak="0">
    <w:nsid w:val="3C9E4CC9"/>
    <w:multiLevelType w:val="multilevel"/>
    <w:tmpl w:val="69E28CD4"/>
    <w:lvl w:ilvl="0">
      <w:start w:val="1"/>
      <w:numFmt w:val="decimal"/>
      <w:lvlText w:val="%1."/>
      <w:lvlJc w:val="left"/>
      <w:pPr>
        <w:tabs>
          <w:tab w:val="num" w:pos="720"/>
        </w:tabs>
        <w:ind w:left="720" w:hanging="360"/>
      </w:pPr>
      <w:rPr>
        <w:b/>
        <w:bCs/>
      </w:rPr>
    </w:lvl>
    <w:lvl w:ilvl="1">
      <w:start w:val="1"/>
      <w:numFmt w:val="decimal"/>
      <w:lvlText w:val="%2."/>
      <w:lvlJc w:val="left"/>
      <w:pPr>
        <w:tabs>
          <w:tab w:val="num" w:pos="360"/>
        </w:tabs>
        <w:ind w:left="360" w:hanging="360"/>
      </w:pPr>
    </w:lvl>
    <w:lvl w:ilvl="2">
      <w:start w:val="1"/>
      <w:numFmt w:val="decimal"/>
      <w:lvlText w:val="%3."/>
      <w:lvlJc w:val="left"/>
      <w:pPr>
        <w:tabs>
          <w:tab w:val="num" w:pos="502"/>
        </w:tabs>
        <w:ind w:left="502" w:hanging="360"/>
      </w:pPr>
    </w:lvl>
    <w:lvl w:ilvl="3">
      <w:start w:val="1"/>
      <w:numFmt w:val="decimal"/>
      <w:lvlText w:val="%4."/>
      <w:lvlJc w:val="left"/>
      <w:pPr>
        <w:tabs>
          <w:tab w:val="num" w:pos="502"/>
        </w:tabs>
        <w:ind w:left="502"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15:restartNumberingAfterBreak="0">
    <w:nsid w:val="3DF9373E"/>
    <w:multiLevelType w:val="multilevel"/>
    <w:tmpl w:val="17C05F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3F84593C"/>
    <w:multiLevelType w:val="hybridMultilevel"/>
    <w:tmpl w:val="AAE0C68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409C57A4"/>
    <w:multiLevelType w:val="multilevel"/>
    <w:tmpl w:val="0778DE12"/>
    <w:lvl w:ilvl="0">
      <w:start w:val="1"/>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8" w15:restartNumberingAfterBreak="0">
    <w:nsid w:val="42532C57"/>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3D21081"/>
    <w:multiLevelType w:val="multilevel"/>
    <w:tmpl w:val="D3F87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459C4287"/>
    <w:multiLevelType w:val="multilevel"/>
    <w:tmpl w:val="E24868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45C26C65"/>
    <w:multiLevelType w:val="hybridMultilevel"/>
    <w:tmpl w:val="F32A1D5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15:restartNumberingAfterBreak="0">
    <w:nsid w:val="473805DB"/>
    <w:multiLevelType w:val="multilevel"/>
    <w:tmpl w:val="B1943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473A3E5A"/>
    <w:multiLevelType w:val="hybridMultilevel"/>
    <w:tmpl w:val="A75ABE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15:restartNumberingAfterBreak="0">
    <w:nsid w:val="47793619"/>
    <w:multiLevelType w:val="multilevel"/>
    <w:tmpl w:val="37F2B6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47984971"/>
    <w:multiLevelType w:val="hybridMultilevel"/>
    <w:tmpl w:val="C9A42C9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15:restartNumberingAfterBreak="0">
    <w:nsid w:val="484417CC"/>
    <w:multiLevelType w:val="multilevel"/>
    <w:tmpl w:val="3E107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486875E5"/>
    <w:multiLevelType w:val="multilevel"/>
    <w:tmpl w:val="F7EE0012"/>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4A723A68"/>
    <w:multiLevelType w:val="hybridMultilevel"/>
    <w:tmpl w:val="B90A435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15:restartNumberingAfterBreak="0">
    <w:nsid w:val="4AF14976"/>
    <w:multiLevelType w:val="multilevel"/>
    <w:tmpl w:val="EAE01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DAF6A25"/>
    <w:multiLevelType w:val="hybridMultilevel"/>
    <w:tmpl w:val="B6B253D8"/>
    <w:lvl w:ilvl="0" w:tplc="05281B10">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1" w15:restartNumberingAfterBreak="0">
    <w:nsid w:val="4E1C43FC"/>
    <w:multiLevelType w:val="hybridMultilevel"/>
    <w:tmpl w:val="DAA0EC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15:restartNumberingAfterBreak="0">
    <w:nsid w:val="4E1C45B8"/>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4E607D15"/>
    <w:multiLevelType w:val="hybridMultilevel"/>
    <w:tmpl w:val="D99CAF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15:restartNumberingAfterBreak="0">
    <w:nsid w:val="4EC81FB2"/>
    <w:multiLevelType w:val="hybridMultilevel"/>
    <w:tmpl w:val="3EE2EC9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15:restartNumberingAfterBreak="0">
    <w:nsid w:val="50FB7FF0"/>
    <w:multiLevelType w:val="multilevel"/>
    <w:tmpl w:val="E3FA7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524E3423"/>
    <w:multiLevelType w:val="multilevel"/>
    <w:tmpl w:val="B4A6C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53F06D4E"/>
    <w:multiLevelType w:val="multilevel"/>
    <w:tmpl w:val="23888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547A1055"/>
    <w:multiLevelType w:val="hybridMultilevel"/>
    <w:tmpl w:val="D7964996"/>
    <w:lvl w:ilvl="0" w:tplc="040C0005">
      <w:start w:val="1"/>
      <w:numFmt w:val="bullet"/>
      <w:lvlText w:val=""/>
      <w:lvlJc w:val="left"/>
      <w:pPr>
        <w:ind w:left="720" w:hanging="360"/>
      </w:pPr>
      <w:rPr>
        <w:rFonts w:ascii="Wingdings" w:hAnsi="Wingdings" w:hint="default"/>
      </w:rPr>
    </w:lvl>
    <w:lvl w:ilvl="1" w:tplc="570CCC2A">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15:restartNumberingAfterBreak="0">
    <w:nsid w:val="55FC7880"/>
    <w:multiLevelType w:val="multilevel"/>
    <w:tmpl w:val="463002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56AD05D8"/>
    <w:multiLevelType w:val="multilevel"/>
    <w:tmpl w:val="5C0A744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927" w:hanging="360"/>
      </w:pPr>
      <w:rPr>
        <w:rFonts w:hint="default"/>
        <w:b/>
        <w:u w:val="single"/>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57203FE9"/>
    <w:multiLevelType w:val="multilevel"/>
    <w:tmpl w:val="01DE1830"/>
    <w:lvl w:ilvl="0">
      <w:start w:val="1"/>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2" w15:restartNumberingAfterBreak="0">
    <w:nsid w:val="58C415EC"/>
    <w:multiLevelType w:val="multilevel"/>
    <w:tmpl w:val="5EB481EE"/>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5B7E40AF"/>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5BE652AE"/>
    <w:multiLevelType w:val="hybridMultilevel"/>
    <w:tmpl w:val="6840B67A"/>
    <w:lvl w:ilvl="0" w:tplc="040C0001">
      <w:start w:val="1"/>
      <w:numFmt w:val="bullet"/>
      <w:lvlText w:val=""/>
      <w:lvlJc w:val="left"/>
      <w:pPr>
        <w:ind w:left="502" w:hanging="360"/>
      </w:pPr>
      <w:rPr>
        <w:rFonts w:ascii="Symbol" w:hAnsi="Symbol" w:hint="default"/>
      </w:rPr>
    </w:lvl>
    <w:lvl w:ilvl="1" w:tplc="040C0003">
      <w:start w:val="1"/>
      <w:numFmt w:val="bullet"/>
      <w:lvlText w:val="o"/>
      <w:lvlJc w:val="left"/>
      <w:pPr>
        <w:ind w:left="1156" w:hanging="360"/>
      </w:pPr>
      <w:rPr>
        <w:rFonts w:ascii="Courier New" w:hAnsi="Courier New" w:cs="Courier New" w:hint="default"/>
      </w:rPr>
    </w:lvl>
    <w:lvl w:ilvl="2" w:tplc="040C0005">
      <w:start w:val="1"/>
      <w:numFmt w:val="bullet"/>
      <w:lvlText w:val=""/>
      <w:lvlJc w:val="left"/>
      <w:pPr>
        <w:ind w:left="1876" w:hanging="360"/>
      </w:pPr>
      <w:rPr>
        <w:rFonts w:ascii="Wingdings" w:hAnsi="Wingdings" w:hint="default"/>
      </w:rPr>
    </w:lvl>
    <w:lvl w:ilvl="3" w:tplc="040C0001">
      <w:start w:val="1"/>
      <w:numFmt w:val="bullet"/>
      <w:lvlText w:val=""/>
      <w:lvlJc w:val="left"/>
      <w:pPr>
        <w:ind w:left="2596" w:hanging="360"/>
      </w:pPr>
      <w:rPr>
        <w:rFonts w:ascii="Symbol" w:hAnsi="Symbol" w:hint="default"/>
      </w:rPr>
    </w:lvl>
    <w:lvl w:ilvl="4" w:tplc="040C0003">
      <w:start w:val="1"/>
      <w:numFmt w:val="bullet"/>
      <w:lvlText w:val="o"/>
      <w:lvlJc w:val="left"/>
      <w:pPr>
        <w:ind w:left="3316" w:hanging="360"/>
      </w:pPr>
      <w:rPr>
        <w:rFonts w:ascii="Courier New" w:hAnsi="Courier New" w:cs="Courier New" w:hint="default"/>
      </w:rPr>
    </w:lvl>
    <w:lvl w:ilvl="5" w:tplc="040C0005">
      <w:start w:val="1"/>
      <w:numFmt w:val="bullet"/>
      <w:lvlText w:val=""/>
      <w:lvlJc w:val="left"/>
      <w:pPr>
        <w:ind w:left="4036" w:hanging="360"/>
      </w:pPr>
      <w:rPr>
        <w:rFonts w:ascii="Wingdings" w:hAnsi="Wingdings" w:hint="default"/>
      </w:rPr>
    </w:lvl>
    <w:lvl w:ilvl="6" w:tplc="040C0001">
      <w:start w:val="1"/>
      <w:numFmt w:val="bullet"/>
      <w:lvlText w:val=""/>
      <w:lvlJc w:val="left"/>
      <w:pPr>
        <w:ind w:left="4756" w:hanging="360"/>
      </w:pPr>
      <w:rPr>
        <w:rFonts w:ascii="Symbol" w:hAnsi="Symbol" w:hint="default"/>
      </w:rPr>
    </w:lvl>
    <w:lvl w:ilvl="7" w:tplc="040C0003">
      <w:start w:val="1"/>
      <w:numFmt w:val="bullet"/>
      <w:lvlText w:val="o"/>
      <w:lvlJc w:val="left"/>
      <w:pPr>
        <w:ind w:left="5476" w:hanging="360"/>
      </w:pPr>
      <w:rPr>
        <w:rFonts w:ascii="Courier New" w:hAnsi="Courier New" w:cs="Courier New" w:hint="default"/>
      </w:rPr>
    </w:lvl>
    <w:lvl w:ilvl="8" w:tplc="040C0005">
      <w:start w:val="1"/>
      <w:numFmt w:val="bullet"/>
      <w:lvlText w:val=""/>
      <w:lvlJc w:val="left"/>
      <w:pPr>
        <w:ind w:left="6196" w:hanging="360"/>
      </w:pPr>
      <w:rPr>
        <w:rFonts w:ascii="Wingdings" w:hAnsi="Wingdings" w:hint="default"/>
      </w:rPr>
    </w:lvl>
  </w:abstractNum>
  <w:abstractNum w:abstractNumId="105" w15:restartNumberingAfterBreak="0">
    <w:nsid w:val="5C14321F"/>
    <w:multiLevelType w:val="multilevel"/>
    <w:tmpl w:val="16A666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5C892D3D"/>
    <w:multiLevelType w:val="multilevel"/>
    <w:tmpl w:val="4D2282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5EA47626"/>
    <w:multiLevelType w:val="hybridMultilevel"/>
    <w:tmpl w:val="F8021D26"/>
    <w:lvl w:ilvl="0" w:tplc="040C0003">
      <w:start w:val="1"/>
      <w:numFmt w:val="bullet"/>
      <w:lvlText w:val="o"/>
      <w:lvlJc w:val="left"/>
      <w:pPr>
        <w:ind w:left="360" w:hanging="360"/>
      </w:pPr>
      <w:rPr>
        <w:rFonts w:ascii="Courier New" w:hAnsi="Courier New" w:cs="Courier New"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08" w15:restartNumberingAfterBreak="0">
    <w:nsid w:val="5F702133"/>
    <w:multiLevelType w:val="multilevel"/>
    <w:tmpl w:val="C5CA6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5F7B2CE9"/>
    <w:multiLevelType w:val="hybridMultilevel"/>
    <w:tmpl w:val="99887E9A"/>
    <w:lvl w:ilvl="0" w:tplc="2E20C62A">
      <w:start w:val="1"/>
      <w:numFmt w:val="decimal"/>
      <w:pStyle w:val="Titre4"/>
      <w:lvlText w:val="%1.1.2"/>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0" w15:restartNumberingAfterBreak="0">
    <w:nsid w:val="60AC782D"/>
    <w:multiLevelType w:val="multilevel"/>
    <w:tmpl w:val="55643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61D324AF"/>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46262E4"/>
    <w:multiLevelType w:val="multilevel"/>
    <w:tmpl w:val="A1CA60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upperRoman"/>
      <w:lvlText w:val="%3."/>
      <w:lvlJc w:val="left"/>
      <w:pPr>
        <w:ind w:left="1287"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65F66132"/>
    <w:multiLevelType w:val="hybridMultilevel"/>
    <w:tmpl w:val="9C7E3E42"/>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4" w15:restartNumberingAfterBreak="0">
    <w:nsid w:val="65FC4178"/>
    <w:multiLevelType w:val="multilevel"/>
    <w:tmpl w:val="790C4CE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eastAsia="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67504224"/>
    <w:multiLevelType w:val="hybridMultilevel"/>
    <w:tmpl w:val="46B84FC0"/>
    <w:lvl w:ilvl="0" w:tplc="05281B10">
      <w:numFmt w:val="bullet"/>
      <w:lvlText w:val="•"/>
      <w:lvlJc w:val="left"/>
      <w:pPr>
        <w:ind w:left="1068" w:hanging="360"/>
      </w:pPr>
      <w:rPr>
        <w:rFonts w:ascii="Times New Roman" w:eastAsia="Times New Roman"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6" w15:restartNumberingAfterBreak="0">
    <w:nsid w:val="69385F9A"/>
    <w:multiLevelType w:val="multilevel"/>
    <w:tmpl w:val="DF963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69570760"/>
    <w:multiLevelType w:val="multilevel"/>
    <w:tmpl w:val="DF8479D8"/>
    <w:lvl w:ilvl="0">
      <w:start w:val="4"/>
      <w:numFmt w:val="decimal"/>
      <w:lvlText w:val="%1."/>
      <w:lvlJc w:val="left"/>
      <w:pPr>
        <w:ind w:left="360" w:hanging="360"/>
      </w:pPr>
      <w:rPr>
        <w:rFonts w:hint="default"/>
      </w:rPr>
    </w:lvl>
    <w:lvl w:ilvl="1">
      <w:start w:val="1"/>
      <w:numFmt w:val="none"/>
      <w:isLgl/>
      <w:lvlText w:val="2.2"/>
      <w:lvlJc w:val="left"/>
      <w:pPr>
        <w:ind w:left="106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8" w15:restartNumberingAfterBreak="0">
    <w:nsid w:val="69C208BB"/>
    <w:multiLevelType w:val="multilevel"/>
    <w:tmpl w:val="9632A8E0"/>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6A2D04FF"/>
    <w:multiLevelType w:val="multilevel"/>
    <w:tmpl w:val="A8E87B28"/>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20" w15:restartNumberingAfterBreak="0">
    <w:nsid w:val="6A5623CF"/>
    <w:multiLevelType w:val="multilevel"/>
    <w:tmpl w:val="CF882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6B917195"/>
    <w:multiLevelType w:val="multilevel"/>
    <w:tmpl w:val="79BE112E"/>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222"/>
        </w:tabs>
        <w:ind w:left="1222" w:hanging="360"/>
      </w:pPr>
      <w:rPr>
        <w:rFonts w:ascii="Courier New" w:hAnsi="Courier New" w:hint="default"/>
        <w:sz w:val="20"/>
      </w:rPr>
    </w:lvl>
    <w:lvl w:ilvl="2" w:tentative="1">
      <w:start w:val="1"/>
      <w:numFmt w:val="bullet"/>
      <w:lvlText w:val=""/>
      <w:lvlJc w:val="left"/>
      <w:pPr>
        <w:tabs>
          <w:tab w:val="num" w:pos="1942"/>
        </w:tabs>
        <w:ind w:left="1942" w:hanging="360"/>
      </w:pPr>
      <w:rPr>
        <w:rFonts w:ascii="Wingdings" w:hAnsi="Wingdings" w:hint="default"/>
        <w:sz w:val="20"/>
      </w:rPr>
    </w:lvl>
    <w:lvl w:ilvl="3" w:tentative="1">
      <w:start w:val="1"/>
      <w:numFmt w:val="bullet"/>
      <w:lvlText w:val=""/>
      <w:lvlJc w:val="left"/>
      <w:pPr>
        <w:tabs>
          <w:tab w:val="num" w:pos="2662"/>
        </w:tabs>
        <w:ind w:left="2662" w:hanging="360"/>
      </w:pPr>
      <w:rPr>
        <w:rFonts w:ascii="Wingdings" w:hAnsi="Wingdings" w:hint="default"/>
        <w:sz w:val="20"/>
      </w:rPr>
    </w:lvl>
    <w:lvl w:ilvl="4" w:tentative="1">
      <w:start w:val="1"/>
      <w:numFmt w:val="bullet"/>
      <w:lvlText w:val=""/>
      <w:lvlJc w:val="left"/>
      <w:pPr>
        <w:tabs>
          <w:tab w:val="num" w:pos="3382"/>
        </w:tabs>
        <w:ind w:left="3382" w:hanging="360"/>
      </w:pPr>
      <w:rPr>
        <w:rFonts w:ascii="Wingdings" w:hAnsi="Wingdings" w:hint="default"/>
        <w:sz w:val="20"/>
      </w:rPr>
    </w:lvl>
    <w:lvl w:ilvl="5" w:tentative="1">
      <w:start w:val="1"/>
      <w:numFmt w:val="bullet"/>
      <w:lvlText w:val=""/>
      <w:lvlJc w:val="left"/>
      <w:pPr>
        <w:tabs>
          <w:tab w:val="num" w:pos="4102"/>
        </w:tabs>
        <w:ind w:left="4102" w:hanging="360"/>
      </w:pPr>
      <w:rPr>
        <w:rFonts w:ascii="Wingdings" w:hAnsi="Wingdings" w:hint="default"/>
        <w:sz w:val="20"/>
      </w:rPr>
    </w:lvl>
    <w:lvl w:ilvl="6" w:tentative="1">
      <w:start w:val="1"/>
      <w:numFmt w:val="bullet"/>
      <w:lvlText w:val=""/>
      <w:lvlJc w:val="left"/>
      <w:pPr>
        <w:tabs>
          <w:tab w:val="num" w:pos="4822"/>
        </w:tabs>
        <w:ind w:left="4822" w:hanging="360"/>
      </w:pPr>
      <w:rPr>
        <w:rFonts w:ascii="Wingdings" w:hAnsi="Wingdings" w:hint="default"/>
        <w:sz w:val="20"/>
      </w:rPr>
    </w:lvl>
    <w:lvl w:ilvl="7" w:tentative="1">
      <w:start w:val="1"/>
      <w:numFmt w:val="bullet"/>
      <w:lvlText w:val=""/>
      <w:lvlJc w:val="left"/>
      <w:pPr>
        <w:tabs>
          <w:tab w:val="num" w:pos="5542"/>
        </w:tabs>
        <w:ind w:left="5542" w:hanging="360"/>
      </w:pPr>
      <w:rPr>
        <w:rFonts w:ascii="Wingdings" w:hAnsi="Wingdings" w:hint="default"/>
        <w:sz w:val="20"/>
      </w:rPr>
    </w:lvl>
    <w:lvl w:ilvl="8" w:tentative="1">
      <w:start w:val="1"/>
      <w:numFmt w:val="bullet"/>
      <w:lvlText w:val=""/>
      <w:lvlJc w:val="left"/>
      <w:pPr>
        <w:tabs>
          <w:tab w:val="num" w:pos="6262"/>
        </w:tabs>
        <w:ind w:left="6262" w:hanging="360"/>
      </w:pPr>
      <w:rPr>
        <w:rFonts w:ascii="Wingdings" w:hAnsi="Wingdings" w:hint="default"/>
        <w:sz w:val="20"/>
      </w:rPr>
    </w:lvl>
  </w:abstractNum>
  <w:abstractNum w:abstractNumId="122" w15:restartNumberingAfterBreak="0">
    <w:nsid w:val="6BA56919"/>
    <w:multiLevelType w:val="hybridMultilevel"/>
    <w:tmpl w:val="5E4880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3" w15:restartNumberingAfterBreak="0">
    <w:nsid w:val="6C2E66B8"/>
    <w:multiLevelType w:val="multilevel"/>
    <w:tmpl w:val="EC1EF562"/>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4" w15:restartNumberingAfterBreak="0">
    <w:nsid w:val="6C444B15"/>
    <w:multiLevelType w:val="multilevel"/>
    <w:tmpl w:val="3C923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6CD16EFD"/>
    <w:multiLevelType w:val="hybridMultilevel"/>
    <w:tmpl w:val="5CFCAB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6" w15:restartNumberingAfterBreak="0">
    <w:nsid w:val="6E417275"/>
    <w:multiLevelType w:val="hybridMultilevel"/>
    <w:tmpl w:val="7F24067C"/>
    <w:lvl w:ilvl="0" w:tplc="05281B10">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7" w15:restartNumberingAfterBreak="0">
    <w:nsid w:val="71157CD7"/>
    <w:multiLevelType w:val="multilevel"/>
    <w:tmpl w:val="37588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71DC4780"/>
    <w:multiLevelType w:val="hybridMultilevel"/>
    <w:tmpl w:val="6A76ADA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9" w15:restartNumberingAfterBreak="0">
    <w:nsid w:val="723A5DF8"/>
    <w:multiLevelType w:val="hybridMultilevel"/>
    <w:tmpl w:val="733403D0"/>
    <w:lvl w:ilvl="0" w:tplc="040C0003">
      <w:start w:val="1"/>
      <w:numFmt w:val="bullet"/>
      <w:lvlText w:val="o"/>
      <w:lvlJc w:val="left"/>
      <w:pPr>
        <w:ind w:left="1494" w:hanging="360"/>
      </w:pPr>
      <w:rPr>
        <w:rFonts w:ascii="Courier New" w:hAnsi="Courier New" w:cs="Courier New"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130" w15:restartNumberingAfterBreak="0">
    <w:nsid w:val="7343310A"/>
    <w:multiLevelType w:val="hybridMultilevel"/>
    <w:tmpl w:val="1FFC82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1" w15:restartNumberingAfterBreak="0">
    <w:nsid w:val="73DD243F"/>
    <w:multiLevelType w:val="hybridMultilevel"/>
    <w:tmpl w:val="CFF09FC8"/>
    <w:lvl w:ilvl="0" w:tplc="040C0003">
      <w:start w:val="1"/>
      <w:numFmt w:val="bullet"/>
      <w:lvlText w:val="o"/>
      <w:lvlJc w:val="left"/>
      <w:pPr>
        <w:ind w:left="360" w:hanging="360"/>
      </w:pPr>
      <w:rPr>
        <w:rFonts w:ascii="Courier New" w:hAnsi="Courier New" w:cs="Courier New"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32" w15:restartNumberingAfterBreak="0">
    <w:nsid w:val="73DF045B"/>
    <w:multiLevelType w:val="hybridMultilevel"/>
    <w:tmpl w:val="3E943F1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3" w15:restartNumberingAfterBreak="0">
    <w:nsid w:val="76526DE2"/>
    <w:multiLevelType w:val="hybridMultilevel"/>
    <w:tmpl w:val="9ECA1A4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4" w15:restartNumberingAfterBreak="0">
    <w:nsid w:val="77327E6D"/>
    <w:multiLevelType w:val="multilevel"/>
    <w:tmpl w:val="E01E6F1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5" w15:restartNumberingAfterBreak="0">
    <w:nsid w:val="783B3139"/>
    <w:multiLevelType w:val="multilevel"/>
    <w:tmpl w:val="8772A888"/>
    <w:lvl w:ilvl="0">
      <w:start w:val="1"/>
      <w:numFmt w:val="bullet"/>
      <w:pStyle w:val="Titre3"/>
      <w:lvlText w:val=""/>
      <w:lvlJc w:val="left"/>
      <w:pPr>
        <w:tabs>
          <w:tab w:val="num" w:pos="720"/>
        </w:tabs>
        <w:ind w:left="720" w:hanging="360"/>
      </w:pPr>
      <w:rPr>
        <w:rFonts w:ascii="Wingdings" w:hAnsi="Wingdings" w:hint="default"/>
        <w:sz w:val="20"/>
      </w:rPr>
    </w:lvl>
    <w:lvl w:ilvl="1">
      <w:start w:val="1"/>
      <w:numFmt w:val="decimal"/>
      <w:lvlText w:val="%2."/>
      <w:lvlJc w:val="left"/>
      <w:pPr>
        <w:ind w:left="785"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790167DE"/>
    <w:multiLevelType w:val="multilevel"/>
    <w:tmpl w:val="1CEE2684"/>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7" w15:restartNumberingAfterBreak="0">
    <w:nsid w:val="7A416196"/>
    <w:multiLevelType w:val="multilevel"/>
    <w:tmpl w:val="224C1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7CBC0D64"/>
    <w:multiLevelType w:val="multilevel"/>
    <w:tmpl w:val="AE06A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7E391E10"/>
    <w:multiLevelType w:val="multilevel"/>
    <w:tmpl w:val="F43C6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7E68315E"/>
    <w:multiLevelType w:val="multilevel"/>
    <w:tmpl w:val="57DE6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7F761B78"/>
    <w:multiLevelType w:val="multilevel"/>
    <w:tmpl w:val="07189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0"/>
  </w:num>
  <w:num w:numId="2">
    <w:abstractNumId w:val="89"/>
  </w:num>
  <w:num w:numId="3">
    <w:abstractNumId w:val="6"/>
  </w:num>
  <w:num w:numId="4">
    <w:abstractNumId w:val="68"/>
  </w:num>
  <w:num w:numId="5">
    <w:abstractNumId w:val="67"/>
  </w:num>
  <w:num w:numId="6">
    <w:abstractNumId w:val="120"/>
  </w:num>
  <w:num w:numId="7">
    <w:abstractNumId w:val="54"/>
  </w:num>
  <w:num w:numId="8">
    <w:abstractNumId w:val="30"/>
  </w:num>
  <w:num w:numId="9">
    <w:abstractNumId w:val="137"/>
  </w:num>
  <w:num w:numId="10">
    <w:abstractNumId w:val="82"/>
  </w:num>
  <w:num w:numId="11">
    <w:abstractNumId w:val="84"/>
  </w:num>
  <w:num w:numId="12">
    <w:abstractNumId w:val="74"/>
  </w:num>
  <w:num w:numId="13">
    <w:abstractNumId w:val="134"/>
  </w:num>
  <w:num w:numId="14">
    <w:abstractNumId w:val="141"/>
  </w:num>
  <w:num w:numId="15">
    <w:abstractNumId w:val="108"/>
  </w:num>
  <w:num w:numId="16">
    <w:abstractNumId w:val="20"/>
  </w:num>
  <w:num w:numId="17">
    <w:abstractNumId w:val="7"/>
  </w:num>
  <w:num w:numId="18">
    <w:abstractNumId w:val="139"/>
  </w:num>
  <w:num w:numId="19">
    <w:abstractNumId w:val="124"/>
  </w:num>
  <w:num w:numId="20">
    <w:abstractNumId w:val="9"/>
  </w:num>
  <w:num w:numId="21">
    <w:abstractNumId w:val="13"/>
  </w:num>
  <w:num w:numId="22">
    <w:abstractNumId w:val="58"/>
  </w:num>
  <w:num w:numId="23">
    <w:abstractNumId w:val="53"/>
  </w:num>
  <w:num w:numId="24">
    <w:abstractNumId w:val="19"/>
  </w:num>
  <w:num w:numId="25">
    <w:abstractNumId w:val="127"/>
  </w:num>
  <w:num w:numId="26">
    <w:abstractNumId w:val="79"/>
  </w:num>
  <w:num w:numId="27">
    <w:abstractNumId w:val="86"/>
  </w:num>
  <w:num w:numId="28">
    <w:abstractNumId w:val="55"/>
  </w:num>
  <w:num w:numId="29">
    <w:abstractNumId w:val="87"/>
  </w:num>
  <w:num w:numId="30">
    <w:abstractNumId w:val="44"/>
  </w:num>
  <w:num w:numId="31">
    <w:abstractNumId w:val="60"/>
  </w:num>
  <w:num w:numId="32">
    <w:abstractNumId w:val="75"/>
  </w:num>
  <w:num w:numId="33">
    <w:abstractNumId w:val="43"/>
  </w:num>
  <w:num w:numId="34">
    <w:abstractNumId w:val="48"/>
  </w:num>
  <w:num w:numId="35">
    <w:abstractNumId w:val="104"/>
  </w:num>
  <w:num w:numId="36">
    <w:abstractNumId w:val="38"/>
  </w:num>
  <w:num w:numId="37">
    <w:abstractNumId w:val="100"/>
  </w:num>
  <w:num w:numId="38">
    <w:abstractNumId w:val="128"/>
  </w:num>
  <w:num w:numId="39">
    <w:abstractNumId w:val="132"/>
  </w:num>
  <w:num w:numId="40">
    <w:abstractNumId w:val="81"/>
  </w:num>
  <w:num w:numId="41">
    <w:abstractNumId w:val="61"/>
  </w:num>
  <w:num w:numId="42">
    <w:abstractNumId w:val="94"/>
  </w:num>
  <w:num w:numId="43">
    <w:abstractNumId w:val="37"/>
  </w:num>
  <w:num w:numId="44">
    <w:abstractNumId w:val="131"/>
  </w:num>
  <w:num w:numId="45">
    <w:abstractNumId w:val="107"/>
  </w:num>
  <w:num w:numId="46">
    <w:abstractNumId w:val="98"/>
  </w:num>
  <w:num w:numId="47">
    <w:abstractNumId w:val="22"/>
  </w:num>
  <w:num w:numId="48">
    <w:abstractNumId w:val="28"/>
  </w:num>
  <w:num w:numId="49">
    <w:abstractNumId w:val="32"/>
  </w:num>
  <w:num w:numId="50">
    <w:abstractNumId w:val="113"/>
  </w:num>
  <w:num w:numId="51">
    <w:abstractNumId w:val="71"/>
  </w:num>
  <w:num w:numId="52">
    <w:abstractNumId w:val="105"/>
  </w:num>
  <w:num w:numId="53">
    <w:abstractNumId w:val="23"/>
  </w:num>
  <w:num w:numId="54">
    <w:abstractNumId w:val="96"/>
  </w:num>
  <w:num w:numId="55">
    <w:abstractNumId w:val="112"/>
  </w:num>
  <w:num w:numId="56">
    <w:abstractNumId w:val="2"/>
  </w:num>
  <w:num w:numId="57">
    <w:abstractNumId w:val="59"/>
  </w:num>
  <w:num w:numId="58">
    <w:abstractNumId w:val="11"/>
  </w:num>
  <w:num w:numId="59">
    <w:abstractNumId w:val="41"/>
  </w:num>
  <w:num w:numId="60">
    <w:abstractNumId w:val="114"/>
  </w:num>
  <w:num w:numId="61">
    <w:abstractNumId w:val="14"/>
  </w:num>
  <w:num w:numId="62">
    <w:abstractNumId w:val="65"/>
  </w:num>
  <w:num w:numId="63">
    <w:abstractNumId w:val="92"/>
  </w:num>
  <w:num w:numId="64">
    <w:abstractNumId w:val="130"/>
  </w:num>
  <w:num w:numId="65">
    <w:abstractNumId w:val="40"/>
  </w:num>
  <w:num w:numId="66">
    <w:abstractNumId w:val="93"/>
  </w:num>
  <w:num w:numId="67">
    <w:abstractNumId w:val="57"/>
  </w:num>
  <w:num w:numId="68">
    <w:abstractNumId w:val="126"/>
  </w:num>
  <w:num w:numId="69">
    <w:abstractNumId w:val="90"/>
  </w:num>
  <w:num w:numId="70">
    <w:abstractNumId w:val="39"/>
  </w:num>
  <w:num w:numId="71">
    <w:abstractNumId w:val="78"/>
  </w:num>
  <w:num w:numId="72">
    <w:abstractNumId w:val="111"/>
  </w:num>
  <w:num w:numId="73">
    <w:abstractNumId w:val="103"/>
  </w:num>
  <w:num w:numId="74">
    <w:abstractNumId w:val="26"/>
  </w:num>
  <w:num w:numId="75">
    <w:abstractNumId w:val="118"/>
  </w:num>
  <w:num w:numId="76">
    <w:abstractNumId w:val="5"/>
  </w:num>
  <w:num w:numId="77">
    <w:abstractNumId w:val="25"/>
  </w:num>
  <w:num w:numId="78">
    <w:abstractNumId w:val="12"/>
  </w:num>
  <w:num w:numId="79">
    <w:abstractNumId w:val="122"/>
  </w:num>
  <w:num w:numId="80">
    <w:abstractNumId w:val="115"/>
  </w:num>
  <w:num w:numId="81">
    <w:abstractNumId w:val="73"/>
  </w:num>
  <w:num w:numId="82">
    <w:abstractNumId w:val="18"/>
  </w:num>
  <w:num w:numId="83">
    <w:abstractNumId w:val="69"/>
  </w:num>
  <w:num w:numId="84">
    <w:abstractNumId w:val="102"/>
  </w:num>
  <w:num w:numId="85">
    <w:abstractNumId w:val="99"/>
  </w:num>
  <w:num w:numId="86">
    <w:abstractNumId w:val="63"/>
  </w:num>
  <w:num w:numId="87">
    <w:abstractNumId w:val="121"/>
  </w:num>
  <w:num w:numId="88">
    <w:abstractNumId w:val="95"/>
  </w:num>
  <w:num w:numId="89">
    <w:abstractNumId w:val="42"/>
  </w:num>
  <w:num w:numId="90">
    <w:abstractNumId w:val="31"/>
  </w:num>
  <w:num w:numId="91">
    <w:abstractNumId w:val="138"/>
  </w:num>
  <w:num w:numId="92">
    <w:abstractNumId w:val="125"/>
  </w:num>
  <w:num w:numId="93">
    <w:abstractNumId w:val="51"/>
  </w:num>
  <w:num w:numId="94">
    <w:abstractNumId w:val="66"/>
  </w:num>
  <w:num w:numId="95">
    <w:abstractNumId w:val="33"/>
  </w:num>
  <w:num w:numId="96">
    <w:abstractNumId w:val="70"/>
  </w:num>
  <w:num w:numId="97">
    <w:abstractNumId w:val="80"/>
  </w:num>
  <w:num w:numId="98">
    <w:abstractNumId w:val="62"/>
  </w:num>
  <w:num w:numId="99">
    <w:abstractNumId w:val="17"/>
  </w:num>
  <w:num w:numId="100">
    <w:abstractNumId w:val="35"/>
  </w:num>
  <w:num w:numId="101">
    <w:abstractNumId w:val="34"/>
  </w:num>
  <w:num w:numId="102">
    <w:abstractNumId w:val="116"/>
  </w:num>
  <w:num w:numId="103">
    <w:abstractNumId w:val="24"/>
  </w:num>
  <w:num w:numId="104">
    <w:abstractNumId w:val="140"/>
  </w:num>
  <w:num w:numId="105">
    <w:abstractNumId w:val="97"/>
  </w:num>
  <w:num w:numId="106">
    <w:abstractNumId w:val="106"/>
  </w:num>
  <w:num w:numId="107">
    <w:abstractNumId w:val="36"/>
  </w:num>
  <w:num w:numId="108">
    <w:abstractNumId w:val="29"/>
  </w:num>
  <w:num w:numId="109">
    <w:abstractNumId w:val="3"/>
  </w:num>
  <w:num w:numId="110">
    <w:abstractNumId w:val="110"/>
  </w:num>
  <w:num w:numId="111">
    <w:abstractNumId w:val="46"/>
  </w:num>
  <w:num w:numId="112">
    <w:abstractNumId w:val="4"/>
  </w:num>
  <w:num w:numId="113">
    <w:abstractNumId w:val="49"/>
  </w:num>
  <w:num w:numId="114">
    <w:abstractNumId w:val="85"/>
  </w:num>
  <w:num w:numId="115">
    <w:abstractNumId w:val="52"/>
  </w:num>
  <w:num w:numId="116">
    <w:abstractNumId w:val="129"/>
  </w:num>
  <w:num w:numId="117">
    <w:abstractNumId w:val="117"/>
  </w:num>
  <w:num w:numId="1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9"/>
  </w:num>
  <w:num w:numId="120">
    <w:abstractNumId w:val="109"/>
    <w:lvlOverride w:ilvl="0">
      <w:startOverride w:val="2"/>
    </w:lvlOverride>
  </w:num>
  <w:num w:numId="121">
    <w:abstractNumId w:val="109"/>
    <w:lvlOverride w:ilvl="0">
      <w:startOverride w:val="2"/>
    </w:lvlOverride>
  </w:num>
  <w:num w:numId="1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4"/>
  </w:num>
  <w:num w:numId="124">
    <w:abstractNumId w:val="23"/>
    <w:lvlOverride w:ilvl="0">
      <w:startOverride w:val="4"/>
    </w:lvlOverride>
    <w:lvlOverride w:ilvl="1">
      <w:startOverride w:val="3"/>
    </w:lvlOverride>
  </w:num>
  <w:num w:numId="1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5"/>
    <w:lvlOverride w:ilvl="0">
      <w:lvl w:ilvl="0">
        <w:start w:val="4"/>
        <w:numFmt w:val="decimal"/>
        <w:lvlText w:val="%1."/>
        <w:lvlJc w:val="left"/>
        <w:pPr>
          <w:ind w:left="360" w:hanging="360"/>
        </w:pPr>
        <w:rPr>
          <w:rFonts w:hint="default"/>
        </w:rPr>
      </w:lvl>
    </w:lvlOverride>
    <w:lvlOverride w:ilvl="1">
      <w:lvl w:ilvl="1">
        <w:start w:val="1"/>
        <w:numFmt w:val="none"/>
        <w:lvlRestart w:val="0"/>
        <w:lvlText w:val="%21.1"/>
        <w:lvlJc w:val="left"/>
        <w:pPr>
          <w:ind w:left="1069" w:hanging="360"/>
        </w:pPr>
        <w:rPr>
          <w:rFonts w:hint="default"/>
        </w:rPr>
      </w:lvl>
    </w:lvlOverride>
    <w:lvlOverride w:ilvl="2">
      <w:lvl w:ilvl="2">
        <w:start w:val="1"/>
        <w:numFmt w:val="decimal"/>
        <w:lvlText w:val="%1.%2.%3."/>
        <w:lvlJc w:val="left"/>
        <w:pPr>
          <w:ind w:left="2160" w:hanging="720"/>
        </w:pPr>
        <w:rPr>
          <w:rFonts w:hint="default"/>
        </w:rPr>
      </w:lvl>
    </w:lvlOverride>
    <w:lvlOverride w:ilvl="3">
      <w:lvl w:ilvl="3">
        <w:start w:val="1"/>
        <w:numFmt w:val="decimal"/>
        <w:lvlText w:val="%1.%2.%3.%4."/>
        <w:lvlJc w:val="left"/>
        <w:pPr>
          <w:ind w:left="2880" w:hanging="720"/>
        </w:pPr>
        <w:rPr>
          <w:rFonts w:hint="default"/>
        </w:rPr>
      </w:lvl>
    </w:lvlOverride>
    <w:lvlOverride w:ilvl="4">
      <w:lvl w:ilvl="4">
        <w:start w:val="1"/>
        <w:numFmt w:val="decimal"/>
        <w:lvlText w:val="%1.%2.%3.%4.%5."/>
        <w:lvlJc w:val="left"/>
        <w:pPr>
          <w:ind w:left="3960" w:hanging="1080"/>
        </w:pPr>
        <w:rPr>
          <w:rFonts w:hint="default"/>
        </w:rPr>
      </w:lvl>
    </w:lvlOverride>
    <w:lvlOverride w:ilvl="5">
      <w:lvl w:ilvl="5">
        <w:start w:val="1"/>
        <w:numFmt w:val="decimal"/>
        <w:lvlText w:val="%1.%2.%3.%4.%5.%6."/>
        <w:lvlJc w:val="left"/>
        <w:pPr>
          <w:ind w:left="4680" w:hanging="108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480" w:hanging="1440"/>
        </w:pPr>
        <w:rPr>
          <w:rFonts w:hint="default"/>
        </w:rPr>
      </w:lvl>
    </w:lvlOverride>
    <w:lvlOverride w:ilvl="8">
      <w:lvl w:ilvl="8">
        <w:start w:val="1"/>
        <w:numFmt w:val="decimal"/>
        <w:lvlText w:val="%1.%2.%3.%4.%5.%6.%7.%8.%9."/>
        <w:lvlJc w:val="left"/>
        <w:pPr>
          <w:ind w:left="7560" w:hanging="1800"/>
        </w:pPr>
        <w:rPr>
          <w:rFonts w:hint="default"/>
        </w:rPr>
      </w:lvl>
    </w:lvlOverride>
  </w:num>
  <w:num w:numId="128">
    <w:abstractNumId w:val="23"/>
    <w:lvlOverride w:ilvl="0">
      <w:startOverride w:val="1"/>
    </w:lvlOverride>
    <w:lvlOverride w:ilvl="1">
      <w:startOverride w:val="2"/>
    </w:lvlOverride>
  </w:num>
  <w:num w:numId="129">
    <w:abstractNumId w:val="10"/>
  </w:num>
  <w:num w:numId="1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3"/>
    <w:lvlOverride w:ilvl="0">
      <w:startOverride w:val="1"/>
    </w:lvlOverride>
    <w:lvlOverride w:ilvl="1">
      <w:startOverride w:val="2"/>
    </w:lvlOverride>
  </w:num>
  <w:num w:numId="133">
    <w:abstractNumId w:val="101"/>
  </w:num>
  <w:num w:numId="1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7"/>
  </w:num>
  <w:num w:numId="136">
    <w:abstractNumId w:val="23"/>
    <w:lvlOverride w:ilvl="0">
      <w:startOverride w:val="1"/>
    </w:lvlOverride>
    <w:lvlOverride w:ilvl="1">
      <w:startOverride w:val="3"/>
    </w:lvlOverride>
  </w:num>
  <w:num w:numId="137">
    <w:abstractNumId w:val="123"/>
  </w:num>
  <w:num w:numId="138">
    <w:abstractNumId w:val="23"/>
    <w:lvlOverride w:ilvl="0">
      <w:startOverride w:val="2"/>
    </w:lvlOverride>
    <w:lvlOverride w:ilvl="1">
      <w:startOverride w:val="2"/>
    </w:lvlOverride>
  </w:num>
  <w:num w:numId="139">
    <w:abstractNumId w:val="136"/>
  </w:num>
  <w:num w:numId="140">
    <w:abstractNumId w:val="23"/>
    <w:lvlOverride w:ilvl="0">
      <w:startOverride w:val="3"/>
    </w:lvlOverride>
    <w:lvlOverride w:ilvl="1">
      <w:startOverride w:val="2"/>
    </w:lvlOverride>
  </w:num>
  <w:num w:numId="141">
    <w:abstractNumId w:val="56"/>
  </w:num>
  <w:num w:numId="142">
    <w:abstractNumId w:val="1"/>
  </w:num>
  <w:num w:numId="1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3"/>
    <w:lvlOverride w:ilvl="0">
      <w:startOverride w:val="1"/>
    </w:lvlOverride>
    <w:lvlOverride w:ilvl="1">
      <w:startOverride w:val="2"/>
    </w:lvlOverride>
  </w:num>
  <w:num w:numId="148">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4"/>
    </w:lvlOverride>
    <w:lvlOverride w:ilvl="1">
      <w:startOverride w:val="1"/>
    </w:lvlOverride>
  </w:num>
  <w:num w:numId="151">
    <w:abstractNumId w:val="47"/>
  </w:num>
  <w:num w:numId="152">
    <w:abstractNumId w:val="15"/>
  </w:num>
  <w:num w:numId="153">
    <w:abstractNumId w:val="21"/>
  </w:num>
  <w:num w:numId="154">
    <w:abstractNumId w:val="133"/>
  </w:num>
  <w:num w:numId="155">
    <w:abstractNumId w:val="16"/>
  </w:num>
  <w:num w:numId="156">
    <w:abstractNumId w:val="27"/>
  </w:num>
  <w:num w:numId="157">
    <w:abstractNumId w:val="83"/>
  </w:num>
  <w:num w:numId="158">
    <w:abstractNumId w:val="76"/>
  </w:num>
  <w:num w:numId="159">
    <w:abstractNumId w:val="88"/>
  </w:num>
  <w:num w:numId="160">
    <w:abstractNumId w:val="0"/>
  </w:num>
  <w:num w:numId="161">
    <w:abstractNumId w:val="8"/>
  </w:num>
  <w:num w:numId="162">
    <w:abstractNumId w:val="72"/>
  </w:num>
  <w:num w:numId="163">
    <w:abstractNumId w:val="91"/>
  </w:num>
  <w:num w:numId="164">
    <w:abstractNumId w:val="135"/>
  </w:num>
  <w:num w:numId="165">
    <w:abstractNumId w:val="119"/>
  </w:num>
  <w:num w:numId="166">
    <w:abstractNumId w:val="23"/>
    <w:lvlOverride w:ilvl="0">
      <w:startOverride w:val="4"/>
    </w:lvlOverride>
    <w:lvlOverride w:ilvl="1">
      <w:startOverride w:val="1"/>
    </w:lvlOverride>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FF9"/>
    <w:rsid w:val="00002E1E"/>
    <w:rsid w:val="000111E2"/>
    <w:rsid w:val="0002562E"/>
    <w:rsid w:val="00026526"/>
    <w:rsid w:val="00037B40"/>
    <w:rsid w:val="00044672"/>
    <w:rsid w:val="00046F45"/>
    <w:rsid w:val="00052C32"/>
    <w:rsid w:val="00056E28"/>
    <w:rsid w:val="00060A16"/>
    <w:rsid w:val="0006205C"/>
    <w:rsid w:val="00065409"/>
    <w:rsid w:val="00067096"/>
    <w:rsid w:val="00072C3F"/>
    <w:rsid w:val="00074AAD"/>
    <w:rsid w:val="0007745B"/>
    <w:rsid w:val="0008281A"/>
    <w:rsid w:val="00082DE3"/>
    <w:rsid w:val="000838F1"/>
    <w:rsid w:val="00085D27"/>
    <w:rsid w:val="00086C59"/>
    <w:rsid w:val="00090B3C"/>
    <w:rsid w:val="00094B14"/>
    <w:rsid w:val="000A0E3A"/>
    <w:rsid w:val="000A2178"/>
    <w:rsid w:val="000A6693"/>
    <w:rsid w:val="000B1E0F"/>
    <w:rsid w:val="000B4FF9"/>
    <w:rsid w:val="000C1114"/>
    <w:rsid w:val="000C4956"/>
    <w:rsid w:val="000D7BA5"/>
    <w:rsid w:val="000E06E7"/>
    <w:rsid w:val="000E0FBD"/>
    <w:rsid w:val="000E727B"/>
    <w:rsid w:val="000F1C45"/>
    <w:rsid w:val="000F23E3"/>
    <w:rsid w:val="000F68A8"/>
    <w:rsid w:val="00102549"/>
    <w:rsid w:val="00103005"/>
    <w:rsid w:val="00107661"/>
    <w:rsid w:val="00114B32"/>
    <w:rsid w:val="00123E23"/>
    <w:rsid w:val="00127A35"/>
    <w:rsid w:val="001302C2"/>
    <w:rsid w:val="00131071"/>
    <w:rsid w:val="00140C45"/>
    <w:rsid w:val="0014664C"/>
    <w:rsid w:val="00146C48"/>
    <w:rsid w:val="00160F55"/>
    <w:rsid w:val="0016493D"/>
    <w:rsid w:val="00164A60"/>
    <w:rsid w:val="001679A8"/>
    <w:rsid w:val="00171702"/>
    <w:rsid w:val="001845E2"/>
    <w:rsid w:val="00190714"/>
    <w:rsid w:val="0019313F"/>
    <w:rsid w:val="001A14E0"/>
    <w:rsid w:val="001A3A3A"/>
    <w:rsid w:val="001A3CB6"/>
    <w:rsid w:val="001C4844"/>
    <w:rsid w:val="001C4F22"/>
    <w:rsid w:val="001C5CE4"/>
    <w:rsid w:val="001C71E3"/>
    <w:rsid w:val="001E0925"/>
    <w:rsid w:val="001E4A34"/>
    <w:rsid w:val="001F1C5D"/>
    <w:rsid w:val="001F5008"/>
    <w:rsid w:val="00201164"/>
    <w:rsid w:val="002028CD"/>
    <w:rsid w:val="00206B6C"/>
    <w:rsid w:val="00213B3D"/>
    <w:rsid w:val="002209C5"/>
    <w:rsid w:val="002210A7"/>
    <w:rsid w:val="00226FB6"/>
    <w:rsid w:val="00227348"/>
    <w:rsid w:val="00232E3E"/>
    <w:rsid w:val="00233D25"/>
    <w:rsid w:val="00236B6A"/>
    <w:rsid w:val="002403EB"/>
    <w:rsid w:val="00241B53"/>
    <w:rsid w:val="00242051"/>
    <w:rsid w:val="0024334F"/>
    <w:rsid w:val="002572A3"/>
    <w:rsid w:val="00264468"/>
    <w:rsid w:val="0028249B"/>
    <w:rsid w:val="00282FFC"/>
    <w:rsid w:val="00285497"/>
    <w:rsid w:val="002857CA"/>
    <w:rsid w:val="002860FC"/>
    <w:rsid w:val="00286ECE"/>
    <w:rsid w:val="00290E13"/>
    <w:rsid w:val="00295198"/>
    <w:rsid w:val="002957A0"/>
    <w:rsid w:val="002A180F"/>
    <w:rsid w:val="002A190B"/>
    <w:rsid w:val="002A2096"/>
    <w:rsid w:val="002B002D"/>
    <w:rsid w:val="002B0A22"/>
    <w:rsid w:val="002B15C1"/>
    <w:rsid w:val="002B1865"/>
    <w:rsid w:val="002B1B0A"/>
    <w:rsid w:val="002B6C1B"/>
    <w:rsid w:val="002C4138"/>
    <w:rsid w:val="002C4B9E"/>
    <w:rsid w:val="002D55B3"/>
    <w:rsid w:val="002E10E8"/>
    <w:rsid w:val="002E3D88"/>
    <w:rsid w:val="002E484E"/>
    <w:rsid w:val="002F0DCD"/>
    <w:rsid w:val="002F30B9"/>
    <w:rsid w:val="002F3670"/>
    <w:rsid w:val="002F3AB9"/>
    <w:rsid w:val="003111F0"/>
    <w:rsid w:val="003120B1"/>
    <w:rsid w:val="00315D77"/>
    <w:rsid w:val="00317BB6"/>
    <w:rsid w:val="00320099"/>
    <w:rsid w:val="003235C7"/>
    <w:rsid w:val="00324478"/>
    <w:rsid w:val="00327144"/>
    <w:rsid w:val="0033248D"/>
    <w:rsid w:val="00334394"/>
    <w:rsid w:val="00347B09"/>
    <w:rsid w:val="00353DE4"/>
    <w:rsid w:val="00362696"/>
    <w:rsid w:val="00366726"/>
    <w:rsid w:val="00375A26"/>
    <w:rsid w:val="00377AB9"/>
    <w:rsid w:val="0038242E"/>
    <w:rsid w:val="003A2806"/>
    <w:rsid w:val="003B35BC"/>
    <w:rsid w:val="003C1C8A"/>
    <w:rsid w:val="003D0DAF"/>
    <w:rsid w:val="003D235D"/>
    <w:rsid w:val="003E6F1B"/>
    <w:rsid w:val="00400BEB"/>
    <w:rsid w:val="00405911"/>
    <w:rsid w:val="00407D8B"/>
    <w:rsid w:val="00411412"/>
    <w:rsid w:val="00411A65"/>
    <w:rsid w:val="004125D6"/>
    <w:rsid w:val="00415196"/>
    <w:rsid w:val="00421574"/>
    <w:rsid w:val="0042292B"/>
    <w:rsid w:val="00430F4A"/>
    <w:rsid w:val="00432038"/>
    <w:rsid w:val="004321CD"/>
    <w:rsid w:val="00433756"/>
    <w:rsid w:val="00434A51"/>
    <w:rsid w:val="00435F96"/>
    <w:rsid w:val="00437F98"/>
    <w:rsid w:val="00444480"/>
    <w:rsid w:val="00444B03"/>
    <w:rsid w:val="00454232"/>
    <w:rsid w:val="00454835"/>
    <w:rsid w:val="00456329"/>
    <w:rsid w:val="00480CC0"/>
    <w:rsid w:val="00481859"/>
    <w:rsid w:val="00483520"/>
    <w:rsid w:val="00485947"/>
    <w:rsid w:val="004A2614"/>
    <w:rsid w:val="004A79A3"/>
    <w:rsid w:val="004B7766"/>
    <w:rsid w:val="004C19B1"/>
    <w:rsid w:val="004C6227"/>
    <w:rsid w:val="004D054F"/>
    <w:rsid w:val="004D1B32"/>
    <w:rsid w:val="004D7DD4"/>
    <w:rsid w:val="004F5E38"/>
    <w:rsid w:val="004F79A8"/>
    <w:rsid w:val="00501952"/>
    <w:rsid w:val="005045D6"/>
    <w:rsid w:val="00504C12"/>
    <w:rsid w:val="0050686C"/>
    <w:rsid w:val="0050779A"/>
    <w:rsid w:val="00512E0A"/>
    <w:rsid w:val="00520450"/>
    <w:rsid w:val="005275E5"/>
    <w:rsid w:val="00532A0E"/>
    <w:rsid w:val="00541A97"/>
    <w:rsid w:val="00547B9C"/>
    <w:rsid w:val="005511E1"/>
    <w:rsid w:val="0055650D"/>
    <w:rsid w:val="00561396"/>
    <w:rsid w:val="00563656"/>
    <w:rsid w:val="005754D3"/>
    <w:rsid w:val="00583FCE"/>
    <w:rsid w:val="0059686A"/>
    <w:rsid w:val="005B376A"/>
    <w:rsid w:val="005B5B0D"/>
    <w:rsid w:val="005C083C"/>
    <w:rsid w:val="005C2AFA"/>
    <w:rsid w:val="005C3BEE"/>
    <w:rsid w:val="005C54BD"/>
    <w:rsid w:val="005C62CF"/>
    <w:rsid w:val="005C68A3"/>
    <w:rsid w:val="005D1876"/>
    <w:rsid w:val="005D2534"/>
    <w:rsid w:val="005D66D8"/>
    <w:rsid w:val="005D6E07"/>
    <w:rsid w:val="005D7549"/>
    <w:rsid w:val="005E09A1"/>
    <w:rsid w:val="005E33A6"/>
    <w:rsid w:val="005F5FC6"/>
    <w:rsid w:val="00600311"/>
    <w:rsid w:val="00600CCF"/>
    <w:rsid w:val="00601C49"/>
    <w:rsid w:val="00603628"/>
    <w:rsid w:val="00611083"/>
    <w:rsid w:val="00611B1C"/>
    <w:rsid w:val="00613456"/>
    <w:rsid w:val="00620EE7"/>
    <w:rsid w:val="006215AC"/>
    <w:rsid w:val="00627CC5"/>
    <w:rsid w:val="00627DFF"/>
    <w:rsid w:val="00630941"/>
    <w:rsid w:val="00631A8B"/>
    <w:rsid w:val="006625B1"/>
    <w:rsid w:val="00664440"/>
    <w:rsid w:val="00666924"/>
    <w:rsid w:val="0068019D"/>
    <w:rsid w:val="0068264D"/>
    <w:rsid w:val="00684236"/>
    <w:rsid w:val="00695B54"/>
    <w:rsid w:val="006A06F2"/>
    <w:rsid w:val="006A1A8D"/>
    <w:rsid w:val="006A64EC"/>
    <w:rsid w:val="006A6965"/>
    <w:rsid w:val="006B72BA"/>
    <w:rsid w:val="006C08CE"/>
    <w:rsid w:val="006C2D88"/>
    <w:rsid w:val="006C5CC9"/>
    <w:rsid w:val="006C7E6D"/>
    <w:rsid w:val="006D3A5B"/>
    <w:rsid w:val="006D617B"/>
    <w:rsid w:val="006D7606"/>
    <w:rsid w:val="00712DD6"/>
    <w:rsid w:val="0072042E"/>
    <w:rsid w:val="007238AC"/>
    <w:rsid w:val="00724F1F"/>
    <w:rsid w:val="0072662A"/>
    <w:rsid w:val="00727436"/>
    <w:rsid w:val="00737E2F"/>
    <w:rsid w:val="00745FDE"/>
    <w:rsid w:val="00752E3B"/>
    <w:rsid w:val="007607FA"/>
    <w:rsid w:val="00764884"/>
    <w:rsid w:val="00767F4E"/>
    <w:rsid w:val="00772AE8"/>
    <w:rsid w:val="0077376F"/>
    <w:rsid w:val="007739BA"/>
    <w:rsid w:val="00776319"/>
    <w:rsid w:val="0079250D"/>
    <w:rsid w:val="0079332C"/>
    <w:rsid w:val="00794B80"/>
    <w:rsid w:val="00795481"/>
    <w:rsid w:val="007A04FA"/>
    <w:rsid w:val="007A61E1"/>
    <w:rsid w:val="007A77EC"/>
    <w:rsid w:val="007C08B8"/>
    <w:rsid w:val="007C4508"/>
    <w:rsid w:val="007E1E5B"/>
    <w:rsid w:val="007E5B50"/>
    <w:rsid w:val="007F1EF6"/>
    <w:rsid w:val="007F78E1"/>
    <w:rsid w:val="00802695"/>
    <w:rsid w:val="00802BBF"/>
    <w:rsid w:val="00803E69"/>
    <w:rsid w:val="00804142"/>
    <w:rsid w:val="008101C7"/>
    <w:rsid w:val="0081475D"/>
    <w:rsid w:val="00815A88"/>
    <w:rsid w:val="00820D34"/>
    <w:rsid w:val="0082188D"/>
    <w:rsid w:val="00825EC9"/>
    <w:rsid w:val="008325B9"/>
    <w:rsid w:val="0083314C"/>
    <w:rsid w:val="00833B3B"/>
    <w:rsid w:val="0084398E"/>
    <w:rsid w:val="00851C4E"/>
    <w:rsid w:val="0085381F"/>
    <w:rsid w:val="008538D6"/>
    <w:rsid w:val="00855599"/>
    <w:rsid w:val="00862C2B"/>
    <w:rsid w:val="00862E8A"/>
    <w:rsid w:val="00867B71"/>
    <w:rsid w:val="00870ECE"/>
    <w:rsid w:val="00871150"/>
    <w:rsid w:val="0087222E"/>
    <w:rsid w:val="00872E80"/>
    <w:rsid w:val="00872FBD"/>
    <w:rsid w:val="00873F80"/>
    <w:rsid w:val="008829C7"/>
    <w:rsid w:val="00882B77"/>
    <w:rsid w:val="00884AD2"/>
    <w:rsid w:val="008A0E99"/>
    <w:rsid w:val="008A7BDF"/>
    <w:rsid w:val="008C0B89"/>
    <w:rsid w:val="008C3A35"/>
    <w:rsid w:val="008E4798"/>
    <w:rsid w:val="008F6475"/>
    <w:rsid w:val="009001B9"/>
    <w:rsid w:val="0091484D"/>
    <w:rsid w:val="00920042"/>
    <w:rsid w:val="009217D6"/>
    <w:rsid w:val="00921891"/>
    <w:rsid w:val="009307E9"/>
    <w:rsid w:val="009343F9"/>
    <w:rsid w:val="00934C68"/>
    <w:rsid w:val="00940956"/>
    <w:rsid w:val="00946C83"/>
    <w:rsid w:val="00947DD6"/>
    <w:rsid w:val="00951FA4"/>
    <w:rsid w:val="00952D06"/>
    <w:rsid w:val="00952D0C"/>
    <w:rsid w:val="00952DF4"/>
    <w:rsid w:val="00954FD4"/>
    <w:rsid w:val="0095621A"/>
    <w:rsid w:val="00964AEC"/>
    <w:rsid w:val="00972708"/>
    <w:rsid w:val="00972B9A"/>
    <w:rsid w:val="00973E7D"/>
    <w:rsid w:val="00977E13"/>
    <w:rsid w:val="009823E6"/>
    <w:rsid w:val="009902F2"/>
    <w:rsid w:val="00997331"/>
    <w:rsid w:val="009A6B1C"/>
    <w:rsid w:val="009B2BC4"/>
    <w:rsid w:val="009B5838"/>
    <w:rsid w:val="009C0EB3"/>
    <w:rsid w:val="009C21BC"/>
    <w:rsid w:val="009C2E59"/>
    <w:rsid w:val="009D4424"/>
    <w:rsid w:val="009D5730"/>
    <w:rsid w:val="009E7B3D"/>
    <w:rsid w:val="009F325A"/>
    <w:rsid w:val="009F336B"/>
    <w:rsid w:val="00A06480"/>
    <w:rsid w:val="00A10AAB"/>
    <w:rsid w:val="00A10F57"/>
    <w:rsid w:val="00A156CC"/>
    <w:rsid w:val="00A21505"/>
    <w:rsid w:val="00A23145"/>
    <w:rsid w:val="00A2547B"/>
    <w:rsid w:val="00A30A1F"/>
    <w:rsid w:val="00A31B76"/>
    <w:rsid w:val="00A33A8A"/>
    <w:rsid w:val="00A427D4"/>
    <w:rsid w:val="00A4321F"/>
    <w:rsid w:val="00A4378F"/>
    <w:rsid w:val="00A47E88"/>
    <w:rsid w:val="00A538FD"/>
    <w:rsid w:val="00A5407E"/>
    <w:rsid w:val="00A605B0"/>
    <w:rsid w:val="00A60C9E"/>
    <w:rsid w:val="00A60D57"/>
    <w:rsid w:val="00A62167"/>
    <w:rsid w:val="00A67CC0"/>
    <w:rsid w:val="00A7147F"/>
    <w:rsid w:val="00A73FC1"/>
    <w:rsid w:val="00A75E7A"/>
    <w:rsid w:val="00A8070A"/>
    <w:rsid w:val="00A87E79"/>
    <w:rsid w:val="00A908F7"/>
    <w:rsid w:val="00A90B6D"/>
    <w:rsid w:val="00A91DFF"/>
    <w:rsid w:val="00A96B6C"/>
    <w:rsid w:val="00AB2D69"/>
    <w:rsid w:val="00AB63BC"/>
    <w:rsid w:val="00AC689E"/>
    <w:rsid w:val="00AD4F68"/>
    <w:rsid w:val="00AE3204"/>
    <w:rsid w:val="00AE524E"/>
    <w:rsid w:val="00AF3238"/>
    <w:rsid w:val="00B02170"/>
    <w:rsid w:val="00B05EE5"/>
    <w:rsid w:val="00B11230"/>
    <w:rsid w:val="00B126A3"/>
    <w:rsid w:val="00B14B29"/>
    <w:rsid w:val="00B16A14"/>
    <w:rsid w:val="00B21F35"/>
    <w:rsid w:val="00B3110E"/>
    <w:rsid w:val="00B32A8B"/>
    <w:rsid w:val="00B3430E"/>
    <w:rsid w:val="00B35DE7"/>
    <w:rsid w:val="00B45647"/>
    <w:rsid w:val="00B4630E"/>
    <w:rsid w:val="00B55C34"/>
    <w:rsid w:val="00B57959"/>
    <w:rsid w:val="00B648B4"/>
    <w:rsid w:val="00B65858"/>
    <w:rsid w:val="00B66679"/>
    <w:rsid w:val="00B70E50"/>
    <w:rsid w:val="00B7491C"/>
    <w:rsid w:val="00B81F52"/>
    <w:rsid w:val="00B8209B"/>
    <w:rsid w:val="00B82B43"/>
    <w:rsid w:val="00B900FC"/>
    <w:rsid w:val="00BA6ED5"/>
    <w:rsid w:val="00BB6B39"/>
    <w:rsid w:val="00BC0AF2"/>
    <w:rsid w:val="00BC3368"/>
    <w:rsid w:val="00BD729E"/>
    <w:rsid w:val="00BF07A6"/>
    <w:rsid w:val="00BF28A1"/>
    <w:rsid w:val="00BF57ED"/>
    <w:rsid w:val="00C04DA5"/>
    <w:rsid w:val="00C102E7"/>
    <w:rsid w:val="00C10942"/>
    <w:rsid w:val="00C123FE"/>
    <w:rsid w:val="00C17170"/>
    <w:rsid w:val="00C22156"/>
    <w:rsid w:val="00C27A16"/>
    <w:rsid w:val="00C30906"/>
    <w:rsid w:val="00C35812"/>
    <w:rsid w:val="00C42CCC"/>
    <w:rsid w:val="00C441C4"/>
    <w:rsid w:val="00C44494"/>
    <w:rsid w:val="00C474D0"/>
    <w:rsid w:val="00C52E13"/>
    <w:rsid w:val="00C625EE"/>
    <w:rsid w:val="00C63890"/>
    <w:rsid w:val="00C657C3"/>
    <w:rsid w:val="00C710FF"/>
    <w:rsid w:val="00C846B7"/>
    <w:rsid w:val="00C868E5"/>
    <w:rsid w:val="00C929E9"/>
    <w:rsid w:val="00C9349B"/>
    <w:rsid w:val="00CA1FF3"/>
    <w:rsid w:val="00CA7F02"/>
    <w:rsid w:val="00CB7C68"/>
    <w:rsid w:val="00CC042F"/>
    <w:rsid w:val="00CC2F88"/>
    <w:rsid w:val="00CD160A"/>
    <w:rsid w:val="00CD4AB0"/>
    <w:rsid w:val="00CE155C"/>
    <w:rsid w:val="00CE6651"/>
    <w:rsid w:val="00CE6E73"/>
    <w:rsid w:val="00CF2A2E"/>
    <w:rsid w:val="00D00CB5"/>
    <w:rsid w:val="00D04D2D"/>
    <w:rsid w:val="00D04EA9"/>
    <w:rsid w:val="00D0688F"/>
    <w:rsid w:val="00D11D21"/>
    <w:rsid w:val="00D12149"/>
    <w:rsid w:val="00D1479F"/>
    <w:rsid w:val="00D2233E"/>
    <w:rsid w:val="00D32199"/>
    <w:rsid w:val="00D32754"/>
    <w:rsid w:val="00D42DC8"/>
    <w:rsid w:val="00D43D62"/>
    <w:rsid w:val="00D4431A"/>
    <w:rsid w:val="00D57AA2"/>
    <w:rsid w:val="00D7560C"/>
    <w:rsid w:val="00D77269"/>
    <w:rsid w:val="00D77297"/>
    <w:rsid w:val="00D77543"/>
    <w:rsid w:val="00D80019"/>
    <w:rsid w:val="00D819EB"/>
    <w:rsid w:val="00D85C39"/>
    <w:rsid w:val="00D94938"/>
    <w:rsid w:val="00D96C4F"/>
    <w:rsid w:val="00DA0712"/>
    <w:rsid w:val="00DA0A6B"/>
    <w:rsid w:val="00DA3D4E"/>
    <w:rsid w:val="00DB5605"/>
    <w:rsid w:val="00DB6BEE"/>
    <w:rsid w:val="00DB6F21"/>
    <w:rsid w:val="00DB7EDB"/>
    <w:rsid w:val="00DC1C1D"/>
    <w:rsid w:val="00DC5E24"/>
    <w:rsid w:val="00DD38E4"/>
    <w:rsid w:val="00DD4BBB"/>
    <w:rsid w:val="00DE32C3"/>
    <w:rsid w:val="00DE3F3E"/>
    <w:rsid w:val="00DE5E05"/>
    <w:rsid w:val="00E124C7"/>
    <w:rsid w:val="00E126A2"/>
    <w:rsid w:val="00E1433F"/>
    <w:rsid w:val="00E24084"/>
    <w:rsid w:val="00E24FF2"/>
    <w:rsid w:val="00E26941"/>
    <w:rsid w:val="00E30291"/>
    <w:rsid w:val="00E3086F"/>
    <w:rsid w:val="00E55959"/>
    <w:rsid w:val="00E56D26"/>
    <w:rsid w:val="00E61B7D"/>
    <w:rsid w:val="00E649BF"/>
    <w:rsid w:val="00E6692A"/>
    <w:rsid w:val="00E75913"/>
    <w:rsid w:val="00E763C4"/>
    <w:rsid w:val="00E8039C"/>
    <w:rsid w:val="00E83C7F"/>
    <w:rsid w:val="00E8423B"/>
    <w:rsid w:val="00E8480A"/>
    <w:rsid w:val="00E91A7F"/>
    <w:rsid w:val="00E91AB9"/>
    <w:rsid w:val="00E95E12"/>
    <w:rsid w:val="00EA118F"/>
    <w:rsid w:val="00EA6636"/>
    <w:rsid w:val="00EB6D98"/>
    <w:rsid w:val="00EB7648"/>
    <w:rsid w:val="00EC06BF"/>
    <w:rsid w:val="00EC079D"/>
    <w:rsid w:val="00EC0D8C"/>
    <w:rsid w:val="00EC23FC"/>
    <w:rsid w:val="00EC6BD4"/>
    <w:rsid w:val="00ED570B"/>
    <w:rsid w:val="00EE3237"/>
    <w:rsid w:val="00EE3E30"/>
    <w:rsid w:val="00EF4BFD"/>
    <w:rsid w:val="00EF64DF"/>
    <w:rsid w:val="00EF7A93"/>
    <w:rsid w:val="00EF7D0E"/>
    <w:rsid w:val="00F079DC"/>
    <w:rsid w:val="00F10EBA"/>
    <w:rsid w:val="00F232DB"/>
    <w:rsid w:val="00F432AA"/>
    <w:rsid w:val="00F43F69"/>
    <w:rsid w:val="00F45095"/>
    <w:rsid w:val="00F524F8"/>
    <w:rsid w:val="00F57484"/>
    <w:rsid w:val="00F62101"/>
    <w:rsid w:val="00F62B62"/>
    <w:rsid w:val="00F633C9"/>
    <w:rsid w:val="00F63EF4"/>
    <w:rsid w:val="00F642DD"/>
    <w:rsid w:val="00F65A46"/>
    <w:rsid w:val="00F80092"/>
    <w:rsid w:val="00F83B0E"/>
    <w:rsid w:val="00F83C8E"/>
    <w:rsid w:val="00F865E0"/>
    <w:rsid w:val="00F877EB"/>
    <w:rsid w:val="00F913DF"/>
    <w:rsid w:val="00F915BC"/>
    <w:rsid w:val="00F961CF"/>
    <w:rsid w:val="00FA6B7C"/>
    <w:rsid w:val="00FB03F1"/>
    <w:rsid w:val="00FC7C5F"/>
    <w:rsid w:val="00FD12BD"/>
    <w:rsid w:val="00FE0238"/>
    <w:rsid w:val="00FE1E7D"/>
    <w:rsid w:val="00FE4D8E"/>
    <w:rsid w:val="00FE4F87"/>
    <w:rsid w:val="00FF2506"/>
    <w:rsid w:val="00FF372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E8AC4E"/>
  <w15:chartTrackingRefBased/>
  <w15:docId w15:val="{64D3FE99-9BB1-465D-BC7F-527B4C88A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pPr>
    <w:rPr>
      <w:rFonts w:ascii="Times New Roman" w:hAnsi="Times New Roman"/>
      <w:sz w:val="24"/>
    </w:rPr>
  </w:style>
  <w:style w:type="paragraph" w:styleId="Titre1">
    <w:name w:val="heading 1"/>
    <w:basedOn w:val="Normal"/>
    <w:next w:val="Normal"/>
    <w:link w:val="Titre1Car"/>
    <w:autoRedefine/>
    <w:uiPriority w:val="9"/>
    <w:qFormat/>
    <w:rsid w:val="0077376F"/>
    <w:pPr>
      <w:keepNext/>
      <w:keepLines/>
      <w:spacing w:before="240" w:after="0"/>
      <w:outlineLvl w:val="0"/>
    </w:pPr>
    <w:rPr>
      <w:rFonts w:eastAsiaTheme="majorEastAsia" w:cstheme="majorBidi"/>
      <w:b/>
      <w:color w:val="000000" w:themeColor="text1"/>
      <w:sz w:val="28"/>
      <w:szCs w:val="32"/>
    </w:rPr>
  </w:style>
  <w:style w:type="paragraph" w:styleId="Titre2">
    <w:name w:val="heading 2"/>
    <w:basedOn w:val="Normal"/>
    <w:next w:val="Normal"/>
    <w:link w:val="Titre2Car"/>
    <w:autoRedefine/>
    <w:uiPriority w:val="9"/>
    <w:unhideWhenUsed/>
    <w:qFormat/>
    <w:rsid w:val="00F83C8E"/>
    <w:pPr>
      <w:keepNext/>
      <w:keepLines/>
      <w:numPr>
        <w:numId w:val="53"/>
      </w:numPr>
      <w:spacing w:before="40" w:after="0"/>
      <w:jc w:val="both"/>
      <w:outlineLvl w:val="1"/>
    </w:pPr>
    <w:rPr>
      <w:rFonts w:eastAsiaTheme="majorEastAsia" w:cstheme="majorBidi"/>
      <w:b/>
      <w:color w:val="000000" w:themeColor="text1"/>
      <w:szCs w:val="26"/>
    </w:rPr>
  </w:style>
  <w:style w:type="paragraph" w:styleId="Titre3">
    <w:name w:val="heading 3"/>
    <w:basedOn w:val="Normal"/>
    <w:link w:val="Titre3Car"/>
    <w:autoRedefine/>
    <w:uiPriority w:val="9"/>
    <w:qFormat/>
    <w:rsid w:val="0050686C"/>
    <w:pPr>
      <w:numPr>
        <w:numId w:val="164"/>
      </w:numPr>
      <w:spacing w:before="100" w:beforeAutospacing="1" w:after="100" w:afterAutospacing="1" w:line="240" w:lineRule="auto"/>
      <w:jc w:val="both"/>
      <w:outlineLvl w:val="2"/>
    </w:pPr>
    <w:rPr>
      <w:rFonts w:eastAsia="Times New Roman" w:cs="Times New Roman"/>
      <w:b/>
      <w:bCs/>
      <w:color w:val="000000" w:themeColor="text1"/>
      <w:szCs w:val="27"/>
      <w:lang w:eastAsia="fr-FR"/>
    </w:rPr>
  </w:style>
  <w:style w:type="paragraph" w:styleId="Titre4">
    <w:name w:val="heading 4"/>
    <w:basedOn w:val="Normal"/>
    <w:link w:val="Titre4Car"/>
    <w:uiPriority w:val="9"/>
    <w:qFormat/>
    <w:rsid w:val="00934C68"/>
    <w:pPr>
      <w:numPr>
        <w:numId w:val="119"/>
      </w:numPr>
      <w:spacing w:before="100" w:beforeAutospacing="1" w:after="100" w:afterAutospacing="1"/>
      <w:jc w:val="both"/>
      <w:outlineLvl w:val="3"/>
    </w:pPr>
    <w:rPr>
      <w:rFonts w:eastAsia="Times New Roman" w:cs="Times New Roman"/>
      <w:bCs/>
      <w:color w:val="000000" w:themeColor="text1"/>
      <w:szCs w:val="24"/>
      <w:lang w:eastAsia="fr-FR"/>
    </w:rPr>
  </w:style>
  <w:style w:type="paragraph" w:styleId="Titre5">
    <w:name w:val="heading 5"/>
    <w:basedOn w:val="Normal"/>
    <w:next w:val="Normal"/>
    <w:link w:val="Titre5Car"/>
    <w:autoRedefine/>
    <w:uiPriority w:val="9"/>
    <w:unhideWhenUsed/>
    <w:qFormat/>
    <w:rsid w:val="0072042E"/>
    <w:pPr>
      <w:keepNext/>
      <w:keepLines/>
      <w:numPr>
        <w:numId w:val="142"/>
      </w:numPr>
      <w:spacing w:before="40" w:after="0"/>
      <w:jc w:val="both"/>
      <w:outlineLvl w:val="4"/>
    </w:pPr>
    <w:rPr>
      <w:rFonts w:eastAsiaTheme="minorEastAsia" w:cstheme="majorBidi"/>
      <w:b/>
      <w:color w:val="000000" w:themeColor="text1"/>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F877EB"/>
    <w:pPr>
      <w:spacing w:before="100" w:beforeAutospacing="1" w:after="100" w:afterAutospacing="1" w:line="240" w:lineRule="auto"/>
    </w:pPr>
    <w:rPr>
      <w:rFonts w:eastAsia="Times New Roman" w:cs="Times New Roman"/>
      <w:szCs w:val="24"/>
      <w:lang w:eastAsia="fr-FR"/>
    </w:rPr>
  </w:style>
  <w:style w:type="table" w:styleId="Grilledutableau">
    <w:name w:val="Table Grid"/>
    <w:basedOn w:val="TableauNormal"/>
    <w:uiPriority w:val="59"/>
    <w:rsid w:val="00F877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E1433F"/>
    <w:pPr>
      <w:tabs>
        <w:tab w:val="center" w:pos="4536"/>
        <w:tab w:val="right" w:pos="9072"/>
      </w:tabs>
      <w:spacing w:after="0" w:line="240" w:lineRule="auto"/>
    </w:pPr>
  </w:style>
  <w:style w:type="character" w:customStyle="1" w:styleId="En-tteCar">
    <w:name w:val="En-tête Car"/>
    <w:basedOn w:val="Policepardfaut"/>
    <w:link w:val="En-tte"/>
    <w:uiPriority w:val="99"/>
    <w:rsid w:val="00E1433F"/>
  </w:style>
  <w:style w:type="paragraph" w:styleId="Pieddepage">
    <w:name w:val="footer"/>
    <w:basedOn w:val="Normal"/>
    <w:link w:val="PieddepageCar"/>
    <w:uiPriority w:val="99"/>
    <w:unhideWhenUsed/>
    <w:rsid w:val="00E1433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1433F"/>
  </w:style>
  <w:style w:type="character" w:customStyle="1" w:styleId="Titre3Car">
    <w:name w:val="Titre 3 Car"/>
    <w:basedOn w:val="Policepardfaut"/>
    <w:link w:val="Titre3"/>
    <w:uiPriority w:val="9"/>
    <w:rsid w:val="0050686C"/>
    <w:rPr>
      <w:rFonts w:ascii="Times New Roman" w:eastAsia="Times New Roman" w:hAnsi="Times New Roman" w:cs="Times New Roman"/>
      <w:b/>
      <w:bCs/>
      <w:color w:val="000000" w:themeColor="text1"/>
      <w:sz w:val="24"/>
      <w:szCs w:val="27"/>
      <w:lang w:eastAsia="fr-FR"/>
    </w:rPr>
  </w:style>
  <w:style w:type="character" w:customStyle="1" w:styleId="Titre4Car">
    <w:name w:val="Titre 4 Car"/>
    <w:basedOn w:val="Policepardfaut"/>
    <w:link w:val="Titre4"/>
    <w:uiPriority w:val="9"/>
    <w:rsid w:val="004125D6"/>
    <w:rPr>
      <w:rFonts w:ascii="Times New Roman" w:eastAsia="Times New Roman" w:hAnsi="Times New Roman" w:cs="Times New Roman"/>
      <w:bCs/>
      <w:color w:val="000000" w:themeColor="text1"/>
      <w:sz w:val="24"/>
      <w:szCs w:val="24"/>
      <w:lang w:eastAsia="fr-FR"/>
    </w:rPr>
  </w:style>
  <w:style w:type="character" w:styleId="lev">
    <w:name w:val="Strong"/>
    <w:basedOn w:val="Policepardfaut"/>
    <w:uiPriority w:val="22"/>
    <w:qFormat/>
    <w:rsid w:val="00727436"/>
    <w:rPr>
      <w:rFonts w:ascii="Times New Roman" w:hAnsi="Times New Roman"/>
      <w:b/>
      <w:bCs/>
      <w:sz w:val="32"/>
    </w:rPr>
  </w:style>
  <w:style w:type="character" w:customStyle="1" w:styleId="Titre5Car">
    <w:name w:val="Titre 5 Car"/>
    <w:basedOn w:val="Policepardfaut"/>
    <w:link w:val="Titre5"/>
    <w:uiPriority w:val="9"/>
    <w:rsid w:val="0072042E"/>
    <w:rPr>
      <w:rFonts w:ascii="Times New Roman" w:eastAsiaTheme="minorEastAsia" w:hAnsi="Times New Roman" w:cstheme="majorBidi"/>
      <w:b/>
      <w:color w:val="000000" w:themeColor="text1"/>
      <w:sz w:val="24"/>
      <w:lang w:eastAsia="fr-FR"/>
    </w:rPr>
  </w:style>
  <w:style w:type="paragraph" w:styleId="Paragraphedeliste">
    <w:name w:val="List Paragraph"/>
    <w:basedOn w:val="Normal"/>
    <w:uiPriority w:val="34"/>
    <w:qFormat/>
    <w:rsid w:val="002210A7"/>
    <w:pPr>
      <w:spacing w:after="200" w:line="276" w:lineRule="auto"/>
      <w:ind w:left="720"/>
      <w:contextualSpacing/>
    </w:pPr>
    <w:rPr>
      <w:rFonts w:eastAsiaTheme="minorEastAsia"/>
      <w:lang w:eastAsia="fr-FR"/>
    </w:rPr>
  </w:style>
  <w:style w:type="character" w:styleId="Lienhypertexte">
    <w:name w:val="Hyperlink"/>
    <w:basedOn w:val="Policepardfaut"/>
    <w:uiPriority w:val="99"/>
    <w:unhideWhenUsed/>
    <w:rsid w:val="002210A7"/>
    <w:rPr>
      <w:color w:val="0000FF"/>
      <w:u w:val="single"/>
    </w:rPr>
  </w:style>
  <w:style w:type="character" w:customStyle="1" w:styleId="fadeinm1hgl8">
    <w:name w:val="_fadein_m1hgl_8"/>
    <w:basedOn w:val="Policepardfaut"/>
    <w:rsid w:val="002210A7"/>
  </w:style>
  <w:style w:type="paragraph" w:styleId="Notedebasdepage">
    <w:name w:val="footnote text"/>
    <w:basedOn w:val="Normal"/>
    <w:link w:val="NotedebasdepageCar"/>
    <w:uiPriority w:val="99"/>
    <w:unhideWhenUsed/>
    <w:rsid w:val="002210A7"/>
    <w:pPr>
      <w:spacing w:after="0" w:line="240" w:lineRule="auto"/>
    </w:pPr>
    <w:rPr>
      <w:sz w:val="20"/>
      <w:szCs w:val="20"/>
    </w:rPr>
  </w:style>
  <w:style w:type="character" w:customStyle="1" w:styleId="NotedebasdepageCar">
    <w:name w:val="Note de bas de page Car"/>
    <w:basedOn w:val="Policepardfaut"/>
    <w:link w:val="Notedebasdepage"/>
    <w:uiPriority w:val="99"/>
    <w:rsid w:val="002210A7"/>
    <w:rPr>
      <w:sz w:val="20"/>
      <w:szCs w:val="20"/>
    </w:rPr>
  </w:style>
  <w:style w:type="character" w:styleId="Appelnotedebasdep">
    <w:name w:val="footnote reference"/>
    <w:basedOn w:val="Policepardfaut"/>
    <w:uiPriority w:val="99"/>
    <w:semiHidden/>
    <w:unhideWhenUsed/>
    <w:rsid w:val="002210A7"/>
    <w:rPr>
      <w:vertAlign w:val="superscript"/>
    </w:rPr>
  </w:style>
  <w:style w:type="table" w:styleId="Grilledetableauclaire">
    <w:name w:val="Grid Table Light"/>
    <w:basedOn w:val="TableauNormal"/>
    <w:uiPriority w:val="40"/>
    <w:rsid w:val="002210A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ccentuation">
    <w:name w:val="Emphasis"/>
    <w:basedOn w:val="Policepardfaut"/>
    <w:uiPriority w:val="20"/>
    <w:qFormat/>
    <w:rsid w:val="002210A7"/>
    <w:rPr>
      <w:i/>
      <w:iCs/>
    </w:rPr>
  </w:style>
  <w:style w:type="paragraph" w:customStyle="1" w:styleId="ChapterTitle">
    <w:name w:val="ChapterTitle"/>
    <w:rPr>
      <w:rFonts w:ascii="Times New Roman" w:hAnsi="Times New Roman"/>
      <w:b/>
      <w:sz w:val="32"/>
    </w:rPr>
  </w:style>
  <w:style w:type="paragraph" w:customStyle="1" w:styleId="SectionTitle">
    <w:name w:val="SectionTitle"/>
    <w:rPr>
      <w:rFonts w:ascii="Times New Roman" w:hAnsi="Times New Roman"/>
      <w:b/>
      <w:sz w:val="28"/>
    </w:rPr>
  </w:style>
  <w:style w:type="paragraph" w:customStyle="1" w:styleId="SubSectionTitle">
    <w:name w:val="SubSectionTitle"/>
    <w:rPr>
      <w:rFonts w:ascii="Times New Roman" w:hAnsi="Times New Roman"/>
      <w:sz w:val="24"/>
    </w:rPr>
  </w:style>
  <w:style w:type="character" w:customStyle="1" w:styleId="relative">
    <w:name w:val="relative"/>
    <w:basedOn w:val="Policepardfaut"/>
    <w:rsid w:val="00190714"/>
  </w:style>
  <w:style w:type="character" w:customStyle="1" w:styleId="Titre1Car">
    <w:name w:val="Titre 1 Car"/>
    <w:basedOn w:val="Policepardfaut"/>
    <w:link w:val="Titre1"/>
    <w:uiPriority w:val="9"/>
    <w:rsid w:val="0077376F"/>
    <w:rPr>
      <w:rFonts w:ascii="Times New Roman" w:eastAsiaTheme="majorEastAsia" w:hAnsi="Times New Roman" w:cstheme="majorBidi"/>
      <w:b/>
      <w:color w:val="000000" w:themeColor="text1"/>
      <w:sz w:val="28"/>
      <w:szCs w:val="32"/>
    </w:rPr>
  </w:style>
  <w:style w:type="paragraph" w:styleId="Titre">
    <w:name w:val="Title"/>
    <w:basedOn w:val="Normal"/>
    <w:next w:val="Normal"/>
    <w:link w:val="TitreCar"/>
    <w:autoRedefine/>
    <w:uiPriority w:val="10"/>
    <w:qFormat/>
    <w:rsid w:val="00CD160A"/>
    <w:pPr>
      <w:spacing w:after="0" w:line="240" w:lineRule="auto"/>
      <w:contextualSpacing/>
      <w:jc w:val="center"/>
    </w:pPr>
    <w:rPr>
      <w:rFonts w:eastAsiaTheme="majorEastAsia" w:cstheme="majorBidi"/>
      <w:b/>
      <w:spacing w:val="-10"/>
      <w:kern w:val="28"/>
      <w:sz w:val="40"/>
      <w:szCs w:val="40"/>
    </w:rPr>
  </w:style>
  <w:style w:type="character" w:customStyle="1" w:styleId="TitreCar">
    <w:name w:val="Titre Car"/>
    <w:basedOn w:val="Policepardfaut"/>
    <w:link w:val="Titre"/>
    <w:uiPriority w:val="10"/>
    <w:rsid w:val="00CD160A"/>
    <w:rPr>
      <w:rFonts w:ascii="Times New Roman" w:eastAsiaTheme="majorEastAsia" w:hAnsi="Times New Roman" w:cstheme="majorBidi"/>
      <w:b/>
      <w:spacing w:val="-10"/>
      <w:kern w:val="28"/>
      <w:sz w:val="40"/>
      <w:szCs w:val="40"/>
    </w:rPr>
  </w:style>
  <w:style w:type="character" w:customStyle="1" w:styleId="Titre2Car">
    <w:name w:val="Titre 2 Car"/>
    <w:basedOn w:val="Policepardfaut"/>
    <w:link w:val="Titre2"/>
    <w:uiPriority w:val="9"/>
    <w:rsid w:val="00F83C8E"/>
    <w:rPr>
      <w:rFonts w:ascii="Times New Roman" w:eastAsiaTheme="majorEastAsia" w:hAnsi="Times New Roman" w:cstheme="majorBidi"/>
      <w:b/>
      <w:color w:val="000000" w:themeColor="text1"/>
      <w:sz w:val="24"/>
      <w:szCs w:val="26"/>
    </w:rPr>
  </w:style>
  <w:style w:type="paragraph" w:styleId="En-ttedetabledesmatires">
    <w:name w:val="TOC Heading"/>
    <w:basedOn w:val="Titre1"/>
    <w:next w:val="Normal"/>
    <w:uiPriority w:val="39"/>
    <w:unhideWhenUsed/>
    <w:qFormat/>
    <w:rsid w:val="00F83C8E"/>
    <w:pPr>
      <w:spacing w:line="259" w:lineRule="auto"/>
      <w:outlineLvl w:val="9"/>
    </w:pPr>
    <w:rPr>
      <w:rFonts w:asciiTheme="majorHAnsi" w:hAnsiTheme="majorHAnsi"/>
      <w:b w:val="0"/>
      <w:color w:val="2E74B5" w:themeColor="accent1" w:themeShade="BF"/>
      <w:sz w:val="32"/>
      <w:lang w:eastAsia="fr-FR"/>
    </w:rPr>
  </w:style>
  <w:style w:type="paragraph" w:styleId="TM1">
    <w:name w:val="toc 1"/>
    <w:basedOn w:val="Normal"/>
    <w:next w:val="Normal"/>
    <w:autoRedefine/>
    <w:uiPriority w:val="39"/>
    <w:unhideWhenUsed/>
    <w:rsid w:val="00F83C8E"/>
    <w:pPr>
      <w:spacing w:after="100"/>
    </w:pPr>
  </w:style>
  <w:style w:type="paragraph" w:styleId="TM3">
    <w:name w:val="toc 3"/>
    <w:basedOn w:val="Normal"/>
    <w:next w:val="Normal"/>
    <w:autoRedefine/>
    <w:uiPriority w:val="39"/>
    <w:unhideWhenUsed/>
    <w:rsid w:val="00F83C8E"/>
    <w:pPr>
      <w:spacing w:after="100"/>
      <w:ind w:left="480"/>
    </w:pPr>
  </w:style>
  <w:style w:type="paragraph" w:styleId="TM2">
    <w:name w:val="toc 2"/>
    <w:basedOn w:val="Normal"/>
    <w:next w:val="Normal"/>
    <w:autoRedefine/>
    <w:uiPriority w:val="39"/>
    <w:unhideWhenUsed/>
    <w:rsid w:val="00F83C8E"/>
    <w:pPr>
      <w:spacing w:after="100"/>
      <w:ind w:left="240"/>
    </w:pPr>
  </w:style>
  <w:style w:type="paragraph" w:styleId="TM4">
    <w:name w:val="toc 4"/>
    <w:basedOn w:val="Normal"/>
    <w:next w:val="Normal"/>
    <w:autoRedefine/>
    <w:uiPriority w:val="39"/>
    <w:unhideWhenUsed/>
    <w:rsid w:val="00F83C8E"/>
    <w:pPr>
      <w:spacing w:after="100" w:line="278" w:lineRule="auto"/>
      <w:ind w:left="720"/>
    </w:pPr>
    <w:rPr>
      <w:rFonts w:asciiTheme="minorHAnsi" w:eastAsiaTheme="minorEastAsia" w:hAnsiTheme="minorHAnsi"/>
      <w:kern w:val="2"/>
      <w:szCs w:val="24"/>
      <w:lang w:eastAsia="fr-FR"/>
      <w14:ligatures w14:val="standardContextual"/>
    </w:rPr>
  </w:style>
  <w:style w:type="paragraph" w:styleId="TM5">
    <w:name w:val="toc 5"/>
    <w:basedOn w:val="Normal"/>
    <w:next w:val="Normal"/>
    <w:autoRedefine/>
    <w:uiPriority w:val="39"/>
    <w:unhideWhenUsed/>
    <w:rsid w:val="00F83C8E"/>
    <w:pPr>
      <w:spacing w:after="100" w:line="278" w:lineRule="auto"/>
      <w:ind w:left="960"/>
    </w:pPr>
    <w:rPr>
      <w:rFonts w:asciiTheme="minorHAnsi" w:eastAsiaTheme="minorEastAsia" w:hAnsiTheme="minorHAnsi"/>
      <w:kern w:val="2"/>
      <w:szCs w:val="24"/>
      <w:lang w:eastAsia="fr-FR"/>
      <w14:ligatures w14:val="standardContextual"/>
    </w:rPr>
  </w:style>
  <w:style w:type="paragraph" w:styleId="TM6">
    <w:name w:val="toc 6"/>
    <w:basedOn w:val="Normal"/>
    <w:next w:val="Normal"/>
    <w:autoRedefine/>
    <w:uiPriority w:val="39"/>
    <w:unhideWhenUsed/>
    <w:rsid w:val="00F83C8E"/>
    <w:pPr>
      <w:spacing w:after="100" w:line="278" w:lineRule="auto"/>
      <w:ind w:left="1200"/>
    </w:pPr>
    <w:rPr>
      <w:rFonts w:asciiTheme="minorHAnsi" w:eastAsiaTheme="minorEastAsia" w:hAnsiTheme="minorHAnsi"/>
      <w:kern w:val="2"/>
      <w:szCs w:val="24"/>
      <w:lang w:eastAsia="fr-FR"/>
      <w14:ligatures w14:val="standardContextual"/>
    </w:rPr>
  </w:style>
  <w:style w:type="paragraph" w:styleId="TM7">
    <w:name w:val="toc 7"/>
    <w:basedOn w:val="Normal"/>
    <w:next w:val="Normal"/>
    <w:autoRedefine/>
    <w:uiPriority w:val="39"/>
    <w:unhideWhenUsed/>
    <w:rsid w:val="00F83C8E"/>
    <w:pPr>
      <w:spacing w:after="100" w:line="278" w:lineRule="auto"/>
      <w:ind w:left="1440"/>
    </w:pPr>
    <w:rPr>
      <w:rFonts w:asciiTheme="minorHAnsi" w:eastAsiaTheme="minorEastAsia" w:hAnsiTheme="minorHAnsi"/>
      <w:kern w:val="2"/>
      <w:szCs w:val="24"/>
      <w:lang w:eastAsia="fr-FR"/>
      <w14:ligatures w14:val="standardContextual"/>
    </w:rPr>
  </w:style>
  <w:style w:type="paragraph" w:styleId="TM8">
    <w:name w:val="toc 8"/>
    <w:basedOn w:val="Normal"/>
    <w:next w:val="Normal"/>
    <w:autoRedefine/>
    <w:uiPriority w:val="39"/>
    <w:unhideWhenUsed/>
    <w:rsid w:val="00F83C8E"/>
    <w:pPr>
      <w:spacing w:after="100" w:line="278" w:lineRule="auto"/>
      <w:ind w:left="1680"/>
    </w:pPr>
    <w:rPr>
      <w:rFonts w:asciiTheme="minorHAnsi" w:eastAsiaTheme="minorEastAsia" w:hAnsiTheme="minorHAnsi"/>
      <w:kern w:val="2"/>
      <w:szCs w:val="24"/>
      <w:lang w:eastAsia="fr-FR"/>
      <w14:ligatures w14:val="standardContextual"/>
    </w:rPr>
  </w:style>
  <w:style w:type="paragraph" w:styleId="TM9">
    <w:name w:val="toc 9"/>
    <w:basedOn w:val="Normal"/>
    <w:next w:val="Normal"/>
    <w:autoRedefine/>
    <w:uiPriority w:val="39"/>
    <w:unhideWhenUsed/>
    <w:rsid w:val="00F83C8E"/>
    <w:pPr>
      <w:spacing w:after="100" w:line="278" w:lineRule="auto"/>
      <w:ind w:left="1920"/>
    </w:pPr>
    <w:rPr>
      <w:rFonts w:asciiTheme="minorHAnsi" w:eastAsiaTheme="minorEastAsia" w:hAnsiTheme="minorHAnsi"/>
      <w:kern w:val="2"/>
      <w:szCs w:val="24"/>
      <w:lang w:eastAsia="fr-FR"/>
      <w14:ligatures w14:val="standardContextual"/>
    </w:rPr>
  </w:style>
  <w:style w:type="character" w:customStyle="1" w:styleId="Mentionnonrsolue1">
    <w:name w:val="Mention non résolue1"/>
    <w:basedOn w:val="Policepardfaut"/>
    <w:uiPriority w:val="99"/>
    <w:semiHidden/>
    <w:unhideWhenUsed/>
    <w:rsid w:val="00F83C8E"/>
    <w:rPr>
      <w:color w:val="605E5C"/>
      <w:shd w:val="clear" w:color="auto" w:fill="E1DFDD"/>
    </w:rPr>
  </w:style>
  <w:style w:type="character" w:styleId="Textedelespacerserv">
    <w:name w:val="Placeholder Text"/>
    <w:basedOn w:val="Policepardfaut"/>
    <w:uiPriority w:val="99"/>
    <w:semiHidden/>
    <w:rsid w:val="0077376F"/>
    <w:rPr>
      <w:color w:val="666666"/>
    </w:rPr>
  </w:style>
  <w:style w:type="paragraph" w:styleId="Lgende">
    <w:name w:val="caption"/>
    <w:basedOn w:val="Normal"/>
    <w:next w:val="Normal"/>
    <w:uiPriority w:val="35"/>
    <w:unhideWhenUsed/>
    <w:qFormat/>
    <w:rsid w:val="002957A0"/>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512E0A"/>
    <w:pPr>
      <w:spacing w:after="0"/>
    </w:pPr>
  </w:style>
  <w:style w:type="paragraph" w:styleId="Sansinterligne">
    <w:name w:val="No Spacing"/>
    <w:uiPriority w:val="1"/>
    <w:qFormat/>
    <w:rsid w:val="00EC6BD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794390">
      <w:bodyDiv w:val="1"/>
      <w:marLeft w:val="0"/>
      <w:marRight w:val="0"/>
      <w:marTop w:val="0"/>
      <w:marBottom w:val="0"/>
      <w:divBdr>
        <w:top w:val="none" w:sz="0" w:space="0" w:color="auto"/>
        <w:left w:val="none" w:sz="0" w:space="0" w:color="auto"/>
        <w:bottom w:val="none" w:sz="0" w:space="0" w:color="auto"/>
        <w:right w:val="none" w:sz="0" w:space="0" w:color="auto"/>
      </w:divBdr>
    </w:div>
    <w:div w:id="95561298">
      <w:bodyDiv w:val="1"/>
      <w:marLeft w:val="0"/>
      <w:marRight w:val="0"/>
      <w:marTop w:val="0"/>
      <w:marBottom w:val="0"/>
      <w:divBdr>
        <w:top w:val="none" w:sz="0" w:space="0" w:color="auto"/>
        <w:left w:val="none" w:sz="0" w:space="0" w:color="auto"/>
        <w:bottom w:val="none" w:sz="0" w:space="0" w:color="auto"/>
        <w:right w:val="none" w:sz="0" w:space="0" w:color="auto"/>
      </w:divBdr>
    </w:div>
    <w:div w:id="189147579">
      <w:bodyDiv w:val="1"/>
      <w:marLeft w:val="0"/>
      <w:marRight w:val="0"/>
      <w:marTop w:val="0"/>
      <w:marBottom w:val="0"/>
      <w:divBdr>
        <w:top w:val="none" w:sz="0" w:space="0" w:color="auto"/>
        <w:left w:val="none" w:sz="0" w:space="0" w:color="auto"/>
        <w:bottom w:val="none" w:sz="0" w:space="0" w:color="auto"/>
        <w:right w:val="none" w:sz="0" w:space="0" w:color="auto"/>
      </w:divBdr>
    </w:div>
    <w:div w:id="238173880">
      <w:bodyDiv w:val="1"/>
      <w:marLeft w:val="0"/>
      <w:marRight w:val="0"/>
      <w:marTop w:val="0"/>
      <w:marBottom w:val="0"/>
      <w:divBdr>
        <w:top w:val="none" w:sz="0" w:space="0" w:color="auto"/>
        <w:left w:val="none" w:sz="0" w:space="0" w:color="auto"/>
        <w:bottom w:val="none" w:sz="0" w:space="0" w:color="auto"/>
        <w:right w:val="none" w:sz="0" w:space="0" w:color="auto"/>
      </w:divBdr>
    </w:div>
    <w:div w:id="290676585">
      <w:bodyDiv w:val="1"/>
      <w:marLeft w:val="0"/>
      <w:marRight w:val="0"/>
      <w:marTop w:val="0"/>
      <w:marBottom w:val="0"/>
      <w:divBdr>
        <w:top w:val="none" w:sz="0" w:space="0" w:color="auto"/>
        <w:left w:val="none" w:sz="0" w:space="0" w:color="auto"/>
        <w:bottom w:val="none" w:sz="0" w:space="0" w:color="auto"/>
        <w:right w:val="none" w:sz="0" w:space="0" w:color="auto"/>
      </w:divBdr>
    </w:div>
    <w:div w:id="311913180">
      <w:bodyDiv w:val="1"/>
      <w:marLeft w:val="0"/>
      <w:marRight w:val="0"/>
      <w:marTop w:val="0"/>
      <w:marBottom w:val="0"/>
      <w:divBdr>
        <w:top w:val="none" w:sz="0" w:space="0" w:color="auto"/>
        <w:left w:val="none" w:sz="0" w:space="0" w:color="auto"/>
        <w:bottom w:val="none" w:sz="0" w:space="0" w:color="auto"/>
        <w:right w:val="none" w:sz="0" w:space="0" w:color="auto"/>
      </w:divBdr>
    </w:div>
    <w:div w:id="318727905">
      <w:bodyDiv w:val="1"/>
      <w:marLeft w:val="0"/>
      <w:marRight w:val="0"/>
      <w:marTop w:val="0"/>
      <w:marBottom w:val="0"/>
      <w:divBdr>
        <w:top w:val="none" w:sz="0" w:space="0" w:color="auto"/>
        <w:left w:val="none" w:sz="0" w:space="0" w:color="auto"/>
        <w:bottom w:val="none" w:sz="0" w:space="0" w:color="auto"/>
        <w:right w:val="none" w:sz="0" w:space="0" w:color="auto"/>
      </w:divBdr>
    </w:div>
    <w:div w:id="343020059">
      <w:bodyDiv w:val="1"/>
      <w:marLeft w:val="0"/>
      <w:marRight w:val="0"/>
      <w:marTop w:val="0"/>
      <w:marBottom w:val="0"/>
      <w:divBdr>
        <w:top w:val="none" w:sz="0" w:space="0" w:color="auto"/>
        <w:left w:val="none" w:sz="0" w:space="0" w:color="auto"/>
        <w:bottom w:val="none" w:sz="0" w:space="0" w:color="auto"/>
        <w:right w:val="none" w:sz="0" w:space="0" w:color="auto"/>
      </w:divBdr>
    </w:div>
    <w:div w:id="447507069">
      <w:bodyDiv w:val="1"/>
      <w:marLeft w:val="0"/>
      <w:marRight w:val="0"/>
      <w:marTop w:val="0"/>
      <w:marBottom w:val="0"/>
      <w:divBdr>
        <w:top w:val="none" w:sz="0" w:space="0" w:color="auto"/>
        <w:left w:val="none" w:sz="0" w:space="0" w:color="auto"/>
        <w:bottom w:val="none" w:sz="0" w:space="0" w:color="auto"/>
        <w:right w:val="none" w:sz="0" w:space="0" w:color="auto"/>
      </w:divBdr>
    </w:div>
    <w:div w:id="469326434">
      <w:bodyDiv w:val="1"/>
      <w:marLeft w:val="0"/>
      <w:marRight w:val="0"/>
      <w:marTop w:val="0"/>
      <w:marBottom w:val="0"/>
      <w:divBdr>
        <w:top w:val="none" w:sz="0" w:space="0" w:color="auto"/>
        <w:left w:val="none" w:sz="0" w:space="0" w:color="auto"/>
        <w:bottom w:val="none" w:sz="0" w:space="0" w:color="auto"/>
        <w:right w:val="none" w:sz="0" w:space="0" w:color="auto"/>
      </w:divBdr>
    </w:div>
    <w:div w:id="492139573">
      <w:bodyDiv w:val="1"/>
      <w:marLeft w:val="0"/>
      <w:marRight w:val="0"/>
      <w:marTop w:val="0"/>
      <w:marBottom w:val="0"/>
      <w:divBdr>
        <w:top w:val="none" w:sz="0" w:space="0" w:color="auto"/>
        <w:left w:val="none" w:sz="0" w:space="0" w:color="auto"/>
        <w:bottom w:val="none" w:sz="0" w:space="0" w:color="auto"/>
        <w:right w:val="none" w:sz="0" w:space="0" w:color="auto"/>
      </w:divBdr>
    </w:div>
    <w:div w:id="645596087">
      <w:bodyDiv w:val="1"/>
      <w:marLeft w:val="0"/>
      <w:marRight w:val="0"/>
      <w:marTop w:val="0"/>
      <w:marBottom w:val="0"/>
      <w:divBdr>
        <w:top w:val="none" w:sz="0" w:space="0" w:color="auto"/>
        <w:left w:val="none" w:sz="0" w:space="0" w:color="auto"/>
        <w:bottom w:val="none" w:sz="0" w:space="0" w:color="auto"/>
        <w:right w:val="none" w:sz="0" w:space="0" w:color="auto"/>
      </w:divBdr>
    </w:div>
    <w:div w:id="677273411">
      <w:bodyDiv w:val="1"/>
      <w:marLeft w:val="0"/>
      <w:marRight w:val="0"/>
      <w:marTop w:val="0"/>
      <w:marBottom w:val="0"/>
      <w:divBdr>
        <w:top w:val="none" w:sz="0" w:space="0" w:color="auto"/>
        <w:left w:val="none" w:sz="0" w:space="0" w:color="auto"/>
        <w:bottom w:val="none" w:sz="0" w:space="0" w:color="auto"/>
        <w:right w:val="none" w:sz="0" w:space="0" w:color="auto"/>
      </w:divBdr>
    </w:div>
    <w:div w:id="706491175">
      <w:bodyDiv w:val="1"/>
      <w:marLeft w:val="0"/>
      <w:marRight w:val="0"/>
      <w:marTop w:val="0"/>
      <w:marBottom w:val="0"/>
      <w:divBdr>
        <w:top w:val="none" w:sz="0" w:space="0" w:color="auto"/>
        <w:left w:val="none" w:sz="0" w:space="0" w:color="auto"/>
        <w:bottom w:val="none" w:sz="0" w:space="0" w:color="auto"/>
        <w:right w:val="none" w:sz="0" w:space="0" w:color="auto"/>
      </w:divBdr>
    </w:div>
    <w:div w:id="709956026">
      <w:bodyDiv w:val="1"/>
      <w:marLeft w:val="0"/>
      <w:marRight w:val="0"/>
      <w:marTop w:val="0"/>
      <w:marBottom w:val="0"/>
      <w:divBdr>
        <w:top w:val="none" w:sz="0" w:space="0" w:color="auto"/>
        <w:left w:val="none" w:sz="0" w:space="0" w:color="auto"/>
        <w:bottom w:val="none" w:sz="0" w:space="0" w:color="auto"/>
        <w:right w:val="none" w:sz="0" w:space="0" w:color="auto"/>
      </w:divBdr>
    </w:div>
    <w:div w:id="731198412">
      <w:bodyDiv w:val="1"/>
      <w:marLeft w:val="0"/>
      <w:marRight w:val="0"/>
      <w:marTop w:val="0"/>
      <w:marBottom w:val="0"/>
      <w:divBdr>
        <w:top w:val="none" w:sz="0" w:space="0" w:color="auto"/>
        <w:left w:val="none" w:sz="0" w:space="0" w:color="auto"/>
        <w:bottom w:val="none" w:sz="0" w:space="0" w:color="auto"/>
        <w:right w:val="none" w:sz="0" w:space="0" w:color="auto"/>
      </w:divBdr>
    </w:div>
    <w:div w:id="751203182">
      <w:bodyDiv w:val="1"/>
      <w:marLeft w:val="0"/>
      <w:marRight w:val="0"/>
      <w:marTop w:val="0"/>
      <w:marBottom w:val="0"/>
      <w:divBdr>
        <w:top w:val="none" w:sz="0" w:space="0" w:color="auto"/>
        <w:left w:val="none" w:sz="0" w:space="0" w:color="auto"/>
        <w:bottom w:val="none" w:sz="0" w:space="0" w:color="auto"/>
        <w:right w:val="none" w:sz="0" w:space="0" w:color="auto"/>
      </w:divBdr>
    </w:div>
    <w:div w:id="797718512">
      <w:bodyDiv w:val="1"/>
      <w:marLeft w:val="0"/>
      <w:marRight w:val="0"/>
      <w:marTop w:val="0"/>
      <w:marBottom w:val="0"/>
      <w:divBdr>
        <w:top w:val="none" w:sz="0" w:space="0" w:color="auto"/>
        <w:left w:val="none" w:sz="0" w:space="0" w:color="auto"/>
        <w:bottom w:val="none" w:sz="0" w:space="0" w:color="auto"/>
        <w:right w:val="none" w:sz="0" w:space="0" w:color="auto"/>
      </w:divBdr>
    </w:div>
    <w:div w:id="799222182">
      <w:bodyDiv w:val="1"/>
      <w:marLeft w:val="0"/>
      <w:marRight w:val="0"/>
      <w:marTop w:val="0"/>
      <w:marBottom w:val="0"/>
      <w:divBdr>
        <w:top w:val="none" w:sz="0" w:space="0" w:color="auto"/>
        <w:left w:val="none" w:sz="0" w:space="0" w:color="auto"/>
        <w:bottom w:val="none" w:sz="0" w:space="0" w:color="auto"/>
        <w:right w:val="none" w:sz="0" w:space="0" w:color="auto"/>
      </w:divBdr>
    </w:div>
    <w:div w:id="801310849">
      <w:bodyDiv w:val="1"/>
      <w:marLeft w:val="0"/>
      <w:marRight w:val="0"/>
      <w:marTop w:val="0"/>
      <w:marBottom w:val="0"/>
      <w:divBdr>
        <w:top w:val="none" w:sz="0" w:space="0" w:color="auto"/>
        <w:left w:val="none" w:sz="0" w:space="0" w:color="auto"/>
        <w:bottom w:val="none" w:sz="0" w:space="0" w:color="auto"/>
        <w:right w:val="none" w:sz="0" w:space="0" w:color="auto"/>
      </w:divBdr>
    </w:div>
    <w:div w:id="816797194">
      <w:bodyDiv w:val="1"/>
      <w:marLeft w:val="0"/>
      <w:marRight w:val="0"/>
      <w:marTop w:val="0"/>
      <w:marBottom w:val="0"/>
      <w:divBdr>
        <w:top w:val="none" w:sz="0" w:space="0" w:color="auto"/>
        <w:left w:val="none" w:sz="0" w:space="0" w:color="auto"/>
        <w:bottom w:val="none" w:sz="0" w:space="0" w:color="auto"/>
        <w:right w:val="none" w:sz="0" w:space="0" w:color="auto"/>
      </w:divBdr>
    </w:div>
    <w:div w:id="821972471">
      <w:bodyDiv w:val="1"/>
      <w:marLeft w:val="0"/>
      <w:marRight w:val="0"/>
      <w:marTop w:val="0"/>
      <w:marBottom w:val="0"/>
      <w:divBdr>
        <w:top w:val="none" w:sz="0" w:space="0" w:color="auto"/>
        <w:left w:val="none" w:sz="0" w:space="0" w:color="auto"/>
        <w:bottom w:val="none" w:sz="0" w:space="0" w:color="auto"/>
        <w:right w:val="none" w:sz="0" w:space="0" w:color="auto"/>
      </w:divBdr>
      <w:divsChild>
        <w:div w:id="21121652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7883260">
      <w:bodyDiv w:val="1"/>
      <w:marLeft w:val="0"/>
      <w:marRight w:val="0"/>
      <w:marTop w:val="0"/>
      <w:marBottom w:val="0"/>
      <w:divBdr>
        <w:top w:val="none" w:sz="0" w:space="0" w:color="auto"/>
        <w:left w:val="none" w:sz="0" w:space="0" w:color="auto"/>
        <w:bottom w:val="none" w:sz="0" w:space="0" w:color="auto"/>
        <w:right w:val="none" w:sz="0" w:space="0" w:color="auto"/>
      </w:divBdr>
    </w:div>
    <w:div w:id="862936568">
      <w:bodyDiv w:val="1"/>
      <w:marLeft w:val="0"/>
      <w:marRight w:val="0"/>
      <w:marTop w:val="0"/>
      <w:marBottom w:val="0"/>
      <w:divBdr>
        <w:top w:val="none" w:sz="0" w:space="0" w:color="auto"/>
        <w:left w:val="none" w:sz="0" w:space="0" w:color="auto"/>
        <w:bottom w:val="none" w:sz="0" w:space="0" w:color="auto"/>
        <w:right w:val="none" w:sz="0" w:space="0" w:color="auto"/>
      </w:divBdr>
    </w:div>
    <w:div w:id="864247206">
      <w:bodyDiv w:val="1"/>
      <w:marLeft w:val="0"/>
      <w:marRight w:val="0"/>
      <w:marTop w:val="0"/>
      <w:marBottom w:val="0"/>
      <w:divBdr>
        <w:top w:val="none" w:sz="0" w:space="0" w:color="auto"/>
        <w:left w:val="none" w:sz="0" w:space="0" w:color="auto"/>
        <w:bottom w:val="none" w:sz="0" w:space="0" w:color="auto"/>
        <w:right w:val="none" w:sz="0" w:space="0" w:color="auto"/>
      </w:divBdr>
    </w:div>
    <w:div w:id="891842803">
      <w:bodyDiv w:val="1"/>
      <w:marLeft w:val="0"/>
      <w:marRight w:val="0"/>
      <w:marTop w:val="0"/>
      <w:marBottom w:val="0"/>
      <w:divBdr>
        <w:top w:val="none" w:sz="0" w:space="0" w:color="auto"/>
        <w:left w:val="none" w:sz="0" w:space="0" w:color="auto"/>
        <w:bottom w:val="none" w:sz="0" w:space="0" w:color="auto"/>
        <w:right w:val="none" w:sz="0" w:space="0" w:color="auto"/>
      </w:divBdr>
    </w:div>
    <w:div w:id="900746469">
      <w:bodyDiv w:val="1"/>
      <w:marLeft w:val="0"/>
      <w:marRight w:val="0"/>
      <w:marTop w:val="0"/>
      <w:marBottom w:val="0"/>
      <w:divBdr>
        <w:top w:val="none" w:sz="0" w:space="0" w:color="auto"/>
        <w:left w:val="none" w:sz="0" w:space="0" w:color="auto"/>
        <w:bottom w:val="none" w:sz="0" w:space="0" w:color="auto"/>
        <w:right w:val="none" w:sz="0" w:space="0" w:color="auto"/>
      </w:divBdr>
      <w:divsChild>
        <w:div w:id="18763057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9238169">
      <w:bodyDiv w:val="1"/>
      <w:marLeft w:val="0"/>
      <w:marRight w:val="0"/>
      <w:marTop w:val="0"/>
      <w:marBottom w:val="0"/>
      <w:divBdr>
        <w:top w:val="none" w:sz="0" w:space="0" w:color="auto"/>
        <w:left w:val="none" w:sz="0" w:space="0" w:color="auto"/>
        <w:bottom w:val="none" w:sz="0" w:space="0" w:color="auto"/>
        <w:right w:val="none" w:sz="0" w:space="0" w:color="auto"/>
      </w:divBdr>
    </w:div>
    <w:div w:id="963004703">
      <w:bodyDiv w:val="1"/>
      <w:marLeft w:val="0"/>
      <w:marRight w:val="0"/>
      <w:marTop w:val="0"/>
      <w:marBottom w:val="0"/>
      <w:divBdr>
        <w:top w:val="none" w:sz="0" w:space="0" w:color="auto"/>
        <w:left w:val="none" w:sz="0" w:space="0" w:color="auto"/>
        <w:bottom w:val="none" w:sz="0" w:space="0" w:color="auto"/>
        <w:right w:val="none" w:sz="0" w:space="0" w:color="auto"/>
      </w:divBdr>
    </w:div>
    <w:div w:id="982390532">
      <w:bodyDiv w:val="1"/>
      <w:marLeft w:val="0"/>
      <w:marRight w:val="0"/>
      <w:marTop w:val="0"/>
      <w:marBottom w:val="0"/>
      <w:divBdr>
        <w:top w:val="none" w:sz="0" w:space="0" w:color="auto"/>
        <w:left w:val="none" w:sz="0" w:space="0" w:color="auto"/>
        <w:bottom w:val="none" w:sz="0" w:space="0" w:color="auto"/>
        <w:right w:val="none" w:sz="0" w:space="0" w:color="auto"/>
      </w:divBdr>
    </w:div>
    <w:div w:id="1016927507">
      <w:bodyDiv w:val="1"/>
      <w:marLeft w:val="0"/>
      <w:marRight w:val="0"/>
      <w:marTop w:val="0"/>
      <w:marBottom w:val="0"/>
      <w:divBdr>
        <w:top w:val="none" w:sz="0" w:space="0" w:color="auto"/>
        <w:left w:val="none" w:sz="0" w:space="0" w:color="auto"/>
        <w:bottom w:val="none" w:sz="0" w:space="0" w:color="auto"/>
        <w:right w:val="none" w:sz="0" w:space="0" w:color="auto"/>
      </w:divBdr>
    </w:div>
    <w:div w:id="1078751404">
      <w:bodyDiv w:val="1"/>
      <w:marLeft w:val="0"/>
      <w:marRight w:val="0"/>
      <w:marTop w:val="0"/>
      <w:marBottom w:val="0"/>
      <w:divBdr>
        <w:top w:val="none" w:sz="0" w:space="0" w:color="auto"/>
        <w:left w:val="none" w:sz="0" w:space="0" w:color="auto"/>
        <w:bottom w:val="none" w:sz="0" w:space="0" w:color="auto"/>
        <w:right w:val="none" w:sz="0" w:space="0" w:color="auto"/>
      </w:divBdr>
    </w:div>
    <w:div w:id="1101535031">
      <w:bodyDiv w:val="1"/>
      <w:marLeft w:val="0"/>
      <w:marRight w:val="0"/>
      <w:marTop w:val="0"/>
      <w:marBottom w:val="0"/>
      <w:divBdr>
        <w:top w:val="none" w:sz="0" w:space="0" w:color="auto"/>
        <w:left w:val="none" w:sz="0" w:space="0" w:color="auto"/>
        <w:bottom w:val="none" w:sz="0" w:space="0" w:color="auto"/>
        <w:right w:val="none" w:sz="0" w:space="0" w:color="auto"/>
      </w:divBdr>
    </w:div>
    <w:div w:id="1159076943">
      <w:bodyDiv w:val="1"/>
      <w:marLeft w:val="0"/>
      <w:marRight w:val="0"/>
      <w:marTop w:val="0"/>
      <w:marBottom w:val="0"/>
      <w:divBdr>
        <w:top w:val="none" w:sz="0" w:space="0" w:color="auto"/>
        <w:left w:val="none" w:sz="0" w:space="0" w:color="auto"/>
        <w:bottom w:val="none" w:sz="0" w:space="0" w:color="auto"/>
        <w:right w:val="none" w:sz="0" w:space="0" w:color="auto"/>
      </w:divBdr>
    </w:div>
    <w:div w:id="1195077824">
      <w:bodyDiv w:val="1"/>
      <w:marLeft w:val="0"/>
      <w:marRight w:val="0"/>
      <w:marTop w:val="0"/>
      <w:marBottom w:val="0"/>
      <w:divBdr>
        <w:top w:val="none" w:sz="0" w:space="0" w:color="auto"/>
        <w:left w:val="none" w:sz="0" w:space="0" w:color="auto"/>
        <w:bottom w:val="none" w:sz="0" w:space="0" w:color="auto"/>
        <w:right w:val="none" w:sz="0" w:space="0" w:color="auto"/>
      </w:divBdr>
    </w:div>
    <w:div w:id="1225601107">
      <w:bodyDiv w:val="1"/>
      <w:marLeft w:val="0"/>
      <w:marRight w:val="0"/>
      <w:marTop w:val="0"/>
      <w:marBottom w:val="0"/>
      <w:divBdr>
        <w:top w:val="none" w:sz="0" w:space="0" w:color="auto"/>
        <w:left w:val="none" w:sz="0" w:space="0" w:color="auto"/>
        <w:bottom w:val="none" w:sz="0" w:space="0" w:color="auto"/>
        <w:right w:val="none" w:sz="0" w:space="0" w:color="auto"/>
      </w:divBdr>
    </w:div>
    <w:div w:id="1289625147">
      <w:bodyDiv w:val="1"/>
      <w:marLeft w:val="0"/>
      <w:marRight w:val="0"/>
      <w:marTop w:val="0"/>
      <w:marBottom w:val="0"/>
      <w:divBdr>
        <w:top w:val="none" w:sz="0" w:space="0" w:color="auto"/>
        <w:left w:val="none" w:sz="0" w:space="0" w:color="auto"/>
        <w:bottom w:val="none" w:sz="0" w:space="0" w:color="auto"/>
        <w:right w:val="none" w:sz="0" w:space="0" w:color="auto"/>
      </w:divBdr>
    </w:div>
    <w:div w:id="1335838430">
      <w:bodyDiv w:val="1"/>
      <w:marLeft w:val="0"/>
      <w:marRight w:val="0"/>
      <w:marTop w:val="0"/>
      <w:marBottom w:val="0"/>
      <w:divBdr>
        <w:top w:val="none" w:sz="0" w:space="0" w:color="auto"/>
        <w:left w:val="none" w:sz="0" w:space="0" w:color="auto"/>
        <w:bottom w:val="none" w:sz="0" w:space="0" w:color="auto"/>
        <w:right w:val="none" w:sz="0" w:space="0" w:color="auto"/>
      </w:divBdr>
    </w:div>
    <w:div w:id="1349483114">
      <w:bodyDiv w:val="1"/>
      <w:marLeft w:val="0"/>
      <w:marRight w:val="0"/>
      <w:marTop w:val="0"/>
      <w:marBottom w:val="0"/>
      <w:divBdr>
        <w:top w:val="none" w:sz="0" w:space="0" w:color="auto"/>
        <w:left w:val="none" w:sz="0" w:space="0" w:color="auto"/>
        <w:bottom w:val="none" w:sz="0" w:space="0" w:color="auto"/>
        <w:right w:val="none" w:sz="0" w:space="0" w:color="auto"/>
      </w:divBdr>
    </w:div>
    <w:div w:id="1352103654">
      <w:bodyDiv w:val="1"/>
      <w:marLeft w:val="0"/>
      <w:marRight w:val="0"/>
      <w:marTop w:val="0"/>
      <w:marBottom w:val="0"/>
      <w:divBdr>
        <w:top w:val="none" w:sz="0" w:space="0" w:color="auto"/>
        <w:left w:val="none" w:sz="0" w:space="0" w:color="auto"/>
        <w:bottom w:val="none" w:sz="0" w:space="0" w:color="auto"/>
        <w:right w:val="none" w:sz="0" w:space="0" w:color="auto"/>
      </w:divBdr>
    </w:div>
    <w:div w:id="1369257421">
      <w:bodyDiv w:val="1"/>
      <w:marLeft w:val="0"/>
      <w:marRight w:val="0"/>
      <w:marTop w:val="0"/>
      <w:marBottom w:val="0"/>
      <w:divBdr>
        <w:top w:val="none" w:sz="0" w:space="0" w:color="auto"/>
        <w:left w:val="none" w:sz="0" w:space="0" w:color="auto"/>
        <w:bottom w:val="none" w:sz="0" w:space="0" w:color="auto"/>
        <w:right w:val="none" w:sz="0" w:space="0" w:color="auto"/>
      </w:divBdr>
    </w:div>
    <w:div w:id="1374114039">
      <w:bodyDiv w:val="1"/>
      <w:marLeft w:val="0"/>
      <w:marRight w:val="0"/>
      <w:marTop w:val="0"/>
      <w:marBottom w:val="0"/>
      <w:divBdr>
        <w:top w:val="none" w:sz="0" w:space="0" w:color="auto"/>
        <w:left w:val="none" w:sz="0" w:space="0" w:color="auto"/>
        <w:bottom w:val="none" w:sz="0" w:space="0" w:color="auto"/>
        <w:right w:val="none" w:sz="0" w:space="0" w:color="auto"/>
      </w:divBdr>
    </w:div>
    <w:div w:id="1461847703">
      <w:bodyDiv w:val="1"/>
      <w:marLeft w:val="0"/>
      <w:marRight w:val="0"/>
      <w:marTop w:val="0"/>
      <w:marBottom w:val="0"/>
      <w:divBdr>
        <w:top w:val="none" w:sz="0" w:space="0" w:color="auto"/>
        <w:left w:val="none" w:sz="0" w:space="0" w:color="auto"/>
        <w:bottom w:val="none" w:sz="0" w:space="0" w:color="auto"/>
        <w:right w:val="none" w:sz="0" w:space="0" w:color="auto"/>
      </w:divBdr>
    </w:div>
    <w:div w:id="1612391952">
      <w:bodyDiv w:val="1"/>
      <w:marLeft w:val="0"/>
      <w:marRight w:val="0"/>
      <w:marTop w:val="0"/>
      <w:marBottom w:val="0"/>
      <w:divBdr>
        <w:top w:val="none" w:sz="0" w:space="0" w:color="auto"/>
        <w:left w:val="none" w:sz="0" w:space="0" w:color="auto"/>
        <w:bottom w:val="none" w:sz="0" w:space="0" w:color="auto"/>
        <w:right w:val="none" w:sz="0" w:space="0" w:color="auto"/>
      </w:divBdr>
    </w:div>
    <w:div w:id="1649822514">
      <w:bodyDiv w:val="1"/>
      <w:marLeft w:val="0"/>
      <w:marRight w:val="0"/>
      <w:marTop w:val="0"/>
      <w:marBottom w:val="0"/>
      <w:divBdr>
        <w:top w:val="none" w:sz="0" w:space="0" w:color="auto"/>
        <w:left w:val="none" w:sz="0" w:space="0" w:color="auto"/>
        <w:bottom w:val="none" w:sz="0" w:space="0" w:color="auto"/>
        <w:right w:val="none" w:sz="0" w:space="0" w:color="auto"/>
      </w:divBdr>
    </w:div>
    <w:div w:id="1684934847">
      <w:bodyDiv w:val="1"/>
      <w:marLeft w:val="0"/>
      <w:marRight w:val="0"/>
      <w:marTop w:val="0"/>
      <w:marBottom w:val="0"/>
      <w:divBdr>
        <w:top w:val="none" w:sz="0" w:space="0" w:color="auto"/>
        <w:left w:val="none" w:sz="0" w:space="0" w:color="auto"/>
        <w:bottom w:val="none" w:sz="0" w:space="0" w:color="auto"/>
        <w:right w:val="none" w:sz="0" w:space="0" w:color="auto"/>
      </w:divBdr>
    </w:div>
    <w:div w:id="1733306138">
      <w:bodyDiv w:val="1"/>
      <w:marLeft w:val="0"/>
      <w:marRight w:val="0"/>
      <w:marTop w:val="0"/>
      <w:marBottom w:val="0"/>
      <w:divBdr>
        <w:top w:val="none" w:sz="0" w:space="0" w:color="auto"/>
        <w:left w:val="none" w:sz="0" w:space="0" w:color="auto"/>
        <w:bottom w:val="none" w:sz="0" w:space="0" w:color="auto"/>
        <w:right w:val="none" w:sz="0" w:space="0" w:color="auto"/>
      </w:divBdr>
    </w:div>
    <w:div w:id="1750037241">
      <w:bodyDiv w:val="1"/>
      <w:marLeft w:val="0"/>
      <w:marRight w:val="0"/>
      <w:marTop w:val="0"/>
      <w:marBottom w:val="0"/>
      <w:divBdr>
        <w:top w:val="none" w:sz="0" w:space="0" w:color="auto"/>
        <w:left w:val="none" w:sz="0" w:space="0" w:color="auto"/>
        <w:bottom w:val="none" w:sz="0" w:space="0" w:color="auto"/>
        <w:right w:val="none" w:sz="0" w:space="0" w:color="auto"/>
      </w:divBdr>
    </w:div>
    <w:div w:id="1767384542">
      <w:bodyDiv w:val="1"/>
      <w:marLeft w:val="0"/>
      <w:marRight w:val="0"/>
      <w:marTop w:val="0"/>
      <w:marBottom w:val="0"/>
      <w:divBdr>
        <w:top w:val="none" w:sz="0" w:space="0" w:color="auto"/>
        <w:left w:val="none" w:sz="0" w:space="0" w:color="auto"/>
        <w:bottom w:val="none" w:sz="0" w:space="0" w:color="auto"/>
        <w:right w:val="none" w:sz="0" w:space="0" w:color="auto"/>
      </w:divBdr>
    </w:div>
    <w:div w:id="1877962771">
      <w:bodyDiv w:val="1"/>
      <w:marLeft w:val="0"/>
      <w:marRight w:val="0"/>
      <w:marTop w:val="0"/>
      <w:marBottom w:val="0"/>
      <w:divBdr>
        <w:top w:val="none" w:sz="0" w:space="0" w:color="auto"/>
        <w:left w:val="none" w:sz="0" w:space="0" w:color="auto"/>
        <w:bottom w:val="none" w:sz="0" w:space="0" w:color="auto"/>
        <w:right w:val="none" w:sz="0" w:space="0" w:color="auto"/>
      </w:divBdr>
      <w:divsChild>
        <w:div w:id="268048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3909942">
      <w:bodyDiv w:val="1"/>
      <w:marLeft w:val="0"/>
      <w:marRight w:val="0"/>
      <w:marTop w:val="0"/>
      <w:marBottom w:val="0"/>
      <w:divBdr>
        <w:top w:val="none" w:sz="0" w:space="0" w:color="auto"/>
        <w:left w:val="none" w:sz="0" w:space="0" w:color="auto"/>
        <w:bottom w:val="none" w:sz="0" w:space="0" w:color="auto"/>
        <w:right w:val="none" w:sz="0" w:space="0" w:color="auto"/>
      </w:divBdr>
    </w:div>
    <w:div w:id="1905676648">
      <w:bodyDiv w:val="1"/>
      <w:marLeft w:val="0"/>
      <w:marRight w:val="0"/>
      <w:marTop w:val="0"/>
      <w:marBottom w:val="0"/>
      <w:divBdr>
        <w:top w:val="none" w:sz="0" w:space="0" w:color="auto"/>
        <w:left w:val="none" w:sz="0" w:space="0" w:color="auto"/>
        <w:bottom w:val="none" w:sz="0" w:space="0" w:color="auto"/>
        <w:right w:val="none" w:sz="0" w:space="0" w:color="auto"/>
      </w:divBdr>
    </w:div>
    <w:div w:id="1924072177">
      <w:bodyDiv w:val="1"/>
      <w:marLeft w:val="0"/>
      <w:marRight w:val="0"/>
      <w:marTop w:val="0"/>
      <w:marBottom w:val="0"/>
      <w:divBdr>
        <w:top w:val="none" w:sz="0" w:space="0" w:color="auto"/>
        <w:left w:val="none" w:sz="0" w:space="0" w:color="auto"/>
        <w:bottom w:val="none" w:sz="0" w:space="0" w:color="auto"/>
        <w:right w:val="none" w:sz="0" w:space="0" w:color="auto"/>
      </w:divBdr>
    </w:div>
    <w:div w:id="1959993415">
      <w:bodyDiv w:val="1"/>
      <w:marLeft w:val="0"/>
      <w:marRight w:val="0"/>
      <w:marTop w:val="0"/>
      <w:marBottom w:val="0"/>
      <w:divBdr>
        <w:top w:val="none" w:sz="0" w:space="0" w:color="auto"/>
        <w:left w:val="none" w:sz="0" w:space="0" w:color="auto"/>
        <w:bottom w:val="none" w:sz="0" w:space="0" w:color="auto"/>
        <w:right w:val="none" w:sz="0" w:space="0" w:color="auto"/>
      </w:divBdr>
    </w:div>
    <w:div w:id="2021853981">
      <w:bodyDiv w:val="1"/>
      <w:marLeft w:val="0"/>
      <w:marRight w:val="0"/>
      <w:marTop w:val="0"/>
      <w:marBottom w:val="0"/>
      <w:divBdr>
        <w:top w:val="none" w:sz="0" w:space="0" w:color="auto"/>
        <w:left w:val="none" w:sz="0" w:space="0" w:color="auto"/>
        <w:bottom w:val="none" w:sz="0" w:space="0" w:color="auto"/>
        <w:right w:val="none" w:sz="0" w:space="0" w:color="auto"/>
      </w:divBdr>
    </w:div>
    <w:div w:id="2082285522">
      <w:bodyDiv w:val="1"/>
      <w:marLeft w:val="0"/>
      <w:marRight w:val="0"/>
      <w:marTop w:val="0"/>
      <w:marBottom w:val="0"/>
      <w:divBdr>
        <w:top w:val="none" w:sz="0" w:space="0" w:color="auto"/>
        <w:left w:val="none" w:sz="0" w:space="0" w:color="auto"/>
        <w:bottom w:val="none" w:sz="0" w:space="0" w:color="auto"/>
        <w:right w:val="none" w:sz="0" w:space="0" w:color="auto"/>
      </w:divBdr>
    </w:div>
    <w:div w:id="2104911076">
      <w:bodyDiv w:val="1"/>
      <w:marLeft w:val="0"/>
      <w:marRight w:val="0"/>
      <w:marTop w:val="0"/>
      <w:marBottom w:val="0"/>
      <w:divBdr>
        <w:top w:val="none" w:sz="0" w:space="0" w:color="auto"/>
        <w:left w:val="none" w:sz="0" w:space="0" w:color="auto"/>
        <w:bottom w:val="none" w:sz="0" w:space="0" w:color="auto"/>
        <w:right w:val="none" w:sz="0" w:space="0" w:color="auto"/>
      </w:divBdr>
    </w:div>
    <w:div w:id="2130079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image" Target="media/image4.png"/><Relationship Id="rId42" Type="http://schemas.openxmlformats.org/officeDocument/2006/relationships/image" Target="media/image25.png"/><Relationship Id="rId47" Type="http://schemas.openxmlformats.org/officeDocument/2006/relationships/image" Target="media/image30.png"/><Relationship Id="rId63" Type="http://schemas.openxmlformats.org/officeDocument/2006/relationships/image" Target="media/image34.png"/><Relationship Id="rId68" Type="http://schemas.openxmlformats.org/officeDocument/2006/relationships/image" Target="media/image38.jpeg"/><Relationship Id="rId16" Type="http://schemas.openxmlformats.org/officeDocument/2006/relationships/header" Target="header3.xml"/><Relationship Id="rId11" Type="http://schemas.openxmlformats.org/officeDocument/2006/relationships/footer" Target="footer2.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footer" Target="footer4.xml"/><Relationship Id="rId58" Type="http://schemas.openxmlformats.org/officeDocument/2006/relationships/hyperlink" Target="https://www.cabri-sbo.org" TargetMode="External"/><Relationship Id="rId66" Type="http://schemas.openxmlformats.org/officeDocument/2006/relationships/image" Target="media/image36.jpeg"/><Relationship Id="rId74" Type="http://schemas.openxmlformats.org/officeDocument/2006/relationships/image" Target="media/image44.jpeg"/><Relationship Id="rId5" Type="http://schemas.openxmlformats.org/officeDocument/2006/relationships/webSettings" Target="webSettings.xml"/><Relationship Id="rId61" Type="http://schemas.openxmlformats.org/officeDocument/2006/relationships/hyperlink" Target="https://insp.dz" TargetMode="External"/><Relationship Id="rId19" Type="http://schemas.openxmlformats.org/officeDocument/2006/relationships/hyperlink" Target="https://www.cnas.dz/" TargetMode="External"/><Relationship Id="rId14" Type="http://schemas.openxmlformats.org/officeDocument/2006/relationships/footer" Target="footer3.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hyperlink" Target="https://brundagegroup.com/what-are-diagnosis-related-groups-drgs/" TargetMode="External"/><Relationship Id="rId64" Type="http://schemas.openxmlformats.org/officeDocument/2006/relationships/image" Target="media/image35.emf"/><Relationship Id="rId69" Type="http://schemas.openxmlformats.org/officeDocument/2006/relationships/image" Target="media/image39.jpeg"/><Relationship Id="rId77" Type="http://schemas.openxmlformats.org/officeDocument/2006/relationships/theme" Target="theme/theme1.xml"/><Relationship Id="rId8" Type="http://schemas.openxmlformats.org/officeDocument/2006/relationships/image" Target="media/image1.jfif"/><Relationship Id="rId51" Type="http://schemas.openxmlformats.org/officeDocument/2006/relationships/header" Target="header5.xml"/><Relationship Id="rId72" Type="http://schemas.openxmlformats.org/officeDocument/2006/relationships/image" Target="media/image42.jpeg"/><Relationship Id="rId3" Type="http://schemas.openxmlformats.org/officeDocument/2006/relationships/styles" Target="styles.xml"/><Relationship Id="rId12" Type="http://schemas.openxmlformats.org/officeDocument/2006/relationships/hyperlink" Target="https://theses.univ-oran1.dz/document/TH3172.pdf" TargetMode="External"/><Relationship Id="rId17" Type="http://schemas.openxmlformats.org/officeDocument/2006/relationships/header" Target="header4.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hyperlink" Target="https://www.mtess.gov.dz" TargetMode="External"/><Relationship Id="rId67" Type="http://schemas.openxmlformats.org/officeDocument/2006/relationships/image" Target="media/image37.jpeg"/><Relationship Id="rId20" Type="http://schemas.openxmlformats.org/officeDocument/2006/relationships/image" Target="media/image3.png"/><Relationship Id="rId41" Type="http://schemas.openxmlformats.org/officeDocument/2006/relationships/image" Target="media/image24.png"/><Relationship Id="rId54" Type="http://schemas.openxmlformats.org/officeDocument/2006/relationships/hyperlink" Target="https://apps.who.int/iris/handle/10665/43963" TargetMode="External"/><Relationship Id="rId62" Type="http://schemas.openxmlformats.org/officeDocument/2006/relationships/header" Target="header7.xml"/><Relationship Id="rId70" Type="http://schemas.openxmlformats.org/officeDocument/2006/relationships/image" Target="media/image40.jpeg"/><Relationship Id="rId75"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wh.int"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hyperlink" Target="https://www.joradp.dz" TargetMode="External"/><Relationship Id="rId10" Type="http://schemas.openxmlformats.org/officeDocument/2006/relationships/header" Target="header1.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header" Target="header6.xml"/><Relationship Id="rId60" Type="http://schemas.openxmlformats.org/officeDocument/2006/relationships/hyperlink" Target="https://www.tdmsanteinov.dz" TargetMode="External"/><Relationship Id="rId65" Type="http://schemas.openxmlformats.org/officeDocument/2006/relationships/oleObject" Target="embeddings/oleObject1.bin"/><Relationship Id="rId73" Type="http://schemas.openxmlformats.org/officeDocument/2006/relationships/image" Target="media/image43.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2.xml"/><Relationship Id="rId18" Type="http://schemas.openxmlformats.org/officeDocument/2006/relationships/image" Target="media/image2.png"/><Relationship Id="rId39" Type="http://schemas.openxmlformats.org/officeDocument/2006/relationships/image" Target="media/image22.png"/><Relationship Id="rId34" Type="http://schemas.openxmlformats.org/officeDocument/2006/relationships/image" Target="media/image17.png"/><Relationship Id="rId50" Type="http://schemas.openxmlformats.org/officeDocument/2006/relationships/image" Target="media/image33.png"/><Relationship Id="rId55" Type="http://schemas.openxmlformats.org/officeDocument/2006/relationships/hyperlink" Target="https://www.atih.sante.fr"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41.jpeg"/><Relationship Id="rId2" Type="http://schemas.openxmlformats.org/officeDocument/2006/relationships/numbering" Target="numbering.xml"/><Relationship Id="rId29" Type="http://schemas.openxmlformats.org/officeDocument/2006/relationships/image" Target="media/image12.png"/></Relationships>
</file>

<file path=word/_rels/footnotes.xml.rels><?xml version="1.0" encoding="UTF-8" standalone="yes"?>
<Relationships xmlns="http://schemas.openxmlformats.org/package/2006/relationships"><Relationship Id="rId13" Type="http://schemas.openxmlformats.org/officeDocument/2006/relationships/hyperlink" Target="https://transform.england.nhs.uk/digitise-connect-transform/our-strategy-to-digitise-connect-and-transform/" TargetMode="External"/><Relationship Id="rId18" Type="http://schemas.openxmlformats.org/officeDocument/2006/relationships/hyperlink" Target="https://dnalgerie.com/algerie-va-inaugurer-plus-de-80-hopitaux-en-2025/" TargetMode="External"/><Relationship Id="rId26" Type="http://schemas.openxmlformats.org/officeDocument/2006/relationships/hyperlink" Target="https://www.mtess.gov.dz/fr/une-journee-detude-sur-la-contribution-des-mutuelles-sociales-dans-le-developpement-du-systeme-de-la-securite-sociale-en-algerie/" TargetMode="External"/><Relationship Id="rId39" Type="http://schemas.openxmlformats.org/officeDocument/2006/relationships/hyperlink" Target="https://www.definitions-marketing.com/definition/tri-a-plat" TargetMode="External"/><Relationship Id="rId21" Type="http://schemas.openxmlformats.org/officeDocument/2006/relationships/hyperlink" Target="https://www.ouvrages.crasc.dz/pdfs/intelligence-artificielle-appliquee-systmes-information-hospitaliers-algerie.pdf" TargetMode="External"/><Relationship Id="rId34" Type="http://schemas.openxmlformats.org/officeDocument/2006/relationships/hyperlink" Target="https://asjp.cerist.dz/en/article/157116" TargetMode="External"/><Relationship Id="rId7" Type="http://schemas.openxmlformats.org/officeDocument/2006/relationships/hyperlink" Target="https://www.atih.sante.fr" TargetMode="External"/><Relationship Id="rId12" Type="http://schemas.openxmlformats.org/officeDocument/2006/relationships/hyperlink" Target="https://www.england.nhs.uk/long-read/nhs-uk-online-resource-for-patients/" TargetMode="External"/><Relationship Id="rId17" Type="http://schemas.openxmlformats.org/officeDocument/2006/relationships/hyperlink" Target="https://insp.dz/images/PDF/SNIS/Evaluation%20du%20SNIS%20Alg%C3%A9rie%20%202011-%20Rapport%20final.pdf" TargetMode="External"/><Relationship Id="rId25" Type="http://schemas.openxmlformats.org/officeDocument/2006/relationships/hyperlink" Target="https://shs.cairn.info/article/DUNOD_BIZAR_2016_01_0007?lang=fr&amp;tab=premieres-lignes" TargetMode="External"/><Relationship Id="rId33" Type="http://schemas.openxmlformats.org/officeDocument/2006/relationships/hyperlink" Target="https://insaniyat.crasc.dz/index.php/fr/component/content/article/443-la-contractualisation-et-l-information-d%C3%A9fis-et-enjeux-entre-les-financeurs-et-les-producteurs-de-soins-en-alg%C3%A9rie?catid=14&amp;Itemid=219" TargetMode="External"/><Relationship Id="rId38" Type="http://schemas.openxmlformats.org/officeDocument/2006/relationships/hyperlink" Target="https://www.findevgateway.org/sites/default/files/publications/files/mfg-fr-etudes-de-cas-capitation-au-cambodge-08-2009.pdf" TargetMode="External"/><Relationship Id="rId2" Type="http://schemas.openxmlformats.org/officeDocument/2006/relationships/hyperlink" Target="https://www.bajajfinserv.in/hospital-information-system" TargetMode="External"/><Relationship Id="rId16" Type="http://schemas.openxmlformats.org/officeDocument/2006/relationships/hyperlink" Target="https://savience.com/2023/08/07/pros-and-cons-of-digital-health/" TargetMode="External"/><Relationship Id="rId20" Type="http://schemas.openxmlformats.org/officeDocument/2006/relationships/hyperlink" Target="https://myresearchspace.uws.ac.uk/ws/portalfiles/portal/59036145/2024_10_01_Hidra_et_al_Healthcare_accepted.pdf" TargetMode="External"/><Relationship Id="rId29" Type="http://schemas.openxmlformats.org/officeDocument/2006/relationships/hyperlink" Target="https://enavantmath.org/files/publications/2007RP-04.pdf" TargetMode="External"/><Relationship Id="rId1" Type="http://schemas.openxmlformats.org/officeDocument/2006/relationships/hyperlink" Target="https://www.apmintelligence.com/libre_liste?id=45" TargetMode="External"/><Relationship Id="rId6" Type="http://schemas.openxmlformats.org/officeDocument/2006/relationships/hyperlink" Target="https://www.caducee.net/DossierSpecialises/systeme-information-sante/pmsi.asp" TargetMode="External"/><Relationship Id="rId11" Type="http://schemas.openxmlformats.org/officeDocument/2006/relationships/hyperlink" Target="https://brundagegroup.com/what-are-diagnosis-related-groups-drgs/" TargetMode="External"/><Relationship Id="rId24" Type="http://schemas.openxmlformats.org/officeDocument/2006/relationships/hyperlink" Target="https://www.informationhospitaliere.com/assurance-maladie-comment-ca-marche" TargetMode="External"/><Relationship Id="rId32" Type="http://schemas.openxmlformats.org/officeDocument/2006/relationships/hyperlink" Target="https://www.tdmsanteinov.dz/projet-de-contractualisation/" TargetMode="External"/><Relationship Id="rId37" Type="http://schemas.openxmlformats.org/officeDocument/2006/relationships/hyperlink" Target="https://stm.cairn.info/revue-les-tribunes-de-la-sante1-2017-4-page-71?lang=fr" TargetMode="External"/><Relationship Id="rId40" Type="http://schemas.openxmlformats.org/officeDocument/2006/relationships/hyperlink" Target="https://www.definitions-marketing.com/definition/tri-a-plat" TargetMode="External"/><Relationship Id="rId5" Type="http://schemas.openxmlformats.org/officeDocument/2006/relationships/hyperlink" Target="https://documentation.ehesp.fr/doc_num.php?explnum_id=14489" TargetMode="External"/><Relationship Id="rId15" Type="http://schemas.openxmlformats.org/officeDocument/2006/relationships/hyperlink" Target="https://publications.parliament.uk/pa/cm5803/cmselect/cmhealth/223/report.html" TargetMode="External"/><Relationship Id="rId23" Type="http://schemas.openxmlformats.org/officeDocument/2006/relationships/hyperlink" Target="https://www.solutionsinformatiques.dz/logiciel-de-gestion-des-etablissements-hospitaliere-Algerie" TargetMode="External"/><Relationship Id="rId28" Type="http://schemas.openxmlformats.org/officeDocument/2006/relationships/hyperlink" Target="https://www.cabri-sbo.org/uploads/files/Documents/report_2012_oxford_policy_management_value_for_money_health_1st_dialogue_french_financement_de_la_sante_tendances_en_afrique_subsaharienne.pdf" TargetMode="External"/><Relationship Id="rId36" Type="http://schemas.openxmlformats.org/officeDocument/2006/relationships/hyperlink" Target="https://www.findevgateway.org/sites/default/files/publications/files/mfg-fr-etudes-de-cas-capitation-au-cambodge-08-2009.pdf" TargetMode="External"/><Relationship Id="rId10" Type="http://schemas.openxmlformats.org/officeDocument/2006/relationships/hyperlink" Target="https://www.persee.fr/doc/sosan_0294-0337_1990_num_8_2_1160" TargetMode="External"/><Relationship Id="rId19" Type="http://schemas.openxmlformats.org/officeDocument/2006/relationships/hyperlink" Target="https://www.solutionsinformatiques.dz/logiciel-de-gestion-des-etablissements-hospitaliere-Algerie" TargetMode="External"/><Relationship Id="rId31" Type="http://schemas.openxmlformats.org/officeDocument/2006/relationships/hyperlink" Target="https://www.joradp.dz/FTP/jo-francais/1974/F1974001.PDF" TargetMode="External"/><Relationship Id="rId4" Type="http://schemas.openxmlformats.org/officeDocument/2006/relationships/hyperlink" Target="https://vocal.media/journal/hospital-information-system-types-features-benefits-and-drawbacks" TargetMode="External"/><Relationship Id="rId9" Type="http://schemas.openxmlformats.org/officeDocument/2006/relationships/hyperlink" Target="https://doi.org/10.1177/2333392816647892" TargetMode="External"/><Relationship Id="rId14" Type="http://schemas.openxmlformats.org/officeDocument/2006/relationships/hyperlink" Target="https://www.gov.uk/government/case-studies/how-nhs-digital-used-api-management-to-support-apis-at-scale" TargetMode="External"/><Relationship Id="rId22" Type="http://schemas.openxmlformats.org/officeDocument/2006/relationships/hyperlink" Target="https://revues.imist.ma/index.php/A2S/article/download/9958/5679/24321" TargetMode="External"/><Relationship Id="rId27" Type="http://schemas.openxmlformats.org/officeDocument/2006/relationships/hyperlink" Target="https://crest.science/RePEc/wpstorage/2003-39.pdf" TargetMode="External"/><Relationship Id="rId30" Type="http://schemas.openxmlformats.org/officeDocument/2006/relationships/hyperlink" Target="https://doi.org/10.4000/insaniyat.17492" TargetMode="External"/><Relationship Id="rId35" Type="http://schemas.openxmlformats.org/officeDocument/2006/relationships/hyperlink" Target="https://www.irdes.fr" TargetMode="External"/><Relationship Id="rId8" Type="http://schemas.openxmlformats.org/officeDocument/2006/relationships/hyperlink" Target="https://www.kff.org/wp-content/uploads/sites/2/2011/07/oei-09-00-00200.pdf" TargetMode="External"/><Relationship Id="rId3" Type="http://schemas.openxmlformats.org/officeDocument/2006/relationships/hyperlink" Target="https://gestions-hospitalieres.fr/systeme-daide-a-la-decision-cliniqu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3BFDF8-DBF9-4FA4-A255-598032516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2151</TotalTime>
  <Pages>188</Pages>
  <Words>45480</Words>
  <Characters>250144</Characters>
  <Application>Microsoft Office Word</Application>
  <DocSecurity>0</DocSecurity>
  <Lines>2084</Lines>
  <Paragraphs>590</Paragraphs>
  <ScaleCrop>false</ScaleCrop>
  <HeadingPairs>
    <vt:vector size="2" baseType="variant">
      <vt:variant>
        <vt:lpstr>Titre</vt:lpstr>
      </vt:variant>
      <vt:variant>
        <vt:i4>1</vt:i4>
      </vt:variant>
    </vt:vector>
  </HeadingPairs>
  <TitlesOfParts>
    <vt:vector size="1" baseType="lpstr">
      <vt:lpstr>Chapitre 1 : l</vt:lpstr>
    </vt:vector>
  </TitlesOfParts>
  <Company/>
  <LinksUpToDate>false</LinksUpToDate>
  <CharactersWithSpaces>295034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1 : l</dc:title>
  <dc:subject/>
  <dc:creator>Kaw technique</dc:creator>
  <cp:keywords/>
  <dc:description/>
  <cp:lastModifiedBy>Kaw technique</cp:lastModifiedBy>
  <cp:revision>353</cp:revision>
  <dcterms:created xsi:type="dcterms:W3CDTF">2025-06-02T01:36:00Z</dcterms:created>
  <dcterms:modified xsi:type="dcterms:W3CDTF">2025-06-16T19:17:00Z</dcterms:modified>
</cp:coreProperties>
</file>