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46F5B" w14:textId="77777777" w:rsidR="00180B51" w:rsidRPr="00BD2EAB" w:rsidRDefault="00180B51" w:rsidP="00180B51">
      <w:pPr>
        <w:pStyle w:val="NormalWeb"/>
        <w:jc w:val="center"/>
        <w:rPr>
          <w:rStyle w:val="Strong"/>
          <w:lang w:val="en-US" w:bidi="ar-DZ"/>
        </w:rPr>
      </w:pPr>
      <w:r w:rsidRPr="00BD2EAB">
        <w:rPr>
          <w:rStyle w:val="Strong"/>
          <w:lang w:val="en-US" w:bidi="ar-DZ"/>
        </w:rPr>
        <w:t>People's Democratic Republic of Algeria</w:t>
      </w:r>
    </w:p>
    <w:p w14:paraId="2210C5DC" w14:textId="77777777" w:rsidR="00180B51" w:rsidRPr="00BD2EAB" w:rsidRDefault="00180B51" w:rsidP="00180B51">
      <w:pPr>
        <w:pStyle w:val="NormalWeb"/>
        <w:jc w:val="center"/>
        <w:rPr>
          <w:rStyle w:val="Strong"/>
          <w:lang w:val="en-US" w:bidi="ar-DZ"/>
        </w:rPr>
      </w:pPr>
      <w:r w:rsidRPr="00BD2EAB">
        <w:rPr>
          <w:rStyle w:val="Strong"/>
          <w:lang w:val="en-US" w:bidi="ar-DZ"/>
        </w:rPr>
        <w:t>Ministry of Higher Education and Scientific Research</w:t>
      </w:r>
    </w:p>
    <w:p w14:paraId="5C0B49CE" w14:textId="6C27BFFC" w:rsidR="00E3143B" w:rsidRPr="00BD2EAB" w:rsidRDefault="00180B51" w:rsidP="00180B51">
      <w:pPr>
        <w:pStyle w:val="NormalWeb"/>
        <w:jc w:val="center"/>
        <w:rPr>
          <w:rStyle w:val="Strong"/>
          <w:lang w:val="en-US" w:bidi="ar-DZ"/>
        </w:rPr>
      </w:pPr>
      <w:r w:rsidRPr="009D64D7">
        <w:rPr>
          <w:rFonts w:asciiTheme="majorBidi" w:hAnsiTheme="majorBidi" w:cstheme="majorBidi"/>
          <w:b/>
          <w:bCs/>
          <w:noProof/>
          <w:sz w:val="40"/>
          <w:szCs w:val="40"/>
          <w:rtl/>
        </w:rPr>
        <w:drawing>
          <wp:anchor distT="0" distB="0" distL="114300" distR="114300" simplePos="0" relativeHeight="251725824" behindDoc="1" locked="0" layoutInCell="1" allowOverlap="1" wp14:anchorId="7F55E19A" wp14:editId="2789025C">
            <wp:simplePos x="0" y="0"/>
            <wp:positionH relativeFrom="column">
              <wp:posOffset>2235200</wp:posOffset>
            </wp:positionH>
            <wp:positionV relativeFrom="paragraph">
              <wp:posOffset>281305</wp:posOffset>
            </wp:positionV>
            <wp:extent cx="1295400" cy="1295400"/>
            <wp:effectExtent l="0" t="0" r="0" b="0"/>
            <wp:wrapSquare wrapText="bothSides"/>
            <wp:docPr id="1735549558" name="Image 0" desc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anchor>
        </w:drawing>
      </w:r>
      <w:r w:rsidRPr="00BD2EAB">
        <w:rPr>
          <w:rStyle w:val="Strong"/>
          <w:lang w:val="en-US" w:bidi="ar-DZ"/>
        </w:rPr>
        <w:t>Higher School of Management-Tlemcen –</w:t>
      </w:r>
    </w:p>
    <w:p w14:paraId="7236DE2C" w14:textId="71658EDF" w:rsidR="00180B51" w:rsidRPr="00BD2EAB" w:rsidRDefault="00180B51" w:rsidP="00180B51">
      <w:pPr>
        <w:pStyle w:val="NormalWeb"/>
        <w:jc w:val="center"/>
        <w:rPr>
          <w:rStyle w:val="Strong"/>
          <w:lang w:val="en-US" w:bidi="ar-DZ"/>
        </w:rPr>
      </w:pPr>
    </w:p>
    <w:p w14:paraId="28B72077" w14:textId="65598A56" w:rsidR="00180B51" w:rsidRPr="00BD2EAB" w:rsidRDefault="00180B51" w:rsidP="00180B51">
      <w:pPr>
        <w:pStyle w:val="NormalWeb"/>
        <w:jc w:val="center"/>
        <w:rPr>
          <w:rStyle w:val="Strong"/>
          <w:lang w:val="en-US" w:bidi="ar-DZ"/>
        </w:rPr>
      </w:pPr>
    </w:p>
    <w:p w14:paraId="0ABFF7EF" w14:textId="77777777" w:rsidR="00180B51" w:rsidRPr="00BD2EAB" w:rsidRDefault="00180B51" w:rsidP="00180B51">
      <w:pPr>
        <w:pStyle w:val="NormalWeb"/>
        <w:jc w:val="center"/>
        <w:rPr>
          <w:rStyle w:val="Strong"/>
          <w:lang w:val="en-US" w:bidi="ar-DZ"/>
        </w:rPr>
      </w:pPr>
    </w:p>
    <w:p w14:paraId="0B8D0000" w14:textId="69F4B745" w:rsidR="00180B51" w:rsidRPr="00180B51" w:rsidRDefault="00180B51" w:rsidP="00180B51">
      <w:pPr>
        <w:pStyle w:val="NormalWeb"/>
        <w:jc w:val="center"/>
        <w:rPr>
          <w:rStyle w:val="Strong"/>
          <w:rtl/>
          <w:lang w:bidi="ar-DZ"/>
        </w:rPr>
      </w:pPr>
    </w:p>
    <w:p w14:paraId="2D78163D" w14:textId="44BA3BC2" w:rsidR="00180B51" w:rsidRDefault="00180B51" w:rsidP="00180B51">
      <w:pPr>
        <w:spacing w:line="360" w:lineRule="auto"/>
        <w:jc w:val="center"/>
        <w:rPr>
          <w:rFonts w:asciiTheme="majorBidi" w:hAnsiTheme="majorBidi" w:cstheme="majorBidi"/>
          <w:b/>
          <w:bCs/>
          <w:sz w:val="44"/>
          <w:szCs w:val="44"/>
          <w:lang w:val="en-GB" w:eastAsia="fr-FR"/>
        </w:rPr>
      </w:pPr>
      <w:r>
        <w:rPr>
          <w:rFonts w:asciiTheme="majorBidi" w:hAnsiTheme="majorBidi" w:cstheme="majorBidi"/>
          <w:b/>
          <w:bCs/>
          <w:sz w:val="44"/>
          <w:szCs w:val="44"/>
          <w:lang w:val="en-GB" w:eastAsia="fr-FR"/>
        </w:rPr>
        <w:t>Dissertation</w:t>
      </w:r>
    </w:p>
    <w:p w14:paraId="2C2B7834" w14:textId="488C86CF" w:rsidR="00180B51" w:rsidRDefault="00180B51" w:rsidP="00180B51">
      <w:pPr>
        <w:spacing w:line="360" w:lineRule="auto"/>
        <w:jc w:val="center"/>
        <w:rPr>
          <w:rFonts w:asciiTheme="majorBidi" w:hAnsiTheme="majorBidi" w:cstheme="majorBidi"/>
          <w:sz w:val="28"/>
          <w:szCs w:val="28"/>
          <w:lang w:val="en-GB" w:eastAsia="fr-FR"/>
        </w:rPr>
      </w:pPr>
      <w:r>
        <w:rPr>
          <w:rFonts w:asciiTheme="majorBidi" w:hAnsiTheme="majorBidi" w:cstheme="majorBidi"/>
          <w:sz w:val="28"/>
          <w:szCs w:val="28"/>
          <w:lang w:val="en-GB" w:eastAsia="fr-FR"/>
        </w:rPr>
        <w:t>To obtain a maste</w:t>
      </w:r>
      <w:r w:rsidR="0019449B">
        <w:rPr>
          <w:rFonts w:asciiTheme="majorBidi" w:hAnsiTheme="majorBidi" w:cstheme="majorBidi"/>
          <w:sz w:val="28"/>
          <w:szCs w:val="28"/>
          <w:lang w:val="en-GB" w:eastAsia="fr-FR"/>
        </w:rPr>
        <w:t>r</w:t>
      </w:r>
      <w:r>
        <w:rPr>
          <w:rFonts w:asciiTheme="majorBidi" w:hAnsiTheme="majorBidi" w:cstheme="majorBidi"/>
          <w:sz w:val="28"/>
          <w:szCs w:val="28"/>
          <w:lang w:val="en-GB" w:eastAsia="fr-FR"/>
        </w:rPr>
        <w:t>’s Degree in Management Science</w:t>
      </w:r>
    </w:p>
    <w:p w14:paraId="29B76A1D" w14:textId="0717525F" w:rsidR="00180B51" w:rsidRPr="00BD2EAB" w:rsidRDefault="00180B51" w:rsidP="00180B51">
      <w:pPr>
        <w:jc w:val="center"/>
        <w:rPr>
          <w:rFonts w:ascii="Times New Roman" w:eastAsia="Times New Roman" w:hAnsi="Times New Roman" w:cs="Times New Roman"/>
          <w:sz w:val="24"/>
          <w:szCs w:val="24"/>
          <w:lang w:val="en-US"/>
        </w:rPr>
      </w:pPr>
      <w:r w:rsidRPr="00BD2EAB">
        <w:rPr>
          <w:rFonts w:ascii="Times New Roman" w:eastAsia="Times New Roman" w:hAnsi="Times New Roman" w:cs="Times New Roman"/>
          <w:b/>
          <w:bCs/>
          <w:sz w:val="24"/>
          <w:szCs w:val="24"/>
          <w:lang w:val="en-US"/>
        </w:rPr>
        <w:t>Specialty:</w:t>
      </w:r>
      <w:r w:rsidR="00BD2EAB" w:rsidRPr="00BD2EAB">
        <w:rPr>
          <w:rFonts w:ascii="Times New Roman" w:eastAsia="Times New Roman" w:hAnsi="Times New Roman" w:cs="Times New Roman"/>
          <w:sz w:val="24"/>
          <w:szCs w:val="24"/>
          <w:lang w:val="en-US"/>
        </w:rPr>
        <w:t xml:space="preserve"> Business </w:t>
      </w:r>
      <w:r w:rsidR="00BD2EAB">
        <w:rPr>
          <w:rFonts w:ascii="Times New Roman" w:eastAsia="Times New Roman" w:hAnsi="Times New Roman" w:cs="Times New Roman"/>
          <w:sz w:val="24"/>
          <w:szCs w:val="24"/>
          <w:lang w:val="en-US"/>
        </w:rPr>
        <w:t>M</w:t>
      </w:r>
      <w:r w:rsidR="00BD2EAB" w:rsidRPr="00BD2EAB">
        <w:rPr>
          <w:rFonts w:ascii="Times New Roman" w:eastAsia="Times New Roman" w:hAnsi="Times New Roman" w:cs="Times New Roman"/>
          <w:sz w:val="24"/>
          <w:szCs w:val="24"/>
          <w:lang w:val="en-US"/>
        </w:rPr>
        <w:t xml:space="preserve">anagement and </w:t>
      </w:r>
      <w:r w:rsidR="00BD2EAB">
        <w:rPr>
          <w:rFonts w:ascii="Times New Roman" w:eastAsia="Times New Roman" w:hAnsi="Times New Roman" w:cs="Times New Roman"/>
          <w:sz w:val="24"/>
          <w:szCs w:val="24"/>
          <w:lang w:val="en-US"/>
        </w:rPr>
        <w:t>Strategies of entreprises</w:t>
      </w:r>
    </w:p>
    <w:p w14:paraId="27F688D1" w14:textId="7A177D7F" w:rsidR="00180B51" w:rsidRPr="00BD2EAB" w:rsidRDefault="00180B51" w:rsidP="00180B51">
      <w:pPr>
        <w:jc w:val="center"/>
        <w:rPr>
          <w:rFonts w:ascii="Times New Roman" w:eastAsia="Times New Roman" w:hAnsi="Times New Roman" w:cs="Times New Roman"/>
          <w:sz w:val="24"/>
          <w:szCs w:val="24"/>
          <w:lang w:val="en-US"/>
        </w:rPr>
      </w:pPr>
      <w:r>
        <w:rPr>
          <w:rFonts w:asciiTheme="majorBidi" w:hAnsiTheme="majorBidi" w:cstheme="majorBidi"/>
          <w:noProof/>
          <w:sz w:val="28"/>
          <w:szCs w:val="28"/>
          <w:lang w:val="en-GB" w:eastAsia="fr-FR"/>
        </w:rPr>
        <mc:AlternateContent>
          <mc:Choice Requires="wps">
            <w:drawing>
              <wp:anchor distT="0" distB="0" distL="114300" distR="114300" simplePos="0" relativeHeight="251726848" behindDoc="0" locked="0" layoutInCell="1" allowOverlap="1" wp14:anchorId="596F3157" wp14:editId="38B75CF0">
                <wp:simplePos x="0" y="0"/>
                <wp:positionH relativeFrom="column">
                  <wp:posOffset>84455</wp:posOffset>
                </wp:positionH>
                <wp:positionV relativeFrom="paragraph">
                  <wp:posOffset>153035</wp:posOffset>
                </wp:positionV>
                <wp:extent cx="5721350" cy="1352550"/>
                <wp:effectExtent l="19050" t="19050" r="31750" b="38100"/>
                <wp:wrapNone/>
                <wp:docPr id="2109759117" name="Rectangle 85"/>
                <wp:cNvGraphicFramePr/>
                <a:graphic xmlns:a="http://schemas.openxmlformats.org/drawingml/2006/main">
                  <a:graphicData uri="http://schemas.microsoft.com/office/word/2010/wordprocessingShape">
                    <wps:wsp>
                      <wps:cNvSpPr/>
                      <wps:spPr>
                        <a:xfrm>
                          <a:off x="0" y="0"/>
                          <a:ext cx="5721350" cy="1352550"/>
                        </a:xfrm>
                        <a:prstGeom prst="rect">
                          <a:avLst/>
                        </a:prstGeom>
                        <a:solidFill>
                          <a:schemeClr val="bg1"/>
                        </a:solidFill>
                        <a:ln w="47625">
                          <a:solidFill>
                            <a:schemeClr val="accent6">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859322" w14:textId="219DA7F0" w:rsidR="00180B51" w:rsidRPr="00180B51" w:rsidRDefault="00180B51" w:rsidP="00180B51">
                            <w:pPr>
                              <w:jc w:val="center"/>
                              <w:rPr>
                                <w:rFonts w:asciiTheme="majorBidi" w:hAnsiTheme="majorBidi" w:cstheme="majorBidi"/>
                                <w:b/>
                                <w:bCs/>
                                <w:color w:val="000000" w:themeColor="text1"/>
                                <w:sz w:val="44"/>
                                <w:szCs w:val="44"/>
                                <w:lang w:val="en-GB"/>
                              </w:rPr>
                            </w:pPr>
                            <w:r w:rsidRPr="00180B51">
                              <w:rPr>
                                <w:rFonts w:asciiTheme="majorBidi" w:hAnsiTheme="majorBidi" w:cstheme="majorBidi"/>
                                <w:b/>
                                <w:bCs/>
                                <w:color w:val="000000" w:themeColor="text1"/>
                                <w:sz w:val="44"/>
                                <w:szCs w:val="44"/>
                                <w:lang w:val="en-GB"/>
                              </w:rPr>
                              <w:t>Boyc</w:t>
                            </w:r>
                            <w:r w:rsidR="00FB2AD1">
                              <w:rPr>
                                <w:rFonts w:asciiTheme="majorBidi" w:hAnsiTheme="majorBidi" w:cstheme="majorBidi"/>
                                <w:b/>
                                <w:bCs/>
                                <w:color w:val="000000" w:themeColor="text1"/>
                                <w:sz w:val="44"/>
                                <w:szCs w:val="44"/>
                                <w:lang w:val="en-GB"/>
                              </w:rPr>
                              <w:t>o</w:t>
                            </w:r>
                            <w:r w:rsidRPr="00180B51">
                              <w:rPr>
                                <w:rFonts w:asciiTheme="majorBidi" w:hAnsiTheme="majorBidi" w:cstheme="majorBidi"/>
                                <w:b/>
                                <w:bCs/>
                                <w:color w:val="000000" w:themeColor="text1"/>
                                <w:sz w:val="44"/>
                                <w:szCs w:val="44"/>
                                <w:lang w:val="en-GB"/>
                              </w:rPr>
                              <w:t>tt as a</w:t>
                            </w:r>
                            <w:r w:rsidR="00FB2AD1">
                              <w:rPr>
                                <w:rFonts w:asciiTheme="majorBidi" w:hAnsiTheme="majorBidi" w:cstheme="majorBidi"/>
                                <w:b/>
                                <w:bCs/>
                                <w:color w:val="000000" w:themeColor="text1"/>
                                <w:sz w:val="44"/>
                                <w:szCs w:val="44"/>
                                <w:lang w:val="en-GB"/>
                              </w:rPr>
                              <w:t>n opportunity</w:t>
                            </w:r>
                            <w:r w:rsidRPr="00180B51">
                              <w:rPr>
                                <w:rFonts w:asciiTheme="majorBidi" w:hAnsiTheme="majorBidi" w:cstheme="majorBidi"/>
                                <w:b/>
                                <w:bCs/>
                                <w:color w:val="000000" w:themeColor="text1"/>
                                <w:sz w:val="44"/>
                                <w:szCs w:val="44"/>
                                <w:lang w:val="en-GB"/>
                              </w:rPr>
                              <w:t xml:space="preserve"> to export local product to the European market: Turkey as a case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F3157" id="Rectangle 85" o:spid="_x0000_s1026" style="position:absolute;left:0;text-align:left;margin-left:6.65pt;margin-top:12.05pt;width:450.5pt;height:10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" fillcolor="white [3212]" strokecolor="#a8d08d [1945]" strokeweight="3.75pt">
                <v:textbox>
                  <w:txbxContent>
                    <w:p w14:paraId="70859322" w14:textId="219DA7F0" w:rsidR="00180B51" w:rsidRPr="00180B51" w:rsidRDefault="00180B51" w:rsidP="00180B51">
                      <w:pPr>
                        <w:jc w:val="center"/>
                        <w:rPr>
                          <w:rFonts w:asciiTheme="majorBidi" w:hAnsiTheme="majorBidi" w:cstheme="majorBidi"/>
                          <w:b/>
                          <w:bCs/>
                          <w:color w:val="000000" w:themeColor="text1"/>
                          <w:sz w:val="44"/>
                          <w:szCs w:val="44"/>
                          <w:lang w:val="en-GB"/>
                        </w:rPr>
                      </w:pPr>
                      <w:r w:rsidRPr="00180B51">
                        <w:rPr>
                          <w:rFonts w:asciiTheme="majorBidi" w:hAnsiTheme="majorBidi" w:cstheme="majorBidi"/>
                          <w:b/>
                          <w:bCs/>
                          <w:color w:val="000000" w:themeColor="text1"/>
                          <w:sz w:val="44"/>
                          <w:szCs w:val="44"/>
                          <w:lang w:val="en-GB"/>
                        </w:rPr>
                        <w:t>Boyc</w:t>
                      </w:r>
                      <w:r w:rsidR="00FB2AD1">
                        <w:rPr>
                          <w:rFonts w:asciiTheme="majorBidi" w:hAnsiTheme="majorBidi" w:cstheme="majorBidi"/>
                          <w:b/>
                          <w:bCs/>
                          <w:color w:val="000000" w:themeColor="text1"/>
                          <w:sz w:val="44"/>
                          <w:szCs w:val="44"/>
                          <w:lang w:val="en-GB"/>
                        </w:rPr>
                        <w:t>o</w:t>
                      </w:r>
                      <w:r w:rsidRPr="00180B51">
                        <w:rPr>
                          <w:rFonts w:asciiTheme="majorBidi" w:hAnsiTheme="majorBidi" w:cstheme="majorBidi"/>
                          <w:b/>
                          <w:bCs/>
                          <w:color w:val="000000" w:themeColor="text1"/>
                          <w:sz w:val="44"/>
                          <w:szCs w:val="44"/>
                          <w:lang w:val="en-GB"/>
                        </w:rPr>
                        <w:t>tt as a</w:t>
                      </w:r>
                      <w:r w:rsidR="00FB2AD1">
                        <w:rPr>
                          <w:rFonts w:asciiTheme="majorBidi" w:hAnsiTheme="majorBidi" w:cstheme="majorBidi"/>
                          <w:b/>
                          <w:bCs/>
                          <w:color w:val="000000" w:themeColor="text1"/>
                          <w:sz w:val="44"/>
                          <w:szCs w:val="44"/>
                          <w:lang w:val="en-GB"/>
                        </w:rPr>
                        <w:t>n opportunity</w:t>
                      </w:r>
                      <w:r w:rsidRPr="00180B51">
                        <w:rPr>
                          <w:rFonts w:asciiTheme="majorBidi" w:hAnsiTheme="majorBidi" w:cstheme="majorBidi"/>
                          <w:b/>
                          <w:bCs/>
                          <w:color w:val="000000" w:themeColor="text1"/>
                          <w:sz w:val="44"/>
                          <w:szCs w:val="44"/>
                          <w:lang w:val="en-GB"/>
                        </w:rPr>
                        <w:t xml:space="preserve"> to export local product to the European market: Turkey as a case Study</w:t>
                      </w:r>
                    </w:p>
                  </w:txbxContent>
                </v:textbox>
              </v:rect>
            </w:pict>
          </mc:Fallback>
        </mc:AlternateContent>
      </w:r>
    </w:p>
    <w:p w14:paraId="634E7AD9" w14:textId="55034915" w:rsidR="00180B51" w:rsidRPr="00BD2EAB" w:rsidRDefault="00180B51" w:rsidP="00180B51">
      <w:pPr>
        <w:jc w:val="center"/>
        <w:rPr>
          <w:rFonts w:ascii="Times New Roman" w:eastAsia="Times New Roman" w:hAnsi="Times New Roman" w:cs="Times New Roman"/>
          <w:sz w:val="24"/>
          <w:szCs w:val="24"/>
          <w:lang w:val="en-US"/>
        </w:rPr>
      </w:pPr>
    </w:p>
    <w:p w14:paraId="27E909C4" w14:textId="2FB2CD04" w:rsidR="00180B51" w:rsidRPr="00BD2EAB" w:rsidRDefault="00180B51" w:rsidP="00180B51">
      <w:pPr>
        <w:jc w:val="center"/>
        <w:rPr>
          <w:rFonts w:ascii="Times New Roman" w:eastAsia="Times New Roman" w:hAnsi="Times New Roman" w:cs="Times New Roman"/>
          <w:sz w:val="24"/>
          <w:szCs w:val="24"/>
          <w:lang w:val="en-US"/>
        </w:rPr>
      </w:pPr>
    </w:p>
    <w:p w14:paraId="54FFAE9C" w14:textId="78AF0D9A" w:rsidR="00180B51" w:rsidRPr="00BD2EAB" w:rsidRDefault="00180B51" w:rsidP="00180B51">
      <w:pPr>
        <w:jc w:val="center"/>
        <w:rPr>
          <w:rFonts w:ascii="Times New Roman" w:eastAsia="Times New Roman" w:hAnsi="Times New Roman" w:cs="Times New Roman"/>
          <w:sz w:val="24"/>
          <w:szCs w:val="24"/>
          <w:lang w:val="en-US"/>
        </w:rPr>
      </w:pPr>
    </w:p>
    <w:p w14:paraId="2A743F41" w14:textId="77777777" w:rsidR="00180B51" w:rsidRPr="00BD2EAB" w:rsidRDefault="00180B51" w:rsidP="00180B51">
      <w:pPr>
        <w:jc w:val="center"/>
        <w:rPr>
          <w:rFonts w:ascii="Times New Roman" w:eastAsia="Times New Roman" w:hAnsi="Times New Roman" w:cs="Times New Roman"/>
          <w:sz w:val="24"/>
          <w:szCs w:val="24"/>
          <w:lang w:val="en-US"/>
        </w:rPr>
      </w:pPr>
    </w:p>
    <w:p w14:paraId="596E81A8" w14:textId="42D2D409" w:rsidR="00180B51" w:rsidRDefault="00180B51" w:rsidP="0043098E">
      <w:pPr>
        <w:spacing w:line="360" w:lineRule="auto"/>
        <w:rPr>
          <w:rFonts w:asciiTheme="majorBidi" w:hAnsiTheme="majorBidi" w:cstheme="majorBidi"/>
          <w:sz w:val="28"/>
          <w:szCs w:val="28"/>
          <w:lang w:val="en-GB" w:eastAsia="fr-FR"/>
        </w:rPr>
      </w:pPr>
    </w:p>
    <w:p w14:paraId="41E0801D" w14:textId="7E3A155C" w:rsidR="00180B51" w:rsidRDefault="0043098E" w:rsidP="00180B51">
      <w:pPr>
        <w:spacing w:line="360" w:lineRule="auto"/>
        <w:jc w:val="center"/>
        <w:rPr>
          <w:rFonts w:asciiTheme="majorBidi" w:hAnsiTheme="majorBidi" w:cstheme="majorBidi"/>
          <w:b/>
          <w:bCs/>
          <w:sz w:val="28"/>
          <w:szCs w:val="28"/>
          <w:lang w:val="en-GB" w:eastAsia="fr-FR"/>
        </w:rPr>
      </w:pPr>
      <w:r>
        <w:rPr>
          <w:rFonts w:asciiTheme="majorBidi" w:hAnsiTheme="majorBidi" w:cstheme="majorBidi"/>
          <w:b/>
          <w:bCs/>
          <w:sz w:val="28"/>
          <w:szCs w:val="28"/>
          <w:lang w:val="en-GB" w:eastAsia="fr-FR"/>
        </w:rPr>
        <w:t>Presented by:</w:t>
      </w:r>
    </w:p>
    <w:p w14:paraId="15F98C10" w14:textId="7565BE25" w:rsidR="0043098E" w:rsidRDefault="00BD2EAB" w:rsidP="00413B73">
      <w:pPr>
        <w:pStyle w:val="ListParagraph"/>
        <w:numPr>
          <w:ilvl w:val="0"/>
          <w:numId w:val="98"/>
        </w:numPr>
        <w:spacing w:line="360" w:lineRule="auto"/>
        <w:jc w:val="center"/>
        <w:rPr>
          <w:rFonts w:asciiTheme="majorBidi" w:hAnsiTheme="majorBidi" w:cstheme="majorBidi"/>
          <w:b/>
          <w:bCs/>
          <w:sz w:val="28"/>
          <w:szCs w:val="28"/>
          <w:lang w:val="en-GB" w:eastAsia="fr-FR"/>
        </w:rPr>
      </w:pPr>
      <w:r>
        <w:rPr>
          <w:rFonts w:asciiTheme="majorBidi" w:hAnsiTheme="majorBidi" w:cstheme="majorBidi"/>
          <w:b/>
          <w:bCs/>
          <w:sz w:val="28"/>
          <w:szCs w:val="28"/>
          <w:lang w:val="en-GB" w:eastAsia="fr-FR"/>
        </w:rPr>
        <w:t>SEBAAI Abdelkadir</w:t>
      </w:r>
    </w:p>
    <w:p w14:paraId="7E29F754" w14:textId="7374E4D1" w:rsidR="0043098E" w:rsidRDefault="00BD2EAB" w:rsidP="00413B73">
      <w:pPr>
        <w:pStyle w:val="ListParagraph"/>
        <w:numPr>
          <w:ilvl w:val="0"/>
          <w:numId w:val="98"/>
        </w:numPr>
        <w:spacing w:line="360" w:lineRule="auto"/>
        <w:jc w:val="center"/>
        <w:rPr>
          <w:rFonts w:asciiTheme="majorBidi" w:hAnsiTheme="majorBidi" w:cstheme="majorBidi"/>
          <w:b/>
          <w:bCs/>
          <w:sz w:val="28"/>
          <w:szCs w:val="28"/>
          <w:lang w:val="en-GB" w:eastAsia="fr-FR"/>
        </w:rPr>
      </w:pPr>
      <w:r>
        <w:rPr>
          <w:rFonts w:asciiTheme="majorBidi" w:hAnsiTheme="majorBidi" w:cstheme="majorBidi"/>
          <w:b/>
          <w:bCs/>
          <w:sz w:val="28"/>
          <w:szCs w:val="28"/>
          <w:lang w:val="en-GB" w:eastAsia="fr-FR"/>
        </w:rPr>
        <w:t>DEHMANE SEBAIHIA Hiba</w:t>
      </w:r>
    </w:p>
    <w:tbl>
      <w:tblPr>
        <w:tblStyle w:val="TableGrid"/>
        <w:tblW w:w="10207" w:type="dxa"/>
        <w:tblInd w:w="-714" w:type="dxa"/>
        <w:tblLook w:val="04A0" w:firstRow="1" w:lastRow="0" w:firstColumn="1" w:lastColumn="0" w:noHBand="0" w:noVBand="1"/>
      </w:tblPr>
      <w:tblGrid>
        <w:gridCol w:w="3998"/>
        <w:gridCol w:w="2889"/>
        <w:gridCol w:w="3320"/>
      </w:tblGrid>
      <w:tr w:rsidR="0043098E" w14:paraId="00D78B63" w14:textId="77777777" w:rsidTr="0043098E">
        <w:tc>
          <w:tcPr>
            <w:tcW w:w="3998" w:type="dxa"/>
          </w:tcPr>
          <w:p w14:paraId="1CA5F41B" w14:textId="512655EA" w:rsidR="0043098E" w:rsidRDefault="0043098E"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Name and family name</w:t>
            </w:r>
          </w:p>
        </w:tc>
        <w:tc>
          <w:tcPr>
            <w:tcW w:w="2889" w:type="dxa"/>
          </w:tcPr>
          <w:p w14:paraId="2592702D" w14:textId="3CA25E93" w:rsidR="0043098E" w:rsidRDefault="0043098E"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Grade</w:t>
            </w:r>
          </w:p>
        </w:tc>
        <w:tc>
          <w:tcPr>
            <w:tcW w:w="3320" w:type="dxa"/>
          </w:tcPr>
          <w:p w14:paraId="7DE622F2" w14:textId="4233EFA9" w:rsidR="0043098E" w:rsidRDefault="0043098E"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Quality</w:t>
            </w:r>
          </w:p>
        </w:tc>
      </w:tr>
      <w:tr w:rsidR="0043098E" w14:paraId="3FAC415B" w14:textId="77777777" w:rsidTr="0043098E">
        <w:tc>
          <w:tcPr>
            <w:tcW w:w="3998" w:type="dxa"/>
          </w:tcPr>
          <w:p w14:paraId="680B16F9" w14:textId="17E05737"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RAHALI Amina Souad</w:t>
            </w:r>
          </w:p>
        </w:tc>
        <w:tc>
          <w:tcPr>
            <w:tcW w:w="2889" w:type="dxa"/>
          </w:tcPr>
          <w:p w14:paraId="0C7D4FA3" w14:textId="5E5BCA72"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Doctor</w:t>
            </w:r>
          </w:p>
        </w:tc>
        <w:tc>
          <w:tcPr>
            <w:tcW w:w="3320" w:type="dxa"/>
          </w:tcPr>
          <w:p w14:paraId="3E64E4D9" w14:textId="1C6ACECE"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Pres</w:t>
            </w:r>
            <w:r w:rsidR="0019449B">
              <w:rPr>
                <w:rFonts w:asciiTheme="majorBidi" w:hAnsiTheme="majorBidi" w:cstheme="majorBidi"/>
                <w:b/>
                <w:bCs/>
                <w:sz w:val="28"/>
                <w:szCs w:val="28"/>
                <w:lang w:val="en-GB"/>
              </w:rPr>
              <w:t>i</w:t>
            </w:r>
            <w:r>
              <w:rPr>
                <w:rFonts w:asciiTheme="majorBidi" w:hAnsiTheme="majorBidi" w:cstheme="majorBidi"/>
                <w:b/>
                <w:bCs/>
                <w:sz w:val="28"/>
                <w:szCs w:val="28"/>
                <w:lang w:val="en-GB"/>
              </w:rPr>
              <w:t>dent</w:t>
            </w:r>
          </w:p>
        </w:tc>
      </w:tr>
      <w:tr w:rsidR="0043098E" w14:paraId="42F1C571" w14:textId="77777777" w:rsidTr="0043098E">
        <w:tc>
          <w:tcPr>
            <w:tcW w:w="3998" w:type="dxa"/>
          </w:tcPr>
          <w:p w14:paraId="4E5428CF" w14:textId="4AE4BCBB"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HELLABI Zoubida</w:t>
            </w:r>
          </w:p>
        </w:tc>
        <w:tc>
          <w:tcPr>
            <w:tcW w:w="2889" w:type="dxa"/>
          </w:tcPr>
          <w:p w14:paraId="0DAE647E" w14:textId="07EE3A0C"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Doctor</w:t>
            </w:r>
          </w:p>
        </w:tc>
        <w:tc>
          <w:tcPr>
            <w:tcW w:w="3320" w:type="dxa"/>
          </w:tcPr>
          <w:p w14:paraId="765200B3" w14:textId="6B9A321C"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Examinor</w:t>
            </w:r>
          </w:p>
        </w:tc>
      </w:tr>
      <w:tr w:rsidR="0043098E" w14:paraId="6050033F" w14:textId="77777777" w:rsidTr="0043098E">
        <w:tc>
          <w:tcPr>
            <w:tcW w:w="3998" w:type="dxa"/>
          </w:tcPr>
          <w:p w14:paraId="503067FA" w14:textId="10C9E6C2"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TABET DERRAZ Imane</w:t>
            </w:r>
          </w:p>
        </w:tc>
        <w:tc>
          <w:tcPr>
            <w:tcW w:w="2889" w:type="dxa"/>
          </w:tcPr>
          <w:p w14:paraId="6C11B92F" w14:textId="2BFEAF82"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Professor</w:t>
            </w:r>
          </w:p>
        </w:tc>
        <w:tc>
          <w:tcPr>
            <w:tcW w:w="3320" w:type="dxa"/>
          </w:tcPr>
          <w:p w14:paraId="7EFA3855" w14:textId="519561FC" w:rsidR="0043098E" w:rsidRDefault="00BD2EAB" w:rsidP="0043098E">
            <w:pPr>
              <w:spacing w:line="36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Supervisor</w:t>
            </w:r>
          </w:p>
        </w:tc>
      </w:tr>
    </w:tbl>
    <w:p w14:paraId="625094DA" w14:textId="77777777" w:rsidR="0019449B" w:rsidRDefault="0019449B" w:rsidP="0043098E">
      <w:pPr>
        <w:spacing w:line="360" w:lineRule="auto"/>
        <w:ind w:left="360"/>
        <w:jc w:val="center"/>
        <w:rPr>
          <w:rFonts w:asciiTheme="majorBidi" w:hAnsiTheme="majorBidi" w:cstheme="majorBidi"/>
          <w:b/>
          <w:bCs/>
          <w:sz w:val="28"/>
          <w:szCs w:val="28"/>
          <w:lang w:val="en-GB" w:eastAsia="fr-FR"/>
        </w:rPr>
      </w:pPr>
    </w:p>
    <w:p w14:paraId="24CB4DBA" w14:textId="486B5A0B" w:rsidR="0043098E" w:rsidRPr="0043098E" w:rsidRDefault="0043098E" w:rsidP="0043098E">
      <w:pPr>
        <w:spacing w:line="360" w:lineRule="auto"/>
        <w:ind w:left="360"/>
        <w:jc w:val="center"/>
        <w:rPr>
          <w:rFonts w:asciiTheme="majorBidi" w:hAnsiTheme="majorBidi" w:cstheme="majorBidi"/>
          <w:b/>
          <w:bCs/>
          <w:sz w:val="28"/>
          <w:szCs w:val="28"/>
          <w:lang w:val="en-GB" w:eastAsia="fr-FR"/>
        </w:rPr>
      </w:pPr>
      <w:r>
        <w:rPr>
          <w:rFonts w:asciiTheme="majorBidi" w:hAnsiTheme="majorBidi" w:cstheme="majorBidi"/>
          <w:b/>
          <w:bCs/>
          <w:sz w:val="28"/>
          <w:szCs w:val="28"/>
          <w:lang w:val="en-GB" w:eastAsia="fr-FR"/>
        </w:rPr>
        <w:t>Academic year: 202</w:t>
      </w:r>
      <w:r w:rsidR="0019449B">
        <w:rPr>
          <w:rFonts w:asciiTheme="majorBidi" w:hAnsiTheme="majorBidi" w:cstheme="majorBidi"/>
          <w:b/>
          <w:bCs/>
          <w:sz w:val="28"/>
          <w:szCs w:val="28"/>
          <w:lang w:val="en-GB" w:eastAsia="fr-FR"/>
        </w:rPr>
        <w:t>4</w:t>
      </w:r>
      <w:r>
        <w:rPr>
          <w:rFonts w:asciiTheme="majorBidi" w:hAnsiTheme="majorBidi" w:cstheme="majorBidi"/>
          <w:b/>
          <w:bCs/>
          <w:sz w:val="28"/>
          <w:szCs w:val="28"/>
          <w:lang w:val="en-GB" w:eastAsia="fr-FR"/>
        </w:rPr>
        <w:t>/202</w:t>
      </w:r>
      <w:r w:rsidR="0019449B">
        <w:rPr>
          <w:rFonts w:asciiTheme="majorBidi" w:hAnsiTheme="majorBidi" w:cstheme="majorBidi"/>
          <w:b/>
          <w:bCs/>
          <w:sz w:val="28"/>
          <w:szCs w:val="28"/>
          <w:lang w:val="en-GB" w:eastAsia="fr-FR"/>
        </w:rPr>
        <w:t>5</w:t>
      </w:r>
    </w:p>
    <w:p w14:paraId="78C73A61" w14:textId="369E9975" w:rsidR="00180B51" w:rsidRDefault="00180B51">
      <w:pPr>
        <w:rPr>
          <w:rFonts w:asciiTheme="majorBidi" w:hAnsiTheme="majorBidi" w:cstheme="majorBidi"/>
          <w:sz w:val="24"/>
          <w:szCs w:val="24"/>
          <w:lang w:val="en-GB" w:eastAsia="fr-FR"/>
        </w:rPr>
      </w:pPr>
      <w:r>
        <w:rPr>
          <w:rFonts w:asciiTheme="majorBidi" w:hAnsiTheme="majorBidi" w:cstheme="majorBidi"/>
          <w:sz w:val="24"/>
          <w:szCs w:val="24"/>
          <w:lang w:val="en-GB" w:eastAsia="fr-FR"/>
        </w:rPr>
        <w:lastRenderedPageBreak/>
        <w:br w:type="page"/>
      </w:r>
    </w:p>
    <w:p w14:paraId="62F90346" w14:textId="5D7DF871" w:rsidR="00E3143B" w:rsidRPr="00E3143B" w:rsidRDefault="00E3143B" w:rsidP="00E3143B">
      <w:pPr>
        <w:spacing w:line="360" w:lineRule="auto"/>
        <w:jc w:val="both"/>
        <w:rPr>
          <w:rFonts w:asciiTheme="majorBidi" w:hAnsiTheme="majorBidi" w:cstheme="majorBidi"/>
          <w:sz w:val="24"/>
          <w:szCs w:val="24"/>
          <w:lang w:val="en-GB" w:eastAsia="fr-FR"/>
        </w:rPr>
        <w:sectPr w:rsidR="00E3143B" w:rsidRPr="00E3143B">
          <w:pgSz w:w="11906" w:h="16838"/>
          <w:pgMar w:top="1417" w:right="1417" w:bottom="1417" w:left="1417" w:header="708" w:footer="708" w:gutter="0"/>
          <w:cols w:space="708"/>
          <w:docGrid w:linePitch="360"/>
        </w:sectPr>
      </w:pPr>
    </w:p>
    <w:p w14:paraId="628CCB6B" w14:textId="324D8521" w:rsidR="00E70ADB" w:rsidRDefault="00E70ADB" w:rsidP="00E3143B">
      <w:pPr>
        <w:pStyle w:val="NormalWeb"/>
        <w:rPr>
          <w:rStyle w:val="Strong"/>
          <w:sz w:val="32"/>
          <w:szCs w:val="32"/>
          <w:lang w:val="en-GB"/>
        </w:rPr>
      </w:pPr>
    </w:p>
    <w:p w14:paraId="5CD9336A" w14:textId="77777777" w:rsidR="00097094" w:rsidRDefault="00097094" w:rsidP="00A51F90">
      <w:pPr>
        <w:pStyle w:val="NormalWeb"/>
        <w:jc w:val="center"/>
        <w:rPr>
          <w:rStyle w:val="Strong"/>
          <w:sz w:val="32"/>
          <w:szCs w:val="32"/>
          <w:lang w:val="en-GB"/>
        </w:rPr>
      </w:pPr>
    </w:p>
    <w:p w14:paraId="08D025EB" w14:textId="77777777" w:rsidR="00097094" w:rsidRDefault="00097094" w:rsidP="00A51F90">
      <w:pPr>
        <w:pStyle w:val="NormalWeb"/>
        <w:jc w:val="center"/>
        <w:rPr>
          <w:rStyle w:val="Strong"/>
          <w:sz w:val="32"/>
          <w:szCs w:val="32"/>
          <w:lang w:val="en-GB"/>
        </w:rPr>
      </w:pPr>
    </w:p>
    <w:p w14:paraId="4AE9DBAD" w14:textId="77777777" w:rsidR="00097094" w:rsidRDefault="00097094" w:rsidP="00A51F90">
      <w:pPr>
        <w:pStyle w:val="NormalWeb"/>
        <w:jc w:val="center"/>
        <w:rPr>
          <w:rStyle w:val="Strong"/>
          <w:sz w:val="32"/>
          <w:szCs w:val="32"/>
          <w:lang w:val="en-GB"/>
        </w:rPr>
      </w:pPr>
    </w:p>
    <w:p w14:paraId="4E64B4AB" w14:textId="344B618B" w:rsidR="00E70ADB" w:rsidRPr="00961E7F" w:rsidRDefault="00E70ADB" w:rsidP="00A51F90">
      <w:pPr>
        <w:pStyle w:val="NormalWeb"/>
        <w:jc w:val="center"/>
        <w:rPr>
          <w:sz w:val="32"/>
          <w:szCs w:val="32"/>
          <w:lang w:val="en-GB"/>
        </w:rPr>
      </w:pPr>
      <w:r w:rsidRPr="00961E7F">
        <w:rPr>
          <w:rStyle w:val="Strong"/>
          <w:sz w:val="32"/>
          <w:szCs w:val="32"/>
          <w:lang w:val="en-GB"/>
        </w:rPr>
        <w:t>Acknowledgment</w:t>
      </w:r>
    </w:p>
    <w:p w14:paraId="0873D413" w14:textId="77777777" w:rsidR="00E70ADB" w:rsidRPr="00A51F90" w:rsidRDefault="00E70ADB" w:rsidP="00961E7F">
      <w:pPr>
        <w:pStyle w:val="NormalWeb"/>
        <w:jc w:val="center"/>
        <w:rPr>
          <w:lang w:val="en-GB"/>
        </w:rPr>
      </w:pPr>
      <w:r w:rsidRPr="00A51F90">
        <w:rPr>
          <w:lang w:val="en-GB"/>
        </w:rPr>
        <w:t>At the end of the writing of this dissertation, we would like to express our sincere gratitude to all those who, directly or indirectly, contributed to the completion of this work.</w:t>
      </w:r>
    </w:p>
    <w:p w14:paraId="5E9B891C" w14:textId="77777777" w:rsidR="00E70ADB" w:rsidRPr="00A51F90" w:rsidRDefault="00E70ADB" w:rsidP="00961E7F">
      <w:pPr>
        <w:pStyle w:val="NormalWeb"/>
        <w:jc w:val="center"/>
        <w:rPr>
          <w:lang w:val="en-GB"/>
        </w:rPr>
      </w:pPr>
      <w:r w:rsidRPr="00A51F90">
        <w:rPr>
          <w:lang w:val="en-GB"/>
        </w:rPr>
        <w:t xml:space="preserve">First and foremost, we thank </w:t>
      </w:r>
      <w:r>
        <w:rPr>
          <w:lang w:val="en-GB"/>
        </w:rPr>
        <w:t>Allah</w:t>
      </w:r>
      <w:r w:rsidRPr="00A51F90">
        <w:rPr>
          <w:lang w:val="en-GB"/>
        </w:rPr>
        <w:t xml:space="preserve"> for granting us the strength, patience, and determination to carry out this modest work.</w:t>
      </w:r>
    </w:p>
    <w:p w14:paraId="0FE7D775" w14:textId="138687EF" w:rsidR="00E70ADB" w:rsidRPr="00A51F90" w:rsidRDefault="00E70ADB" w:rsidP="00961E7F">
      <w:pPr>
        <w:pStyle w:val="NormalWeb"/>
        <w:jc w:val="center"/>
        <w:rPr>
          <w:lang w:val="en-GB"/>
        </w:rPr>
      </w:pPr>
      <w:r w:rsidRPr="00A51F90">
        <w:rPr>
          <w:lang w:val="en-GB"/>
        </w:rPr>
        <w:t xml:space="preserve">We express our deep appreciation and sincere thanks to our supervisor, </w:t>
      </w:r>
      <w:r w:rsidRPr="00A51F90">
        <w:rPr>
          <w:rStyle w:val="Strong"/>
          <w:lang w:val="en-GB"/>
        </w:rPr>
        <w:t>Professor Tabet Der</w:t>
      </w:r>
      <w:r w:rsidR="009B1217">
        <w:rPr>
          <w:rStyle w:val="Strong"/>
          <w:lang w:val="en-GB"/>
        </w:rPr>
        <w:t>r</w:t>
      </w:r>
      <w:r w:rsidRPr="00A51F90">
        <w:rPr>
          <w:rStyle w:val="Strong"/>
          <w:lang w:val="en-GB"/>
        </w:rPr>
        <w:t>az Im</w:t>
      </w:r>
      <w:r w:rsidR="00A874DB">
        <w:rPr>
          <w:rStyle w:val="Strong"/>
          <w:lang w:val="en-GB"/>
        </w:rPr>
        <w:t>a</w:t>
      </w:r>
      <w:r w:rsidRPr="00A51F90">
        <w:rPr>
          <w:rStyle w:val="Strong"/>
          <w:lang w:val="en-GB"/>
        </w:rPr>
        <w:t>n</w:t>
      </w:r>
      <w:r w:rsidR="00A874DB">
        <w:rPr>
          <w:rStyle w:val="Strong"/>
          <w:lang w:val="en-GB"/>
        </w:rPr>
        <w:t>e</w:t>
      </w:r>
      <w:r w:rsidRPr="00A51F90">
        <w:rPr>
          <w:lang w:val="en-GB"/>
        </w:rPr>
        <w:t>, for her professionalism, valuable guidance, support, and availability throughout the course of this research.</w:t>
      </w:r>
    </w:p>
    <w:p w14:paraId="4C4166A4" w14:textId="77777777" w:rsidR="00E70ADB" w:rsidRPr="00A51F90" w:rsidRDefault="00E70ADB" w:rsidP="00961E7F">
      <w:pPr>
        <w:pStyle w:val="NormalWeb"/>
        <w:jc w:val="center"/>
        <w:rPr>
          <w:lang w:val="en-GB"/>
        </w:rPr>
      </w:pPr>
      <w:r w:rsidRPr="00A51F90">
        <w:rPr>
          <w:lang w:val="en-GB"/>
        </w:rPr>
        <w:t xml:space="preserve">We would also like to extend our warm thanks to </w:t>
      </w:r>
      <w:r w:rsidRPr="00A51F90">
        <w:rPr>
          <w:rStyle w:val="Strong"/>
          <w:lang w:val="en-GB"/>
        </w:rPr>
        <w:t>Mr. Edibali Kaya</w:t>
      </w:r>
      <w:r w:rsidRPr="00A51F90">
        <w:rPr>
          <w:lang w:val="en-GB"/>
        </w:rPr>
        <w:t xml:space="preserve"> for his assistance and for providing us with essential information from Turkey, which greatly enriched our study.</w:t>
      </w:r>
    </w:p>
    <w:p w14:paraId="040B71D5" w14:textId="77777777" w:rsidR="00E70ADB" w:rsidRPr="00A51F90" w:rsidRDefault="00E70ADB" w:rsidP="00961E7F">
      <w:pPr>
        <w:pStyle w:val="NormalWeb"/>
        <w:jc w:val="center"/>
        <w:rPr>
          <w:lang w:val="en-GB"/>
        </w:rPr>
      </w:pPr>
      <w:r w:rsidRPr="00A51F90">
        <w:rPr>
          <w:lang w:val="en-GB"/>
        </w:rPr>
        <w:t xml:space="preserve">Our heartfelt gratitude goes as well to </w:t>
      </w:r>
      <w:r w:rsidRPr="00A51F90">
        <w:rPr>
          <w:rStyle w:val="Strong"/>
          <w:lang w:val="en-GB"/>
        </w:rPr>
        <w:t>Proderma Company</w:t>
      </w:r>
      <w:r w:rsidRPr="00A51F90">
        <w:rPr>
          <w:lang w:val="en-GB"/>
        </w:rPr>
        <w:t xml:space="preserve"> for giving us the opportunity to work on their products and for supplying the necessary information to successfully complete this project.</w:t>
      </w:r>
    </w:p>
    <w:p w14:paraId="461A9A19" w14:textId="77777777" w:rsidR="00E70ADB" w:rsidRPr="00A51F90" w:rsidRDefault="00E70ADB" w:rsidP="00961E7F">
      <w:pPr>
        <w:pStyle w:val="NormalWeb"/>
        <w:jc w:val="center"/>
        <w:rPr>
          <w:lang w:val="en-GB"/>
        </w:rPr>
      </w:pPr>
      <w:r w:rsidRPr="00A51F90">
        <w:rPr>
          <w:lang w:val="en-GB"/>
        </w:rPr>
        <w:t xml:space="preserve">We also express our sincere thanks to the </w:t>
      </w:r>
      <w:r w:rsidRPr="00A51F90">
        <w:rPr>
          <w:rStyle w:val="Strong"/>
          <w:lang w:val="en-GB"/>
        </w:rPr>
        <w:t>Higher School of Management</w:t>
      </w:r>
      <w:r w:rsidRPr="00A51F90">
        <w:rPr>
          <w:lang w:val="en-GB"/>
        </w:rPr>
        <w:t>, from the director to the professors, for the quality of their teaching throughout our academic journey, and to all the school staff.</w:t>
      </w:r>
    </w:p>
    <w:p w14:paraId="059680E2" w14:textId="77777777" w:rsidR="00E70ADB" w:rsidRPr="00A51F90" w:rsidRDefault="00E70ADB" w:rsidP="00961E7F">
      <w:pPr>
        <w:pStyle w:val="NormalWeb"/>
        <w:jc w:val="center"/>
        <w:rPr>
          <w:lang w:val="en-GB"/>
        </w:rPr>
      </w:pPr>
      <w:r w:rsidRPr="00A51F90">
        <w:rPr>
          <w:lang w:val="en-GB"/>
        </w:rPr>
        <w:t>We respectfully thank the members of the jury for kindly accepting to evaluate our work.</w:t>
      </w:r>
    </w:p>
    <w:p w14:paraId="79DB22BC" w14:textId="77777777" w:rsidR="00E70ADB" w:rsidRPr="00A51F90" w:rsidRDefault="00E70ADB" w:rsidP="00961E7F">
      <w:pPr>
        <w:pStyle w:val="NormalWeb"/>
        <w:jc w:val="center"/>
        <w:rPr>
          <w:lang w:val="en-GB"/>
        </w:rPr>
      </w:pPr>
      <w:r w:rsidRPr="00A51F90">
        <w:rPr>
          <w:lang w:val="en-GB"/>
        </w:rPr>
        <w:t>Finally, we would like to extend our gratitude to everyone who supported us with encouragement and advice from the beginning of this endeavor.</w:t>
      </w:r>
    </w:p>
    <w:p w14:paraId="713528C2" w14:textId="77777777" w:rsidR="00C401F5" w:rsidRDefault="00E70ADB" w:rsidP="00961E7F">
      <w:pPr>
        <w:jc w:val="center"/>
        <w:rPr>
          <w:rFonts w:ascii="Edwardian Script ITC" w:hAnsi="Edwardian Script ITC"/>
          <w:b/>
          <w:bCs/>
          <w:sz w:val="56"/>
          <w:szCs w:val="56"/>
          <w:rtl/>
          <w:lang w:val="en-GB"/>
        </w:rPr>
      </w:pPr>
      <w:r>
        <w:rPr>
          <w:rFonts w:ascii="Edwardian Script ITC" w:hAnsi="Edwardian Script ITC"/>
          <w:b/>
          <w:bCs/>
          <w:sz w:val="56"/>
          <w:szCs w:val="56"/>
          <w:lang w:val="en-GB"/>
        </w:rPr>
        <w:t>Thank y</w:t>
      </w:r>
      <w:r w:rsidR="00BD2EAB">
        <w:rPr>
          <w:rFonts w:ascii="Edwardian Script ITC" w:hAnsi="Edwardian Script ITC"/>
          <w:b/>
          <w:bCs/>
          <w:sz w:val="56"/>
          <w:szCs w:val="56"/>
          <w:lang w:val="en-GB"/>
        </w:rPr>
        <w:t>ou</w:t>
      </w:r>
    </w:p>
    <w:p w14:paraId="391EC2C4" w14:textId="77777777" w:rsidR="0089372C" w:rsidRDefault="0089372C" w:rsidP="00961E7F">
      <w:pPr>
        <w:jc w:val="center"/>
        <w:rPr>
          <w:rFonts w:ascii="Edwardian Script ITC" w:hAnsi="Edwardian Script ITC"/>
          <w:b/>
          <w:bCs/>
          <w:sz w:val="56"/>
          <w:szCs w:val="56"/>
          <w:rtl/>
          <w:lang w:val="en-GB"/>
        </w:rPr>
      </w:pPr>
    </w:p>
    <w:p w14:paraId="08CB8F3A" w14:textId="77777777" w:rsidR="0089372C" w:rsidRDefault="0089372C" w:rsidP="00961E7F">
      <w:pPr>
        <w:jc w:val="center"/>
        <w:rPr>
          <w:rFonts w:ascii="Edwardian Script ITC" w:hAnsi="Edwardian Script ITC"/>
          <w:b/>
          <w:bCs/>
          <w:sz w:val="56"/>
          <w:szCs w:val="56"/>
          <w:rtl/>
          <w:lang w:val="en-GB"/>
        </w:rPr>
      </w:pPr>
    </w:p>
    <w:p w14:paraId="7EA9F899" w14:textId="77777777" w:rsidR="0089372C" w:rsidRDefault="0089372C" w:rsidP="00961E7F">
      <w:pPr>
        <w:jc w:val="center"/>
        <w:rPr>
          <w:rFonts w:ascii="Edwardian Script ITC" w:hAnsi="Edwardian Script ITC"/>
          <w:b/>
          <w:bCs/>
          <w:sz w:val="56"/>
          <w:szCs w:val="56"/>
          <w:rtl/>
          <w:lang w:val="en-GB"/>
        </w:rPr>
      </w:pPr>
    </w:p>
    <w:p w14:paraId="44E8F6A5" w14:textId="77777777" w:rsidR="0089372C" w:rsidRDefault="0089372C" w:rsidP="00961E7F">
      <w:pPr>
        <w:jc w:val="center"/>
        <w:rPr>
          <w:rFonts w:ascii="Edwardian Script ITC" w:hAnsi="Edwardian Script ITC"/>
          <w:b/>
          <w:bCs/>
          <w:sz w:val="56"/>
          <w:szCs w:val="56"/>
          <w:rtl/>
          <w:lang w:val="en-GB"/>
        </w:rPr>
      </w:pPr>
    </w:p>
    <w:p w14:paraId="62A6E65E" w14:textId="77777777" w:rsidR="00097094" w:rsidRDefault="00097094" w:rsidP="00097094">
      <w:pPr>
        <w:spacing w:line="360" w:lineRule="auto"/>
        <w:rPr>
          <w:rFonts w:ascii="Castellar" w:hAnsi="Castellar" w:cstheme="majorBidi"/>
          <w:b/>
          <w:bCs/>
          <w:sz w:val="40"/>
          <w:szCs w:val="40"/>
          <w:lang w:val="en-US"/>
        </w:rPr>
      </w:pPr>
    </w:p>
    <w:p w14:paraId="618F907C" w14:textId="5FDDFFB0" w:rsidR="00097094" w:rsidRPr="006A3F63" w:rsidRDefault="00097094" w:rsidP="00097094">
      <w:pPr>
        <w:spacing w:line="360" w:lineRule="auto"/>
        <w:jc w:val="center"/>
        <w:rPr>
          <w:rFonts w:ascii="Castellar" w:hAnsi="Castellar" w:cstheme="majorBidi"/>
          <w:b/>
          <w:bCs/>
          <w:sz w:val="40"/>
          <w:szCs w:val="40"/>
          <w:lang w:val="en-US"/>
        </w:rPr>
      </w:pPr>
      <w:r w:rsidRPr="006A3F63">
        <w:rPr>
          <w:rFonts w:ascii="Castellar" w:hAnsi="Castellar" w:cstheme="majorBidi"/>
          <w:b/>
          <w:bCs/>
          <w:sz w:val="40"/>
          <w:szCs w:val="40"/>
          <w:lang w:val="en-US"/>
        </w:rPr>
        <w:t>Dedication</w:t>
      </w:r>
    </w:p>
    <w:p w14:paraId="5BA6CACC" w14:textId="77777777" w:rsidR="00097094" w:rsidRPr="006A3F63" w:rsidRDefault="00097094" w:rsidP="00097094">
      <w:pPr>
        <w:spacing w:line="360" w:lineRule="auto"/>
        <w:jc w:val="center"/>
        <w:rPr>
          <w:rFonts w:asciiTheme="majorBidi" w:hAnsiTheme="majorBidi" w:cstheme="majorBidi"/>
          <w:sz w:val="24"/>
          <w:szCs w:val="24"/>
          <w:lang w:val="en-US"/>
        </w:rPr>
      </w:pPr>
    </w:p>
    <w:p w14:paraId="28BEE793"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the pure souls who ascended in silence and pain…</w:t>
      </w:r>
    </w:p>
    <w:p w14:paraId="3EC6C8B8"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the women whose courage shook the earth,</w:t>
      </w:r>
    </w:p>
    <w:p w14:paraId="6B0F1E45"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the children whose laughter was stolen too soon,</w:t>
      </w:r>
    </w:p>
    <w:p w14:paraId="3E093EB1"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the elders who held keys to homes now buried in rubble,</w:t>
      </w:r>
    </w:p>
    <w:p w14:paraId="03B6EF6F"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the men who stood firm when the world turned away,</w:t>
      </w:r>
    </w:p>
    <w:p w14:paraId="1C0C34B7"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To every martyr of Palestine known or unnamed</w:t>
      </w:r>
    </w:p>
    <w:p w14:paraId="1B4F1D96"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Your blood has not been shed in vain.</w:t>
      </w:r>
    </w:p>
    <w:p w14:paraId="452EB372"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You are not just names; you are the pulse of a cause,</w:t>
      </w:r>
    </w:p>
    <w:p w14:paraId="2BA6FFD8"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The echo of truth in a deafened world.</w:t>
      </w:r>
    </w:p>
    <w:p w14:paraId="40B1DCBB"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This work is humbly dedicated to your memory</w:t>
      </w:r>
    </w:p>
    <w:p w14:paraId="026DD4EB" w14:textId="77777777" w:rsidR="00097094" w:rsidRPr="006A3F63" w:rsidRDefault="00097094" w:rsidP="00097094">
      <w:pPr>
        <w:spacing w:line="360" w:lineRule="auto"/>
        <w:jc w:val="center"/>
        <w:rPr>
          <w:rFonts w:ascii="Castellar" w:hAnsi="Castellar" w:cstheme="majorBidi"/>
          <w:sz w:val="24"/>
          <w:szCs w:val="24"/>
          <w:lang w:val="en-US"/>
        </w:rPr>
      </w:pPr>
      <w:r w:rsidRPr="006A3F63">
        <w:rPr>
          <w:rFonts w:ascii="Castellar" w:hAnsi="Castellar" w:cstheme="majorBidi"/>
          <w:sz w:val="24"/>
          <w:szCs w:val="24"/>
          <w:lang w:val="en-US"/>
        </w:rPr>
        <w:t>a whisper of loyalty to your roar of sacrifice.</w:t>
      </w:r>
    </w:p>
    <w:p w14:paraId="28B27718" w14:textId="78153634" w:rsidR="00097094" w:rsidRPr="00097094" w:rsidRDefault="00097094" w:rsidP="0089372C">
      <w:pPr>
        <w:jc w:val="center"/>
        <w:rPr>
          <w:rFonts w:ascii="Edwardian Script ITC" w:hAnsi="Edwardian Script ITC" w:cstheme="majorBidi"/>
          <w:b/>
          <w:bCs/>
          <w:sz w:val="52"/>
          <w:szCs w:val="52"/>
          <w:lang w:val="en-US"/>
        </w:rPr>
      </w:pPr>
    </w:p>
    <w:p w14:paraId="60CD70A9" w14:textId="5CC85CE5" w:rsidR="00097094" w:rsidRPr="00097094" w:rsidRDefault="00097094" w:rsidP="0089372C">
      <w:pPr>
        <w:jc w:val="center"/>
        <w:rPr>
          <w:rFonts w:ascii="Edwardian Script ITC" w:hAnsi="Edwardian Script ITC" w:cstheme="majorBidi"/>
          <w:b/>
          <w:bCs/>
          <w:sz w:val="52"/>
          <w:szCs w:val="52"/>
          <w:lang w:val="en-US"/>
        </w:rPr>
      </w:pPr>
      <w:r w:rsidRPr="00097094">
        <w:rPr>
          <w:rFonts w:ascii="Edwardian Script ITC" w:hAnsi="Edwardian Script ITC" w:cstheme="majorBidi"/>
          <w:b/>
          <w:bCs/>
          <w:sz w:val="52"/>
          <w:szCs w:val="52"/>
          <w:lang w:val="en-US"/>
        </w:rPr>
        <w:t>Hi</w:t>
      </w:r>
      <w:r>
        <w:rPr>
          <w:rFonts w:ascii="Edwardian Script ITC" w:hAnsi="Edwardian Script ITC" w:cstheme="majorBidi"/>
          <w:b/>
          <w:bCs/>
          <w:sz w:val="52"/>
          <w:szCs w:val="52"/>
          <w:lang w:val="en-US"/>
        </w:rPr>
        <w:t>ba</w:t>
      </w:r>
      <w:r w:rsidRPr="00097094">
        <w:rPr>
          <w:rFonts w:ascii="Edwardian Script ITC" w:hAnsi="Edwardian Script ITC" w:cstheme="majorBidi"/>
          <w:b/>
          <w:bCs/>
          <w:sz w:val="52"/>
          <w:szCs w:val="52"/>
          <w:lang w:val="en-US"/>
        </w:rPr>
        <w:t>&amp; A</w:t>
      </w:r>
      <w:r>
        <w:rPr>
          <w:rFonts w:ascii="Edwardian Script ITC" w:hAnsi="Edwardian Script ITC" w:cstheme="majorBidi"/>
          <w:b/>
          <w:bCs/>
          <w:sz w:val="52"/>
          <w:szCs w:val="52"/>
          <w:lang w:val="en-US"/>
        </w:rPr>
        <w:t>bdelkadir</w:t>
      </w:r>
    </w:p>
    <w:p w14:paraId="60628FAC" w14:textId="402EAD8C" w:rsidR="00097094" w:rsidRDefault="00097094" w:rsidP="0089372C">
      <w:pPr>
        <w:jc w:val="center"/>
        <w:rPr>
          <w:rFonts w:asciiTheme="majorBidi" w:hAnsiTheme="majorBidi" w:cstheme="majorBidi"/>
          <w:b/>
          <w:bCs/>
          <w:sz w:val="24"/>
          <w:szCs w:val="24"/>
          <w:lang w:val="en-US"/>
        </w:rPr>
      </w:pPr>
    </w:p>
    <w:p w14:paraId="59C4BB8F" w14:textId="6B5C45C6" w:rsidR="00097094" w:rsidRDefault="00097094" w:rsidP="0089372C">
      <w:pPr>
        <w:jc w:val="center"/>
        <w:rPr>
          <w:rFonts w:asciiTheme="majorBidi" w:hAnsiTheme="majorBidi" w:cstheme="majorBidi"/>
          <w:b/>
          <w:bCs/>
          <w:sz w:val="24"/>
          <w:szCs w:val="24"/>
          <w:lang w:val="en-US"/>
        </w:rPr>
      </w:pPr>
    </w:p>
    <w:p w14:paraId="4DED9B30" w14:textId="2F676DC2" w:rsidR="00097094" w:rsidRDefault="00097094" w:rsidP="0089372C">
      <w:pPr>
        <w:jc w:val="center"/>
        <w:rPr>
          <w:rFonts w:asciiTheme="majorBidi" w:hAnsiTheme="majorBidi" w:cstheme="majorBidi"/>
          <w:b/>
          <w:bCs/>
          <w:sz w:val="24"/>
          <w:szCs w:val="24"/>
          <w:lang w:val="en-US"/>
        </w:rPr>
      </w:pPr>
    </w:p>
    <w:p w14:paraId="2DEA85D7" w14:textId="191D6532" w:rsidR="00097094" w:rsidRDefault="00097094" w:rsidP="0089372C">
      <w:pPr>
        <w:jc w:val="center"/>
        <w:rPr>
          <w:rFonts w:asciiTheme="majorBidi" w:hAnsiTheme="majorBidi" w:cstheme="majorBidi"/>
          <w:b/>
          <w:bCs/>
          <w:sz w:val="24"/>
          <w:szCs w:val="24"/>
          <w:lang w:val="en-US"/>
        </w:rPr>
      </w:pPr>
    </w:p>
    <w:p w14:paraId="17BFEBB5" w14:textId="38C24F9A" w:rsidR="00097094" w:rsidRDefault="00097094" w:rsidP="0089372C">
      <w:pPr>
        <w:jc w:val="center"/>
        <w:rPr>
          <w:rFonts w:asciiTheme="majorBidi" w:hAnsiTheme="majorBidi" w:cstheme="majorBidi"/>
          <w:b/>
          <w:bCs/>
          <w:sz w:val="24"/>
          <w:szCs w:val="24"/>
          <w:lang w:val="en-US"/>
        </w:rPr>
      </w:pPr>
    </w:p>
    <w:p w14:paraId="4BA0AE13" w14:textId="77777777" w:rsidR="00097094" w:rsidRPr="00CE064A" w:rsidRDefault="00097094" w:rsidP="0089372C">
      <w:pPr>
        <w:jc w:val="center"/>
        <w:rPr>
          <w:rFonts w:asciiTheme="majorBidi" w:hAnsiTheme="majorBidi" w:cstheme="majorBidi"/>
          <w:b/>
          <w:bCs/>
          <w:sz w:val="24"/>
          <w:szCs w:val="24"/>
          <w:lang w:val="en-US"/>
        </w:rPr>
      </w:pPr>
    </w:p>
    <w:p w14:paraId="1A5476C3" w14:textId="77777777" w:rsidR="00097094" w:rsidRPr="00CE064A" w:rsidRDefault="00097094" w:rsidP="0089372C">
      <w:pPr>
        <w:jc w:val="center"/>
        <w:rPr>
          <w:rFonts w:asciiTheme="majorBidi" w:hAnsiTheme="majorBidi" w:cstheme="majorBidi"/>
          <w:b/>
          <w:bCs/>
          <w:sz w:val="24"/>
          <w:szCs w:val="24"/>
          <w:lang w:val="en-US"/>
        </w:rPr>
      </w:pPr>
    </w:p>
    <w:p w14:paraId="203E091A" w14:textId="77777777" w:rsidR="00097094" w:rsidRPr="00CE064A" w:rsidRDefault="00097094" w:rsidP="0089372C">
      <w:pPr>
        <w:jc w:val="center"/>
        <w:rPr>
          <w:rFonts w:asciiTheme="majorBidi" w:hAnsiTheme="majorBidi" w:cstheme="majorBidi"/>
          <w:b/>
          <w:bCs/>
          <w:sz w:val="24"/>
          <w:szCs w:val="24"/>
          <w:lang w:val="en-US"/>
        </w:rPr>
      </w:pPr>
    </w:p>
    <w:p w14:paraId="3A84C220" w14:textId="77777777" w:rsidR="00097094" w:rsidRPr="00CE064A" w:rsidRDefault="00097094" w:rsidP="0089372C">
      <w:pPr>
        <w:jc w:val="center"/>
        <w:rPr>
          <w:rFonts w:asciiTheme="majorBidi" w:hAnsiTheme="majorBidi" w:cstheme="majorBidi"/>
          <w:b/>
          <w:bCs/>
          <w:sz w:val="24"/>
          <w:szCs w:val="24"/>
          <w:lang w:val="en-US"/>
        </w:rPr>
      </w:pPr>
    </w:p>
    <w:p w14:paraId="7BC29324" w14:textId="0DA09A7B" w:rsidR="0089372C" w:rsidRPr="00CE064A" w:rsidRDefault="0089372C" w:rsidP="0089372C">
      <w:pPr>
        <w:jc w:val="center"/>
        <w:rPr>
          <w:rFonts w:asciiTheme="majorBidi" w:hAnsiTheme="majorBidi" w:cstheme="majorBidi"/>
          <w:b/>
          <w:bCs/>
          <w:sz w:val="32"/>
          <w:szCs w:val="32"/>
          <w:lang w:val="en-US"/>
        </w:rPr>
      </w:pPr>
      <w:r w:rsidRPr="00CE064A">
        <w:rPr>
          <w:rFonts w:asciiTheme="majorBidi" w:hAnsiTheme="majorBidi" w:cstheme="majorBidi"/>
          <w:b/>
          <w:bCs/>
          <w:sz w:val="32"/>
          <w:szCs w:val="32"/>
          <w:lang w:val="en-US"/>
        </w:rPr>
        <w:t>Dedication</w:t>
      </w:r>
    </w:p>
    <w:p w14:paraId="655319A1" w14:textId="77777777" w:rsidR="00097094" w:rsidRPr="00CE064A" w:rsidRDefault="00097094" w:rsidP="0089372C">
      <w:pPr>
        <w:jc w:val="center"/>
        <w:rPr>
          <w:rFonts w:asciiTheme="majorBidi" w:hAnsiTheme="majorBidi" w:cstheme="majorBidi"/>
          <w:b/>
          <w:bCs/>
          <w:sz w:val="32"/>
          <w:szCs w:val="32"/>
          <w:lang w:val="en-US"/>
        </w:rPr>
      </w:pPr>
    </w:p>
    <w:p w14:paraId="2CBD048F" w14:textId="4E35E03D" w:rsidR="0089372C" w:rsidRPr="0089372C" w:rsidRDefault="0089372C" w:rsidP="00B67AC6">
      <w:pPr>
        <w:spacing w:line="360" w:lineRule="auto"/>
        <w:jc w:val="center"/>
        <w:rPr>
          <w:rFonts w:asciiTheme="majorBidi" w:hAnsiTheme="majorBidi" w:cstheme="majorBidi"/>
          <w:sz w:val="24"/>
          <w:szCs w:val="24"/>
          <w:rtl/>
          <w:lang w:bidi="ar-DZ"/>
        </w:rPr>
      </w:pPr>
      <w:r w:rsidRPr="0089372C">
        <w:rPr>
          <w:rFonts w:asciiTheme="majorBidi" w:hAnsiTheme="majorBidi" w:cstheme="majorBidi"/>
          <w:sz w:val="24"/>
          <w:szCs w:val="24"/>
          <w:lang w:val="en-US"/>
        </w:rPr>
        <w:t>All praise, first and foremost, is due to Allah — the Most High —</w:t>
      </w:r>
      <w:r w:rsidRPr="0089372C">
        <w:rPr>
          <w:rFonts w:asciiTheme="majorBidi" w:hAnsiTheme="majorBidi" w:cstheme="majorBidi"/>
          <w:sz w:val="24"/>
          <w:szCs w:val="24"/>
          <w:lang w:val="en-US"/>
        </w:rPr>
        <w:br/>
        <w:t>Who, by His grace, strengthened me and granted me the will to complete this humble work.</w:t>
      </w:r>
      <w:r w:rsidRPr="0089372C">
        <w:rPr>
          <w:rFonts w:asciiTheme="majorBidi" w:hAnsiTheme="majorBidi" w:cstheme="majorBidi"/>
          <w:sz w:val="24"/>
          <w:szCs w:val="24"/>
          <w:lang w:val="en-US"/>
        </w:rPr>
        <w:br/>
        <w:t>To Him belongs all thanks for His blessings, and all praise for His guidance.</w:t>
      </w:r>
      <w:r w:rsidRPr="0089372C">
        <w:rPr>
          <w:rFonts w:asciiTheme="majorBidi" w:hAnsiTheme="majorBidi" w:cstheme="majorBidi"/>
          <w:sz w:val="24"/>
          <w:szCs w:val="24"/>
          <w:lang w:val="en-US"/>
        </w:rPr>
        <w:br/>
        <w:t>To Him alone I dedicate the fruit of my effort, which would not have come to be without</w:t>
      </w:r>
    </w:p>
    <w:p w14:paraId="2AB336D7" w14:textId="4645BB27" w:rsidR="00097094" w:rsidRDefault="00097094" w:rsidP="00097094">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I want to thank me, I want to thank me for believing in me.</w:t>
      </w:r>
    </w:p>
    <w:p w14:paraId="77BDFD32" w14:textId="77777777" w:rsidR="0089372C" w:rsidRDefault="0089372C" w:rsidP="00B67AC6">
      <w:pPr>
        <w:spacing w:line="360" w:lineRule="auto"/>
        <w:jc w:val="center"/>
        <w:rPr>
          <w:rFonts w:asciiTheme="majorBidi" w:hAnsiTheme="majorBidi" w:cstheme="majorBidi"/>
          <w:sz w:val="24"/>
          <w:szCs w:val="24"/>
          <w:lang w:val="en-US"/>
        </w:rPr>
      </w:pPr>
      <w:r w:rsidRPr="0089372C">
        <w:rPr>
          <w:rFonts w:asciiTheme="majorBidi" w:hAnsiTheme="majorBidi" w:cstheme="majorBidi"/>
          <w:sz w:val="24"/>
          <w:szCs w:val="24"/>
          <w:lang w:val="en-US"/>
        </w:rPr>
        <w:t>To my little homeland… my sister,</w:t>
      </w:r>
      <w:r w:rsidRPr="0089372C">
        <w:rPr>
          <w:rFonts w:asciiTheme="majorBidi" w:hAnsiTheme="majorBidi" w:cstheme="majorBidi"/>
          <w:sz w:val="24"/>
          <w:szCs w:val="24"/>
          <w:lang w:val="en-US"/>
        </w:rPr>
        <w:br/>
        <w:t>To the one in whose heart this dream lived before it ever reached mine… my father,</w:t>
      </w:r>
      <w:r w:rsidRPr="0089372C">
        <w:rPr>
          <w:rFonts w:asciiTheme="majorBidi" w:hAnsiTheme="majorBidi" w:cstheme="majorBidi"/>
          <w:sz w:val="24"/>
          <w:szCs w:val="24"/>
          <w:lang w:val="en-US"/>
        </w:rPr>
        <w:br/>
        <w:t>To the one whose prayers walked before me, lighting the path… my mother,</w:t>
      </w:r>
    </w:p>
    <w:p w14:paraId="1166C6A4" w14:textId="77777777" w:rsidR="0089372C" w:rsidRDefault="0089372C" w:rsidP="00B67AC6">
      <w:pPr>
        <w:spacing w:line="360" w:lineRule="auto"/>
        <w:jc w:val="center"/>
        <w:rPr>
          <w:rFonts w:asciiTheme="majorBidi" w:hAnsiTheme="majorBidi" w:cstheme="majorBidi"/>
          <w:sz w:val="24"/>
          <w:szCs w:val="24"/>
          <w:lang w:val="en-US"/>
        </w:rPr>
      </w:pPr>
      <w:r w:rsidRPr="0089372C">
        <w:rPr>
          <w:rFonts w:asciiTheme="majorBidi" w:hAnsiTheme="majorBidi" w:cstheme="majorBidi"/>
          <w:sz w:val="24"/>
          <w:szCs w:val="24"/>
          <w:lang w:val="en-US"/>
        </w:rPr>
        <w:t>To those who were my pillars, ahead of me and behind me</w:t>
      </w:r>
      <w:r w:rsidR="00B67AC6">
        <w:rPr>
          <w:rFonts w:asciiTheme="majorBidi" w:hAnsiTheme="majorBidi" w:cstheme="majorBidi"/>
          <w:sz w:val="24"/>
          <w:szCs w:val="24"/>
          <w:lang w:val="en-US"/>
        </w:rPr>
        <w:t>,</w:t>
      </w:r>
      <w:r w:rsidRPr="0089372C">
        <w:rPr>
          <w:rFonts w:asciiTheme="majorBidi" w:hAnsiTheme="majorBidi" w:cstheme="majorBidi"/>
          <w:sz w:val="24"/>
          <w:szCs w:val="24"/>
          <w:lang w:val="en-US"/>
        </w:rPr>
        <w:t xml:space="preserve"> my brothers: Riyad, Mohamed Amine, and Abdelnasser.</w:t>
      </w:r>
      <w:r w:rsidRPr="0089372C">
        <w:rPr>
          <w:rFonts w:asciiTheme="majorBidi" w:hAnsiTheme="majorBidi" w:cstheme="majorBidi"/>
          <w:sz w:val="24"/>
          <w:szCs w:val="24"/>
          <w:lang w:val="en-US"/>
        </w:rPr>
        <w:br/>
        <w:t>To the one who saw my light when I had forgotten it… S</w:t>
      </w:r>
      <w:r>
        <w:rPr>
          <w:rFonts w:asciiTheme="majorBidi" w:hAnsiTheme="majorBidi" w:cstheme="majorBidi"/>
          <w:sz w:val="24"/>
          <w:szCs w:val="24"/>
          <w:lang w:val="en-US"/>
        </w:rPr>
        <w:t>e</w:t>
      </w:r>
      <w:r w:rsidRPr="0089372C">
        <w:rPr>
          <w:rFonts w:asciiTheme="majorBidi" w:hAnsiTheme="majorBidi" w:cstheme="majorBidi"/>
          <w:sz w:val="24"/>
          <w:szCs w:val="24"/>
          <w:lang w:val="en-US"/>
        </w:rPr>
        <w:t>kran</w:t>
      </w:r>
      <w:r>
        <w:rPr>
          <w:rFonts w:asciiTheme="majorBidi" w:hAnsiTheme="majorBidi" w:cstheme="majorBidi"/>
          <w:sz w:val="24"/>
          <w:szCs w:val="24"/>
          <w:lang w:val="en-US"/>
        </w:rPr>
        <w:t>e</w:t>
      </w:r>
      <w:r w:rsidRPr="0089372C">
        <w:rPr>
          <w:rFonts w:asciiTheme="majorBidi" w:hAnsiTheme="majorBidi" w:cstheme="majorBidi"/>
          <w:sz w:val="24"/>
          <w:szCs w:val="24"/>
          <w:lang w:val="en-US"/>
        </w:rPr>
        <w:t xml:space="preserve"> M</w:t>
      </w:r>
      <w:r>
        <w:rPr>
          <w:rFonts w:asciiTheme="majorBidi" w:hAnsiTheme="majorBidi" w:cstheme="majorBidi"/>
          <w:sz w:val="24"/>
          <w:szCs w:val="24"/>
          <w:lang w:val="en-US"/>
        </w:rPr>
        <w:t>o</w:t>
      </w:r>
      <w:r w:rsidRPr="0089372C">
        <w:rPr>
          <w:rFonts w:asciiTheme="majorBidi" w:hAnsiTheme="majorBidi" w:cstheme="majorBidi"/>
          <w:sz w:val="24"/>
          <w:szCs w:val="24"/>
          <w:lang w:val="en-US"/>
        </w:rPr>
        <w:t>st</w:t>
      </w:r>
      <w:r>
        <w:rPr>
          <w:rFonts w:asciiTheme="majorBidi" w:hAnsiTheme="majorBidi" w:cstheme="majorBidi"/>
          <w:sz w:val="24"/>
          <w:szCs w:val="24"/>
          <w:lang w:val="en-US"/>
        </w:rPr>
        <w:t>e</w:t>
      </w:r>
      <w:r w:rsidRPr="0089372C">
        <w:rPr>
          <w:rFonts w:asciiTheme="majorBidi" w:hAnsiTheme="majorBidi" w:cstheme="majorBidi"/>
          <w:sz w:val="24"/>
          <w:szCs w:val="24"/>
          <w:lang w:val="en-US"/>
        </w:rPr>
        <w:t>pha,</w:t>
      </w:r>
      <w:r w:rsidRPr="0089372C">
        <w:rPr>
          <w:rFonts w:asciiTheme="majorBidi" w:hAnsiTheme="majorBidi" w:cstheme="majorBidi"/>
          <w:sz w:val="24"/>
          <w:szCs w:val="24"/>
          <w:lang w:val="en-US"/>
        </w:rPr>
        <w:br/>
        <w:t>To the one who was the reason my soul found peace… Loucif,</w:t>
      </w:r>
      <w:r w:rsidRPr="0089372C">
        <w:rPr>
          <w:rFonts w:asciiTheme="majorBidi" w:hAnsiTheme="majorBidi" w:cstheme="majorBidi"/>
          <w:sz w:val="24"/>
          <w:szCs w:val="24"/>
          <w:lang w:val="en-US"/>
        </w:rPr>
        <w:br/>
        <w:t>To H</w:t>
      </w:r>
      <w:r>
        <w:rPr>
          <w:rFonts w:asciiTheme="majorBidi" w:hAnsiTheme="majorBidi" w:cstheme="majorBidi"/>
          <w:sz w:val="24"/>
          <w:szCs w:val="24"/>
          <w:lang w:val="en-US"/>
        </w:rPr>
        <w:t>i</w:t>
      </w:r>
      <w:r w:rsidRPr="0089372C">
        <w:rPr>
          <w:rFonts w:asciiTheme="majorBidi" w:hAnsiTheme="majorBidi" w:cstheme="majorBidi"/>
          <w:sz w:val="24"/>
          <w:szCs w:val="24"/>
          <w:lang w:val="en-US"/>
        </w:rPr>
        <w:t>ba, my partner in crafting this work, and her husband</w:t>
      </w:r>
      <w:r w:rsidR="00B67AC6">
        <w:rPr>
          <w:rFonts w:asciiTheme="majorBidi" w:hAnsiTheme="majorBidi" w:cstheme="majorBidi"/>
          <w:sz w:val="24"/>
          <w:szCs w:val="24"/>
          <w:lang w:val="en-US"/>
        </w:rPr>
        <w:t xml:space="preserve"> Edibali</w:t>
      </w:r>
      <w:r w:rsidRPr="0089372C">
        <w:rPr>
          <w:rFonts w:asciiTheme="majorBidi" w:hAnsiTheme="majorBidi" w:cstheme="majorBidi"/>
          <w:sz w:val="24"/>
          <w:szCs w:val="24"/>
          <w:lang w:val="en-US"/>
        </w:rPr>
        <w:t>,</w:t>
      </w:r>
      <w:r w:rsidRPr="0089372C">
        <w:rPr>
          <w:rFonts w:asciiTheme="majorBidi" w:hAnsiTheme="majorBidi" w:cstheme="majorBidi"/>
          <w:sz w:val="24"/>
          <w:szCs w:val="24"/>
          <w:lang w:val="en-US"/>
        </w:rPr>
        <w:br/>
        <w:t>And to all those who, over the past six years, were a home to me,</w:t>
      </w:r>
      <w:r w:rsidRPr="0089372C">
        <w:rPr>
          <w:rFonts w:asciiTheme="majorBidi" w:hAnsiTheme="majorBidi" w:cstheme="majorBidi"/>
          <w:sz w:val="24"/>
          <w:szCs w:val="24"/>
          <w:lang w:val="en-US"/>
        </w:rPr>
        <w:br/>
        <w:t>and carved in my heart a memory that will never fade.</w:t>
      </w:r>
    </w:p>
    <w:p w14:paraId="521B96D7" w14:textId="0B3B3C1B" w:rsidR="00097094" w:rsidRDefault="00B67AC6" w:rsidP="00097094">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And</w:t>
      </w:r>
      <w:r w:rsidR="00097094">
        <w:rPr>
          <w:rFonts w:asciiTheme="majorBidi" w:hAnsiTheme="majorBidi" w:cstheme="majorBidi"/>
          <w:sz w:val="24"/>
          <w:szCs w:val="24"/>
          <w:lang w:val="en-US"/>
        </w:rPr>
        <w:t xml:space="preserve"> finally</w:t>
      </w:r>
      <w:r>
        <w:rPr>
          <w:rFonts w:asciiTheme="majorBidi" w:hAnsiTheme="majorBidi" w:cstheme="majorBidi"/>
          <w:sz w:val="24"/>
          <w:szCs w:val="24"/>
          <w:lang w:val="en-US"/>
        </w:rPr>
        <w:t xml:space="preserve"> for my future wife I didn’t find yet.</w:t>
      </w:r>
    </w:p>
    <w:p w14:paraId="6DEF80E1" w14:textId="77777777" w:rsidR="00097094" w:rsidRDefault="00097094" w:rsidP="00097094">
      <w:pPr>
        <w:spacing w:line="360" w:lineRule="auto"/>
        <w:jc w:val="right"/>
        <w:rPr>
          <w:rFonts w:asciiTheme="majorBidi" w:hAnsiTheme="majorBidi" w:cstheme="majorBidi"/>
          <w:sz w:val="24"/>
          <w:szCs w:val="24"/>
          <w:lang w:val="en-US"/>
        </w:rPr>
      </w:pPr>
    </w:p>
    <w:p w14:paraId="2F39CE6B" w14:textId="77777777" w:rsidR="00097094" w:rsidRPr="00097094" w:rsidRDefault="00097094" w:rsidP="00097094">
      <w:pPr>
        <w:spacing w:line="360" w:lineRule="auto"/>
        <w:jc w:val="center"/>
        <w:rPr>
          <w:rFonts w:ascii="Blackadder ITC" w:hAnsi="Blackadder ITC" w:cstheme="majorBidi"/>
          <w:sz w:val="32"/>
          <w:szCs w:val="32"/>
          <w:lang w:val="en-US"/>
        </w:rPr>
      </w:pPr>
      <w:r w:rsidRPr="00097094">
        <w:rPr>
          <w:rFonts w:ascii="Blackadder ITC" w:hAnsi="Blackadder ITC" w:cstheme="majorBidi"/>
          <w:sz w:val="32"/>
          <w:szCs w:val="32"/>
          <w:lang w:val="en-US"/>
        </w:rPr>
        <w:t xml:space="preserve">                                                                                               Abdelkadir        </w:t>
      </w:r>
    </w:p>
    <w:p w14:paraId="2FB9A62A" w14:textId="77777777" w:rsidR="00097094" w:rsidRDefault="00097094" w:rsidP="00097094">
      <w:pPr>
        <w:spacing w:line="360" w:lineRule="auto"/>
        <w:jc w:val="center"/>
        <w:rPr>
          <w:rFonts w:ascii="Blackadder ITC" w:hAnsi="Blackadder ITC" w:cstheme="majorBidi"/>
          <w:sz w:val="24"/>
          <w:szCs w:val="24"/>
          <w:lang w:val="en-US"/>
        </w:rPr>
      </w:pPr>
    </w:p>
    <w:p w14:paraId="285ED414" w14:textId="77777777" w:rsidR="00097094" w:rsidRDefault="00097094" w:rsidP="00097094">
      <w:pPr>
        <w:spacing w:line="360" w:lineRule="auto"/>
        <w:jc w:val="center"/>
        <w:rPr>
          <w:rFonts w:ascii="Blackadder ITC" w:hAnsi="Blackadder ITC" w:cstheme="majorBidi"/>
          <w:sz w:val="24"/>
          <w:szCs w:val="24"/>
          <w:lang w:val="en-US"/>
        </w:rPr>
      </w:pPr>
    </w:p>
    <w:p w14:paraId="28357512" w14:textId="77777777" w:rsidR="00097094" w:rsidRDefault="00097094" w:rsidP="00097094">
      <w:pPr>
        <w:spacing w:line="360" w:lineRule="auto"/>
        <w:jc w:val="center"/>
        <w:rPr>
          <w:rFonts w:ascii="Blackadder ITC" w:hAnsi="Blackadder ITC" w:cstheme="majorBidi"/>
          <w:sz w:val="24"/>
          <w:szCs w:val="24"/>
          <w:lang w:val="en-US"/>
        </w:rPr>
      </w:pPr>
    </w:p>
    <w:p w14:paraId="2338BFCD" w14:textId="77777777" w:rsidR="00097094" w:rsidRDefault="00097094" w:rsidP="00097094">
      <w:pPr>
        <w:spacing w:line="360" w:lineRule="auto"/>
        <w:jc w:val="center"/>
        <w:rPr>
          <w:rFonts w:asciiTheme="majorBidi" w:hAnsiTheme="majorBidi" w:cstheme="majorBidi"/>
          <w:b/>
          <w:bCs/>
          <w:sz w:val="24"/>
          <w:szCs w:val="24"/>
          <w:lang w:val="en-US"/>
        </w:rPr>
      </w:pPr>
    </w:p>
    <w:p w14:paraId="3BDF9201" w14:textId="77777777" w:rsidR="00097094" w:rsidRDefault="00097094" w:rsidP="00097094">
      <w:pPr>
        <w:spacing w:line="360" w:lineRule="auto"/>
        <w:jc w:val="center"/>
        <w:rPr>
          <w:rFonts w:asciiTheme="majorBidi" w:hAnsiTheme="majorBidi" w:cstheme="majorBidi"/>
          <w:b/>
          <w:bCs/>
          <w:sz w:val="32"/>
          <w:szCs w:val="32"/>
          <w:lang w:val="en-US"/>
        </w:rPr>
      </w:pPr>
    </w:p>
    <w:p w14:paraId="2B6EE954" w14:textId="7A7D818A" w:rsidR="00097094" w:rsidRPr="00097094" w:rsidRDefault="00097094" w:rsidP="00097094">
      <w:pPr>
        <w:spacing w:line="360" w:lineRule="auto"/>
        <w:jc w:val="center"/>
        <w:rPr>
          <w:rFonts w:asciiTheme="majorBidi" w:hAnsiTheme="majorBidi" w:cstheme="majorBidi"/>
          <w:sz w:val="32"/>
          <w:szCs w:val="32"/>
          <w:lang w:val="en-US"/>
        </w:rPr>
      </w:pPr>
      <w:r w:rsidRPr="00097094">
        <w:rPr>
          <w:rFonts w:asciiTheme="majorBidi" w:hAnsiTheme="majorBidi" w:cstheme="majorBidi"/>
          <w:b/>
          <w:bCs/>
          <w:sz w:val="32"/>
          <w:szCs w:val="32"/>
          <w:lang w:val="en-US"/>
        </w:rPr>
        <w:t>Dedication</w:t>
      </w:r>
    </w:p>
    <w:p w14:paraId="58F9FD60"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w:t>
      </w:r>
      <w:r w:rsidRPr="00097094">
        <w:rPr>
          <w:rFonts w:asciiTheme="majorBidi" w:hAnsiTheme="majorBidi" w:cstheme="majorBidi"/>
          <w:b/>
          <w:bCs/>
          <w:sz w:val="24"/>
          <w:szCs w:val="24"/>
          <w:lang w:val="en-US"/>
        </w:rPr>
        <w:t>myself</w:t>
      </w:r>
      <w:r w:rsidRPr="00097094">
        <w:rPr>
          <w:rFonts w:asciiTheme="majorBidi" w:hAnsiTheme="majorBidi" w:cstheme="majorBidi"/>
          <w:sz w:val="24"/>
          <w:szCs w:val="24"/>
          <w:lang w:val="en-US"/>
        </w:rPr>
        <w:t>,</w:t>
      </w:r>
    </w:p>
    <w:p w14:paraId="097A3F1E"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For holding on when it was easier to give up. For every sleepless night, every tear, every small victory along the way. For believing, even in silence. I am proud of the strength I discovered within me through this journey.</w:t>
      </w:r>
    </w:p>
    <w:p w14:paraId="31D42350"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my beloved </w:t>
      </w:r>
      <w:r w:rsidRPr="00097094">
        <w:rPr>
          <w:rFonts w:asciiTheme="majorBidi" w:hAnsiTheme="majorBidi" w:cstheme="majorBidi"/>
          <w:b/>
          <w:bCs/>
          <w:sz w:val="24"/>
          <w:szCs w:val="24"/>
          <w:lang w:val="en-US"/>
        </w:rPr>
        <w:t>parents</w:t>
      </w:r>
      <w:r w:rsidRPr="00097094">
        <w:rPr>
          <w:rFonts w:asciiTheme="majorBidi" w:hAnsiTheme="majorBidi" w:cstheme="majorBidi"/>
          <w:sz w:val="24"/>
          <w:szCs w:val="24"/>
          <w:lang w:val="en-US"/>
        </w:rPr>
        <w:t>, your unconditional love, sacrifices, and unwavering belief in me have been the foundation of every step I’ve taken. This achievement is as much yours as it is mine.</w:t>
      </w:r>
    </w:p>
    <w:p w14:paraId="325B7D7E"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w:t>
      </w:r>
      <w:r w:rsidRPr="00097094">
        <w:rPr>
          <w:rFonts w:asciiTheme="majorBidi" w:hAnsiTheme="majorBidi" w:cstheme="majorBidi"/>
          <w:b/>
          <w:bCs/>
          <w:sz w:val="24"/>
          <w:szCs w:val="24"/>
          <w:lang w:val="en-US"/>
        </w:rPr>
        <w:t>my sister and brothers</w:t>
      </w:r>
      <w:r w:rsidRPr="00097094">
        <w:rPr>
          <w:rFonts w:asciiTheme="majorBidi" w:hAnsiTheme="majorBidi" w:cstheme="majorBidi"/>
          <w:sz w:val="24"/>
          <w:szCs w:val="24"/>
          <w:lang w:val="en-US"/>
        </w:rPr>
        <w:t>, you’ve been my first team, my loudest cheerleaders, and my quiet strength. This achievement carries your spirit in every page.</w:t>
      </w:r>
    </w:p>
    <w:p w14:paraId="7AEA24E9"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w:t>
      </w:r>
      <w:r w:rsidRPr="00097094">
        <w:rPr>
          <w:rFonts w:asciiTheme="majorBidi" w:hAnsiTheme="majorBidi" w:cstheme="majorBidi"/>
          <w:b/>
          <w:bCs/>
          <w:sz w:val="24"/>
          <w:szCs w:val="24"/>
          <w:lang w:val="en-US"/>
        </w:rPr>
        <w:t>my aunts</w:t>
      </w:r>
      <w:r w:rsidRPr="00097094">
        <w:rPr>
          <w:rFonts w:asciiTheme="majorBidi" w:hAnsiTheme="majorBidi" w:cstheme="majorBidi"/>
          <w:sz w:val="24"/>
          <w:szCs w:val="24"/>
          <w:lang w:val="en-US"/>
        </w:rPr>
        <w:t xml:space="preserve">, your gentle words, generous hearts, and quiet strength have always been a guiding light. This work carries a part of your love in every step forward. And to </w:t>
      </w:r>
      <w:r w:rsidRPr="00097094">
        <w:rPr>
          <w:rFonts w:asciiTheme="majorBidi" w:hAnsiTheme="majorBidi" w:cstheme="majorBidi"/>
          <w:b/>
          <w:bCs/>
          <w:sz w:val="24"/>
          <w:szCs w:val="24"/>
          <w:lang w:val="en-US"/>
        </w:rPr>
        <w:t xml:space="preserve">my family </w:t>
      </w:r>
      <w:r w:rsidRPr="00097094">
        <w:rPr>
          <w:rFonts w:asciiTheme="majorBidi" w:hAnsiTheme="majorBidi" w:cstheme="majorBidi"/>
          <w:sz w:val="24"/>
          <w:szCs w:val="24"/>
          <w:lang w:val="en-US"/>
        </w:rPr>
        <w:t>as a whole, for the warmth, strength, and silent prayers that have carried me through.</w:t>
      </w:r>
    </w:p>
    <w:p w14:paraId="0396EC32"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To my husband</w:t>
      </w:r>
      <w:r w:rsidRPr="00097094">
        <w:rPr>
          <w:rFonts w:asciiTheme="majorBidi" w:hAnsiTheme="majorBidi" w:cstheme="majorBidi"/>
          <w:b/>
          <w:bCs/>
          <w:sz w:val="24"/>
          <w:szCs w:val="24"/>
          <w:lang w:val="en-US"/>
        </w:rPr>
        <w:t xml:space="preserve"> Edibali</w:t>
      </w:r>
      <w:r w:rsidRPr="00097094">
        <w:rPr>
          <w:rFonts w:asciiTheme="majorBidi" w:hAnsiTheme="majorBidi" w:cstheme="majorBidi"/>
          <w:sz w:val="24"/>
          <w:szCs w:val="24"/>
          <w:lang w:val="en-US"/>
        </w:rPr>
        <w:t xml:space="preserve"> and partner in everything, thank you for being my anchor in moments of doubt, my greatest supporter, and my quiet strength. Your love, patience, and constant encouragement made this journey possible. I couldn’t have done this without you.</w:t>
      </w:r>
    </w:p>
    <w:p w14:paraId="4FEFDCDB"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my cousins </w:t>
      </w:r>
      <w:r w:rsidRPr="00097094">
        <w:rPr>
          <w:rFonts w:asciiTheme="majorBidi" w:hAnsiTheme="majorBidi" w:cstheme="majorBidi"/>
          <w:b/>
          <w:bCs/>
          <w:sz w:val="24"/>
          <w:szCs w:val="24"/>
          <w:lang w:val="en-US"/>
        </w:rPr>
        <w:t>Houda</w:t>
      </w:r>
      <w:r w:rsidRPr="00097094">
        <w:rPr>
          <w:rFonts w:asciiTheme="majorBidi" w:hAnsiTheme="majorBidi" w:cstheme="majorBidi"/>
          <w:sz w:val="24"/>
          <w:szCs w:val="24"/>
          <w:lang w:val="en-US"/>
        </w:rPr>
        <w:t xml:space="preserve"> and </w:t>
      </w:r>
      <w:r w:rsidRPr="00097094">
        <w:rPr>
          <w:rFonts w:asciiTheme="majorBidi" w:hAnsiTheme="majorBidi" w:cstheme="majorBidi"/>
          <w:b/>
          <w:bCs/>
          <w:sz w:val="24"/>
          <w:szCs w:val="24"/>
          <w:lang w:val="en-US"/>
        </w:rPr>
        <w:t>Meriem</w:t>
      </w:r>
      <w:r w:rsidRPr="00097094">
        <w:rPr>
          <w:rFonts w:asciiTheme="majorBidi" w:hAnsiTheme="majorBidi" w:cstheme="majorBidi"/>
          <w:sz w:val="24"/>
          <w:szCs w:val="24"/>
          <w:lang w:val="en-US"/>
        </w:rPr>
        <w:t>, your laughter, advice, and sincere presence were a soothing balm during the toughest days.</w:t>
      </w:r>
    </w:p>
    <w:p w14:paraId="3FF89B38"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my soul sisters, </w:t>
      </w:r>
      <w:r w:rsidRPr="00097094">
        <w:rPr>
          <w:rFonts w:asciiTheme="majorBidi" w:hAnsiTheme="majorBidi" w:cstheme="majorBidi"/>
          <w:b/>
          <w:bCs/>
          <w:sz w:val="24"/>
          <w:szCs w:val="24"/>
          <w:lang w:val="en-US"/>
        </w:rPr>
        <w:t>Aya</w:t>
      </w:r>
      <w:r w:rsidRPr="00097094">
        <w:rPr>
          <w:rFonts w:asciiTheme="majorBidi" w:hAnsiTheme="majorBidi" w:cstheme="majorBidi"/>
          <w:sz w:val="24"/>
          <w:szCs w:val="24"/>
          <w:lang w:val="en-US"/>
        </w:rPr>
        <w:t xml:space="preserve"> and </w:t>
      </w:r>
      <w:r w:rsidRPr="00097094">
        <w:rPr>
          <w:rFonts w:asciiTheme="majorBidi" w:hAnsiTheme="majorBidi" w:cstheme="majorBidi"/>
          <w:b/>
          <w:bCs/>
          <w:sz w:val="24"/>
          <w:szCs w:val="24"/>
          <w:lang w:val="en-US"/>
        </w:rPr>
        <w:t>Nour</w:t>
      </w:r>
      <w:r w:rsidRPr="00097094">
        <w:rPr>
          <w:rFonts w:asciiTheme="majorBidi" w:hAnsiTheme="majorBidi" w:cstheme="majorBidi"/>
          <w:sz w:val="24"/>
          <w:szCs w:val="24"/>
          <w:lang w:val="en-US"/>
        </w:rPr>
        <w:t>, you were not just friends but lights in the darkest moments. Thank you for being family.</w:t>
      </w:r>
    </w:p>
    <w:p w14:paraId="3F678F22"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And to my cherished friends </w:t>
      </w:r>
      <w:r w:rsidRPr="00097094">
        <w:rPr>
          <w:rFonts w:asciiTheme="majorBidi" w:hAnsiTheme="majorBidi" w:cstheme="majorBidi"/>
          <w:b/>
          <w:bCs/>
          <w:sz w:val="24"/>
          <w:szCs w:val="24"/>
          <w:lang w:val="en-US"/>
        </w:rPr>
        <w:t>Aya</w:t>
      </w:r>
      <w:r w:rsidRPr="00097094">
        <w:rPr>
          <w:rFonts w:asciiTheme="majorBidi" w:hAnsiTheme="majorBidi" w:cstheme="majorBidi"/>
          <w:sz w:val="24"/>
          <w:szCs w:val="24"/>
          <w:lang w:val="en-US"/>
        </w:rPr>
        <w:t xml:space="preserve">, </w:t>
      </w:r>
      <w:r w:rsidRPr="00097094">
        <w:rPr>
          <w:rFonts w:asciiTheme="majorBidi" w:hAnsiTheme="majorBidi" w:cstheme="majorBidi"/>
          <w:b/>
          <w:bCs/>
          <w:sz w:val="24"/>
          <w:szCs w:val="24"/>
          <w:lang w:val="en-US"/>
        </w:rPr>
        <w:t xml:space="preserve">Ikram, </w:t>
      </w:r>
      <w:r w:rsidRPr="00097094">
        <w:rPr>
          <w:rFonts w:asciiTheme="majorBidi" w:hAnsiTheme="majorBidi" w:cstheme="majorBidi"/>
          <w:sz w:val="24"/>
          <w:szCs w:val="24"/>
          <w:lang w:val="en-US"/>
        </w:rPr>
        <w:t>and</w:t>
      </w:r>
      <w:r w:rsidRPr="00097094">
        <w:rPr>
          <w:rFonts w:asciiTheme="majorBidi" w:hAnsiTheme="majorBidi" w:cstheme="majorBidi"/>
          <w:b/>
          <w:bCs/>
          <w:sz w:val="24"/>
          <w:szCs w:val="24"/>
          <w:lang w:val="en-US"/>
        </w:rPr>
        <w:t xml:space="preserve"> Ines</w:t>
      </w:r>
      <w:r w:rsidRPr="00097094">
        <w:rPr>
          <w:rFonts w:asciiTheme="majorBidi" w:hAnsiTheme="majorBidi" w:cstheme="majorBidi"/>
          <w:sz w:val="24"/>
          <w:szCs w:val="24"/>
          <w:lang w:val="en-US"/>
        </w:rPr>
        <w:t>, each of you left a beautiful mark on this journey. Your kindness, motivation, and friendship will never be forgotten.</w:t>
      </w:r>
    </w:p>
    <w:p w14:paraId="02EAD263" w14:textId="77777777" w:rsidR="00097094" w:rsidRP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 xml:space="preserve">To my team mate </w:t>
      </w:r>
      <w:r w:rsidRPr="00097094">
        <w:rPr>
          <w:rFonts w:asciiTheme="majorBidi" w:hAnsiTheme="majorBidi" w:cstheme="majorBidi"/>
          <w:b/>
          <w:bCs/>
          <w:sz w:val="24"/>
          <w:szCs w:val="24"/>
          <w:lang w:val="en-US"/>
        </w:rPr>
        <w:t>Abdelkadir</w:t>
      </w:r>
      <w:r w:rsidRPr="00097094">
        <w:rPr>
          <w:rFonts w:asciiTheme="majorBidi" w:hAnsiTheme="majorBidi" w:cstheme="majorBidi"/>
          <w:sz w:val="24"/>
          <w:szCs w:val="24"/>
          <w:lang w:val="en-US"/>
        </w:rPr>
        <w:t>, thank you for your collaboration, insight, and commitment.</w:t>
      </w:r>
    </w:p>
    <w:p w14:paraId="0595DAF0" w14:textId="5322DC36" w:rsidR="00097094" w:rsidRDefault="00097094" w:rsidP="00097094">
      <w:pPr>
        <w:spacing w:line="360" w:lineRule="auto"/>
        <w:jc w:val="center"/>
        <w:rPr>
          <w:rFonts w:asciiTheme="majorBidi" w:hAnsiTheme="majorBidi" w:cstheme="majorBidi"/>
          <w:sz w:val="24"/>
          <w:szCs w:val="24"/>
          <w:lang w:val="en-US"/>
        </w:rPr>
      </w:pPr>
      <w:r w:rsidRPr="00097094">
        <w:rPr>
          <w:rFonts w:asciiTheme="majorBidi" w:hAnsiTheme="majorBidi" w:cstheme="majorBidi"/>
          <w:sz w:val="24"/>
          <w:szCs w:val="24"/>
          <w:lang w:val="en-US"/>
        </w:rPr>
        <w:t>This work is a piece of my heart, and I share it with all of you.</w:t>
      </w:r>
    </w:p>
    <w:p w14:paraId="7B66DB0E" w14:textId="77777777" w:rsidR="00097094" w:rsidRPr="00097094" w:rsidRDefault="00097094" w:rsidP="00097094">
      <w:pPr>
        <w:spacing w:line="360" w:lineRule="auto"/>
        <w:jc w:val="center"/>
        <w:rPr>
          <w:rFonts w:asciiTheme="majorBidi" w:hAnsiTheme="majorBidi" w:cstheme="majorBidi"/>
          <w:sz w:val="24"/>
          <w:szCs w:val="24"/>
          <w:lang w:val="en-US"/>
        </w:rPr>
      </w:pPr>
    </w:p>
    <w:p w14:paraId="11479C29" w14:textId="400B1120" w:rsidR="00097094" w:rsidRPr="00CE064A" w:rsidRDefault="00097094" w:rsidP="00097094">
      <w:pPr>
        <w:spacing w:line="360" w:lineRule="auto"/>
        <w:jc w:val="center"/>
        <w:rPr>
          <w:rFonts w:ascii="Edwardian Script ITC" w:hAnsi="Edwardian Script ITC" w:cstheme="majorBidi"/>
          <w:sz w:val="44"/>
          <w:szCs w:val="44"/>
          <w:lang w:val="en-US"/>
        </w:rPr>
      </w:pPr>
      <w:r w:rsidRPr="00097094">
        <w:rPr>
          <w:rFonts w:ascii="Blackadder ITC" w:hAnsi="Blackadder ITC" w:cstheme="majorBidi"/>
          <w:b/>
          <w:bCs/>
          <w:sz w:val="44"/>
          <w:szCs w:val="44"/>
          <w:lang w:val="en-US"/>
        </w:rPr>
        <w:t>                                                                     </w:t>
      </w:r>
      <w:r w:rsidRPr="00097094">
        <w:rPr>
          <w:rFonts w:ascii="Edwardian Script ITC" w:hAnsi="Edwardian Script ITC" w:cstheme="majorBidi"/>
          <w:b/>
          <w:bCs/>
          <w:sz w:val="44"/>
          <w:szCs w:val="44"/>
          <w:lang w:val="en-US"/>
        </w:rPr>
        <w:t>Hiba</w:t>
      </w:r>
    </w:p>
    <w:p w14:paraId="198ED6A4" w14:textId="351F6A8E" w:rsidR="00097094" w:rsidRPr="00097094" w:rsidRDefault="00097094" w:rsidP="00097094">
      <w:pPr>
        <w:spacing w:line="360" w:lineRule="auto"/>
        <w:jc w:val="center"/>
        <w:rPr>
          <w:rFonts w:asciiTheme="majorBidi" w:hAnsiTheme="majorBidi" w:cstheme="majorBidi"/>
          <w:sz w:val="24"/>
          <w:szCs w:val="24"/>
          <w:lang w:val="en-US"/>
        </w:rPr>
        <w:sectPr w:rsidR="00097094" w:rsidRPr="00097094">
          <w:headerReference w:type="default" r:id="rId9"/>
          <w:pgSz w:w="11906" w:h="16838"/>
          <w:pgMar w:top="1417" w:right="1417" w:bottom="1417" w:left="1417" w:header="708" w:footer="708" w:gutter="0"/>
          <w:cols w:space="708"/>
          <w:docGrid w:linePitch="360"/>
        </w:sectPr>
      </w:pPr>
    </w:p>
    <w:p w14:paraId="05D32298" w14:textId="61746A85" w:rsidR="00DC2EB3" w:rsidRPr="0019449B" w:rsidRDefault="00DC2EB3" w:rsidP="00C07A7D">
      <w:pPr>
        <w:spacing w:before="240" w:after="240" w:line="360" w:lineRule="auto"/>
        <w:jc w:val="center"/>
        <w:rPr>
          <w:rFonts w:ascii="Times New Roman" w:eastAsia="Calibri" w:hAnsi="Times New Roman" w:cs="Times New Roman"/>
          <w:b/>
          <w:bCs/>
          <w:lang w:val="en-GB"/>
        </w:rPr>
      </w:pPr>
      <w:r w:rsidRPr="0019449B">
        <w:rPr>
          <w:rFonts w:ascii="Times New Roman" w:eastAsia="Calibri" w:hAnsi="Times New Roman" w:cs="Times New Roman"/>
          <w:b/>
          <w:bCs/>
          <w:lang w:val="en-GB"/>
        </w:rPr>
        <w:t>TABLE OF CONTENTS</w:t>
      </w:r>
    </w:p>
    <w:p w14:paraId="0FE2D466" w14:textId="5416143C" w:rsidR="00DC2EB3" w:rsidRPr="003A19AC" w:rsidRDefault="00435398" w:rsidP="003E42D2">
      <w:pPr>
        <w:spacing w:before="240" w:after="240" w:line="360" w:lineRule="auto"/>
        <w:jc w:val="both"/>
        <w:rPr>
          <w:rFonts w:ascii="Times New Roman" w:eastAsia="Calibri" w:hAnsi="Times New Roman" w:cs="Times New Roman"/>
          <w:b/>
          <w:bCs/>
          <w:sz w:val="24"/>
          <w:szCs w:val="24"/>
          <w:lang w:val="en-GB"/>
        </w:rPr>
      </w:pPr>
      <w:r w:rsidRPr="003A19AC">
        <w:rPr>
          <w:rFonts w:ascii="Times New Roman" w:eastAsia="Calibri" w:hAnsi="Times New Roman" w:cs="Times New Roman"/>
          <w:b/>
          <w:bCs/>
          <w:sz w:val="24"/>
          <w:szCs w:val="24"/>
          <w:lang w:val="en-GB"/>
        </w:rPr>
        <w:t>General Introduction</w:t>
      </w:r>
      <w:r w:rsidR="003A19AC" w:rsidRPr="003A19AC">
        <w:rPr>
          <w:rFonts w:ascii="Times New Roman" w:eastAsia="Calibri" w:hAnsi="Times New Roman" w:cs="Times New Roman"/>
          <w:b/>
          <w:bCs/>
          <w:sz w:val="24"/>
          <w:szCs w:val="24"/>
          <w:lang w:val="en-GB"/>
        </w:rPr>
        <w:tab/>
      </w:r>
    </w:p>
    <w:p w14:paraId="0BFB02DB" w14:textId="17D40454" w:rsidR="00DC2EB3" w:rsidRPr="003A19AC" w:rsidRDefault="00DC2EB3" w:rsidP="003E42D2">
      <w:pPr>
        <w:spacing w:before="240" w:after="240" w:line="360" w:lineRule="auto"/>
        <w:jc w:val="both"/>
        <w:rPr>
          <w:rFonts w:ascii="Times New Roman" w:eastAsia="Calibri" w:hAnsi="Times New Roman" w:cs="Times New Roman"/>
          <w:b/>
          <w:bCs/>
          <w:sz w:val="24"/>
          <w:szCs w:val="24"/>
          <w:lang w:val="en-GB"/>
        </w:rPr>
      </w:pPr>
      <w:r w:rsidRPr="003A19AC">
        <w:rPr>
          <w:rFonts w:ascii="Times New Roman" w:eastAsia="Calibri" w:hAnsi="Times New Roman" w:cs="Times New Roman"/>
          <w:b/>
          <w:bCs/>
          <w:sz w:val="24"/>
          <w:szCs w:val="24"/>
          <w:lang w:val="en-GB"/>
        </w:rPr>
        <w:t xml:space="preserve">Chapter 1: </w:t>
      </w:r>
      <w:bookmarkStart w:id="0" w:name="_Hlk200725657"/>
      <w:r w:rsidRPr="003A19AC">
        <w:rPr>
          <w:rFonts w:ascii="Times New Roman" w:eastAsia="Calibri" w:hAnsi="Times New Roman" w:cs="Times New Roman"/>
          <w:b/>
          <w:bCs/>
          <w:sz w:val="24"/>
          <w:szCs w:val="24"/>
          <w:lang w:val="en-GB"/>
        </w:rPr>
        <w:t>Boycott-Theoratical framework and practical implications</w:t>
      </w:r>
      <w:bookmarkEnd w:id="0"/>
    </w:p>
    <w:p w14:paraId="37A94F12" w14:textId="3BB6C3B0" w:rsidR="00DC2EB3" w:rsidRPr="003A19AC" w:rsidRDefault="00DC2EB3" w:rsidP="00413B73">
      <w:pPr>
        <w:pStyle w:val="ListParagraph"/>
        <w:numPr>
          <w:ilvl w:val="0"/>
          <w:numId w:val="94"/>
        </w:numPr>
        <w:spacing w:before="240" w:after="240" w:line="360" w:lineRule="auto"/>
        <w:jc w:val="both"/>
        <w:rPr>
          <w:rFonts w:ascii="Times New Roman" w:eastAsia="Calibri" w:hAnsi="Times New Roman" w:cs="Times New Roman"/>
          <w:b/>
          <w:bCs/>
          <w:sz w:val="24"/>
          <w:szCs w:val="24"/>
          <w:lang w:val="en-GB"/>
        </w:rPr>
      </w:pPr>
      <w:r w:rsidRPr="003A19AC">
        <w:rPr>
          <w:rFonts w:ascii="Times New Roman" w:eastAsia="Calibri" w:hAnsi="Times New Roman" w:cs="Times New Roman"/>
          <w:b/>
          <w:bCs/>
          <w:sz w:val="24"/>
          <w:szCs w:val="24"/>
          <w:lang w:val="en-GB"/>
        </w:rPr>
        <w:t>Introduction</w:t>
      </w:r>
    </w:p>
    <w:p w14:paraId="754B3243" w14:textId="6D7E011D" w:rsidR="00DC2EB3" w:rsidRPr="003A19AC" w:rsidRDefault="00DC2EB3" w:rsidP="00413B73">
      <w:pPr>
        <w:pStyle w:val="ListParagraph"/>
        <w:numPr>
          <w:ilvl w:val="0"/>
          <w:numId w:val="94"/>
        </w:numPr>
        <w:spacing w:before="240" w:after="240" w:line="360" w:lineRule="auto"/>
        <w:jc w:val="both"/>
        <w:rPr>
          <w:rFonts w:ascii="Times New Roman" w:eastAsia="Calibri" w:hAnsi="Times New Roman" w:cs="Times New Roman"/>
          <w:sz w:val="24"/>
          <w:szCs w:val="24"/>
          <w:lang w:val="en-GB"/>
        </w:rPr>
      </w:pPr>
      <w:r w:rsidRPr="003A19AC">
        <w:rPr>
          <w:rFonts w:ascii="Times New Roman" w:eastAsia="Calibri" w:hAnsi="Times New Roman" w:cs="Times New Roman"/>
          <w:b/>
          <w:bCs/>
          <w:sz w:val="24"/>
          <w:szCs w:val="24"/>
          <w:lang w:val="en-GB"/>
        </w:rPr>
        <w:t>Section 1:</w:t>
      </w:r>
      <w:r w:rsidRPr="003A19AC">
        <w:rPr>
          <w:rFonts w:ascii="Times New Roman" w:eastAsia="Calibri" w:hAnsi="Times New Roman" w:cs="Times New Roman"/>
          <w:sz w:val="24"/>
          <w:szCs w:val="24"/>
          <w:lang w:val="en-GB"/>
        </w:rPr>
        <w:t xml:space="preserve"> introduction to boycott</w:t>
      </w:r>
    </w:p>
    <w:p w14:paraId="44364435" w14:textId="15FDAEFF" w:rsidR="00DC2EB3" w:rsidRPr="003A19AC" w:rsidRDefault="00DC2EB3" w:rsidP="00413B73">
      <w:pPr>
        <w:pStyle w:val="ListParagraph"/>
        <w:numPr>
          <w:ilvl w:val="0"/>
          <w:numId w:val="94"/>
        </w:numPr>
        <w:spacing w:before="240" w:after="240" w:line="360" w:lineRule="auto"/>
        <w:jc w:val="both"/>
        <w:rPr>
          <w:rFonts w:ascii="Times New Roman" w:eastAsia="Calibri" w:hAnsi="Times New Roman" w:cs="Times New Roman"/>
          <w:sz w:val="24"/>
          <w:szCs w:val="24"/>
          <w:lang w:val="en-GB"/>
        </w:rPr>
      </w:pPr>
      <w:r w:rsidRPr="003A19AC">
        <w:rPr>
          <w:rFonts w:ascii="Times New Roman" w:hAnsi="Times New Roman" w:cs="Times New Roman"/>
          <w:b/>
          <w:bCs/>
          <w:sz w:val="24"/>
          <w:szCs w:val="24"/>
          <w:lang w:val="en-GB"/>
        </w:rPr>
        <w:t>Section 2:</w:t>
      </w:r>
      <w:r w:rsidRPr="003A19AC">
        <w:rPr>
          <w:rFonts w:ascii="Times New Roman" w:eastAsia="Calibri" w:hAnsi="Times New Roman" w:cs="Times New Roman"/>
          <w:b/>
          <w:bCs/>
          <w:sz w:val="24"/>
          <w:szCs w:val="24"/>
          <w:lang w:val="en-GB"/>
        </w:rPr>
        <w:t xml:space="preserve"> </w:t>
      </w:r>
      <w:r w:rsidRPr="003A19AC">
        <w:rPr>
          <w:rFonts w:ascii="Times New Roman" w:eastAsia="Calibri" w:hAnsi="Times New Roman" w:cs="Times New Roman"/>
          <w:sz w:val="24"/>
          <w:szCs w:val="24"/>
          <w:lang w:val="en-GB"/>
        </w:rPr>
        <w:t>Economic and social impacts of boycotts</w:t>
      </w:r>
    </w:p>
    <w:p w14:paraId="4E70722A" w14:textId="402F310C" w:rsidR="00DC2EB3" w:rsidRPr="003A19AC" w:rsidRDefault="00DC2EB3" w:rsidP="00413B73">
      <w:pPr>
        <w:pStyle w:val="ListParagraph"/>
        <w:numPr>
          <w:ilvl w:val="0"/>
          <w:numId w:val="94"/>
        </w:numPr>
        <w:spacing w:before="240" w:after="240" w:line="360" w:lineRule="auto"/>
        <w:jc w:val="both"/>
        <w:rPr>
          <w:sz w:val="24"/>
          <w:szCs w:val="24"/>
          <w:lang w:val="en-GB"/>
        </w:rPr>
      </w:pPr>
      <w:r w:rsidRPr="003A19AC">
        <w:rPr>
          <w:rFonts w:ascii="Times New Roman" w:hAnsi="Times New Roman" w:cs="Times New Roman"/>
          <w:b/>
          <w:bCs/>
          <w:sz w:val="24"/>
          <w:szCs w:val="24"/>
          <w:lang w:val="en-GB"/>
        </w:rPr>
        <w:t xml:space="preserve">Section 3: </w:t>
      </w:r>
      <w:r w:rsidRPr="003A19AC">
        <w:rPr>
          <w:rFonts w:ascii="Times New Roman" w:hAnsi="Times New Roman" w:cs="Times New Roman"/>
          <w:sz w:val="24"/>
          <w:szCs w:val="24"/>
          <w:lang w:val="en-GB"/>
        </w:rPr>
        <w:t>Exploring the dynamics of consumer boycotts</w:t>
      </w:r>
    </w:p>
    <w:p w14:paraId="57AD1272" w14:textId="6D796CFA" w:rsidR="00DC2EB3" w:rsidRPr="003A19AC" w:rsidRDefault="00DC2EB3" w:rsidP="00413B73">
      <w:pPr>
        <w:pStyle w:val="Paragraphedeliste1"/>
        <w:numPr>
          <w:ilvl w:val="0"/>
          <w:numId w:val="94"/>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Conclusion</w:t>
      </w:r>
    </w:p>
    <w:p w14:paraId="25A97330" w14:textId="77777777"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p>
    <w:p w14:paraId="70B4AEC2" w14:textId="6656A7EE"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Chapter 2:</w:t>
      </w:r>
      <w:r w:rsidRPr="003A19AC">
        <w:rPr>
          <w:rFonts w:asciiTheme="majorBidi" w:hAnsiTheme="majorBidi" w:cstheme="majorBidi"/>
          <w:b/>
          <w:bCs/>
          <w:lang w:val="en-GB"/>
        </w:rPr>
        <w:t xml:space="preserve"> Exportation-process, strategies and challenges</w:t>
      </w:r>
    </w:p>
    <w:p w14:paraId="5EA13CC4" w14:textId="25755212" w:rsidR="00DC2EB3" w:rsidRPr="003A19AC" w:rsidRDefault="00DC2EB3" w:rsidP="00413B73">
      <w:pPr>
        <w:pStyle w:val="Paragraphedeliste1"/>
        <w:numPr>
          <w:ilvl w:val="0"/>
          <w:numId w:val="95"/>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Introduction</w:t>
      </w:r>
    </w:p>
    <w:p w14:paraId="6AA50171" w14:textId="20DA32A4" w:rsidR="00DC2EB3" w:rsidRPr="003A19AC" w:rsidRDefault="00DC2EB3" w:rsidP="00413B73">
      <w:pPr>
        <w:pStyle w:val="Paragraphedeliste1"/>
        <w:numPr>
          <w:ilvl w:val="0"/>
          <w:numId w:val="95"/>
        </w:numPr>
        <w:spacing w:before="240" w:beforeAutospacing="0" w:after="240" w:afterAutospacing="0" w:line="360" w:lineRule="auto"/>
        <w:jc w:val="both"/>
        <w:rPr>
          <w:rFonts w:asciiTheme="majorBidi" w:hAnsiTheme="majorBidi" w:cstheme="majorBidi"/>
          <w:lang w:val="en-GB"/>
        </w:rPr>
      </w:pPr>
      <w:r w:rsidRPr="003A19AC">
        <w:rPr>
          <w:rFonts w:asciiTheme="majorBidi" w:hAnsiTheme="majorBidi" w:cstheme="majorBidi"/>
          <w:b/>
          <w:bCs/>
          <w:lang w:val="en-GB"/>
        </w:rPr>
        <w:t xml:space="preserve">Section 1: </w:t>
      </w:r>
      <w:r w:rsidRPr="003A19AC">
        <w:rPr>
          <w:rFonts w:asciiTheme="majorBidi" w:hAnsiTheme="majorBidi" w:cstheme="majorBidi"/>
          <w:lang w:val="en-GB"/>
        </w:rPr>
        <w:t>overview of international trade exportation</w:t>
      </w:r>
    </w:p>
    <w:p w14:paraId="06CC77F8" w14:textId="6DD57699" w:rsidR="00DC2EB3" w:rsidRPr="003A19AC" w:rsidRDefault="00DC2EB3" w:rsidP="00413B73">
      <w:pPr>
        <w:pStyle w:val="ListParagraph"/>
        <w:numPr>
          <w:ilvl w:val="0"/>
          <w:numId w:val="95"/>
        </w:numPr>
        <w:spacing w:before="240" w:line="360" w:lineRule="auto"/>
        <w:jc w:val="both"/>
        <w:rPr>
          <w:rFonts w:ascii="Times New Roman" w:hAnsi="Times New Roman" w:cs="Times New Roman"/>
          <w:sz w:val="24"/>
          <w:szCs w:val="24"/>
          <w:lang w:val="en-GB"/>
        </w:rPr>
      </w:pPr>
      <w:r w:rsidRPr="003A19AC">
        <w:rPr>
          <w:rFonts w:ascii="Times New Roman" w:hAnsi="Times New Roman" w:cs="Times New Roman"/>
          <w:b/>
          <w:bCs/>
          <w:sz w:val="24"/>
          <w:szCs w:val="24"/>
          <w:lang w:val="en-GB"/>
        </w:rPr>
        <w:t xml:space="preserve">Section 2: </w:t>
      </w:r>
      <w:r w:rsidRPr="003A19AC">
        <w:rPr>
          <w:rFonts w:ascii="Times New Roman" w:hAnsi="Times New Roman" w:cs="Times New Roman"/>
          <w:sz w:val="24"/>
          <w:szCs w:val="24"/>
          <w:lang w:val="en-GB"/>
        </w:rPr>
        <w:t>Export Process for Algerian Local Products</w:t>
      </w:r>
    </w:p>
    <w:p w14:paraId="407F01FE" w14:textId="3133AE30" w:rsidR="00DC2EB3" w:rsidRPr="003A19AC" w:rsidRDefault="00DC2EB3" w:rsidP="00413B73">
      <w:pPr>
        <w:pStyle w:val="ListParagraph"/>
        <w:numPr>
          <w:ilvl w:val="0"/>
          <w:numId w:val="95"/>
        </w:numPr>
        <w:spacing w:before="240" w:line="360" w:lineRule="auto"/>
        <w:jc w:val="both"/>
        <w:rPr>
          <w:rFonts w:asciiTheme="majorBidi" w:hAnsiTheme="majorBidi" w:cstheme="majorBidi"/>
          <w:sz w:val="24"/>
          <w:szCs w:val="24"/>
          <w:lang w:val="en-GB"/>
        </w:rPr>
      </w:pPr>
      <w:r w:rsidRPr="003A19AC">
        <w:rPr>
          <w:rFonts w:asciiTheme="majorBidi" w:hAnsiTheme="majorBidi" w:cstheme="majorBidi"/>
          <w:b/>
          <w:bCs/>
          <w:sz w:val="24"/>
          <w:szCs w:val="24"/>
          <w:lang w:val="en-GB"/>
        </w:rPr>
        <w:t xml:space="preserve">Section 3: </w:t>
      </w:r>
      <w:r w:rsidRPr="003A19AC">
        <w:rPr>
          <w:rFonts w:asciiTheme="majorBidi" w:hAnsiTheme="majorBidi" w:cstheme="majorBidi"/>
          <w:sz w:val="24"/>
          <w:szCs w:val="24"/>
          <w:lang w:val="en-GB"/>
        </w:rPr>
        <w:t>Challenges in exporting to turkey</w:t>
      </w:r>
    </w:p>
    <w:p w14:paraId="26979420" w14:textId="13B247EF" w:rsidR="00DC2EB3" w:rsidRPr="003A19AC" w:rsidRDefault="00DC2EB3" w:rsidP="00413B73">
      <w:pPr>
        <w:pStyle w:val="Paragraphedeliste1"/>
        <w:numPr>
          <w:ilvl w:val="0"/>
          <w:numId w:val="95"/>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Conclusion</w:t>
      </w:r>
    </w:p>
    <w:p w14:paraId="201A69D7" w14:textId="77777777"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p>
    <w:p w14:paraId="305B2B42" w14:textId="67A519DF"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Chapter 3:</w:t>
      </w:r>
      <w:r w:rsidR="001548C7">
        <w:rPr>
          <w:rFonts w:ascii="Times New Roman" w:hAnsi="Times New Roman" w:cs="Times New Roman"/>
          <w:b/>
          <w:bCs/>
          <w:lang w:val="en-GB"/>
        </w:rPr>
        <w:t xml:space="preserve"> Market research (Empirical  study)</w:t>
      </w:r>
    </w:p>
    <w:p w14:paraId="349747C3" w14:textId="0ADA9383" w:rsidR="00DC2EB3" w:rsidRPr="003A19AC" w:rsidRDefault="00DC2EB3" w:rsidP="00413B73">
      <w:pPr>
        <w:pStyle w:val="Paragraphedeliste1"/>
        <w:numPr>
          <w:ilvl w:val="0"/>
          <w:numId w:val="96"/>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Introduction</w:t>
      </w:r>
    </w:p>
    <w:p w14:paraId="2AA8D3F1" w14:textId="77777777" w:rsidR="00DC2EB3" w:rsidRPr="003A19AC" w:rsidRDefault="00DC2EB3" w:rsidP="00413B73">
      <w:pPr>
        <w:pStyle w:val="Paragraphedeliste1"/>
        <w:numPr>
          <w:ilvl w:val="0"/>
          <w:numId w:val="96"/>
        </w:numPr>
        <w:spacing w:before="240" w:beforeAutospacing="0" w:after="240" w:afterAutospacing="0" w:line="360" w:lineRule="auto"/>
        <w:jc w:val="both"/>
        <w:rPr>
          <w:rFonts w:asciiTheme="majorBidi" w:hAnsiTheme="majorBidi" w:cstheme="majorBidi"/>
          <w:b/>
          <w:bCs/>
          <w:lang w:val="en-GB"/>
        </w:rPr>
      </w:pPr>
      <w:r w:rsidRPr="003A19AC">
        <w:rPr>
          <w:rFonts w:asciiTheme="majorBidi" w:hAnsiTheme="majorBidi" w:cstheme="majorBidi"/>
          <w:b/>
          <w:bCs/>
          <w:lang w:val="en-GB"/>
        </w:rPr>
        <w:t xml:space="preserve">Section 1: </w:t>
      </w:r>
      <w:r w:rsidRPr="003A19AC">
        <w:rPr>
          <w:rFonts w:asciiTheme="majorBidi" w:hAnsiTheme="majorBidi" w:cstheme="majorBidi"/>
          <w:lang w:val="en-GB"/>
        </w:rPr>
        <w:t>General Presentation of the Host Organization and Methodological Approach</w:t>
      </w:r>
    </w:p>
    <w:p w14:paraId="29D77EB2" w14:textId="77777777" w:rsidR="00DC2EB3" w:rsidRPr="003A19AC" w:rsidRDefault="00DC2EB3" w:rsidP="00413B73">
      <w:pPr>
        <w:pStyle w:val="Paragraphedeliste1"/>
        <w:numPr>
          <w:ilvl w:val="0"/>
          <w:numId w:val="96"/>
        </w:numPr>
        <w:spacing w:before="240" w:beforeAutospacing="0" w:after="240" w:afterAutospacing="0" w:line="360" w:lineRule="auto"/>
        <w:jc w:val="both"/>
        <w:rPr>
          <w:rFonts w:asciiTheme="majorBidi" w:hAnsiTheme="majorBidi" w:cstheme="majorBidi"/>
          <w:b/>
          <w:bCs/>
          <w:lang w:val="en-GB"/>
        </w:rPr>
      </w:pPr>
      <w:r w:rsidRPr="003A19AC">
        <w:rPr>
          <w:rFonts w:asciiTheme="majorBidi" w:hAnsiTheme="majorBidi" w:cstheme="majorBidi"/>
          <w:b/>
          <w:bCs/>
          <w:lang w:val="en-GB"/>
        </w:rPr>
        <w:t>Section 2:</w:t>
      </w:r>
      <w:r w:rsidRPr="003A19AC">
        <w:rPr>
          <w:rFonts w:asciiTheme="majorBidi" w:hAnsiTheme="majorBidi" w:cstheme="majorBidi"/>
          <w:lang w:val="en-GB"/>
        </w:rPr>
        <w:t xml:space="preserve"> Market research</w:t>
      </w:r>
    </w:p>
    <w:p w14:paraId="4B244AB4" w14:textId="77777777" w:rsidR="00DC2EB3" w:rsidRPr="003A19AC" w:rsidRDefault="00DC2EB3" w:rsidP="00413B73">
      <w:pPr>
        <w:pStyle w:val="Paragraphedeliste1"/>
        <w:numPr>
          <w:ilvl w:val="0"/>
          <w:numId w:val="96"/>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Section 3:</w:t>
      </w:r>
      <w:r w:rsidRPr="003A19AC">
        <w:rPr>
          <w:lang w:val="en-GB"/>
        </w:rPr>
        <w:t xml:space="preserve"> </w:t>
      </w:r>
      <w:r w:rsidRPr="003A19AC">
        <w:rPr>
          <w:rFonts w:asciiTheme="majorBidi" w:hAnsiTheme="majorBidi" w:cstheme="majorBidi"/>
          <w:lang w:val="en-GB"/>
        </w:rPr>
        <w:t>Analysis and Interpretation of Results</w:t>
      </w:r>
    </w:p>
    <w:p w14:paraId="4A52C5A3" w14:textId="7E59BF49" w:rsidR="00DC2EB3" w:rsidRPr="003A19AC" w:rsidRDefault="00DC2EB3" w:rsidP="00413B73">
      <w:pPr>
        <w:pStyle w:val="Paragraphedeliste1"/>
        <w:numPr>
          <w:ilvl w:val="0"/>
          <w:numId w:val="96"/>
        </w:numPr>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Conclusion</w:t>
      </w:r>
    </w:p>
    <w:p w14:paraId="6474EDC8" w14:textId="77777777"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p>
    <w:p w14:paraId="74D2FD40" w14:textId="540C4449"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General Conclusion</w:t>
      </w:r>
    </w:p>
    <w:p w14:paraId="5D4A7A28" w14:textId="75A48C98" w:rsidR="00DC2EB3" w:rsidRPr="003A19AC" w:rsidRDefault="00DC2EB3" w:rsidP="003E42D2">
      <w:pPr>
        <w:pStyle w:val="Paragraphedeliste1"/>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Bibliography</w:t>
      </w:r>
    </w:p>
    <w:p w14:paraId="7D9B680D" w14:textId="77777777" w:rsidR="003A19AC" w:rsidRDefault="00DC2EB3" w:rsidP="003A19AC">
      <w:pPr>
        <w:pStyle w:val="Paragraphedeliste1"/>
        <w:spacing w:before="240" w:beforeAutospacing="0" w:after="240" w:afterAutospacing="0" w:line="360" w:lineRule="auto"/>
        <w:jc w:val="both"/>
        <w:rPr>
          <w:rFonts w:ascii="Times New Roman" w:hAnsi="Times New Roman" w:cs="Times New Roman"/>
          <w:b/>
          <w:bCs/>
          <w:lang w:val="en-GB"/>
        </w:rPr>
      </w:pPr>
      <w:r w:rsidRPr="003A19AC">
        <w:rPr>
          <w:rFonts w:ascii="Times New Roman" w:hAnsi="Times New Roman" w:cs="Times New Roman"/>
          <w:b/>
          <w:bCs/>
          <w:lang w:val="en-GB"/>
        </w:rPr>
        <w:t>Appendix</w:t>
      </w:r>
    </w:p>
    <w:p w14:paraId="36F9FB7C" w14:textId="7E5DE5C4" w:rsidR="00D25CAB" w:rsidRPr="003A19AC" w:rsidRDefault="009B1217" w:rsidP="009B1217">
      <w:pPr>
        <w:pStyle w:val="Paragraphedeliste1"/>
        <w:spacing w:before="240" w:beforeAutospacing="0" w:after="240" w:afterAutospacing="0" w:line="360" w:lineRule="auto"/>
        <w:jc w:val="both"/>
        <w:rPr>
          <w:rStyle w:val="fadeinm1hgl8"/>
          <w:rFonts w:ascii="Times New Roman" w:hAnsi="Times New Roman" w:cs="Times New Roman"/>
          <w:b/>
          <w:bCs/>
          <w:lang w:val="en-GB"/>
        </w:rPr>
      </w:pPr>
      <w:r>
        <w:rPr>
          <w:rFonts w:ascii="Times New Roman" w:hAnsi="Times New Roman" w:cs="Times New Roman"/>
          <w:b/>
          <w:bCs/>
          <w:lang w:val="en-GB"/>
        </w:rPr>
        <w:t>Abstract</w:t>
      </w:r>
      <w:r w:rsidR="003A19AC">
        <w:rPr>
          <w:rFonts w:ascii="Times New Roman" w:hAnsi="Times New Roman" w:cs="Times New Roman"/>
          <w:b/>
          <w:bCs/>
          <w:lang w:val="en-GB"/>
        </w:rPr>
        <w:br w:type="page"/>
      </w:r>
    </w:p>
    <w:p w14:paraId="3DA2C007" w14:textId="5AB9A451" w:rsidR="00D25CAB" w:rsidRDefault="00D25CAB" w:rsidP="00851483">
      <w:pPr>
        <w:jc w:val="center"/>
        <w:rPr>
          <w:rFonts w:asciiTheme="majorBidi" w:hAnsiTheme="majorBidi" w:cstheme="majorBidi"/>
          <w:b/>
          <w:bCs/>
          <w:sz w:val="36"/>
          <w:szCs w:val="36"/>
          <w:lang w:val="en-GB"/>
        </w:rPr>
      </w:pPr>
      <w:r w:rsidRPr="00610931">
        <w:rPr>
          <w:rFonts w:asciiTheme="majorBidi" w:hAnsiTheme="majorBidi" w:cstheme="majorBidi"/>
          <w:b/>
          <w:bCs/>
          <w:sz w:val="36"/>
          <w:szCs w:val="36"/>
          <w:lang w:val="en-GB"/>
        </w:rPr>
        <w:t>List of table</w:t>
      </w:r>
      <w:r w:rsidR="00A42018">
        <w:rPr>
          <w:rFonts w:asciiTheme="majorBidi" w:hAnsiTheme="majorBidi" w:cstheme="majorBidi"/>
          <w:b/>
          <w:bCs/>
          <w:sz w:val="36"/>
          <w:szCs w:val="36"/>
          <w:lang w:val="en-GB"/>
        </w:rPr>
        <w:t>s</w:t>
      </w:r>
    </w:p>
    <w:tbl>
      <w:tblPr>
        <w:tblStyle w:val="TableGrid"/>
        <w:tblW w:w="11304" w:type="dxa"/>
        <w:tblInd w:w="-1139" w:type="dxa"/>
        <w:tblLook w:val="04A0" w:firstRow="1" w:lastRow="0" w:firstColumn="1" w:lastColumn="0" w:noHBand="0" w:noVBand="1"/>
      </w:tblPr>
      <w:tblGrid>
        <w:gridCol w:w="2028"/>
        <w:gridCol w:w="8117"/>
        <w:gridCol w:w="1159"/>
      </w:tblGrid>
      <w:tr w:rsidR="00D25CAB" w14:paraId="39B186E3" w14:textId="77777777" w:rsidTr="006B022D">
        <w:trPr>
          <w:trHeight w:val="460"/>
        </w:trPr>
        <w:tc>
          <w:tcPr>
            <w:tcW w:w="2028" w:type="dxa"/>
            <w:vAlign w:val="center"/>
          </w:tcPr>
          <w:p w14:paraId="27AD8FD5" w14:textId="77777777" w:rsidR="00D25CAB" w:rsidRPr="00610931" w:rsidRDefault="00D25CAB" w:rsidP="006B022D">
            <w:pPr>
              <w:jc w:val="center"/>
              <w:rPr>
                <w:rFonts w:asciiTheme="majorBidi" w:hAnsiTheme="majorBidi" w:cstheme="majorBidi"/>
                <w:b/>
                <w:bCs/>
                <w:sz w:val="24"/>
                <w:szCs w:val="24"/>
                <w:lang w:val="en-GB"/>
              </w:rPr>
            </w:pPr>
            <w:r w:rsidRPr="00610931">
              <w:rPr>
                <w:rFonts w:asciiTheme="majorBidi" w:hAnsiTheme="majorBidi" w:cstheme="majorBidi"/>
                <w:b/>
                <w:bCs/>
                <w:sz w:val="24"/>
                <w:szCs w:val="24"/>
                <w:lang w:val="en-GB"/>
              </w:rPr>
              <w:t>Number of the</w:t>
            </w:r>
          </w:p>
          <w:p w14:paraId="4873AD34" w14:textId="77777777" w:rsidR="00D25CAB" w:rsidRDefault="00D25CAB" w:rsidP="006B022D">
            <w:pPr>
              <w:jc w:val="center"/>
              <w:rPr>
                <w:rFonts w:asciiTheme="majorBidi" w:hAnsiTheme="majorBidi" w:cstheme="majorBidi"/>
                <w:b/>
                <w:bCs/>
                <w:sz w:val="24"/>
                <w:szCs w:val="24"/>
                <w:lang w:val="en-GB"/>
              </w:rPr>
            </w:pPr>
            <w:r w:rsidRPr="00610931">
              <w:rPr>
                <w:rFonts w:asciiTheme="majorBidi" w:hAnsiTheme="majorBidi" w:cstheme="majorBidi"/>
                <w:b/>
                <w:bCs/>
                <w:sz w:val="24"/>
                <w:szCs w:val="24"/>
                <w:lang w:val="en-GB"/>
              </w:rPr>
              <w:t>table</w:t>
            </w:r>
          </w:p>
        </w:tc>
        <w:tc>
          <w:tcPr>
            <w:tcW w:w="8117" w:type="dxa"/>
            <w:tcBorders>
              <w:bottom w:val="single" w:sz="4" w:space="0" w:color="auto"/>
            </w:tcBorders>
            <w:vAlign w:val="center"/>
          </w:tcPr>
          <w:p w14:paraId="18C88107" w14:textId="77777777" w:rsidR="00D25CAB" w:rsidRDefault="00D25CAB" w:rsidP="006B022D">
            <w:pPr>
              <w:jc w:val="center"/>
              <w:rPr>
                <w:rFonts w:asciiTheme="majorBidi" w:hAnsiTheme="majorBidi" w:cstheme="majorBidi"/>
                <w:b/>
                <w:bCs/>
                <w:sz w:val="24"/>
                <w:szCs w:val="24"/>
                <w:lang w:val="en-GB"/>
              </w:rPr>
            </w:pPr>
            <w:r w:rsidRPr="00610931">
              <w:rPr>
                <w:rFonts w:asciiTheme="majorBidi" w:hAnsiTheme="majorBidi" w:cstheme="majorBidi"/>
                <w:b/>
                <w:bCs/>
                <w:sz w:val="24"/>
                <w:szCs w:val="24"/>
                <w:lang w:val="en-GB"/>
              </w:rPr>
              <w:t>Table title</w:t>
            </w:r>
          </w:p>
        </w:tc>
        <w:tc>
          <w:tcPr>
            <w:tcW w:w="1159" w:type="dxa"/>
            <w:vAlign w:val="center"/>
          </w:tcPr>
          <w:p w14:paraId="5F0ABAEA" w14:textId="77777777" w:rsidR="00D25CAB" w:rsidRDefault="00D25CAB"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page</w:t>
            </w:r>
          </w:p>
        </w:tc>
      </w:tr>
      <w:tr w:rsidR="00D25CAB" w14:paraId="7B47464D" w14:textId="77777777" w:rsidTr="006B022D">
        <w:trPr>
          <w:trHeight w:val="403"/>
        </w:trPr>
        <w:tc>
          <w:tcPr>
            <w:tcW w:w="2028" w:type="dxa"/>
            <w:tcBorders>
              <w:right w:val="nil"/>
            </w:tcBorders>
            <w:vAlign w:val="center"/>
          </w:tcPr>
          <w:p w14:paraId="6A90912C" w14:textId="61A6C521" w:rsidR="00D25CAB" w:rsidRPr="005763F3" w:rsidRDefault="00D25CAB" w:rsidP="006B022D">
            <w:pPr>
              <w:jc w:val="center"/>
              <w:rPr>
                <w:rFonts w:asciiTheme="majorBidi" w:hAnsiTheme="majorBidi" w:cstheme="majorBidi"/>
                <w:sz w:val="24"/>
                <w:szCs w:val="24"/>
                <w:lang w:val="en-GB"/>
              </w:rPr>
            </w:pPr>
          </w:p>
        </w:tc>
        <w:tc>
          <w:tcPr>
            <w:tcW w:w="8117" w:type="dxa"/>
            <w:tcBorders>
              <w:left w:val="nil"/>
              <w:right w:val="nil"/>
            </w:tcBorders>
            <w:vAlign w:val="center"/>
          </w:tcPr>
          <w:p w14:paraId="471E359A" w14:textId="64CF3DB8" w:rsidR="00D25CAB" w:rsidRPr="005763F3" w:rsidRDefault="005763F3" w:rsidP="006B022D">
            <w:pPr>
              <w:spacing w:before="100" w:beforeAutospacing="1" w:after="100" w:afterAutospacing="1"/>
              <w:jc w:val="center"/>
              <w:rPr>
                <w:rFonts w:asciiTheme="majorBidi" w:eastAsia="Times New Roman" w:hAnsiTheme="majorBidi" w:cstheme="majorBidi"/>
                <w:b/>
                <w:bCs/>
                <w:sz w:val="24"/>
                <w:szCs w:val="24"/>
                <w:lang w:val="en-GB"/>
              </w:rPr>
            </w:pPr>
            <w:r w:rsidRPr="005763F3">
              <w:rPr>
                <w:rFonts w:asciiTheme="majorBidi" w:hAnsiTheme="majorBidi" w:cstheme="majorBidi"/>
                <w:b/>
                <w:bCs/>
                <w:sz w:val="24"/>
                <w:szCs w:val="24"/>
                <w:lang w:val="en-GB"/>
              </w:rPr>
              <w:t>Chapter 1</w:t>
            </w:r>
          </w:p>
        </w:tc>
        <w:tc>
          <w:tcPr>
            <w:tcW w:w="1159" w:type="dxa"/>
            <w:tcBorders>
              <w:left w:val="nil"/>
            </w:tcBorders>
            <w:vAlign w:val="center"/>
          </w:tcPr>
          <w:p w14:paraId="6CFB2F02" w14:textId="77777777" w:rsidR="00D25CAB" w:rsidRDefault="00D25CAB" w:rsidP="006B022D">
            <w:pPr>
              <w:jc w:val="center"/>
              <w:rPr>
                <w:rFonts w:asciiTheme="majorBidi" w:hAnsiTheme="majorBidi" w:cstheme="majorBidi"/>
                <w:b/>
                <w:bCs/>
                <w:sz w:val="24"/>
                <w:szCs w:val="24"/>
                <w:lang w:val="en-GB"/>
              </w:rPr>
            </w:pPr>
          </w:p>
        </w:tc>
      </w:tr>
      <w:tr w:rsidR="00D25CAB" w:rsidRPr="00740E8D" w14:paraId="4A3CBBCD" w14:textId="77777777" w:rsidTr="006B022D">
        <w:trPr>
          <w:trHeight w:val="546"/>
        </w:trPr>
        <w:tc>
          <w:tcPr>
            <w:tcW w:w="2028" w:type="dxa"/>
            <w:vAlign w:val="center"/>
          </w:tcPr>
          <w:p w14:paraId="7860EB6F" w14:textId="5D5A6957" w:rsidR="00D25CAB" w:rsidRPr="005763F3" w:rsidRDefault="005763F3" w:rsidP="006B022D">
            <w:pPr>
              <w:jc w:val="center"/>
              <w:rPr>
                <w:rFonts w:asciiTheme="majorBidi" w:hAnsiTheme="majorBidi" w:cstheme="majorBidi"/>
                <w:sz w:val="24"/>
                <w:szCs w:val="24"/>
                <w:lang w:val="en-GB"/>
              </w:rPr>
            </w:pPr>
            <w:r>
              <w:rPr>
                <w:rFonts w:asciiTheme="majorBidi" w:hAnsiTheme="majorBidi" w:cstheme="majorBidi"/>
                <w:sz w:val="24"/>
                <w:szCs w:val="24"/>
                <w:lang w:val="en-GB"/>
              </w:rPr>
              <w:t>1</w:t>
            </w:r>
          </w:p>
        </w:tc>
        <w:tc>
          <w:tcPr>
            <w:tcW w:w="8117" w:type="dxa"/>
            <w:tcBorders>
              <w:bottom w:val="single" w:sz="4" w:space="0" w:color="auto"/>
            </w:tcBorders>
            <w:vAlign w:val="center"/>
          </w:tcPr>
          <w:p w14:paraId="3934FE15" w14:textId="657B22F4" w:rsidR="00D25CAB" w:rsidRPr="005763F3" w:rsidRDefault="005763F3" w:rsidP="006B022D">
            <w:pPr>
              <w:spacing w:line="360" w:lineRule="auto"/>
              <w:jc w:val="center"/>
              <w:rPr>
                <w:rStyle w:val="Strong"/>
                <w:rFonts w:asciiTheme="majorBidi" w:hAnsiTheme="majorBidi" w:cstheme="majorBidi"/>
                <w:sz w:val="24"/>
                <w:szCs w:val="24"/>
                <w:lang w:val="en-GB"/>
              </w:rPr>
            </w:pPr>
            <w:r w:rsidRPr="005763F3">
              <w:rPr>
                <w:rFonts w:asciiTheme="majorBidi" w:hAnsiTheme="majorBidi" w:cstheme="majorBidi"/>
                <w:sz w:val="24"/>
                <w:szCs w:val="24"/>
                <w:lang w:val="en-GB"/>
              </w:rPr>
              <w:t>Boycotts by States, Companies, and Consumers</w:t>
            </w:r>
          </w:p>
          <w:p w14:paraId="41042FBD" w14:textId="77777777" w:rsidR="00D25CAB" w:rsidRPr="005763F3" w:rsidRDefault="00D25CAB" w:rsidP="006B022D">
            <w:pPr>
              <w:jc w:val="center"/>
              <w:rPr>
                <w:rFonts w:asciiTheme="majorBidi" w:hAnsiTheme="majorBidi" w:cstheme="majorBidi"/>
                <w:sz w:val="24"/>
                <w:szCs w:val="24"/>
                <w:lang w:val="en-GB"/>
              </w:rPr>
            </w:pPr>
          </w:p>
        </w:tc>
        <w:tc>
          <w:tcPr>
            <w:tcW w:w="1159" w:type="dxa"/>
            <w:vAlign w:val="center"/>
          </w:tcPr>
          <w:p w14:paraId="58A843C5" w14:textId="132F8206" w:rsidR="00D25CAB" w:rsidRPr="006B022D" w:rsidRDefault="006B022D" w:rsidP="006B022D">
            <w:pPr>
              <w:jc w:val="center"/>
              <w:rPr>
                <w:rFonts w:asciiTheme="majorBidi" w:hAnsiTheme="majorBidi" w:cstheme="majorBidi"/>
                <w:b/>
                <w:bCs/>
                <w:sz w:val="24"/>
                <w:szCs w:val="24"/>
                <w:lang w:val="en-GB"/>
              </w:rPr>
            </w:pPr>
            <w:r w:rsidRPr="006B022D">
              <w:rPr>
                <w:rFonts w:asciiTheme="majorBidi" w:hAnsiTheme="majorBidi" w:cstheme="majorBidi"/>
                <w:b/>
                <w:bCs/>
                <w:sz w:val="24"/>
                <w:szCs w:val="24"/>
                <w:lang w:val="en-GB"/>
              </w:rPr>
              <w:t>2</w:t>
            </w:r>
            <w:r w:rsidRPr="006B022D">
              <w:rPr>
                <w:b/>
                <w:bCs/>
                <w:sz w:val="24"/>
                <w:szCs w:val="24"/>
                <w:lang w:val="en-GB"/>
              </w:rPr>
              <w:t>0</w:t>
            </w:r>
          </w:p>
        </w:tc>
      </w:tr>
      <w:tr w:rsidR="00D25CAB" w14:paraId="4785A42C" w14:textId="77777777" w:rsidTr="006B022D">
        <w:trPr>
          <w:trHeight w:val="415"/>
        </w:trPr>
        <w:tc>
          <w:tcPr>
            <w:tcW w:w="2028" w:type="dxa"/>
            <w:tcBorders>
              <w:right w:val="nil"/>
            </w:tcBorders>
            <w:vAlign w:val="center"/>
          </w:tcPr>
          <w:p w14:paraId="16FD7C25" w14:textId="708805E5" w:rsidR="00D25CAB" w:rsidRPr="005763F3" w:rsidRDefault="00D25CAB" w:rsidP="006B022D">
            <w:pPr>
              <w:jc w:val="center"/>
              <w:rPr>
                <w:rFonts w:asciiTheme="majorBidi" w:hAnsiTheme="majorBidi" w:cstheme="majorBidi"/>
                <w:sz w:val="24"/>
                <w:szCs w:val="24"/>
                <w:lang w:val="en-GB"/>
              </w:rPr>
            </w:pPr>
          </w:p>
        </w:tc>
        <w:tc>
          <w:tcPr>
            <w:tcW w:w="8117" w:type="dxa"/>
            <w:tcBorders>
              <w:left w:val="nil"/>
              <w:right w:val="nil"/>
            </w:tcBorders>
            <w:vAlign w:val="center"/>
          </w:tcPr>
          <w:p w14:paraId="159054A9" w14:textId="249DD53A" w:rsidR="00D25CAB" w:rsidRPr="005763F3" w:rsidRDefault="005763F3" w:rsidP="006B022D">
            <w:pPr>
              <w:jc w:val="center"/>
              <w:rPr>
                <w:rFonts w:asciiTheme="majorBidi" w:hAnsiTheme="majorBidi" w:cstheme="majorBidi"/>
                <w:b/>
                <w:bCs/>
                <w:sz w:val="24"/>
                <w:szCs w:val="24"/>
                <w:lang w:val="en-GB"/>
              </w:rPr>
            </w:pPr>
            <w:r w:rsidRPr="005763F3">
              <w:rPr>
                <w:rFonts w:asciiTheme="majorBidi" w:hAnsiTheme="majorBidi" w:cstheme="majorBidi"/>
                <w:b/>
                <w:bCs/>
                <w:sz w:val="24"/>
                <w:szCs w:val="24"/>
                <w:lang w:val="en-GB"/>
              </w:rPr>
              <w:t>Chapter 2</w:t>
            </w:r>
          </w:p>
        </w:tc>
        <w:tc>
          <w:tcPr>
            <w:tcW w:w="1159" w:type="dxa"/>
            <w:tcBorders>
              <w:left w:val="nil"/>
            </w:tcBorders>
            <w:vAlign w:val="center"/>
          </w:tcPr>
          <w:p w14:paraId="5D0C9A3B" w14:textId="77777777" w:rsidR="00D25CAB" w:rsidRPr="006B022D" w:rsidRDefault="00D25CAB" w:rsidP="006B022D">
            <w:pPr>
              <w:jc w:val="center"/>
              <w:rPr>
                <w:rFonts w:asciiTheme="majorBidi" w:hAnsiTheme="majorBidi" w:cstheme="majorBidi"/>
                <w:b/>
                <w:bCs/>
                <w:sz w:val="24"/>
                <w:szCs w:val="24"/>
                <w:lang w:val="en-GB"/>
              </w:rPr>
            </w:pPr>
          </w:p>
        </w:tc>
      </w:tr>
      <w:tr w:rsidR="005763F3" w:rsidRPr="00740E8D" w14:paraId="346CBD26" w14:textId="77777777" w:rsidTr="006B022D">
        <w:trPr>
          <w:trHeight w:val="548"/>
        </w:trPr>
        <w:tc>
          <w:tcPr>
            <w:tcW w:w="2028" w:type="dxa"/>
            <w:vAlign w:val="center"/>
          </w:tcPr>
          <w:p w14:paraId="6CF8048C" w14:textId="0093481A" w:rsidR="005763F3" w:rsidRPr="005763F3" w:rsidRDefault="005763F3" w:rsidP="006B022D">
            <w:pPr>
              <w:jc w:val="center"/>
              <w:rPr>
                <w:rFonts w:asciiTheme="majorBidi" w:hAnsiTheme="majorBidi" w:cstheme="majorBidi"/>
                <w:sz w:val="24"/>
                <w:szCs w:val="24"/>
                <w:lang w:val="en-GB"/>
              </w:rPr>
            </w:pPr>
            <w:r>
              <w:rPr>
                <w:rFonts w:asciiTheme="majorBidi" w:hAnsiTheme="majorBidi" w:cstheme="majorBidi"/>
                <w:sz w:val="24"/>
                <w:szCs w:val="24"/>
                <w:lang w:val="en-GB"/>
              </w:rPr>
              <w:t>2</w:t>
            </w:r>
          </w:p>
        </w:tc>
        <w:tc>
          <w:tcPr>
            <w:tcW w:w="8117" w:type="dxa"/>
            <w:vAlign w:val="center"/>
          </w:tcPr>
          <w:p w14:paraId="01D36387" w14:textId="463C7F86" w:rsidR="005763F3" w:rsidRPr="00851483" w:rsidRDefault="005763F3" w:rsidP="006B022D">
            <w:pPr>
              <w:spacing w:line="360" w:lineRule="auto"/>
              <w:jc w:val="center"/>
              <w:rPr>
                <w:rFonts w:asciiTheme="majorBidi" w:hAnsiTheme="majorBidi" w:cstheme="majorBidi"/>
                <w:b/>
                <w:bCs/>
                <w:sz w:val="24"/>
                <w:szCs w:val="24"/>
                <w:lang w:val="en-GB"/>
              </w:rPr>
            </w:pPr>
            <w:r w:rsidRPr="005763F3">
              <w:rPr>
                <w:rStyle w:val="fadeinm1hgl8"/>
                <w:rFonts w:asciiTheme="majorBidi" w:hAnsiTheme="majorBidi" w:cstheme="majorBidi"/>
                <w:sz w:val="24"/>
                <w:szCs w:val="24"/>
                <w:lang w:val="en-GB"/>
              </w:rPr>
              <w:t>Comparison Between Local and International Brands in the Turkish Market</w:t>
            </w:r>
          </w:p>
        </w:tc>
        <w:tc>
          <w:tcPr>
            <w:tcW w:w="1159" w:type="dxa"/>
            <w:vAlign w:val="center"/>
          </w:tcPr>
          <w:p w14:paraId="259DDE7A" w14:textId="14980B44" w:rsidR="005763F3" w:rsidRPr="006B022D" w:rsidRDefault="006B022D" w:rsidP="006B022D">
            <w:pPr>
              <w:jc w:val="center"/>
              <w:rPr>
                <w:rFonts w:asciiTheme="majorBidi" w:hAnsiTheme="majorBidi" w:cstheme="majorBidi"/>
                <w:b/>
                <w:bCs/>
                <w:sz w:val="24"/>
                <w:szCs w:val="24"/>
                <w:lang w:val="en-GB"/>
              </w:rPr>
            </w:pPr>
            <w:r w:rsidRPr="006B022D">
              <w:rPr>
                <w:rFonts w:asciiTheme="majorBidi" w:hAnsiTheme="majorBidi" w:cstheme="majorBidi"/>
                <w:b/>
                <w:bCs/>
                <w:sz w:val="24"/>
                <w:szCs w:val="24"/>
                <w:lang w:val="en-GB"/>
              </w:rPr>
              <w:t>7</w:t>
            </w:r>
            <w:r w:rsidRPr="006B022D">
              <w:rPr>
                <w:b/>
                <w:bCs/>
                <w:sz w:val="24"/>
                <w:szCs w:val="24"/>
                <w:lang w:val="en-GB"/>
              </w:rPr>
              <w:t>4</w:t>
            </w:r>
          </w:p>
        </w:tc>
      </w:tr>
      <w:tr w:rsidR="005763F3" w:rsidRPr="00740E8D" w14:paraId="4974BA2D" w14:textId="77777777" w:rsidTr="006B022D">
        <w:trPr>
          <w:trHeight w:val="523"/>
        </w:trPr>
        <w:tc>
          <w:tcPr>
            <w:tcW w:w="2028" w:type="dxa"/>
            <w:vAlign w:val="center"/>
          </w:tcPr>
          <w:p w14:paraId="4AA12894" w14:textId="50AC7739" w:rsidR="005763F3" w:rsidRPr="005763F3" w:rsidRDefault="005763F3" w:rsidP="006B022D">
            <w:pPr>
              <w:jc w:val="center"/>
              <w:rPr>
                <w:rFonts w:asciiTheme="majorBidi" w:hAnsiTheme="majorBidi" w:cstheme="majorBidi"/>
                <w:sz w:val="24"/>
                <w:szCs w:val="24"/>
                <w:lang w:val="en-GB"/>
              </w:rPr>
            </w:pPr>
            <w:r>
              <w:rPr>
                <w:rFonts w:asciiTheme="majorBidi" w:hAnsiTheme="majorBidi" w:cstheme="majorBidi"/>
                <w:sz w:val="24"/>
                <w:szCs w:val="24"/>
                <w:lang w:val="en-GB"/>
              </w:rPr>
              <w:t>3</w:t>
            </w:r>
          </w:p>
        </w:tc>
        <w:tc>
          <w:tcPr>
            <w:tcW w:w="8117" w:type="dxa"/>
            <w:tcBorders>
              <w:bottom w:val="single" w:sz="4" w:space="0" w:color="auto"/>
            </w:tcBorders>
            <w:vAlign w:val="center"/>
          </w:tcPr>
          <w:p w14:paraId="239EA470" w14:textId="02270DB5" w:rsidR="005763F3" w:rsidRPr="005763F3" w:rsidRDefault="005763F3" w:rsidP="006B022D">
            <w:pPr>
              <w:jc w:val="center"/>
              <w:rPr>
                <w:rFonts w:asciiTheme="majorBidi" w:hAnsiTheme="majorBidi" w:cstheme="majorBidi"/>
                <w:sz w:val="24"/>
                <w:szCs w:val="24"/>
                <w:lang w:val="en-GB"/>
              </w:rPr>
            </w:pPr>
            <w:r w:rsidRPr="005763F3">
              <w:rPr>
                <w:rStyle w:val="fadeinm1hgl8"/>
                <w:rFonts w:asciiTheme="majorBidi" w:hAnsiTheme="majorBidi" w:cstheme="majorBidi"/>
                <w:sz w:val="24"/>
                <w:szCs w:val="24"/>
                <w:lang w:val="en-GB"/>
              </w:rPr>
              <w:t>Comparison of Export Payment Methods and Their Risk Levels</w:t>
            </w:r>
          </w:p>
        </w:tc>
        <w:tc>
          <w:tcPr>
            <w:tcW w:w="1159" w:type="dxa"/>
            <w:vAlign w:val="center"/>
          </w:tcPr>
          <w:p w14:paraId="18171B08" w14:textId="7C3A2529" w:rsidR="005763F3" w:rsidRPr="006B022D" w:rsidRDefault="006B022D" w:rsidP="006B022D">
            <w:pPr>
              <w:jc w:val="center"/>
              <w:rPr>
                <w:rFonts w:asciiTheme="majorBidi" w:hAnsiTheme="majorBidi" w:cstheme="majorBidi"/>
                <w:b/>
                <w:bCs/>
                <w:sz w:val="24"/>
                <w:szCs w:val="24"/>
                <w:lang w:val="en-GB"/>
              </w:rPr>
            </w:pPr>
            <w:r w:rsidRPr="006B022D">
              <w:rPr>
                <w:rFonts w:asciiTheme="majorBidi" w:hAnsiTheme="majorBidi" w:cstheme="majorBidi"/>
                <w:b/>
                <w:bCs/>
                <w:sz w:val="24"/>
                <w:szCs w:val="24"/>
                <w:lang w:val="en-GB"/>
              </w:rPr>
              <w:t>7</w:t>
            </w:r>
            <w:r w:rsidRPr="006B022D">
              <w:rPr>
                <w:b/>
                <w:bCs/>
                <w:sz w:val="24"/>
                <w:szCs w:val="24"/>
                <w:lang w:val="en-GB"/>
              </w:rPr>
              <w:t>7</w:t>
            </w:r>
          </w:p>
        </w:tc>
      </w:tr>
      <w:tr w:rsidR="005763F3" w14:paraId="430CA952" w14:textId="77777777" w:rsidTr="006B022D">
        <w:trPr>
          <w:trHeight w:val="509"/>
        </w:trPr>
        <w:tc>
          <w:tcPr>
            <w:tcW w:w="2028" w:type="dxa"/>
            <w:tcBorders>
              <w:right w:val="nil"/>
            </w:tcBorders>
            <w:vAlign w:val="center"/>
          </w:tcPr>
          <w:p w14:paraId="1E173A00" w14:textId="77777777" w:rsidR="005763F3" w:rsidRDefault="005763F3" w:rsidP="006B022D">
            <w:pPr>
              <w:jc w:val="center"/>
              <w:rPr>
                <w:rFonts w:asciiTheme="majorBidi" w:hAnsiTheme="majorBidi" w:cstheme="majorBidi"/>
                <w:b/>
                <w:bCs/>
                <w:sz w:val="24"/>
                <w:szCs w:val="24"/>
                <w:lang w:val="en-GB"/>
              </w:rPr>
            </w:pPr>
          </w:p>
        </w:tc>
        <w:tc>
          <w:tcPr>
            <w:tcW w:w="8117" w:type="dxa"/>
            <w:tcBorders>
              <w:left w:val="nil"/>
              <w:right w:val="nil"/>
            </w:tcBorders>
            <w:vAlign w:val="center"/>
          </w:tcPr>
          <w:p w14:paraId="7C18C9D1" w14:textId="1EE09317" w:rsidR="005763F3" w:rsidRDefault="004A38B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C</w:t>
            </w:r>
            <w:r>
              <w:rPr>
                <w:b/>
                <w:bCs/>
                <w:sz w:val="24"/>
                <w:szCs w:val="24"/>
                <w:lang w:val="en-GB"/>
              </w:rPr>
              <w:t>hapter 3</w:t>
            </w:r>
          </w:p>
        </w:tc>
        <w:tc>
          <w:tcPr>
            <w:tcW w:w="1159" w:type="dxa"/>
            <w:tcBorders>
              <w:left w:val="nil"/>
            </w:tcBorders>
            <w:vAlign w:val="center"/>
          </w:tcPr>
          <w:p w14:paraId="5E03637D" w14:textId="77777777" w:rsidR="005763F3" w:rsidRPr="006B022D" w:rsidRDefault="005763F3" w:rsidP="006B022D">
            <w:pPr>
              <w:jc w:val="center"/>
              <w:rPr>
                <w:rFonts w:asciiTheme="majorBidi" w:hAnsiTheme="majorBidi" w:cstheme="majorBidi"/>
                <w:b/>
                <w:bCs/>
                <w:sz w:val="24"/>
                <w:szCs w:val="24"/>
                <w:lang w:val="en-GB"/>
              </w:rPr>
            </w:pPr>
          </w:p>
        </w:tc>
      </w:tr>
      <w:tr w:rsidR="005763F3" w:rsidRPr="00740E8D" w14:paraId="1DC6FA1F" w14:textId="77777777" w:rsidTr="006B022D">
        <w:trPr>
          <w:trHeight w:val="505"/>
        </w:trPr>
        <w:tc>
          <w:tcPr>
            <w:tcW w:w="2028" w:type="dxa"/>
            <w:vAlign w:val="center"/>
          </w:tcPr>
          <w:p w14:paraId="57C892BE" w14:textId="479D7D6C" w:rsidR="005763F3" w:rsidRPr="00436E06" w:rsidRDefault="00642A09" w:rsidP="006B022D">
            <w:pPr>
              <w:jc w:val="center"/>
              <w:rPr>
                <w:rFonts w:asciiTheme="majorBidi" w:hAnsiTheme="majorBidi" w:cstheme="majorBidi"/>
                <w:sz w:val="24"/>
                <w:szCs w:val="24"/>
                <w:lang w:val="en-GB"/>
              </w:rPr>
            </w:pPr>
            <w:r w:rsidRPr="00436E06">
              <w:rPr>
                <w:rFonts w:asciiTheme="majorBidi" w:hAnsiTheme="majorBidi" w:cstheme="majorBidi"/>
                <w:sz w:val="24"/>
                <w:szCs w:val="24"/>
                <w:lang w:val="en-GB"/>
              </w:rPr>
              <w:t>4</w:t>
            </w:r>
          </w:p>
        </w:tc>
        <w:tc>
          <w:tcPr>
            <w:tcW w:w="8117" w:type="dxa"/>
            <w:vAlign w:val="center"/>
          </w:tcPr>
          <w:p w14:paraId="44B268B3" w14:textId="614CED1C" w:rsidR="005763F3" w:rsidRPr="00436E06" w:rsidRDefault="00436E06" w:rsidP="006B022D">
            <w:pPr>
              <w:jc w:val="center"/>
              <w:rPr>
                <w:rFonts w:asciiTheme="majorBidi" w:hAnsiTheme="majorBidi" w:cstheme="majorBidi"/>
                <w:sz w:val="24"/>
                <w:szCs w:val="24"/>
                <w:lang w:val="en-GB"/>
              </w:rPr>
            </w:pPr>
            <w:r w:rsidRPr="00436E06">
              <w:rPr>
                <w:rFonts w:eastAsia="Times New Roman"/>
                <w:sz w:val="24"/>
                <w:szCs w:val="24"/>
                <w:lang w:val="en-GB"/>
              </w:rPr>
              <w:t>Products Manufactured by the Unit</w:t>
            </w:r>
          </w:p>
        </w:tc>
        <w:tc>
          <w:tcPr>
            <w:tcW w:w="1159" w:type="dxa"/>
            <w:vAlign w:val="center"/>
          </w:tcPr>
          <w:p w14:paraId="0B678787" w14:textId="58110A8F" w:rsidR="005763F3" w:rsidRPr="006B022D" w:rsidRDefault="006B022D" w:rsidP="006B022D">
            <w:pPr>
              <w:jc w:val="center"/>
              <w:rPr>
                <w:rFonts w:asciiTheme="majorBidi" w:hAnsiTheme="majorBidi" w:cstheme="majorBidi"/>
                <w:b/>
                <w:bCs/>
                <w:sz w:val="24"/>
                <w:szCs w:val="24"/>
                <w:lang w:val="en-GB"/>
              </w:rPr>
            </w:pPr>
            <w:r w:rsidRPr="006B022D">
              <w:rPr>
                <w:rFonts w:asciiTheme="majorBidi" w:hAnsiTheme="majorBidi" w:cstheme="majorBidi"/>
                <w:b/>
                <w:bCs/>
                <w:sz w:val="24"/>
                <w:szCs w:val="24"/>
                <w:lang w:val="en-GB"/>
              </w:rPr>
              <w:t>8</w:t>
            </w:r>
            <w:r w:rsidRPr="006B022D">
              <w:rPr>
                <w:b/>
                <w:bCs/>
                <w:sz w:val="24"/>
                <w:szCs w:val="24"/>
                <w:lang w:val="en-GB"/>
              </w:rPr>
              <w:t>5</w:t>
            </w:r>
          </w:p>
        </w:tc>
      </w:tr>
      <w:tr w:rsidR="005763F3" w:rsidRPr="00740E8D" w14:paraId="1E54221B" w14:textId="77777777" w:rsidTr="006B022D">
        <w:trPr>
          <w:trHeight w:val="523"/>
        </w:trPr>
        <w:tc>
          <w:tcPr>
            <w:tcW w:w="2028" w:type="dxa"/>
            <w:vAlign w:val="center"/>
          </w:tcPr>
          <w:p w14:paraId="757633F3" w14:textId="7FE174B1"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w:t>
            </w:r>
          </w:p>
        </w:tc>
        <w:tc>
          <w:tcPr>
            <w:tcW w:w="8117" w:type="dxa"/>
            <w:vAlign w:val="center"/>
          </w:tcPr>
          <w:p w14:paraId="52B3F66D" w14:textId="629A3824" w:rsidR="005763F3" w:rsidRPr="00005BFB" w:rsidRDefault="00B37FBA" w:rsidP="006B022D">
            <w:pPr>
              <w:spacing w:line="360" w:lineRule="auto"/>
              <w:jc w:val="center"/>
              <w:rPr>
                <w:rFonts w:asciiTheme="majorBidi" w:hAnsiTheme="majorBidi" w:cstheme="majorBidi"/>
                <w:sz w:val="24"/>
                <w:szCs w:val="24"/>
                <w:lang w:val="en-US" w:bidi="ar-DZ"/>
              </w:rPr>
            </w:pPr>
            <w:r w:rsidRPr="00005BFB">
              <w:rPr>
                <w:rFonts w:asciiTheme="majorBidi" w:hAnsiTheme="majorBidi" w:cstheme="majorBidi"/>
                <w:sz w:val="24"/>
                <w:szCs w:val="24"/>
                <w:lang w:val="en-US" w:bidi="ar-DZ"/>
              </w:rPr>
              <w:t>Descriptive Statistics of Economic Variables (2014</w:t>
            </w:r>
            <w:r w:rsidRPr="00005BFB">
              <w:rPr>
                <w:rFonts w:asciiTheme="majorBidi" w:hAnsiTheme="majorBidi" w:cstheme="majorBidi" w:hint="cs"/>
                <w:sz w:val="24"/>
                <w:szCs w:val="24"/>
                <w:lang w:val="en-US" w:bidi="ar-DZ"/>
              </w:rPr>
              <w:t>–</w:t>
            </w:r>
            <w:r w:rsidRPr="00005BFB">
              <w:rPr>
                <w:rFonts w:asciiTheme="majorBidi" w:hAnsiTheme="majorBidi" w:cstheme="majorBidi"/>
                <w:sz w:val="24"/>
                <w:szCs w:val="24"/>
                <w:lang w:val="en-US" w:bidi="ar-DZ"/>
              </w:rPr>
              <w:t>2024)</w:t>
            </w:r>
          </w:p>
        </w:tc>
        <w:tc>
          <w:tcPr>
            <w:tcW w:w="1159" w:type="dxa"/>
            <w:vAlign w:val="center"/>
          </w:tcPr>
          <w:p w14:paraId="5D0184E5" w14:textId="406E07C6" w:rsidR="005763F3" w:rsidRPr="006B022D" w:rsidRDefault="006B022D" w:rsidP="006B022D">
            <w:pPr>
              <w:jc w:val="center"/>
              <w:rPr>
                <w:rFonts w:asciiTheme="majorBidi" w:hAnsiTheme="majorBidi" w:cstheme="majorBidi"/>
                <w:b/>
                <w:bCs/>
                <w:sz w:val="24"/>
                <w:szCs w:val="24"/>
                <w:lang w:val="en-GB"/>
              </w:rPr>
            </w:pPr>
            <w:r w:rsidRPr="006B022D">
              <w:rPr>
                <w:rFonts w:asciiTheme="majorBidi" w:hAnsiTheme="majorBidi" w:cstheme="majorBidi"/>
                <w:b/>
                <w:bCs/>
                <w:sz w:val="24"/>
                <w:szCs w:val="24"/>
                <w:lang w:val="en-GB"/>
              </w:rPr>
              <w:t>1</w:t>
            </w:r>
            <w:r w:rsidRPr="006B022D">
              <w:rPr>
                <w:b/>
                <w:bCs/>
                <w:sz w:val="24"/>
                <w:szCs w:val="24"/>
                <w:lang w:val="en-GB"/>
              </w:rPr>
              <w:t>02</w:t>
            </w:r>
          </w:p>
        </w:tc>
      </w:tr>
      <w:tr w:rsidR="005763F3" w:rsidRPr="00740E8D" w14:paraId="70405A5B" w14:textId="77777777" w:rsidTr="006B022D">
        <w:trPr>
          <w:trHeight w:val="415"/>
        </w:trPr>
        <w:tc>
          <w:tcPr>
            <w:tcW w:w="2028" w:type="dxa"/>
            <w:vAlign w:val="center"/>
          </w:tcPr>
          <w:p w14:paraId="1CAD2247" w14:textId="0746B00D"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w:t>
            </w:r>
          </w:p>
        </w:tc>
        <w:tc>
          <w:tcPr>
            <w:tcW w:w="8117" w:type="dxa"/>
            <w:vAlign w:val="center"/>
          </w:tcPr>
          <w:p w14:paraId="3908C7AC" w14:textId="28C95E99"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US" w:bidi="ar-DZ"/>
              </w:rPr>
              <w:t>Pearson Correlation Coefficients Between Economic Variables</w:t>
            </w:r>
          </w:p>
        </w:tc>
        <w:tc>
          <w:tcPr>
            <w:tcW w:w="1159" w:type="dxa"/>
            <w:vAlign w:val="center"/>
          </w:tcPr>
          <w:p w14:paraId="20E0EF12" w14:textId="262B84D3"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04</w:t>
            </w:r>
          </w:p>
        </w:tc>
      </w:tr>
      <w:tr w:rsidR="005763F3" w14:paraId="12131FEE" w14:textId="77777777" w:rsidTr="006B022D">
        <w:trPr>
          <w:trHeight w:val="401"/>
        </w:trPr>
        <w:tc>
          <w:tcPr>
            <w:tcW w:w="2028" w:type="dxa"/>
            <w:vAlign w:val="center"/>
          </w:tcPr>
          <w:p w14:paraId="6FD74693" w14:textId="3DDC9F0A"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7</w:t>
            </w:r>
          </w:p>
        </w:tc>
        <w:tc>
          <w:tcPr>
            <w:tcW w:w="8117" w:type="dxa"/>
            <w:vAlign w:val="center"/>
          </w:tcPr>
          <w:p w14:paraId="30BB5670" w14:textId="1FBF3631" w:rsidR="005763F3" w:rsidRPr="00005BFB" w:rsidRDefault="00B37FBA" w:rsidP="006B022D">
            <w:pPr>
              <w:jc w:val="center"/>
              <w:rPr>
                <w:rFonts w:asciiTheme="majorBidi" w:hAnsiTheme="majorBidi" w:cstheme="majorBidi"/>
                <w:sz w:val="24"/>
                <w:szCs w:val="24"/>
                <w:lang w:val="en-GB"/>
              </w:rPr>
            </w:pPr>
            <w:r w:rsidRPr="00005BFB">
              <w:rPr>
                <w:rFonts w:asciiTheme="majorBidi" w:eastAsia="Times New Roman" w:hAnsiTheme="majorBidi" w:cstheme="majorBidi"/>
                <w:sz w:val="24"/>
                <w:szCs w:val="24"/>
              </w:rPr>
              <w:t>Model Summar</w:t>
            </w:r>
          </w:p>
        </w:tc>
        <w:tc>
          <w:tcPr>
            <w:tcW w:w="1159" w:type="dxa"/>
            <w:vAlign w:val="center"/>
          </w:tcPr>
          <w:p w14:paraId="1DEFC2DB" w14:textId="6D5D56FF"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07</w:t>
            </w:r>
          </w:p>
        </w:tc>
      </w:tr>
      <w:tr w:rsidR="005763F3" w14:paraId="21E48E0A" w14:textId="77777777" w:rsidTr="006B022D">
        <w:trPr>
          <w:trHeight w:val="417"/>
        </w:trPr>
        <w:tc>
          <w:tcPr>
            <w:tcW w:w="2028" w:type="dxa"/>
            <w:vAlign w:val="center"/>
          </w:tcPr>
          <w:p w14:paraId="02BCB52C" w14:textId="53CE24F0"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8</w:t>
            </w:r>
          </w:p>
        </w:tc>
        <w:tc>
          <w:tcPr>
            <w:tcW w:w="8117" w:type="dxa"/>
            <w:vAlign w:val="center"/>
          </w:tcPr>
          <w:p w14:paraId="1C7F05F2" w14:textId="360FEBDD" w:rsidR="005763F3" w:rsidRPr="00005BFB" w:rsidRDefault="00B37FBA" w:rsidP="006B022D">
            <w:pPr>
              <w:jc w:val="center"/>
              <w:rPr>
                <w:rFonts w:asciiTheme="majorBidi" w:hAnsiTheme="majorBidi" w:cstheme="majorBidi"/>
                <w:sz w:val="24"/>
                <w:szCs w:val="24"/>
                <w:lang w:val="en-GB"/>
              </w:rPr>
            </w:pPr>
            <w:r w:rsidRPr="00005BFB">
              <w:rPr>
                <w:rFonts w:asciiTheme="majorBidi" w:eastAsia="Times New Roman" w:hAnsiTheme="majorBidi" w:cstheme="majorBidi"/>
                <w:sz w:val="24"/>
                <w:szCs w:val="24"/>
              </w:rPr>
              <w:t>ANOVA Results</w:t>
            </w:r>
          </w:p>
        </w:tc>
        <w:tc>
          <w:tcPr>
            <w:tcW w:w="1159" w:type="dxa"/>
            <w:vAlign w:val="center"/>
          </w:tcPr>
          <w:p w14:paraId="5013C7CB" w14:textId="3D32A059"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07</w:t>
            </w:r>
          </w:p>
        </w:tc>
      </w:tr>
      <w:tr w:rsidR="005763F3" w14:paraId="4E7E189D" w14:textId="77777777" w:rsidTr="006B022D">
        <w:trPr>
          <w:trHeight w:val="507"/>
        </w:trPr>
        <w:tc>
          <w:tcPr>
            <w:tcW w:w="2028" w:type="dxa"/>
            <w:vAlign w:val="center"/>
          </w:tcPr>
          <w:p w14:paraId="5829E08F" w14:textId="266BF104"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9</w:t>
            </w:r>
          </w:p>
        </w:tc>
        <w:tc>
          <w:tcPr>
            <w:tcW w:w="8117" w:type="dxa"/>
            <w:vAlign w:val="center"/>
          </w:tcPr>
          <w:p w14:paraId="5998C05D" w14:textId="4D9CCDEE" w:rsidR="005763F3" w:rsidRPr="00005BFB" w:rsidRDefault="000A587F" w:rsidP="006B022D">
            <w:pPr>
              <w:jc w:val="center"/>
              <w:rPr>
                <w:rFonts w:asciiTheme="majorBidi" w:hAnsiTheme="majorBidi" w:cstheme="majorBidi"/>
                <w:sz w:val="24"/>
                <w:szCs w:val="24"/>
                <w:lang w:val="en-GB"/>
              </w:rPr>
            </w:pPr>
            <w:r>
              <w:rPr>
                <w:rFonts w:asciiTheme="majorBidi" w:hAnsiTheme="majorBidi" w:cstheme="majorBidi"/>
                <w:sz w:val="24"/>
                <w:szCs w:val="24"/>
                <w:lang w:val="en-US" w:bidi="ar-DZ"/>
              </w:rPr>
              <w:t>R</w:t>
            </w:r>
            <w:r w:rsidR="00B37FBA" w:rsidRPr="00005BFB">
              <w:rPr>
                <w:rFonts w:asciiTheme="majorBidi" w:hAnsiTheme="majorBidi" w:cstheme="majorBidi"/>
                <w:sz w:val="24"/>
                <w:szCs w:val="24"/>
                <w:lang w:val="en-US" w:bidi="ar-DZ"/>
              </w:rPr>
              <w:t>egression coefficients</w:t>
            </w:r>
          </w:p>
        </w:tc>
        <w:tc>
          <w:tcPr>
            <w:tcW w:w="1159" w:type="dxa"/>
            <w:vAlign w:val="center"/>
          </w:tcPr>
          <w:p w14:paraId="541897A3" w14:textId="342671E4"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08</w:t>
            </w:r>
          </w:p>
        </w:tc>
      </w:tr>
      <w:tr w:rsidR="005763F3" w14:paraId="4A97BDC9" w14:textId="77777777" w:rsidTr="006B022D">
        <w:trPr>
          <w:trHeight w:val="513"/>
        </w:trPr>
        <w:tc>
          <w:tcPr>
            <w:tcW w:w="2028" w:type="dxa"/>
            <w:vAlign w:val="center"/>
          </w:tcPr>
          <w:p w14:paraId="5683150D" w14:textId="5876B573" w:rsidR="005763F3" w:rsidRPr="00005BFB" w:rsidRDefault="00642A0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10</w:t>
            </w:r>
          </w:p>
        </w:tc>
        <w:tc>
          <w:tcPr>
            <w:tcW w:w="8117" w:type="dxa"/>
            <w:vAlign w:val="center"/>
          </w:tcPr>
          <w:p w14:paraId="7DCB81A4" w14:textId="539DFEE1"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rPr>
              <w:t>Model fit</w:t>
            </w:r>
          </w:p>
        </w:tc>
        <w:tc>
          <w:tcPr>
            <w:tcW w:w="1159" w:type="dxa"/>
            <w:vAlign w:val="center"/>
          </w:tcPr>
          <w:p w14:paraId="03395C54" w14:textId="41EC0FA5"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09</w:t>
            </w:r>
          </w:p>
        </w:tc>
      </w:tr>
      <w:tr w:rsidR="005763F3" w14:paraId="0EF18FF4" w14:textId="77777777" w:rsidTr="006B022D">
        <w:trPr>
          <w:trHeight w:val="512"/>
        </w:trPr>
        <w:tc>
          <w:tcPr>
            <w:tcW w:w="2028" w:type="dxa"/>
            <w:vAlign w:val="center"/>
          </w:tcPr>
          <w:p w14:paraId="3A589580" w14:textId="1B31119E"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11</w:t>
            </w:r>
          </w:p>
        </w:tc>
        <w:tc>
          <w:tcPr>
            <w:tcW w:w="8117" w:type="dxa"/>
            <w:vAlign w:val="center"/>
          </w:tcPr>
          <w:p w14:paraId="736C12EF" w14:textId="23DB806B"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US" w:bidi="ar-DZ"/>
              </w:rPr>
              <w:t>Exponential Smoothing Model Parameters</w:t>
            </w:r>
          </w:p>
        </w:tc>
        <w:tc>
          <w:tcPr>
            <w:tcW w:w="1159" w:type="dxa"/>
            <w:vAlign w:val="center"/>
          </w:tcPr>
          <w:p w14:paraId="141F46F3" w14:textId="487BB677"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11</w:t>
            </w:r>
          </w:p>
        </w:tc>
      </w:tr>
      <w:tr w:rsidR="005763F3" w14:paraId="66912AED" w14:textId="77777777" w:rsidTr="006B022D">
        <w:trPr>
          <w:trHeight w:val="519"/>
        </w:trPr>
        <w:tc>
          <w:tcPr>
            <w:tcW w:w="2028" w:type="dxa"/>
            <w:vAlign w:val="center"/>
          </w:tcPr>
          <w:p w14:paraId="642C358A" w14:textId="1F87BE3F"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12</w:t>
            </w:r>
          </w:p>
        </w:tc>
        <w:tc>
          <w:tcPr>
            <w:tcW w:w="8117" w:type="dxa"/>
            <w:vAlign w:val="center"/>
          </w:tcPr>
          <w:p w14:paraId="0F0EEE4A" w14:textId="479C82C9"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rPr>
              <w:t>Model fit</w:t>
            </w:r>
          </w:p>
        </w:tc>
        <w:tc>
          <w:tcPr>
            <w:tcW w:w="1159" w:type="dxa"/>
            <w:vAlign w:val="center"/>
          </w:tcPr>
          <w:p w14:paraId="4AD849B9" w14:textId="60E26DC6"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12</w:t>
            </w:r>
          </w:p>
        </w:tc>
      </w:tr>
      <w:tr w:rsidR="005763F3" w14:paraId="6B49C57B" w14:textId="77777777" w:rsidTr="006B022D">
        <w:trPr>
          <w:trHeight w:val="515"/>
        </w:trPr>
        <w:tc>
          <w:tcPr>
            <w:tcW w:w="2028" w:type="dxa"/>
            <w:vAlign w:val="center"/>
          </w:tcPr>
          <w:p w14:paraId="6A28B570" w14:textId="7B06AD86"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13</w:t>
            </w:r>
          </w:p>
        </w:tc>
        <w:tc>
          <w:tcPr>
            <w:tcW w:w="8117" w:type="dxa"/>
            <w:vAlign w:val="center"/>
          </w:tcPr>
          <w:p w14:paraId="36C586BE" w14:textId="36DA584C"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US" w:bidi="ar-DZ"/>
              </w:rPr>
              <w:t>Exponential Smoothing Model Parameters</w:t>
            </w:r>
          </w:p>
        </w:tc>
        <w:tc>
          <w:tcPr>
            <w:tcW w:w="1159" w:type="dxa"/>
            <w:vAlign w:val="center"/>
          </w:tcPr>
          <w:p w14:paraId="52CF06EE" w14:textId="564AEC56"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13</w:t>
            </w:r>
          </w:p>
        </w:tc>
      </w:tr>
      <w:tr w:rsidR="005763F3" w14:paraId="03C00CCF" w14:textId="77777777" w:rsidTr="006B022D">
        <w:trPr>
          <w:trHeight w:val="513"/>
        </w:trPr>
        <w:tc>
          <w:tcPr>
            <w:tcW w:w="2028" w:type="dxa"/>
            <w:vAlign w:val="center"/>
          </w:tcPr>
          <w:p w14:paraId="0829E48A" w14:textId="793E5C1E"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14</w:t>
            </w:r>
          </w:p>
        </w:tc>
        <w:tc>
          <w:tcPr>
            <w:tcW w:w="8117" w:type="dxa"/>
            <w:tcBorders>
              <w:bottom w:val="single" w:sz="4" w:space="0" w:color="auto"/>
            </w:tcBorders>
            <w:vAlign w:val="center"/>
          </w:tcPr>
          <w:p w14:paraId="4A31487D" w14:textId="1A97DF55"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rPr>
              <w:t>Model fit</w:t>
            </w:r>
          </w:p>
        </w:tc>
        <w:tc>
          <w:tcPr>
            <w:tcW w:w="1159" w:type="dxa"/>
            <w:vAlign w:val="center"/>
          </w:tcPr>
          <w:p w14:paraId="5FB6D2C1" w14:textId="0277173A"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15</w:t>
            </w:r>
          </w:p>
        </w:tc>
      </w:tr>
      <w:tr w:rsidR="005763F3" w14:paraId="38AC0B46" w14:textId="77777777" w:rsidTr="006B022D">
        <w:trPr>
          <w:trHeight w:val="509"/>
        </w:trPr>
        <w:tc>
          <w:tcPr>
            <w:tcW w:w="2028" w:type="dxa"/>
            <w:tcBorders>
              <w:right w:val="single" w:sz="4" w:space="0" w:color="auto"/>
            </w:tcBorders>
            <w:vAlign w:val="center"/>
          </w:tcPr>
          <w:p w14:paraId="79B81ABE" w14:textId="1CBE7D62"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15</w:t>
            </w:r>
          </w:p>
        </w:tc>
        <w:tc>
          <w:tcPr>
            <w:tcW w:w="8117" w:type="dxa"/>
            <w:tcBorders>
              <w:top w:val="single" w:sz="4" w:space="0" w:color="auto"/>
              <w:left w:val="single" w:sz="4" w:space="0" w:color="auto"/>
              <w:bottom w:val="single" w:sz="4" w:space="0" w:color="auto"/>
              <w:right w:val="single" w:sz="4" w:space="0" w:color="auto"/>
            </w:tcBorders>
            <w:vAlign w:val="center"/>
          </w:tcPr>
          <w:p w14:paraId="26E6D80C" w14:textId="717A23C3"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US" w:bidi="ar-DZ"/>
              </w:rPr>
              <w:t>Exponential Smoothing Model Parameters</w:t>
            </w:r>
          </w:p>
        </w:tc>
        <w:tc>
          <w:tcPr>
            <w:tcW w:w="1159" w:type="dxa"/>
            <w:tcBorders>
              <w:left w:val="single" w:sz="4" w:space="0" w:color="auto"/>
            </w:tcBorders>
            <w:vAlign w:val="center"/>
          </w:tcPr>
          <w:p w14:paraId="00FB02EE" w14:textId="4E981F0A"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16</w:t>
            </w:r>
          </w:p>
        </w:tc>
      </w:tr>
      <w:tr w:rsidR="005763F3" w14:paraId="205C858C" w14:textId="77777777" w:rsidTr="006B022D">
        <w:trPr>
          <w:trHeight w:val="510"/>
        </w:trPr>
        <w:tc>
          <w:tcPr>
            <w:tcW w:w="2028" w:type="dxa"/>
            <w:vAlign w:val="center"/>
          </w:tcPr>
          <w:p w14:paraId="3B3959B8" w14:textId="7BBBEADD" w:rsidR="005763F3"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16</w:t>
            </w:r>
          </w:p>
        </w:tc>
        <w:tc>
          <w:tcPr>
            <w:tcW w:w="8117" w:type="dxa"/>
            <w:tcBorders>
              <w:top w:val="single" w:sz="4" w:space="0" w:color="auto"/>
              <w:bottom w:val="single" w:sz="4" w:space="0" w:color="auto"/>
            </w:tcBorders>
            <w:vAlign w:val="center"/>
          </w:tcPr>
          <w:p w14:paraId="2233AC41" w14:textId="26D48534" w:rsidR="005763F3"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rPr>
              <w:t>Model fit</w:t>
            </w:r>
          </w:p>
        </w:tc>
        <w:tc>
          <w:tcPr>
            <w:tcW w:w="1159" w:type="dxa"/>
            <w:vAlign w:val="center"/>
          </w:tcPr>
          <w:p w14:paraId="33640D3C" w14:textId="111F8E52" w:rsidR="005763F3"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18</w:t>
            </w:r>
          </w:p>
        </w:tc>
      </w:tr>
      <w:tr w:rsidR="00B37FBA" w14:paraId="004064C3" w14:textId="77777777" w:rsidTr="006B022D">
        <w:trPr>
          <w:trHeight w:val="510"/>
        </w:trPr>
        <w:tc>
          <w:tcPr>
            <w:tcW w:w="2028" w:type="dxa"/>
            <w:vAlign w:val="center"/>
          </w:tcPr>
          <w:p w14:paraId="5678E77A" w14:textId="0B11915A"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17</w:t>
            </w:r>
          </w:p>
        </w:tc>
        <w:tc>
          <w:tcPr>
            <w:tcW w:w="8117" w:type="dxa"/>
            <w:tcBorders>
              <w:top w:val="single" w:sz="4" w:space="0" w:color="auto"/>
            </w:tcBorders>
            <w:vAlign w:val="center"/>
          </w:tcPr>
          <w:p w14:paraId="77551DDE" w14:textId="75BAECF8" w:rsidR="00B37FBA"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US" w:bidi="ar-DZ"/>
              </w:rPr>
              <w:t>Exponential Smoothing Model Parameters</w:t>
            </w:r>
          </w:p>
        </w:tc>
        <w:tc>
          <w:tcPr>
            <w:tcW w:w="1159" w:type="dxa"/>
            <w:vAlign w:val="center"/>
          </w:tcPr>
          <w:p w14:paraId="1767B2BB" w14:textId="1A07CB32"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Pr>
                <w:b/>
                <w:bCs/>
                <w:szCs w:val="24"/>
                <w:lang w:val="en-GB"/>
              </w:rPr>
              <w:t>19</w:t>
            </w:r>
          </w:p>
        </w:tc>
      </w:tr>
      <w:tr w:rsidR="00B37FBA" w:rsidRPr="00740E8D" w14:paraId="739F9804" w14:textId="77777777" w:rsidTr="006B022D">
        <w:trPr>
          <w:trHeight w:val="510"/>
        </w:trPr>
        <w:tc>
          <w:tcPr>
            <w:tcW w:w="2028" w:type="dxa"/>
            <w:vAlign w:val="center"/>
          </w:tcPr>
          <w:p w14:paraId="663142FA" w14:textId="2FFBC23C"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18</w:t>
            </w:r>
          </w:p>
        </w:tc>
        <w:tc>
          <w:tcPr>
            <w:tcW w:w="8117" w:type="dxa"/>
            <w:tcBorders>
              <w:top w:val="single" w:sz="4" w:space="0" w:color="auto"/>
            </w:tcBorders>
            <w:vAlign w:val="center"/>
          </w:tcPr>
          <w:p w14:paraId="0AE36BEE" w14:textId="4A99A4BC" w:rsidR="00B37FBA" w:rsidRPr="00005BFB" w:rsidRDefault="00126CB0" w:rsidP="006B022D">
            <w:pPr>
              <w:jc w:val="center"/>
              <w:rPr>
                <w:rFonts w:asciiTheme="majorBidi" w:hAnsiTheme="majorBidi" w:cstheme="majorBidi"/>
                <w:sz w:val="24"/>
                <w:szCs w:val="24"/>
                <w:lang w:val="en-GB"/>
              </w:rPr>
            </w:pPr>
            <w:r w:rsidRPr="00005BFB">
              <w:rPr>
                <w:rFonts w:eastAsia="Times New Roman"/>
                <w:sz w:val="24"/>
                <w:szCs w:val="24"/>
                <w:lang w:val="en-US"/>
              </w:rPr>
              <w:t>Economic Forecasts for the Turkish Market (2025–2030)</w:t>
            </w:r>
          </w:p>
        </w:tc>
        <w:tc>
          <w:tcPr>
            <w:tcW w:w="1159" w:type="dxa"/>
            <w:vAlign w:val="center"/>
          </w:tcPr>
          <w:p w14:paraId="51B04DA5" w14:textId="57C98AAB"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120</w:t>
            </w:r>
          </w:p>
        </w:tc>
      </w:tr>
      <w:tr w:rsidR="00B37FBA" w:rsidRPr="00740E8D" w14:paraId="747E593D" w14:textId="77777777" w:rsidTr="006B022D">
        <w:trPr>
          <w:trHeight w:val="510"/>
        </w:trPr>
        <w:tc>
          <w:tcPr>
            <w:tcW w:w="2028" w:type="dxa"/>
            <w:vAlign w:val="center"/>
          </w:tcPr>
          <w:p w14:paraId="34726907" w14:textId="7520B735"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19</w:t>
            </w:r>
          </w:p>
        </w:tc>
        <w:tc>
          <w:tcPr>
            <w:tcW w:w="8117" w:type="dxa"/>
            <w:tcBorders>
              <w:top w:val="single" w:sz="4" w:space="0" w:color="auto"/>
            </w:tcBorders>
            <w:vAlign w:val="center"/>
          </w:tcPr>
          <w:p w14:paraId="2433EE50" w14:textId="1F21CD1F" w:rsidR="00B37FBA" w:rsidRPr="00005BFB" w:rsidRDefault="00126CB0" w:rsidP="006B022D">
            <w:pPr>
              <w:tabs>
                <w:tab w:val="left" w:pos="6060"/>
              </w:tabs>
              <w:jc w:val="center"/>
              <w:rPr>
                <w:rFonts w:asciiTheme="majorBidi" w:hAnsiTheme="majorBidi" w:cstheme="majorBidi"/>
                <w:sz w:val="24"/>
                <w:szCs w:val="24"/>
                <w:lang w:val="en-GB"/>
              </w:rPr>
            </w:pPr>
            <w:r w:rsidRPr="00005BFB">
              <w:rPr>
                <w:rFonts w:asciiTheme="majorBidi" w:hAnsiTheme="majorBidi" w:cstheme="majorBidi"/>
                <w:sz w:val="24"/>
                <w:szCs w:val="24"/>
                <w:lang w:val="en-US"/>
              </w:rPr>
              <w:t>Turkey</w:t>
            </w:r>
            <w:r w:rsidRPr="00005BFB">
              <w:rPr>
                <w:rFonts w:asciiTheme="majorBidi" w:hAnsiTheme="majorBidi" w:cstheme="majorBidi" w:hint="cs"/>
                <w:sz w:val="24"/>
                <w:szCs w:val="24"/>
                <w:lang w:val="en-US"/>
              </w:rPr>
              <w:t>’</w:t>
            </w:r>
            <w:r w:rsidRPr="00005BFB">
              <w:rPr>
                <w:rFonts w:asciiTheme="majorBidi" w:hAnsiTheme="majorBidi" w:cstheme="majorBidi"/>
                <w:sz w:val="24"/>
                <w:szCs w:val="24"/>
                <w:lang w:val="en-US"/>
              </w:rPr>
              <w:t>s Imports from Algeria and the World in Total Products, Pharmaceutical Products, and Cosmetic Preparations (2005</w:t>
            </w:r>
            <w:r w:rsidRPr="00005BFB">
              <w:rPr>
                <w:rFonts w:asciiTheme="majorBidi" w:hAnsiTheme="majorBidi" w:cstheme="majorBidi" w:hint="cs"/>
                <w:sz w:val="24"/>
                <w:szCs w:val="24"/>
                <w:lang w:val="en-US"/>
              </w:rPr>
              <w:t>–</w:t>
            </w:r>
            <w:r w:rsidRPr="00005BFB">
              <w:rPr>
                <w:rFonts w:asciiTheme="majorBidi" w:hAnsiTheme="majorBidi" w:cstheme="majorBidi"/>
                <w:sz w:val="24"/>
                <w:szCs w:val="24"/>
                <w:lang w:val="en-US"/>
              </w:rPr>
              <w:t xml:space="preserve">2024) </w:t>
            </w:r>
            <w:r w:rsidRPr="00005BFB">
              <w:rPr>
                <w:rFonts w:asciiTheme="majorBidi" w:hAnsiTheme="majorBidi" w:cstheme="majorBidi" w:hint="cs"/>
                <w:sz w:val="24"/>
                <w:szCs w:val="24"/>
                <w:lang w:val="en-US"/>
              </w:rPr>
              <w:t>–</w:t>
            </w:r>
            <w:r w:rsidRPr="00005BFB">
              <w:rPr>
                <w:rFonts w:asciiTheme="majorBidi" w:hAnsiTheme="majorBidi" w:cstheme="majorBidi"/>
                <w:sz w:val="24"/>
                <w:szCs w:val="24"/>
                <w:lang w:val="en-US"/>
              </w:rPr>
              <w:t xml:space="preserve"> in USD Thousands</w:t>
            </w:r>
          </w:p>
        </w:tc>
        <w:tc>
          <w:tcPr>
            <w:tcW w:w="1159" w:type="dxa"/>
            <w:vAlign w:val="center"/>
          </w:tcPr>
          <w:p w14:paraId="774A3273" w14:textId="794D2722"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128</w:t>
            </w:r>
          </w:p>
        </w:tc>
      </w:tr>
      <w:tr w:rsidR="00B37FBA" w:rsidRPr="00740E8D" w14:paraId="0EBE2AD9" w14:textId="77777777" w:rsidTr="006B022D">
        <w:trPr>
          <w:trHeight w:val="510"/>
        </w:trPr>
        <w:tc>
          <w:tcPr>
            <w:tcW w:w="2028" w:type="dxa"/>
            <w:vAlign w:val="center"/>
          </w:tcPr>
          <w:p w14:paraId="55BC3501" w14:textId="34253802"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20</w:t>
            </w:r>
          </w:p>
        </w:tc>
        <w:tc>
          <w:tcPr>
            <w:tcW w:w="8117" w:type="dxa"/>
            <w:tcBorders>
              <w:top w:val="single" w:sz="4" w:space="0" w:color="auto"/>
            </w:tcBorders>
            <w:vAlign w:val="center"/>
          </w:tcPr>
          <w:p w14:paraId="304A427A" w14:textId="583328B5" w:rsidR="00B37FBA" w:rsidRPr="00005BFB" w:rsidRDefault="000A587F" w:rsidP="006B022D">
            <w:pPr>
              <w:jc w:val="center"/>
              <w:rPr>
                <w:rFonts w:asciiTheme="majorBidi" w:hAnsiTheme="majorBidi" w:cstheme="majorBidi"/>
                <w:sz w:val="24"/>
                <w:szCs w:val="24"/>
                <w:lang w:val="en-GB"/>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age.</w:t>
            </w:r>
          </w:p>
        </w:tc>
        <w:tc>
          <w:tcPr>
            <w:tcW w:w="1159" w:type="dxa"/>
            <w:vAlign w:val="center"/>
          </w:tcPr>
          <w:p w14:paraId="2BE5175E" w14:textId="0C4C10BD"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132</w:t>
            </w:r>
          </w:p>
        </w:tc>
      </w:tr>
      <w:tr w:rsidR="00B37FBA" w:rsidRPr="00740E8D" w14:paraId="25499CC3" w14:textId="77777777" w:rsidTr="006B022D">
        <w:trPr>
          <w:trHeight w:val="510"/>
        </w:trPr>
        <w:tc>
          <w:tcPr>
            <w:tcW w:w="2028" w:type="dxa"/>
            <w:vAlign w:val="center"/>
          </w:tcPr>
          <w:p w14:paraId="59FA8EB5" w14:textId="35AF28F6"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21</w:t>
            </w:r>
          </w:p>
        </w:tc>
        <w:tc>
          <w:tcPr>
            <w:tcW w:w="8117" w:type="dxa"/>
            <w:tcBorders>
              <w:top w:val="single" w:sz="4" w:space="0" w:color="auto"/>
            </w:tcBorders>
            <w:vAlign w:val="center"/>
          </w:tcPr>
          <w:p w14:paraId="7C41A1B9" w14:textId="48D501E7" w:rsidR="00B37FBA" w:rsidRPr="00005BFB" w:rsidRDefault="000A587F" w:rsidP="006B022D">
            <w:pPr>
              <w:jc w:val="center"/>
              <w:rPr>
                <w:rFonts w:asciiTheme="majorBidi" w:hAnsiTheme="majorBidi" w:cstheme="majorBidi"/>
                <w:sz w:val="24"/>
                <w:szCs w:val="24"/>
                <w:lang w:val="en-GB"/>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gender.</w:t>
            </w:r>
          </w:p>
        </w:tc>
        <w:tc>
          <w:tcPr>
            <w:tcW w:w="1159" w:type="dxa"/>
            <w:vAlign w:val="center"/>
          </w:tcPr>
          <w:p w14:paraId="7CE62C97" w14:textId="1747159D"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133</w:t>
            </w:r>
          </w:p>
        </w:tc>
      </w:tr>
      <w:tr w:rsidR="00B37FBA" w:rsidRPr="00740E8D" w14:paraId="3923F114" w14:textId="77777777" w:rsidTr="006B022D">
        <w:trPr>
          <w:trHeight w:val="510"/>
        </w:trPr>
        <w:tc>
          <w:tcPr>
            <w:tcW w:w="2028" w:type="dxa"/>
            <w:vAlign w:val="center"/>
          </w:tcPr>
          <w:p w14:paraId="3368619C" w14:textId="29C783AC"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22</w:t>
            </w:r>
          </w:p>
        </w:tc>
        <w:tc>
          <w:tcPr>
            <w:tcW w:w="8117" w:type="dxa"/>
            <w:tcBorders>
              <w:top w:val="single" w:sz="4" w:space="0" w:color="auto"/>
            </w:tcBorders>
            <w:vAlign w:val="center"/>
          </w:tcPr>
          <w:p w14:paraId="467560A8" w14:textId="35ED7515" w:rsidR="00B37FBA" w:rsidRPr="00005BFB" w:rsidRDefault="000A587F" w:rsidP="006B022D">
            <w:pPr>
              <w:jc w:val="center"/>
              <w:rPr>
                <w:rFonts w:asciiTheme="majorBidi" w:hAnsiTheme="majorBidi" w:cstheme="majorBidi"/>
                <w:sz w:val="24"/>
                <w:szCs w:val="24"/>
                <w:lang w:val="en-GB"/>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residence.</w:t>
            </w:r>
          </w:p>
        </w:tc>
        <w:tc>
          <w:tcPr>
            <w:tcW w:w="1159" w:type="dxa"/>
            <w:vAlign w:val="center"/>
          </w:tcPr>
          <w:p w14:paraId="2009F5B5" w14:textId="3B9589EF" w:rsidR="00B37FBA" w:rsidRPr="006B022D" w:rsidRDefault="006B022D"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133</w:t>
            </w:r>
          </w:p>
        </w:tc>
      </w:tr>
      <w:tr w:rsidR="00B37FBA" w:rsidRPr="00740E8D" w14:paraId="46519091" w14:textId="77777777" w:rsidTr="006B022D">
        <w:trPr>
          <w:trHeight w:val="510"/>
        </w:trPr>
        <w:tc>
          <w:tcPr>
            <w:tcW w:w="2028" w:type="dxa"/>
            <w:vAlign w:val="center"/>
          </w:tcPr>
          <w:p w14:paraId="2EEA3522" w14:textId="087DD101"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23</w:t>
            </w:r>
          </w:p>
        </w:tc>
        <w:tc>
          <w:tcPr>
            <w:tcW w:w="8117" w:type="dxa"/>
            <w:tcBorders>
              <w:top w:val="single" w:sz="4" w:space="0" w:color="auto"/>
            </w:tcBorders>
            <w:vAlign w:val="center"/>
          </w:tcPr>
          <w:p w14:paraId="6A0537D5" w14:textId="400D9F1D" w:rsidR="00B37FBA" w:rsidRPr="00005BFB" w:rsidRDefault="000A587F" w:rsidP="006B022D">
            <w:pPr>
              <w:jc w:val="center"/>
              <w:rPr>
                <w:rFonts w:asciiTheme="majorBidi" w:hAnsiTheme="majorBidi" w:cstheme="majorBidi"/>
                <w:sz w:val="24"/>
                <w:szCs w:val="24"/>
                <w:lang w:val="en-GB"/>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employment status</w:t>
            </w:r>
          </w:p>
        </w:tc>
        <w:tc>
          <w:tcPr>
            <w:tcW w:w="1159" w:type="dxa"/>
            <w:vAlign w:val="center"/>
          </w:tcPr>
          <w:p w14:paraId="653BE874" w14:textId="3DFE599C" w:rsidR="00B37FBA"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134</w:t>
            </w:r>
          </w:p>
        </w:tc>
      </w:tr>
      <w:tr w:rsidR="00B37FBA" w:rsidRPr="00740E8D" w14:paraId="0AE453EB" w14:textId="77777777" w:rsidTr="006B022D">
        <w:trPr>
          <w:trHeight w:val="510"/>
        </w:trPr>
        <w:tc>
          <w:tcPr>
            <w:tcW w:w="2028" w:type="dxa"/>
            <w:vAlign w:val="center"/>
          </w:tcPr>
          <w:p w14:paraId="77E90BC8" w14:textId="52AE4897" w:rsidR="00B37FBA" w:rsidRPr="00005BFB" w:rsidRDefault="00B37FBA"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24</w:t>
            </w:r>
          </w:p>
        </w:tc>
        <w:tc>
          <w:tcPr>
            <w:tcW w:w="8117" w:type="dxa"/>
            <w:tcBorders>
              <w:top w:val="single" w:sz="4" w:space="0" w:color="auto"/>
              <w:bottom w:val="single" w:sz="4" w:space="0" w:color="auto"/>
            </w:tcBorders>
            <w:vAlign w:val="center"/>
          </w:tcPr>
          <w:p w14:paraId="4275F2C3" w14:textId="76C741F6" w:rsidR="00B37FBA"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incomes</w:t>
            </w:r>
          </w:p>
        </w:tc>
        <w:tc>
          <w:tcPr>
            <w:tcW w:w="1159" w:type="dxa"/>
            <w:vAlign w:val="center"/>
          </w:tcPr>
          <w:p w14:paraId="41EF0D77" w14:textId="79A0A874" w:rsidR="00B37FBA"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135</w:t>
            </w:r>
          </w:p>
        </w:tc>
      </w:tr>
      <w:tr w:rsidR="00126CB0" w:rsidRPr="00740E8D" w14:paraId="758145AD" w14:textId="77777777" w:rsidTr="006B022D">
        <w:trPr>
          <w:trHeight w:val="510"/>
        </w:trPr>
        <w:tc>
          <w:tcPr>
            <w:tcW w:w="2028" w:type="dxa"/>
            <w:vAlign w:val="center"/>
          </w:tcPr>
          <w:p w14:paraId="5D0676D7" w14:textId="69C04DD9"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25</w:t>
            </w:r>
          </w:p>
        </w:tc>
        <w:tc>
          <w:tcPr>
            <w:tcW w:w="8117" w:type="dxa"/>
            <w:tcBorders>
              <w:top w:val="single" w:sz="4" w:space="0" w:color="auto"/>
            </w:tcBorders>
            <w:vAlign w:val="center"/>
          </w:tcPr>
          <w:p w14:paraId="5C0A0CDE" w14:textId="3B77F316" w:rsidR="00126CB0"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marital status</w:t>
            </w:r>
          </w:p>
        </w:tc>
        <w:tc>
          <w:tcPr>
            <w:tcW w:w="1159" w:type="dxa"/>
            <w:vAlign w:val="center"/>
          </w:tcPr>
          <w:p w14:paraId="089C76AB" w14:textId="4EF3E877"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135</w:t>
            </w:r>
          </w:p>
        </w:tc>
      </w:tr>
      <w:tr w:rsidR="00126CB0" w:rsidRPr="00740E8D" w14:paraId="1BDA45F1" w14:textId="77777777" w:rsidTr="006B022D">
        <w:trPr>
          <w:trHeight w:val="510"/>
        </w:trPr>
        <w:tc>
          <w:tcPr>
            <w:tcW w:w="2028" w:type="dxa"/>
            <w:vAlign w:val="center"/>
          </w:tcPr>
          <w:p w14:paraId="1090E710" w14:textId="2E538627"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26</w:t>
            </w:r>
          </w:p>
        </w:tc>
        <w:tc>
          <w:tcPr>
            <w:tcW w:w="8117" w:type="dxa"/>
            <w:tcBorders>
              <w:top w:val="single" w:sz="4" w:space="0" w:color="auto"/>
            </w:tcBorders>
            <w:vAlign w:val="center"/>
          </w:tcPr>
          <w:p w14:paraId="21FD1573" w14:textId="5FF7F1C0" w:rsidR="00126CB0"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family number</w:t>
            </w:r>
          </w:p>
        </w:tc>
        <w:tc>
          <w:tcPr>
            <w:tcW w:w="1159" w:type="dxa"/>
            <w:vAlign w:val="center"/>
          </w:tcPr>
          <w:p w14:paraId="052C9EF1" w14:textId="766EE20A"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136</w:t>
            </w:r>
          </w:p>
        </w:tc>
      </w:tr>
      <w:tr w:rsidR="00126CB0" w:rsidRPr="00740E8D" w14:paraId="44B3F442" w14:textId="77777777" w:rsidTr="006B022D">
        <w:trPr>
          <w:trHeight w:val="510"/>
        </w:trPr>
        <w:tc>
          <w:tcPr>
            <w:tcW w:w="2028" w:type="dxa"/>
            <w:vAlign w:val="center"/>
          </w:tcPr>
          <w:p w14:paraId="34337DA1" w14:textId="38815886"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27</w:t>
            </w:r>
          </w:p>
        </w:tc>
        <w:tc>
          <w:tcPr>
            <w:tcW w:w="8117" w:type="dxa"/>
            <w:tcBorders>
              <w:top w:val="single" w:sz="4" w:space="0" w:color="auto"/>
            </w:tcBorders>
            <w:vAlign w:val="center"/>
          </w:tcPr>
          <w:p w14:paraId="36675970" w14:textId="5F5DED08" w:rsidR="00126CB0"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D</w:t>
            </w:r>
            <w:r w:rsidR="00126CB0" w:rsidRPr="00005BFB">
              <w:rPr>
                <w:rFonts w:asciiTheme="majorBidi" w:hAnsiTheme="majorBidi" w:cstheme="majorBidi"/>
                <w:sz w:val="24"/>
                <w:szCs w:val="24"/>
                <w:lang w:val="en-US"/>
              </w:rPr>
              <w:t>istribution of the sample according to purchase place</w:t>
            </w:r>
          </w:p>
        </w:tc>
        <w:tc>
          <w:tcPr>
            <w:tcW w:w="1159" w:type="dxa"/>
            <w:vAlign w:val="center"/>
          </w:tcPr>
          <w:p w14:paraId="35DEF042" w14:textId="3F22D3A0"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136</w:t>
            </w:r>
          </w:p>
        </w:tc>
      </w:tr>
      <w:tr w:rsidR="00126CB0" w:rsidRPr="00740E8D" w14:paraId="03F51E25" w14:textId="77777777" w:rsidTr="006B022D">
        <w:trPr>
          <w:trHeight w:val="510"/>
        </w:trPr>
        <w:tc>
          <w:tcPr>
            <w:tcW w:w="2028" w:type="dxa"/>
            <w:vAlign w:val="center"/>
          </w:tcPr>
          <w:p w14:paraId="754151E4" w14:textId="5B2562AE"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28</w:t>
            </w:r>
          </w:p>
        </w:tc>
        <w:tc>
          <w:tcPr>
            <w:tcW w:w="8117" w:type="dxa"/>
            <w:tcBorders>
              <w:top w:val="single" w:sz="4" w:space="0" w:color="auto"/>
            </w:tcBorders>
            <w:vAlign w:val="center"/>
          </w:tcPr>
          <w:p w14:paraId="65EF8572" w14:textId="11B83712" w:rsidR="00126CB0"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R</w:t>
            </w:r>
            <w:r w:rsidR="00126CB0" w:rsidRPr="00005BFB">
              <w:rPr>
                <w:rFonts w:asciiTheme="majorBidi" w:hAnsiTheme="majorBidi" w:cstheme="majorBidi"/>
                <w:sz w:val="24"/>
                <w:szCs w:val="24"/>
                <w:lang w:val="en-US"/>
              </w:rPr>
              <w:t>eliability coefficient of parts of boycott</w:t>
            </w:r>
          </w:p>
        </w:tc>
        <w:tc>
          <w:tcPr>
            <w:tcW w:w="1159" w:type="dxa"/>
            <w:vAlign w:val="center"/>
          </w:tcPr>
          <w:p w14:paraId="30DF5CBA" w14:textId="76CB96B6"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138</w:t>
            </w:r>
          </w:p>
        </w:tc>
      </w:tr>
      <w:tr w:rsidR="00126CB0" w:rsidRPr="00126CB0" w14:paraId="47568614" w14:textId="77777777" w:rsidTr="006B022D">
        <w:trPr>
          <w:trHeight w:val="510"/>
        </w:trPr>
        <w:tc>
          <w:tcPr>
            <w:tcW w:w="2028" w:type="dxa"/>
            <w:vAlign w:val="center"/>
          </w:tcPr>
          <w:p w14:paraId="65B926B1" w14:textId="081783C2"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29</w:t>
            </w:r>
          </w:p>
        </w:tc>
        <w:tc>
          <w:tcPr>
            <w:tcW w:w="8117" w:type="dxa"/>
            <w:tcBorders>
              <w:top w:val="single" w:sz="4" w:space="0" w:color="auto"/>
            </w:tcBorders>
            <w:vAlign w:val="center"/>
          </w:tcPr>
          <w:p w14:paraId="0B0E5123" w14:textId="43C50EC2" w:rsidR="00126CB0" w:rsidRPr="00005BFB" w:rsidRDefault="00E3546C" w:rsidP="006B022D">
            <w:pPr>
              <w:tabs>
                <w:tab w:val="left" w:pos="5160"/>
              </w:tabs>
              <w:spacing w:line="360" w:lineRule="auto"/>
              <w:jc w:val="center"/>
              <w:rPr>
                <w:rFonts w:asciiTheme="majorBidi" w:hAnsiTheme="majorBidi" w:cstheme="majorBidi"/>
                <w:sz w:val="24"/>
                <w:szCs w:val="24"/>
                <w:lang w:val="en-US"/>
              </w:rPr>
            </w:pPr>
            <w:r w:rsidRPr="00005BFB">
              <w:rPr>
                <w:rFonts w:asciiTheme="majorBidi" w:hAnsiTheme="majorBidi" w:cstheme="majorBidi"/>
                <w:sz w:val="24"/>
                <w:szCs w:val="24"/>
                <w:lang w:val="en-US"/>
              </w:rPr>
              <w:t>Five-point Likert scale</w:t>
            </w:r>
          </w:p>
        </w:tc>
        <w:tc>
          <w:tcPr>
            <w:tcW w:w="1159" w:type="dxa"/>
            <w:vAlign w:val="center"/>
          </w:tcPr>
          <w:p w14:paraId="3F4B505B" w14:textId="3BDA8C8E"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138</w:t>
            </w:r>
          </w:p>
        </w:tc>
      </w:tr>
      <w:tr w:rsidR="00126CB0" w:rsidRPr="00740E8D" w14:paraId="0FFACE21" w14:textId="77777777" w:rsidTr="006B022D">
        <w:trPr>
          <w:trHeight w:val="510"/>
        </w:trPr>
        <w:tc>
          <w:tcPr>
            <w:tcW w:w="2028" w:type="dxa"/>
            <w:vAlign w:val="center"/>
          </w:tcPr>
          <w:p w14:paraId="3D1503B3" w14:textId="21A0391B"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30</w:t>
            </w:r>
          </w:p>
        </w:tc>
        <w:tc>
          <w:tcPr>
            <w:tcW w:w="8117" w:type="dxa"/>
            <w:tcBorders>
              <w:top w:val="single" w:sz="4" w:space="0" w:color="auto"/>
            </w:tcBorders>
            <w:vAlign w:val="center"/>
          </w:tcPr>
          <w:p w14:paraId="6A3BB508" w14:textId="2B35D191" w:rsidR="00126CB0" w:rsidRPr="00005BFB" w:rsidRDefault="000A587F" w:rsidP="006B022D">
            <w:pPr>
              <w:tabs>
                <w:tab w:val="left" w:pos="4610"/>
              </w:tabs>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T</w:t>
            </w:r>
            <w:r w:rsidR="00E3546C" w:rsidRPr="00005BFB">
              <w:rPr>
                <w:rFonts w:asciiTheme="majorBidi" w:hAnsiTheme="majorBidi" w:cstheme="majorBidi"/>
                <w:sz w:val="24"/>
                <w:szCs w:val="24"/>
                <w:lang w:val="en-US"/>
              </w:rPr>
              <w:t>he distribution of average values grades</w:t>
            </w:r>
          </w:p>
        </w:tc>
        <w:tc>
          <w:tcPr>
            <w:tcW w:w="1159" w:type="dxa"/>
            <w:vAlign w:val="center"/>
          </w:tcPr>
          <w:p w14:paraId="0F9CDDEF" w14:textId="71A9E492"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139</w:t>
            </w:r>
          </w:p>
        </w:tc>
      </w:tr>
      <w:tr w:rsidR="00126CB0" w:rsidRPr="00740E8D" w14:paraId="5444FC0C" w14:textId="77777777" w:rsidTr="006B022D">
        <w:trPr>
          <w:trHeight w:val="510"/>
        </w:trPr>
        <w:tc>
          <w:tcPr>
            <w:tcW w:w="2028" w:type="dxa"/>
            <w:vAlign w:val="center"/>
          </w:tcPr>
          <w:p w14:paraId="60002680" w14:textId="268B0D9F"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31</w:t>
            </w:r>
          </w:p>
        </w:tc>
        <w:tc>
          <w:tcPr>
            <w:tcW w:w="8117" w:type="dxa"/>
            <w:tcBorders>
              <w:top w:val="single" w:sz="4" w:space="0" w:color="auto"/>
            </w:tcBorders>
            <w:vAlign w:val="center"/>
          </w:tcPr>
          <w:p w14:paraId="00D1DEA9" w14:textId="5EAC9900" w:rsidR="00126CB0" w:rsidRPr="00005BFB" w:rsidRDefault="00E3546C" w:rsidP="006B022D">
            <w:pPr>
              <w:spacing w:line="360" w:lineRule="auto"/>
              <w:jc w:val="center"/>
              <w:rPr>
                <w:rFonts w:asciiTheme="majorBidi" w:hAnsiTheme="majorBidi" w:cstheme="majorBidi"/>
                <w:sz w:val="24"/>
                <w:szCs w:val="24"/>
                <w:lang w:val="en-US"/>
              </w:rPr>
            </w:pPr>
            <w:r w:rsidRPr="00005BFB">
              <w:rPr>
                <w:rFonts w:asciiTheme="majorBidi" w:hAnsiTheme="majorBidi" w:cstheme="majorBidi"/>
                <w:sz w:val="24"/>
                <w:szCs w:val="24"/>
                <w:lang w:val="en-US"/>
              </w:rPr>
              <w:t>Analysis of the first axis the awareness of boycott</w:t>
            </w:r>
          </w:p>
        </w:tc>
        <w:tc>
          <w:tcPr>
            <w:tcW w:w="1159" w:type="dxa"/>
            <w:vAlign w:val="center"/>
          </w:tcPr>
          <w:p w14:paraId="0E57AAED" w14:textId="0E2E8822"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139</w:t>
            </w:r>
          </w:p>
        </w:tc>
      </w:tr>
      <w:tr w:rsidR="00126CB0" w:rsidRPr="00740E8D" w14:paraId="5829162D" w14:textId="77777777" w:rsidTr="006B022D">
        <w:trPr>
          <w:trHeight w:val="510"/>
        </w:trPr>
        <w:tc>
          <w:tcPr>
            <w:tcW w:w="2028" w:type="dxa"/>
            <w:vAlign w:val="center"/>
          </w:tcPr>
          <w:p w14:paraId="620844A4" w14:textId="14CFE0D0"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32</w:t>
            </w:r>
          </w:p>
        </w:tc>
        <w:tc>
          <w:tcPr>
            <w:tcW w:w="8117" w:type="dxa"/>
            <w:tcBorders>
              <w:top w:val="single" w:sz="4" w:space="0" w:color="auto"/>
              <w:bottom w:val="single" w:sz="4" w:space="0" w:color="auto"/>
            </w:tcBorders>
            <w:vAlign w:val="center"/>
          </w:tcPr>
          <w:p w14:paraId="723E405D" w14:textId="17FC73D5" w:rsidR="00126CB0" w:rsidRPr="00005BFB" w:rsidRDefault="00E3546C" w:rsidP="006B022D">
            <w:pPr>
              <w:spacing w:line="360" w:lineRule="auto"/>
              <w:jc w:val="center"/>
              <w:rPr>
                <w:rFonts w:asciiTheme="majorBidi" w:hAnsiTheme="majorBidi" w:cstheme="majorBidi"/>
                <w:sz w:val="24"/>
                <w:szCs w:val="24"/>
                <w:lang w:val="en-US"/>
              </w:rPr>
            </w:pPr>
            <w:r w:rsidRPr="00005BFB">
              <w:rPr>
                <w:rFonts w:asciiTheme="majorBidi" w:hAnsiTheme="majorBidi" w:cstheme="majorBidi"/>
                <w:sz w:val="24"/>
                <w:szCs w:val="24"/>
                <w:lang w:val="en-US"/>
              </w:rPr>
              <w:t>Analysis of the second axis the consumer motivation for boycott</w:t>
            </w:r>
          </w:p>
        </w:tc>
        <w:tc>
          <w:tcPr>
            <w:tcW w:w="1159" w:type="dxa"/>
            <w:vAlign w:val="center"/>
          </w:tcPr>
          <w:p w14:paraId="59381922" w14:textId="7738C6F4"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140</w:t>
            </w:r>
          </w:p>
        </w:tc>
      </w:tr>
      <w:tr w:rsidR="00126CB0" w:rsidRPr="00740E8D" w14:paraId="038D8FFB" w14:textId="77777777" w:rsidTr="006B022D">
        <w:trPr>
          <w:trHeight w:val="510"/>
        </w:trPr>
        <w:tc>
          <w:tcPr>
            <w:tcW w:w="2028" w:type="dxa"/>
            <w:vAlign w:val="center"/>
          </w:tcPr>
          <w:p w14:paraId="5DF508E5" w14:textId="74474212"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33</w:t>
            </w:r>
          </w:p>
        </w:tc>
        <w:tc>
          <w:tcPr>
            <w:tcW w:w="8117" w:type="dxa"/>
            <w:tcBorders>
              <w:top w:val="single" w:sz="4" w:space="0" w:color="auto"/>
            </w:tcBorders>
            <w:vAlign w:val="center"/>
          </w:tcPr>
          <w:p w14:paraId="1C6327B7" w14:textId="101FB4A4" w:rsidR="00126CB0" w:rsidRPr="00005BFB" w:rsidRDefault="00E3546C" w:rsidP="006B022D">
            <w:pPr>
              <w:spacing w:line="360" w:lineRule="auto"/>
              <w:jc w:val="center"/>
              <w:rPr>
                <w:rFonts w:asciiTheme="majorBidi" w:hAnsiTheme="majorBidi" w:cstheme="majorBidi"/>
                <w:sz w:val="24"/>
                <w:szCs w:val="24"/>
                <w:lang w:val="en-US"/>
              </w:rPr>
            </w:pPr>
            <w:r w:rsidRPr="00005BFB">
              <w:rPr>
                <w:rFonts w:asciiTheme="majorBidi" w:hAnsiTheme="majorBidi" w:cstheme="majorBidi"/>
                <w:sz w:val="24"/>
                <w:szCs w:val="24"/>
                <w:lang w:val="en-US"/>
              </w:rPr>
              <w:t>Analysis of the third axis the trust in alternative products</w:t>
            </w:r>
          </w:p>
        </w:tc>
        <w:tc>
          <w:tcPr>
            <w:tcW w:w="1159" w:type="dxa"/>
            <w:vAlign w:val="center"/>
          </w:tcPr>
          <w:p w14:paraId="22F747E3" w14:textId="1F33CE8B"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141</w:t>
            </w:r>
          </w:p>
        </w:tc>
      </w:tr>
      <w:tr w:rsidR="00126CB0" w:rsidRPr="00740E8D" w14:paraId="6AACF22C" w14:textId="77777777" w:rsidTr="006B022D">
        <w:trPr>
          <w:trHeight w:val="510"/>
        </w:trPr>
        <w:tc>
          <w:tcPr>
            <w:tcW w:w="2028" w:type="dxa"/>
            <w:vAlign w:val="center"/>
          </w:tcPr>
          <w:p w14:paraId="5179D920" w14:textId="667D8ECE"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34</w:t>
            </w:r>
          </w:p>
        </w:tc>
        <w:tc>
          <w:tcPr>
            <w:tcW w:w="8117" w:type="dxa"/>
            <w:tcBorders>
              <w:top w:val="single" w:sz="4" w:space="0" w:color="auto"/>
            </w:tcBorders>
            <w:vAlign w:val="center"/>
          </w:tcPr>
          <w:p w14:paraId="4A8B8793" w14:textId="6AF756B1" w:rsidR="00126CB0" w:rsidRPr="00005BFB" w:rsidRDefault="00E3546C" w:rsidP="006B022D">
            <w:pPr>
              <w:spacing w:line="360" w:lineRule="auto"/>
              <w:jc w:val="center"/>
              <w:rPr>
                <w:rFonts w:asciiTheme="majorBidi" w:hAnsiTheme="majorBidi" w:cstheme="majorBidi"/>
                <w:sz w:val="24"/>
                <w:szCs w:val="24"/>
                <w:lang w:val="en-US"/>
              </w:rPr>
            </w:pPr>
            <w:r w:rsidRPr="00005BFB">
              <w:rPr>
                <w:rFonts w:asciiTheme="majorBidi" w:hAnsiTheme="majorBidi" w:cstheme="majorBidi"/>
                <w:sz w:val="24"/>
                <w:szCs w:val="24"/>
                <w:lang w:val="en-US"/>
              </w:rPr>
              <w:t>Analysis of the second axis the effectiveness of boycott in changing habits</w:t>
            </w:r>
          </w:p>
        </w:tc>
        <w:tc>
          <w:tcPr>
            <w:tcW w:w="1159" w:type="dxa"/>
            <w:vAlign w:val="center"/>
          </w:tcPr>
          <w:p w14:paraId="65DD0245" w14:textId="4C2097BA"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142</w:t>
            </w:r>
          </w:p>
        </w:tc>
      </w:tr>
      <w:tr w:rsidR="00126CB0" w:rsidRPr="00126CB0" w14:paraId="337A464E" w14:textId="77777777" w:rsidTr="006B022D">
        <w:trPr>
          <w:trHeight w:val="510"/>
        </w:trPr>
        <w:tc>
          <w:tcPr>
            <w:tcW w:w="2028" w:type="dxa"/>
            <w:vAlign w:val="center"/>
          </w:tcPr>
          <w:p w14:paraId="1311A01F" w14:textId="694B9C06" w:rsidR="00126CB0" w:rsidRPr="00005BFB" w:rsidRDefault="006B1405" w:rsidP="006B022D">
            <w:pPr>
              <w:jc w:val="center"/>
              <w:rPr>
                <w:rFonts w:asciiTheme="majorBidi" w:hAnsiTheme="majorBidi" w:cstheme="majorBidi"/>
                <w:sz w:val="24"/>
                <w:szCs w:val="24"/>
                <w:lang w:val="en-GB"/>
              </w:rPr>
            </w:pPr>
            <w:r>
              <w:rPr>
                <w:rFonts w:asciiTheme="majorBidi" w:hAnsiTheme="majorBidi" w:cstheme="majorBidi"/>
                <w:sz w:val="24"/>
                <w:szCs w:val="24"/>
                <w:lang w:val="en-GB"/>
              </w:rPr>
              <w:t>35</w:t>
            </w:r>
          </w:p>
        </w:tc>
        <w:tc>
          <w:tcPr>
            <w:tcW w:w="8117" w:type="dxa"/>
            <w:tcBorders>
              <w:top w:val="single" w:sz="4" w:space="0" w:color="auto"/>
            </w:tcBorders>
            <w:vAlign w:val="center"/>
          </w:tcPr>
          <w:p w14:paraId="263883AE" w14:textId="2F3C61E1" w:rsidR="00126CB0"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O</w:t>
            </w:r>
            <w:r w:rsidR="00E3546C" w:rsidRPr="00005BFB">
              <w:rPr>
                <w:rFonts w:asciiTheme="majorBidi" w:hAnsiTheme="majorBidi" w:cstheme="majorBidi"/>
                <w:sz w:val="24"/>
                <w:szCs w:val="24"/>
                <w:lang w:val="en-US"/>
              </w:rPr>
              <w:t>verall degree of boycott</w:t>
            </w:r>
          </w:p>
        </w:tc>
        <w:tc>
          <w:tcPr>
            <w:tcW w:w="1159" w:type="dxa"/>
            <w:vAlign w:val="center"/>
          </w:tcPr>
          <w:p w14:paraId="61206973" w14:textId="4E75D5FD"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143</w:t>
            </w:r>
          </w:p>
        </w:tc>
      </w:tr>
      <w:tr w:rsidR="00126CB0" w:rsidRPr="00740E8D" w14:paraId="06681579" w14:textId="77777777" w:rsidTr="006B022D">
        <w:trPr>
          <w:trHeight w:val="510"/>
        </w:trPr>
        <w:tc>
          <w:tcPr>
            <w:tcW w:w="2028" w:type="dxa"/>
            <w:vAlign w:val="center"/>
          </w:tcPr>
          <w:p w14:paraId="676E451D" w14:textId="6506657E"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36</w:t>
            </w:r>
          </w:p>
        </w:tc>
        <w:tc>
          <w:tcPr>
            <w:tcW w:w="8117" w:type="dxa"/>
            <w:tcBorders>
              <w:top w:val="single" w:sz="4" w:space="0" w:color="auto"/>
            </w:tcBorders>
            <w:vAlign w:val="center"/>
          </w:tcPr>
          <w:p w14:paraId="0C5E641F" w14:textId="69C4A189" w:rsidR="00126CB0" w:rsidRPr="00005BFB" w:rsidRDefault="000A587F" w:rsidP="006B022D">
            <w:pPr>
              <w:spacing w:line="360" w:lineRule="auto"/>
              <w:jc w:val="center"/>
              <w:rPr>
                <w:rFonts w:asciiTheme="majorBidi" w:hAnsiTheme="majorBidi" w:cstheme="majorBidi"/>
                <w:sz w:val="24"/>
                <w:szCs w:val="24"/>
                <w:lang w:val="en-US"/>
              </w:rPr>
            </w:pPr>
            <w:r>
              <w:rPr>
                <w:rFonts w:eastAsia="Calibri"/>
                <w:sz w:val="24"/>
                <w:szCs w:val="24"/>
                <w:lang w:val="en-US"/>
              </w:rPr>
              <w:t>R</w:t>
            </w:r>
            <w:r w:rsidR="00E3546C" w:rsidRPr="00005BFB">
              <w:rPr>
                <w:rFonts w:eastAsia="Calibri"/>
                <w:sz w:val="24"/>
                <w:szCs w:val="24"/>
                <w:lang w:val="en-US"/>
              </w:rPr>
              <w:t>eliability coefficient of parts of alternative products appeal</w:t>
            </w:r>
          </w:p>
        </w:tc>
        <w:tc>
          <w:tcPr>
            <w:tcW w:w="1159" w:type="dxa"/>
            <w:vAlign w:val="center"/>
          </w:tcPr>
          <w:p w14:paraId="1C33B309" w14:textId="521AB73A"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144</w:t>
            </w:r>
          </w:p>
        </w:tc>
      </w:tr>
      <w:tr w:rsidR="00126CB0" w:rsidRPr="00740E8D" w14:paraId="4068BBEC" w14:textId="77777777" w:rsidTr="006B022D">
        <w:trPr>
          <w:trHeight w:val="458"/>
        </w:trPr>
        <w:tc>
          <w:tcPr>
            <w:tcW w:w="2028" w:type="dxa"/>
            <w:vAlign w:val="center"/>
          </w:tcPr>
          <w:p w14:paraId="5A595E4F" w14:textId="601BE45A" w:rsidR="00E3546C"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37</w:t>
            </w:r>
          </w:p>
        </w:tc>
        <w:tc>
          <w:tcPr>
            <w:tcW w:w="8117" w:type="dxa"/>
            <w:tcBorders>
              <w:top w:val="single" w:sz="4" w:space="0" w:color="auto"/>
            </w:tcBorders>
            <w:vAlign w:val="center"/>
          </w:tcPr>
          <w:p w14:paraId="3183EA9F" w14:textId="7F15E4F9" w:rsidR="00E3546C" w:rsidRPr="00005BFB" w:rsidRDefault="00E3546C" w:rsidP="006B022D">
            <w:pPr>
              <w:spacing w:after="200" w:line="360" w:lineRule="auto"/>
              <w:jc w:val="center"/>
              <w:rPr>
                <w:rFonts w:eastAsia="Calibri"/>
                <w:sz w:val="24"/>
                <w:szCs w:val="24"/>
                <w:lang w:val="en-US"/>
              </w:rPr>
            </w:pPr>
            <w:r w:rsidRPr="00005BFB">
              <w:rPr>
                <w:rFonts w:eastAsia="Calibri"/>
                <w:sz w:val="24"/>
                <w:szCs w:val="24"/>
                <w:lang w:val="en-US"/>
              </w:rPr>
              <w:t>Analysis of the product quality</w:t>
            </w:r>
          </w:p>
        </w:tc>
        <w:tc>
          <w:tcPr>
            <w:tcW w:w="1159" w:type="dxa"/>
            <w:vAlign w:val="center"/>
          </w:tcPr>
          <w:p w14:paraId="2CCC9B26" w14:textId="0A23AA23"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145</w:t>
            </w:r>
          </w:p>
        </w:tc>
      </w:tr>
      <w:tr w:rsidR="00126CB0" w:rsidRPr="00740E8D" w14:paraId="2620C4E1" w14:textId="77777777" w:rsidTr="006B022D">
        <w:trPr>
          <w:trHeight w:val="510"/>
        </w:trPr>
        <w:tc>
          <w:tcPr>
            <w:tcW w:w="2028" w:type="dxa"/>
            <w:vAlign w:val="center"/>
          </w:tcPr>
          <w:p w14:paraId="1CB636BA" w14:textId="0ABBACE2"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38</w:t>
            </w:r>
          </w:p>
        </w:tc>
        <w:tc>
          <w:tcPr>
            <w:tcW w:w="8117" w:type="dxa"/>
            <w:tcBorders>
              <w:top w:val="single" w:sz="4" w:space="0" w:color="auto"/>
              <w:bottom w:val="single" w:sz="4" w:space="0" w:color="auto"/>
            </w:tcBorders>
            <w:vAlign w:val="center"/>
          </w:tcPr>
          <w:p w14:paraId="155E36D2" w14:textId="1BC7F7AE" w:rsidR="00126CB0" w:rsidRPr="00005BFB" w:rsidRDefault="00E3546C"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Analysis of the price competition</w:t>
            </w:r>
          </w:p>
        </w:tc>
        <w:tc>
          <w:tcPr>
            <w:tcW w:w="1159" w:type="dxa"/>
            <w:vAlign w:val="center"/>
          </w:tcPr>
          <w:p w14:paraId="5A69C112" w14:textId="09E194E0"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146</w:t>
            </w:r>
          </w:p>
        </w:tc>
      </w:tr>
      <w:tr w:rsidR="00126CB0" w:rsidRPr="00740E8D" w14:paraId="24A39ECA" w14:textId="77777777" w:rsidTr="006B022D">
        <w:trPr>
          <w:trHeight w:val="510"/>
        </w:trPr>
        <w:tc>
          <w:tcPr>
            <w:tcW w:w="2028" w:type="dxa"/>
            <w:vAlign w:val="center"/>
          </w:tcPr>
          <w:p w14:paraId="342F638C" w14:textId="50A22275"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39</w:t>
            </w:r>
          </w:p>
        </w:tc>
        <w:tc>
          <w:tcPr>
            <w:tcW w:w="8117" w:type="dxa"/>
            <w:tcBorders>
              <w:top w:val="single" w:sz="4" w:space="0" w:color="auto"/>
              <w:bottom w:val="single" w:sz="4" w:space="0" w:color="auto"/>
            </w:tcBorders>
            <w:vAlign w:val="center"/>
          </w:tcPr>
          <w:p w14:paraId="190AC3E9" w14:textId="66B6C811" w:rsidR="00126CB0" w:rsidRPr="00005BFB" w:rsidRDefault="00E3546C"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Analysis of the cultural alignment</w:t>
            </w:r>
          </w:p>
        </w:tc>
        <w:tc>
          <w:tcPr>
            <w:tcW w:w="1159" w:type="dxa"/>
            <w:vAlign w:val="center"/>
          </w:tcPr>
          <w:p w14:paraId="4D0A7126" w14:textId="57D1A791"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147</w:t>
            </w:r>
          </w:p>
        </w:tc>
      </w:tr>
      <w:tr w:rsidR="00126CB0" w:rsidRPr="00740E8D" w14:paraId="7F812B97" w14:textId="77777777" w:rsidTr="006B022D">
        <w:trPr>
          <w:trHeight w:val="510"/>
        </w:trPr>
        <w:tc>
          <w:tcPr>
            <w:tcW w:w="2028" w:type="dxa"/>
            <w:vAlign w:val="center"/>
          </w:tcPr>
          <w:p w14:paraId="62346CE5" w14:textId="50B11E5E" w:rsidR="00126CB0" w:rsidRPr="00005BFB" w:rsidRDefault="00126CB0"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40</w:t>
            </w:r>
          </w:p>
        </w:tc>
        <w:tc>
          <w:tcPr>
            <w:tcW w:w="8117" w:type="dxa"/>
            <w:tcBorders>
              <w:top w:val="single" w:sz="4" w:space="0" w:color="auto"/>
              <w:bottom w:val="single" w:sz="4" w:space="0" w:color="auto"/>
            </w:tcBorders>
            <w:vAlign w:val="center"/>
          </w:tcPr>
          <w:p w14:paraId="10426B88" w14:textId="267AE767" w:rsidR="00126CB0" w:rsidRPr="00005BFB" w:rsidRDefault="00E3546C"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Analysis of the availability and accessibility</w:t>
            </w:r>
          </w:p>
        </w:tc>
        <w:tc>
          <w:tcPr>
            <w:tcW w:w="1159" w:type="dxa"/>
            <w:vAlign w:val="center"/>
          </w:tcPr>
          <w:p w14:paraId="5F23E7D1" w14:textId="559D9622" w:rsidR="00126CB0"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148</w:t>
            </w:r>
          </w:p>
        </w:tc>
      </w:tr>
      <w:tr w:rsidR="00472ECD" w:rsidRPr="00740E8D" w14:paraId="1F1B3A71" w14:textId="77777777" w:rsidTr="006B022D">
        <w:trPr>
          <w:trHeight w:val="510"/>
        </w:trPr>
        <w:tc>
          <w:tcPr>
            <w:tcW w:w="2028" w:type="dxa"/>
            <w:vAlign w:val="center"/>
          </w:tcPr>
          <w:p w14:paraId="32EED89E" w14:textId="1BA00A66"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41</w:t>
            </w:r>
          </w:p>
        </w:tc>
        <w:tc>
          <w:tcPr>
            <w:tcW w:w="8117" w:type="dxa"/>
            <w:tcBorders>
              <w:top w:val="single" w:sz="4" w:space="0" w:color="auto"/>
              <w:bottom w:val="single" w:sz="4" w:space="0" w:color="auto"/>
            </w:tcBorders>
            <w:vAlign w:val="center"/>
          </w:tcPr>
          <w:p w14:paraId="0FF8FF77" w14:textId="43790F59" w:rsidR="00472ECD" w:rsidRPr="00005BFB" w:rsidRDefault="000A587F" w:rsidP="006B022D">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O</w:t>
            </w:r>
            <w:r w:rsidR="00472ECD" w:rsidRPr="00005BFB">
              <w:rPr>
                <w:rFonts w:asciiTheme="majorBidi" w:hAnsiTheme="majorBidi" w:cstheme="majorBidi"/>
                <w:sz w:val="24"/>
                <w:szCs w:val="24"/>
                <w:lang w:val="en-US"/>
              </w:rPr>
              <w:t>verall degree of alternative product appeal</w:t>
            </w:r>
          </w:p>
        </w:tc>
        <w:tc>
          <w:tcPr>
            <w:tcW w:w="1159" w:type="dxa"/>
            <w:vAlign w:val="center"/>
          </w:tcPr>
          <w:p w14:paraId="5E6D3871" w14:textId="2FF6B45C"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149</w:t>
            </w:r>
          </w:p>
        </w:tc>
      </w:tr>
      <w:tr w:rsidR="00472ECD" w:rsidRPr="00740E8D" w14:paraId="472CB4A0" w14:textId="77777777" w:rsidTr="006B022D">
        <w:trPr>
          <w:trHeight w:val="510"/>
        </w:trPr>
        <w:tc>
          <w:tcPr>
            <w:tcW w:w="2028" w:type="dxa"/>
            <w:vAlign w:val="center"/>
          </w:tcPr>
          <w:p w14:paraId="3697CCCC" w14:textId="6D1352AA"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42</w:t>
            </w:r>
          </w:p>
        </w:tc>
        <w:tc>
          <w:tcPr>
            <w:tcW w:w="8117" w:type="dxa"/>
            <w:tcBorders>
              <w:top w:val="single" w:sz="4" w:space="0" w:color="auto"/>
            </w:tcBorders>
            <w:vAlign w:val="center"/>
          </w:tcPr>
          <w:p w14:paraId="78987CA2" w14:textId="6177C4EC" w:rsidR="00472ECD" w:rsidRPr="00005BFB" w:rsidRDefault="000A587F" w:rsidP="006B022D">
            <w:pPr>
              <w:spacing w:line="360" w:lineRule="auto"/>
              <w:jc w:val="center"/>
              <w:rPr>
                <w:rFonts w:eastAsia="Calibri"/>
                <w:sz w:val="24"/>
                <w:szCs w:val="24"/>
                <w:lang w:val="en-US"/>
              </w:rPr>
            </w:pPr>
            <w:r>
              <w:rPr>
                <w:rFonts w:eastAsia="Calibri"/>
                <w:sz w:val="24"/>
                <w:szCs w:val="24"/>
                <w:lang w:val="en-US"/>
              </w:rPr>
              <w:t>R</w:t>
            </w:r>
            <w:r w:rsidR="00472ECD" w:rsidRPr="00005BFB">
              <w:rPr>
                <w:rFonts w:eastAsia="Calibri"/>
                <w:sz w:val="24"/>
                <w:szCs w:val="24"/>
                <w:lang w:val="en-US"/>
              </w:rPr>
              <w:t>eliability coefficient of parts of Turkish consumer behavior</w:t>
            </w:r>
          </w:p>
        </w:tc>
        <w:tc>
          <w:tcPr>
            <w:tcW w:w="1159" w:type="dxa"/>
            <w:vAlign w:val="center"/>
          </w:tcPr>
          <w:p w14:paraId="0CF2517C" w14:textId="63A9B66A"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150</w:t>
            </w:r>
          </w:p>
        </w:tc>
      </w:tr>
      <w:tr w:rsidR="00472ECD" w:rsidRPr="00740E8D" w14:paraId="1C3F234B" w14:textId="77777777" w:rsidTr="006B022D">
        <w:trPr>
          <w:trHeight w:val="510"/>
        </w:trPr>
        <w:tc>
          <w:tcPr>
            <w:tcW w:w="2028" w:type="dxa"/>
            <w:vAlign w:val="center"/>
          </w:tcPr>
          <w:p w14:paraId="39639047" w14:textId="4452A0A1"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43</w:t>
            </w:r>
          </w:p>
        </w:tc>
        <w:tc>
          <w:tcPr>
            <w:tcW w:w="8117" w:type="dxa"/>
            <w:tcBorders>
              <w:top w:val="single" w:sz="4" w:space="0" w:color="auto"/>
            </w:tcBorders>
            <w:vAlign w:val="center"/>
          </w:tcPr>
          <w:p w14:paraId="3BA2B62E" w14:textId="790FD799" w:rsidR="00472ECD" w:rsidRPr="00005BFB" w:rsidRDefault="00472ECD" w:rsidP="006B022D">
            <w:pPr>
              <w:spacing w:line="360" w:lineRule="auto"/>
              <w:jc w:val="center"/>
              <w:rPr>
                <w:rFonts w:eastAsia="Calibri"/>
                <w:sz w:val="24"/>
                <w:szCs w:val="24"/>
                <w:lang w:val="en-US"/>
              </w:rPr>
            </w:pPr>
            <w:r w:rsidRPr="00005BFB">
              <w:rPr>
                <w:rFonts w:eastAsia="Calibri"/>
                <w:sz w:val="24"/>
                <w:szCs w:val="24"/>
                <w:lang w:val="en-US"/>
              </w:rPr>
              <w:t xml:space="preserve">Analysis of the </w:t>
            </w:r>
            <w:r w:rsidRPr="00005BFB">
              <w:rPr>
                <w:rFonts w:asciiTheme="majorBidi" w:hAnsiTheme="majorBidi" w:cstheme="majorBidi"/>
                <w:sz w:val="24"/>
                <w:szCs w:val="24"/>
                <w:lang w:val="en-US"/>
              </w:rPr>
              <w:t>pre-boycott habits</w:t>
            </w:r>
          </w:p>
        </w:tc>
        <w:tc>
          <w:tcPr>
            <w:tcW w:w="1159" w:type="dxa"/>
            <w:vAlign w:val="center"/>
          </w:tcPr>
          <w:p w14:paraId="6C33DA00" w14:textId="452B4B44"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151</w:t>
            </w:r>
          </w:p>
        </w:tc>
      </w:tr>
      <w:tr w:rsidR="00472ECD" w:rsidRPr="00740E8D" w14:paraId="1A0B0FD9" w14:textId="77777777" w:rsidTr="006B022D">
        <w:trPr>
          <w:trHeight w:val="510"/>
        </w:trPr>
        <w:tc>
          <w:tcPr>
            <w:tcW w:w="2028" w:type="dxa"/>
            <w:vAlign w:val="center"/>
          </w:tcPr>
          <w:p w14:paraId="7B21CC20" w14:textId="781A0BE7"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44</w:t>
            </w:r>
          </w:p>
        </w:tc>
        <w:tc>
          <w:tcPr>
            <w:tcW w:w="8117" w:type="dxa"/>
            <w:tcBorders>
              <w:top w:val="single" w:sz="4" w:space="0" w:color="auto"/>
            </w:tcBorders>
            <w:vAlign w:val="center"/>
          </w:tcPr>
          <w:p w14:paraId="5AA0D8FD" w14:textId="01BC88BA" w:rsidR="00472ECD" w:rsidRPr="00005BFB" w:rsidRDefault="00472ECD" w:rsidP="006B022D">
            <w:pPr>
              <w:spacing w:line="360" w:lineRule="auto"/>
              <w:jc w:val="center"/>
              <w:rPr>
                <w:rFonts w:eastAsia="Calibri"/>
                <w:sz w:val="24"/>
                <w:szCs w:val="24"/>
                <w:lang w:val="en-US"/>
              </w:rPr>
            </w:pPr>
            <w:r w:rsidRPr="00005BFB">
              <w:rPr>
                <w:rFonts w:eastAsia="Calibri"/>
                <w:sz w:val="24"/>
                <w:szCs w:val="24"/>
                <w:lang w:val="en-US"/>
              </w:rPr>
              <w:t>Analysis of the willingness to try new alternatives</w:t>
            </w:r>
          </w:p>
        </w:tc>
        <w:tc>
          <w:tcPr>
            <w:tcW w:w="1159" w:type="dxa"/>
            <w:vAlign w:val="center"/>
          </w:tcPr>
          <w:p w14:paraId="67B15B5E" w14:textId="718F4DAD"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152</w:t>
            </w:r>
          </w:p>
        </w:tc>
      </w:tr>
      <w:tr w:rsidR="00472ECD" w:rsidRPr="00740E8D" w14:paraId="3164AD08" w14:textId="77777777" w:rsidTr="006B022D">
        <w:trPr>
          <w:trHeight w:val="510"/>
        </w:trPr>
        <w:tc>
          <w:tcPr>
            <w:tcW w:w="2028" w:type="dxa"/>
            <w:vAlign w:val="center"/>
          </w:tcPr>
          <w:p w14:paraId="1AF57BCC" w14:textId="46B17376"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45</w:t>
            </w:r>
          </w:p>
        </w:tc>
        <w:tc>
          <w:tcPr>
            <w:tcW w:w="8117" w:type="dxa"/>
            <w:tcBorders>
              <w:top w:val="single" w:sz="4" w:space="0" w:color="auto"/>
            </w:tcBorders>
            <w:vAlign w:val="center"/>
          </w:tcPr>
          <w:p w14:paraId="569B04C5" w14:textId="056F0CCB" w:rsidR="00472ECD" w:rsidRPr="00005BFB" w:rsidRDefault="00472ECD" w:rsidP="006B022D">
            <w:pPr>
              <w:spacing w:line="360" w:lineRule="auto"/>
              <w:jc w:val="center"/>
              <w:rPr>
                <w:rFonts w:eastAsia="Calibri"/>
                <w:sz w:val="24"/>
                <w:szCs w:val="24"/>
                <w:lang w:val="en-US"/>
              </w:rPr>
            </w:pPr>
            <w:r w:rsidRPr="00005BFB">
              <w:rPr>
                <w:rFonts w:eastAsia="Calibri"/>
                <w:sz w:val="24"/>
                <w:szCs w:val="24"/>
                <w:lang w:val="en-US"/>
              </w:rPr>
              <w:t>Analysis of the key decision-making factors</w:t>
            </w:r>
          </w:p>
        </w:tc>
        <w:tc>
          <w:tcPr>
            <w:tcW w:w="1159" w:type="dxa"/>
            <w:vAlign w:val="center"/>
          </w:tcPr>
          <w:p w14:paraId="1412D43C" w14:textId="6C380A36"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153</w:t>
            </w:r>
          </w:p>
        </w:tc>
      </w:tr>
      <w:tr w:rsidR="00472ECD" w:rsidRPr="00740E8D" w14:paraId="0CB152B0" w14:textId="77777777" w:rsidTr="006B022D">
        <w:trPr>
          <w:trHeight w:val="510"/>
        </w:trPr>
        <w:tc>
          <w:tcPr>
            <w:tcW w:w="2028" w:type="dxa"/>
            <w:vAlign w:val="center"/>
          </w:tcPr>
          <w:p w14:paraId="6D7FAD08" w14:textId="4EDD3696"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46</w:t>
            </w:r>
          </w:p>
        </w:tc>
        <w:tc>
          <w:tcPr>
            <w:tcW w:w="8117" w:type="dxa"/>
            <w:tcBorders>
              <w:top w:val="single" w:sz="4" w:space="0" w:color="auto"/>
            </w:tcBorders>
            <w:vAlign w:val="center"/>
          </w:tcPr>
          <w:p w14:paraId="561DEDFD" w14:textId="559E74C4" w:rsidR="00472ECD" w:rsidRPr="00005BFB" w:rsidRDefault="000A587F" w:rsidP="006B022D">
            <w:pPr>
              <w:spacing w:line="360" w:lineRule="auto"/>
              <w:jc w:val="center"/>
              <w:rPr>
                <w:rFonts w:eastAsia="Calibri"/>
                <w:sz w:val="24"/>
                <w:szCs w:val="24"/>
                <w:lang w:val="en-US"/>
              </w:rPr>
            </w:pPr>
            <w:r>
              <w:rPr>
                <w:rFonts w:asciiTheme="majorBidi" w:hAnsiTheme="majorBidi" w:cstheme="majorBidi"/>
                <w:sz w:val="24"/>
                <w:szCs w:val="24"/>
                <w:lang w:val="en-US"/>
              </w:rPr>
              <w:t>O</w:t>
            </w:r>
            <w:r w:rsidR="00472ECD" w:rsidRPr="00005BFB">
              <w:rPr>
                <w:rFonts w:asciiTheme="majorBidi" w:hAnsiTheme="majorBidi" w:cstheme="majorBidi"/>
                <w:sz w:val="24"/>
                <w:szCs w:val="24"/>
                <w:lang w:val="en-US"/>
              </w:rPr>
              <w:t>verall degree of Turkish consumer behavior</w:t>
            </w:r>
          </w:p>
        </w:tc>
        <w:tc>
          <w:tcPr>
            <w:tcW w:w="1159" w:type="dxa"/>
            <w:vAlign w:val="center"/>
          </w:tcPr>
          <w:p w14:paraId="553FD3E8" w14:textId="2DA835F6"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154</w:t>
            </w:r>
          </w:p>
        </w:tc>
      </w:tr>
      <w:tr w:rsidR="00472ECD" w:rsidRPr="00740E8D" w14:paraId="457341A0" w14:textId="77777777" w:rsidTr="006B022D">
        <w:trPr>
          <w:trHeight w:val="510"/>
        </w:trPr>
        <w:tc>
          <w:tcPr>
            <w:tcW w:w="2028" w:type="dxa"/>
            <w:vAlign w:val="center"/>
          </w:tcPr>
          <w:p w14:paraId="327A8569" w14:textId="3ECBB7D5" w:rsidR="00472ECD" w:rsidRPr="00005BFB" w:rsidRDefault="00472ECD"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47</w:t>
            </w:r>
          </w:p>
        </w:tc>
        <w:tc>
          <w:tcPr>
            <w:tcW w:w="8117" w:type="dxa"/>
            <w:tcBorders>
              <w:top w:val="single" w:sz="4" w:space="0" w:color="auto"/>
              <w:bottom w:val="single" w:sz="4" w:space="0" w:color="auto"/>
            </w:tcBorders>
            <w:vAlign w:val="center"/>
          </w:tcPr>
          <w:p w14:paraId="215CCAF6" w14:textId="03F95CB1" w:rsidR="00472ECD" w:rsidRPr="00005BFB" w:rsidRDefault="00472ECD" w:rsidP="006B022D">
            <w:pPr>
              <w:spacing w:line="360" w:lineRule="auto"/>
              <w:jc w:val="center"/>
              <w:rPr>
                <w:rFonts w:eastAsia="Calibri"/>
                <w:sz w:val="24"/>
                <w:szCs w:val="24"/>
                <w:lang w:val="en-US"/>
              </w:rPr>
            </w:pPr>
            <w:r w:rsidRPr="00005BFB">
              <w:rPr>
                <w:rFonts w:asciiTheme="majorBidi" w:hAnsiTheme="majorBidi" w:cstheme="majorBidi"/>
                <w:sz w:val="24"/>
                <w:szCs w:val="24"/>
                <w:lang w:val="en-US"/>
              </w:rPr>
              <w:t>The Alpha Cronbach total test.</w:t>
            </w:r>
          </w:p>
        </w:tc>
        <w:tc>
          <w:tcPr>
            <w:tcW w:w="1159" w:type="dxa"/>
            <w:vAlign w:val="center"/>
          </w:tcPr>
          <w:p w14:paraId="7FE31395" w14:textId="640297BC"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156</w:t>
            </w:r>
          </w:p>
        </w:tc>
      </w:tr>
      <w:tr w:rsidR="00472ECD" w:rsidRPr="00126CB0" w14:paraId="232E9281" w14:textId="77777777" w:rsidTr="006B022D">
        <w:trPr>
          <w:trHeight w:val="510"/>
        </w:trPr>
        <w:tc>
          <w:tcPr>
            <w:tcW w:w="2028" w:type="dxa"/>
            <w:vAlign w:val="center"/>
          </w:tcPr>
          <w:p w14:paraId="3FB4E7F8" w14:textId="0994F3B4" w:rsidR="00472ECD"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48</w:t>
            </w:r>
          </w:p>
        </w:tc>
        <w:tc>
          <w:tcPr>
            <w:tcW w:w="8117" w:type="dxa"/>
            <w:tcBorders>
              <w:top w:val="single" w:sz="4" w:space="0" w:color="auto"/>
            </w:tcBorders>
            <w:vAlign w:val="center"/>
          </w:tcPr>
          <w:p w14:paraId="1A33FBF9" w14:textId="43BE418F" w:rsidR="00472ECD" w:rsidRPr="00005BFB" w:rsidRDefault="00851483"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575641FE" w14:textId="6D04F06D"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156</w:t>
            </w:r>
          </w:p>
        </w:tc>
      </w:tr>
      <w:tr w:rsidR="00472ECD" w:rsidRPr="00126CB0" w14:paraId="0056E5F6" w14:textId="77777777" w:rsidTr="006B022D">
        <w:trPr>
          <w:trHeight w:val="510"/>
        </w:trPr>
        <w:tc>
          <w:tcPr>
            <w:tcW w:w="2028" w:type="dxa"/>
            <w:vAlign w:val="center"/>
          </w:tcPr>
          <w:p w14:paraId="7C23F72C" w14:textId="2711B678" w:rsidR="00472ECD"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49</w:t>
            </w:r>
          </w:p>
        </w:tc>
        <w:tc>
          <w:tcPr>
            <w:tcW w:w="8117" w:type="dxa"/>
            <w:tcBorders>
              <w:top w:val="single" w:sz="4" w:space="0" w:color="auto"/>
            </w:tcBorders>
            <w:vAlign w:val="center"/>
          </w:tcPr>
          <w:p w14:paraId="0ACE5F41" w14:textId="45C5417F" w:rsidR="00472ECD" w:rsidRPr="00005BFB" w:rsidRDefault="00851483" w:rsidP="006B022D">
            <w:pPr>
              <w:tabs>
                <w:tab w:val="left" w:pos="3160"/>
              </w:tabs>
              <w:spacing w:line="360" w:lineRule="auto"/>
              <w:jc w:val="center"/>
              <w:rPr>
                <w:rFonts w:asciiTheme="majorBidi" w:hAnsiTheme="majorBidi" w:cstheme="majorBidi"/>
                <w:sz w:val="24"/>
                <w:szCs w:val="24"/>
                <w:lang w:val="en-US"/>
              </w:rPr>
            </w:pPr>
            <w:r w:rsidRPr="00005BFB">
              <w:rPr>
                <w:rFonts w:eastAsia="Calibri"/>
                <w:sz w:val="24"/>
                <w:szCs w:val="24"/>
              </w:rPr>
              <w:t>Regression coefficients</w:t>
            </w:r>
          </w:p>
        </w:tc>
        <w:tc>
          <w:tcPr>
            <w:tcW w:w="1159" w:type="dxa"/>
            <w:vAlign w:val="center"/>
          </w:tcPr>
          <w:p w14:paraId="2A28F54A" w14:textId="1837672A"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156</w:t>
            </w:r>
          </w:p>
        </w:tc>
      </w:tr>
      <w:tr w:rsidR="00472ECD" w:rsidRPr="00126CB0" w14:paraId="623CF655" w14:textId="77777777" w:rsidTr="006B022D">
        <w:trPr>
          <w:trHeight w:val="510"/>
        </w:trPr>
        <w:tc>
          <w:tcPr>
            <w:tcW w:w="2028" w:type="dxa"/>
            <w:vAlign w:val="center"/>
          </w:tcPr>
          <w:p w14:paraId="77DB98C5" w14:textId="0F2709B0" w:rsidR="00472ECD"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50</w:t>
            </w:r>
          </w:p>
        </w:tc>
        <w:tc>
          <w:tcPr>
            <w:tcW w:w="8117" w:type="dxa"/>
            <w:tcBorders>
              <w:top w:val="single" w:sz="4" w:space="0" w:color="auto"/>
              <w:bottom w:val="single" w:sz="4" w:space="0" w:color="auto"/>
            </w:tcBorders>
            <w:vAlign w:val="center"/>
          </w:tcPr>
          <w:p w14:paraId="3E80B634" w14:textId="10903491" w:rsidR="00472ECD" w:rsidRPr="00005BFB" w:rsidRDefault="00851483"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6ADAAD73" w14:textId="685E509A" w:rsidR="00472ECD"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157</w:t>
            </w:r>
          </w:p>
        </w:tc>
      </w:tr>
      <w:tr w:rsidR="00851483" w:rsidRPr="00126CB0" w14:paraId="0B730C28" w14:textId="77777777" w:rsidTr="006B022D">
        <w:trPr>
          <w:trHeight w:val="510"/>
        </w:trPr>
        <w:tc>
          <w:tcPr>
            <w:tcW w:w="2028" w:type="dxa"/>
            <w:vAlign w:val="center"/>
          </w:tcPr>
          <w:p w14:paraId="0BC9CDBF" w14:textId="33E56733"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51</w:t>
            </w:r>
          </w:p>
        </w:tc>
        <w:tc>
          <w:tcPr>
            <w:tcW w:w="8117" w:type="dxa"/>
            <w:tcBorders>
              <w:top w:val="single" w:sz="4" w:space="0" w:color="auto"/>
              <w:bottom w:val="single" w:sz="4" w:space="0" w:color="auto"/>
            </w:tcBorders>
            <w:vAlign w:val="center"/>
          </w:tcPr>
          <w:p w14:paraId="57E6DDD8" w14:textId="06475A71" w:rsidR="00851483" w:rsidRPr="00005BFB" w:rsidRDefault="00851483" w:rsidP="006B022D">
            <w:pPr>
              <w:spacing w:line="360" w:lineRule="auto"/>
              <w:jc w:val="center"/>
              <w:rPr>
                <w:rFonts w:asciiTheme="majorBidi" w:hAnsiTheme="majorBidi" w:cstheme="majorBidi"/>
                <w:sz w:val="24"/>
                <w:szCs w:val="24"/>
                <w:lang w:val="en-US"/>
              </w:rPr>
            </w:pPr>
            <w:r w:rsidRPr="00005BFB">
              <w:rPr>
                <w:rFonts w:eastAsia="Calibri"/>
                <w:sz w:val="24"/>
                <w:szCs w:val="24"/>
              </w:rPr>
              <w:t>Regression coefficients</w:t>
            </w:r>
          </w:p>
        </w:tc>
        <w:tc>
          <w:tcPr>
            <w:tcW w:w="1159" w:type="dxa"/>
            <w:vAlign w:val="center"/>
          </w:tcPr>
          <w:p w14:paraId="4ED98FEB" w14:textId="5C524734"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158</w:t>
            </w:r>
          </w:p>
        </w:tc>
      </w:tr>
      <w:tr w:rsidR="00851483" w:rsidRPr="00126CB0" w14:paraId="1E29C9C3" w14:textId="77777777" w:rsidTr="006B022D">
        <w:trPr>
          <w:trHeight w:val="510"/>
        </w:trPr>
        <w:tc>
          <w:tcPr>
            <w:tcW w:w="2028" w:type="dxa"/>
            <w:vAlign w:val="center"/>
          </w:tcPr>
          <w:p w14:paraId="3045A5E6" w14:textId="6F5E645B"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52</w:t>
            </w:r>
          </w:p>
        </w:tc>
        <w:tc>
          <w:tcPr>
            <w:tcW w:w="8117" w:type="dxa"/>
            <w:tcBorders>
              <w:top w:val="single" w:sz="4" w:space="0" w:color="auto"/>
              <w:bottom w:val="single" w:sz="4" w:space="0" w:color="auto"/>
            </w:tcBorders>
            <w:vAlign w:val="center"/>
          </w:tcPr>
          <w:p w14:paraId="7AFA3714" w14:textId="72B7F0A2" w:rsidR="00851483" w:rsidRPr="00005BFB" w:rsidRDefault="00851483"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6C1FE1E4" w14:textId="7B6FCFD4"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158</w:t>
            </w:r>
          </w:p>
        </w:tc>
      </w:tr>
      <w:tr w:rsidR="00851483" w:rsidRPr="00126CB0" w14:paraId="4B03755B" w14:textId="77777777" w:rsidTr="006B022D">
        <w:trPr>
          <w:trHeight w:val="510"/>
        </w:trPr>
        <w:tc>
          <w:tcPr>
            <w:tcW w:w="2028" w:type="dxa"/>
            <w:vAlign w:val="center"/>
          </w:tcPr>
          <w:p w14:paraId="7BDA747C" w14:textId="200EF513"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53</w:t>
            </w:r>
          </w:p>
        </w:tc>
        <w:tc>
          <w:tcPr>
            <w:tcW w:w="8117" w:type="dxa"/>
            <w:tcBorders>
              <w:top w:val="single" w:sz="4" w:space="0" w:color="auto"/>
              <w:bottom w:val="single" w:sz="4" w:space="0" w:color="auto"/>
            </w:tcBorders>
            <w:vAlign w:val="center"/>
          </w:tcPr>
          <w:p w14:paraId="06B3C491" w14:textId="612B7265" w:rsidR="00851483" w:rsidRPr="00005BFB" w:rsidRDefault="00803819" w:rsidP="006B022D">
            <w:pPr>
              <w:spacing w:line="360" w:lineRule="auto"/>
              <w:jc w:val="center"/>
              <w:rPr>
                <w:rFonts w:asciiTheme="majorBidi" w:hAnsiTheme="majorBidi" w:cstheme="majorBidi"/>
                <w:sz w:val="24"/>
                <w:szCs w:val="24"/>
                <w:lang w:val="en-US"/>
              </w:rPr>
            </w:pPr>
            <w:r w:rsidRPr="00005BFB">
              <w:rPr>
                <w:rFonts w:eastAsia="Calibri"/>
                <w:sz w:val="24"/>
                <w:szCs w:val="24"/>
              </w:rPr>
              <w:t>Regression coefficients</w:t>
            </w:r>
          </w:p>
        </w:tc>
        <w:tc>
          <w:tcPr>
            <w:tcW w:w="1159" w:type="dxa"/>
            <w:vAlign w:val="center"/>
          </w:tcPr>
          <w:p w14:paraId="3988AA8B" w14:textId="4EA863BB"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159</w:t>
            </w:r>
          </w:p>
        </w:tc>
      </w:tr>
      <w:tr w:rsidR="00851483" w:rsidRPr="00126CB0" w14:paraId="196A6B97" w14:textId="77777777" w:rsidTr="006B022D">
        <w:trPr>
          <w:trHeight w:val="510"/>
        </w:trPr>
        <w:tc>
          <w:tcPr>
            <w:tcW w:w="2028" w:type="dxa"/>
            <w:vAlign w:val="center"/>
          </w:tcPr>
          <w:p w14:paraId="09508CA1" w14:textId="107B2F7A"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54</w:t>
            </w:r>
          </w:p>
        </w:tc>
        <w:tc>
          <w:tcPr>
            <w:tcW w:w="8117" w:type="dxa"/>
            <w:tcBorders>
              <w:top w:val="single" w:sz="4" w:space="0" w:color="auto"/>
            </w:tcBorders>
            <w:vAlign w:val="center"/>
          </w:tcPr>
          <w:p w14:paraId="722FAB51" w14:textId="150C3132" w:rsidR="00851483" w:rsidRPr="00005BFB" w:rsidRDefault="00803819"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29CC306C" w14:textId="4A3FDEED"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160</w:t>
            </w:r>
          </w:p>
        </w:tc>
      </w:tr>
      <w:tr w:rsidR="00851483" w:rsidRPr="00126CB0" w14:paraId="3065235E" w14:textId="77777777" w:rsidTr="006B022D">
        <w:trPr>
          <w:trHeight w:val="510"/>
        </w:trPr>
        <w:tc>
          <w:tcPr>
            <w:tcW w:w="2028" w:type="dxa"/>
            <w:vAlign w:val="center"/>
          </w:tcPr>
          <w:p w14:paraId="13D487DD" w14:textId="01C05DCB"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55</w:t>
            </w:r>
          </w:p>
        </w:tc>
        <w:tc>
          <w:tcPr>
            <w:tcW w:w="8117" w:type="dxa"/>
            <w:tcBorders>
              <w:top w:val="single" w:sz="4" w:space="0" w:color="auto"/>
            </w:tcBorders>
            <w:vAlign w:val="center"/>
          </w:tcPr>
          <w:p w14:paraId="5B6CF689" w14:textId="6C051929" w:rsidR="00851483" w:rsidRPr="00005BFB" w:rsidRDefault="006B1405" w:rsidP="006B022D">
            <w:pPr>
              <w:spacing w:line="360" w:lineRule="auto"/>
              <w:jc w:val="center"/>
              <w:rPr>
                <w:rFonts w:asciiTheme="majorBidi" w:hAnsiTheme="majorBidi" w:cstheme="majorBidi"/>
                <w:sz w:val="24"/>
                <w:szCs w:val="24"/>
                <w:lang w:val="en-US"/>
              </w:rPr>
            </w:pPr>
            <w:r>
              <w:rPr>
                <w:rFonts w:eastAsia="Calibri"/>
                <w:sz w:val="24"/>
                <w:szCs w:val="24"/>
              </w:rPr>
              <w:t>R</w:t>
            </w:r>
            <w:r w:rsidR="00803819" w:rsidRPr="00005BFB">
              <w:rPr>
                <w:rFonts w:eastAsia="Calibri"/>
                <w:sz w:val="24"/>
                <w:szCs w:val="24"/>
              </w:rPr>
              <w:t>egression coefficients</w:t>
            </w:r>
          </w:p>
        </w:tc>
        <w:tc>
          <w:tcPr>
            <w:tcW w:w="1159" w:type="dxa"/>
            <w:vAlign w:val="center"/>
          </w:tcPr>
          <w:p w14:paraId="7E3ACA05" w14:textId="6F595DA6"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160</w:t>
            </w:r>
          </w:p>
        </w:tc>
      </w:tr>
      <w:tr w:rsidR="00851483" w:rsidRPr="00126CB0" w14:paraId="5A156469" w14:textId="77777777" w:rsidTr="006B022D">
        <w:trPr>
          <w:trHeight w:val="510"/>
        </w:trPr>
        <w:tc>
          <w:tcPr>
            <w:tcW w:w="2028" w:type="dxa"/>
            <w:vAlign w:val="center"/>
          </w:tcPr>
          <w:p w14:paraId="48E51B81" w14:textId="29E02F4E"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56</w:t>
            </w:r>
          </w:p>
        </w:tc>
        <w:tc>
          <w:tcPr>
            <w:tcW w:w="8117" w:type="dxa"/>
            <w:tcBorders>
              <w:top w:val="single" w:sz="4" w:space="0" w:color="auto"/>
            </w:tcBorders>
            <w:vAlign w:val="center"/>
          </w:tcPr>
          <w:p w14:paraId="185CEF2B" w14:textId="297C8E70" w:rsidR="00851483" w:rsidRPr="00005BFB" w:rsidRDefault="00803819"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40500D27" w14:textId="5125B759"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161</w:t>
            </w:r>
          </w:p>
        </w:tc>
      </w:tr>
      <w:tr w:rsidR="00851483" w:rsidRPr="00126CB0" w14:paraId="6006450A" w14:textId="77777777" w:rsidTr="006B022D">
        <w:trPr>
          <w:trHeight w:val="511"/>
        </w:trPr>
        <w:tc>
          <w:tcPr>
            <w:tcW w:w="2028" w:type="dxa"/>
            <w:vAlign w:val="center"/>
          </w:tcPr>
          <w:p w14:paraId="6590EABB" w14:textId="32FFBF85" w:rsidR="00803819"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57</w:t>
            </w:r>
          </w:p>
        </w:tc>
        <w:tc>
          <w:tcPr>
            <w:tcW w:w="8117" w:type="dxa"/>
            <w:tcBorders>
              <w:top w:val="single" w:sz="4" w:space="0" w:color="auto"/>
              <w:bottom w:val="single" w:sz="4" w:space="0" w:color="auto"/>
            </w:tcBorders>
            <w:vAlign w:val="center"/>
          </w:tcPr>
          <w:p w14:paraId="038A043E" w14:textId="02B6B4D5" w:rsidR="00803819" w:rsidRPr="00005BFB" w:rsidRDefault="000A587F" w:rsidP="006B022D">
            <w:pPr>
              <w:spacing w:after="200" w:line="360" w:lineRule="auto"/>
              <w:jc w:val="center"/>
              <w:rPr>
                <w:rFonts w:eastAsia="Calibri"/>
                <w:sz w:val="24"/>
                <w:szCs w:val="24"/>
              </w:rPr>
            </w:pPr>
            <w:r>
              <w:rPr>
                <w:rFonts w:eastAsia="Calibri"/>
                <w:sz w:val="24"/>
                <w:szCs w:val="24"/>
              </w:rPr>
              <w:t>R</w:t>
            </w:r>
            <w:r w:rsidR="00803819" w:rsidRPr="00005BFB">
              <w:rPr>
                <w:rFonts w:eastAsia="Calibri"/>
                <w:sz w:val="24"/>
                <w:szCs w:val="24"/>
              </w:rPr>
              <w:t>egression coefficients</w:t>
            </w:r>
          </w:p>
        </w:tc>
        <w:tc>
          <w:tcPr>
            <w:tcW w:w="1159" w:type="dxa"/>
            <w:vAlign w:val="center"/>
          </w:tcPr>
          <w:p w14:paraId="60D17F1C" w14:textId="3723E9C4"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161</w:t>
            </w:r>
          </w:p>
        </w:tc>
      </w:tr>
      <w:tr w:rsidR="00851483" w:rsidRPr="00126CB0" w14:paraId="68A4F5B6" w14:textId="77777777" w:rsidTr="006B022D">
        <w:trPr>
          <w:trHeight w:val="510"/>
        </w:trPr>
        <w:tc>
          <w:tcPr>
            <w:tcW w:w="2028" w:type="dxa"/>
            <w:vAlign w:val="center"/>
          </w:tcPr>
          <w:p w14:paraId="1B17EE9B" w14:textId="2D1FCD85"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58</w:t>
            </w:r>
          </w:p>
        </w:tc>
        <w:tc>
          <w:tcPr>
            <w:tcW w:w="8117" w:type="dxa"/>
            <w:tcBorders>
              <w:top w:val="single" w:sz="4" w:space="0" w:color="auto"/>
            </w:tcBorders>
            <w:vAlign w:val="center"/>
          </w:tcPr>
          <w:p w14:paraId="00296E0E" w14:textId="51C2215D" w:rsidR="00851483" w:rsidRPr="00005BFB" w:rsidRDefault="00803819" w:rsidP="006B022D">
            <w:pPr>
              <w:spacing w:line="360" w:lineRule="auto"/>
              <w:jc w:val="center"/>
              <w:rPr>
                <w:rFonts w:asciiTheme="majorBidi" w:hAnsiTheme="majorBidi" w:cstheme="majorBidi"/>
                <w:sz w:val="24"/>
                <w:szCs w:val="24"/>
                <w:lang w:val="en-US"/>
              </w:rPr>
            </w:pPr>
            <w:r w:rsidRPr="00005BFB">
              <w:rPr>
                <w:rFonts w:eastAsia="Calibri"/>
                <w:sz w:val="24"/>
                <w:szCs w:val="24"/>
                <w:lang w:val="en-US"/>
              </w:rPr>
              <w:t>Correlation coefficient</w:t>
            </w:r>
          </w:p>
        </w:tc>
        <w:tc>
          <w:tcPr>
            <w:tcW w:w="1159" w:type="dxa"/>
            <w:vAlign w:val="center"/>
          </w:tcPr>
          <w:p w14:paraId="506FB5F9" w14:textId="5EEDB837"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162</w:t>
            </w:r>
          </w:p>
        </w:tc>
      </w:tr>
      <w:tr w:rsidR="00851483" w:rsidRPr="00126CB0" w14:paraId="2561C847" w14:textId="77777777" w:rsidTr="006B022D">
        <w:trPr>
          <w:trHeight w:val="510"/>
        </w:trPr>
        <w:tc>
          <w:tcPr>
            <w:tcW w:w="2028" w:type="dxa"/>
            <w:vAlign w:val="center"/>
          </w:tcPr>
          <w:p w14:paraId="2BC22D45" w14:textId="2BB512F8" w:rsidR="00851483"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59</w:t>
            </w:r>
          </w:p>
        </w:tc>
        <w:tc>
          <w:tcPr>
            <w:tcW w:w="8117" w:type="dxa"/>
            <w:tcBorders>
              <w:top w:val="single" w:sz="4" w:space="0" w:color="auto"/>
            </w:tcBorders>
            <w:vAlign w:val="center"/>
          </w:tcPr>
          <w:p w14:paraId="534F8183" w14:textId="67B8D98E" w:rsidR="00851483" w:rsidRPr="00005BFB" w:rsidRDefault="000A587F" w:rsidP="006B022D">
            <w:pPr>
              <w:spacing w:line="360" w:lineRule="auto"/>
              <w:jc w:val="center"/>
              <w:rPr>
                <w:rFonts w:asciiTheme="majorBidi" w:hAnsiTheme="majorBidi" w:cstheme="majorBidi"/>
                <w:sz w:val="24"/>
                <w:szCs w:val="24"/>
                <w:lang w:val="en-US"/>
              </w:rPr>
            </w:pPr>
            <w:r>
              <w:rPr>
                <w:rFonts w:eastAsia="Calibri"/>
                <w:sz w:val="24"/>
                <w:szCs w:val="24"/>
              </w:rPr>
              <w:t>R</w:t>
            </w:r>
            <w:r w:rsidR="00803819" w:rsidRPr="00005BFB">
              <w:rPr>
                <w:rFonts w:eastAsia="Calibri"/>
                <w:sz w:val="24"/>
                <w:szCs w:val="24"/>
              </w:rPr>
              <w:t>egression coefficients</w:t>
            </w:r>
          </w:p>
        </w:tc>
        <w:tc>
          <w:tcPr>
            <w:tcW w:w="1159" w:type="dxa"/>
            <w:vAlign w:val="center"/>
          </w:tcPr>
          <w:p w14:paraId="2C286970" w14:textId="27B2D132"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163</w:t>
            </w:r>
          </w:p>
        </w:tc>
      </w:tr>
      <w:tr w:rsidR="00851483" w:rsidRPr="00126CB0" w14:paraId="11CEC506" w14:textId="77777777" w:rsidTr="006B022D">
        <w:trPr>
          <w:trHeight w:val="408"/>
        </w:trPr>
        <w:tc>
          <w:tcPr>
            <w:tcW w:w="2028" w:type="dxa"/>
            <w:vAlign w:val="center"/>
          </w:tcPr>
          <w:p w14:paraId="7BAC27D2" w14:textId="33A0EB9F" w:rsidR="00803819" w:rsidRPr="00005BFB" w:rsidRDefault="00851483"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60</w:t>
            </w:r>
          </w:p>
        </w:tc>
        <w:tc>
          <w:tcPr>
            <w:tcW w:w="8117" w:type="dxa"/>
            <w:tcBorders>
              <w:top w:val="single" w:sz="4" w:space="0" w:color="auto"/>
              <w:bottom w:val="single" w:sz="4" w:space="0" w:color="auto"/>
            </w:tcBorders>
            <w:vAlign w:val="center"/>
          </w:tcPr>
          <w:p w14:paraId="1680A8BD" w14:textId="0E8464FE" w:rsidR="00851483" w:rsidRPr="00005BFB" w:rsidRDefault="00803819" w:rsidP="006B022D">
            <w:pPr>
              <w:spacing w:after="200" w:line="360" w:lineRule="auto"/>
              <w:jc w:val="center"/>
              <w:rPr>
                <w:rFonts w:eastAsia="Calibri"/>
                <w:sz w:val="24"/>
                <w:szCs w:val="24"/>
                <w:lang w:val="en-US"/>
              </w:rPr>
            </w:pPr>
            <w:r w:rsidRPr="00005BFB">
              <w:rPr>
                <w:rFonts w:eastAsia="Calibri"/>
                <w:sz w:val="24"/>
                <w:szCs w:val="24"/>
                <w:lang w:val="en-US"/>
              </w:rPr>
              <w:t>Correlation coefficient</w:t>
            </w:r>
          </w:p>
        </w:tc>
        <w:tc>
          <w:tcPr>
            <w:tcW w:w="1159" w:type="dxa"/>
            <w:vAlign w:val="center"/>
          </w:tcPr>
          <w:p w14:paraId="60D62177" w14:textId="7897E2B8" w:rsidR="00851483"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163</w:t>
            </w:r>
          </w:p>
        </w:tc>
      </w:tr>
      <w:tr w:rsidR="00803819" w:rsidRPr="00126CB0" w14:paraId="0F179089" w14:textId="77777777" w:rsidTr="006B022D">
        <w:trPr>
          <w:trHeight w:val="408"/>
        </w:trPr>
        <w:tc>
          <w:tcPr>
            <w:tcW w:w="2028" w:type="dxa"/>
            <w:vAlign w:val="center"/>
          </w:tcPr>
          <w:p w14:paraId="2A3AA304" w14:textId="14FCB314"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61</w:t>
            </w:r>
          </w:p>
        </w:tc>
        <w:tc>
          <w:tcPr>
            <w:tcW w:w="8117" w:type="dxa"/>
            <w:tcBorders>
              <w:top w:val="single" w:sz="4" w:space="0" w:color="auto"/>
            </w:tcBorders>
            <w:vAlign w:val="center"/>
          </w:tcPr>
          <w:p w14:paraId="268C9743" w14:textId="57673DC4" w:rsidR="00803819" w:rsidRPr="00005BFB" w:rsidRDefault="000A587F" w:rsidP="006B022D">
            <w:pPr>
              <w:spacing w:after="200" w:line="360" w:lineRule="auto"/>
              <w:jc w:val="center"/>
              <w:rPr>
                <w:rFonts w:eastAsia="Calibri"/>
                <w:sz w:val="24"/>
                <w:szCs w:val="24"/>
                <w:lang w:val="en-US"/>
              </w:rPr>
            </w:pPr>
            <w:r>
              <w:rPr>
                <w:rFonts w:eastAsia="Calibri"/>
                <w:sz w:val="24"/>
                <w:szCs w:val="24"/>
              </w:rPr>
              <w:t>R</w:t>
            </w:r>
            <w:r w:rsidR="00803819" w:rsidRPr="00005BFB">
              <w:rPr>
                <w:rFonts w:eastAsia="Calibri"/>
                <w:sz w:val="24"/>
                <w:szCs w:val="24"/>
              </w:rPr>
              <w:t>egression coefficients</w:t>
            </w:r>
          </w:p>
        </w:tc>
        <w:tc>
          <w:tcPr>
            <w:tcW w:w="1159" w:type="dxa"/>
            <w:vAlign w:val="center"/>
          </w:tcPr>
          <w:p w14:paraId="7A93B1C3" w14:textId="459741A0"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164</w:t>
            </w:r>
          </w:p>
        </w:tc>
      </w:tr>
      <w:tr w:rsidR="00803819" w:rsidRPr="00126CB0" w14:paraId="5513D20F" w14:textId="77777777" w:rsidTr="006B022D">
        <w:trPr>
          <w:trHeight w:val="408"/>
        </w:trPr>
        <w:tc>
          <w:tcPr>
            <w:tcW w:w="2028" w:type="dxa"/>
            <w:vAlign w:val="center"/>
          </w:tcPr>
          <w:p w14:paraId="0FFE2B7D" w14:textId="5B99428A"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62</w:t>
            </w:r>
          </w:p>
        </w:tc>
        <w:tc>
          <w:tcPr>
            <w:tcW w:w="8117" w:type="dxa"/>
            <w:tcBorders>
              <w:top w:val="single" w:sz="4" w:space="0" w:color="auto"/>
            </w:tcBorders>
            <w:vAlign w:val="center"/>
          </w:tcPr>
          <w:p w14:paraId="24D71575" w14:textId="4AC7DD78" w:rsidR="00803819" w:rsidRPr="00005BFB" w:rsidRDefault="00803819" w:rsidP="006B022D">
            <w:pPr>
              <w:spacing w:after="200" w:line="360" w:lineRule="auto"/>
              <w:jc w:val="center"/>
              <w:rPr>
                <w:rFonts w:eastAsia="Calibri"/>
                <w:sz w:val="24"/>
                <w:szCs w:val="24"/>
                <w:lang w:val="en-US"/>
              </w:rPr>
            </w:pPr>
            <w:r w:rsidRPr="00005BFB">
              <w:rPr>
                <w:rFonts w:eastAsia="Calibri"/>
                <w:sz w:val="24"/>
                <w:szCs w:val="24"/>
                <w:lang w:val="en-US"/>
              </w:rPr>
              <w:t>Correlation coefficient</w:t>
            </w:r>
          </w:p>
        </w:tc>
        <w:tc>
          <w:tcPr>
            <w:tcW w:w="1159" w:type="dxa"/>
            <w:vAlign w:val="center"/>
          </w:tcPr>
          <w:p w14:paraId="6A5EE213" w14:textId="79FB2FEA"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165</w:t>
            </w:r>
          </w:p>
        </w:tc>
      </w:tr>
      <w:tr w:rsidR="00803819" w:rsidRPr="00126CB0" w14:paraId="354AB5D3" w14:textId="77777777" w:rsidTr="006B022D">
        <w:trPr>
          <w:trHeight w:val="408"/>
        </w:trPr>
        <w:tc>
          <w:tcPr>
            <w:tcW w:w="2028" w:type="dxa"/>
            <w:vAlign w:val="center"/>
          </w:tcPr>
          <w:p w14:paraId="13E0118B" w14:textId="417E67DA"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63</w:t>
            </w:r>
          </w:p>
        </w:tc>
        <w:tc>
          <w:tcPr>
            <w:tcW w:w="8117" w:type="dxa"/>
            <w:tcBorders>
              <w:top w:val="single" w:sz="4" w:space="0" w:color="auto"/>
            </w:tcBorders>
            <w:vAlign w:val="center"/>
          </w:tcPr>
          <w:p w14:paraId="160DC7DB" w14:textId="1D4E5F7E" w:rsidR="00803819" w:rsidRPr="00005BFB" w:rsidRDefault="000A587F" w:rsidP="006B022D">
            <w:pPr>
              <w:tabs>
                <w:tab w:val="left" w:pos="2860"/>
              </w:tabs>
              <w:spacing w:after="200" w:line="360" w:lineRule="auto"/>
              <w:jc w:val="center"/>
              <w:rPr>
                <w:rFonts w:eastAsia="Calibri"/>
                <w:sz w:val="24"/>
                <w:szCs w:val="24"/>
                <w:lang w:val="en-US"/>
              </w:rPr>
            </w:pPr>
            <w:r>
              <w:rPr>
                <w:rFonts w:eastAsia="Calibri"/>
                <w:sz w:val="24"/>
                <w:szCs w:val="24"/>
              </w:rPr>
              <w:t>R</w:t>
            </w:r>
            <w:r w:rsidR="00803819" w:rsidRPr="00005BFB">
              <w:rPr>
                <w:rFonts w:eastAsia="Calibri"/>
                <w:sz w:val="24"/>
                <w:szCs w:val="24"/>
              </w:rPr>
              <w:t>egression coefficients</w:t>
            </w:r>
          </w:p>
        </w:tc>
        <w:tc>
          <w:tcPr>
            <w:tcW w:w="1159" w:type="dxa"/>
            <w:vAlign w:val="center"/>
          </w:tcPr>
          <w:p w14:paraId="29B8E58A" w14:textId="00318AA4"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165</w:t>
            </w:r>
          </w:p>
        </w:tc>
      </w:tr>
      <w:tr w:rsidR="00803819" w:rsidRPr="00126CB0" w14:paraId="2D48A6F3" w14:textId="77777777" w:rsidTr="006B022D">
        <w:trPr>
          <w:trHeight w:val="408"/>
        </w:trPr>
        <w:tc>
          <w:tcPr>
            <w:tcW w:w="2028" w:type="dxa"/>
            <w:vAlign w:val="center"/>
          </w:tcPr>
          <w:p w14:paraId="05C7512D" w14:textId="519FB1F6"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64</w:t>
            </w:r>
          </w:p>
        </w:tc>
        <w:tc>
          <w:tcPr>
            <w:tcW w:w="8117" w:type="dxa"/>
            <w:tcBorders>
              <w:top w:val="single" w:sz="4" w:space="0" w:color="auto"/>
              <w:bottom w:val="single" w:sz="4" w:space="0" w:color="auto"/>
            </w:tcBorders>
            <w:vAlign w:val="center"/>
          </w:tcPr>
          <w:p w14:paraId="4A81E1F8" w14:textId="36D57F5B" w:rsidR="00803819" w:rsidRPr="00005BFB" w:rsidRDefault="00803819" w:rsidP="006B022D">
            <w:pPr>
              <w:spacing w:after="200" w:line="360" w:lineRule="auto"/>
              <w:jc w:val="center"/>
              <w:rPr>
                <w:rFonts w:eastAsia="Calibri"/>
                <w:sz w:val="24"/>
                <w:szCs w:val="24"/>
                <w:lang w:val="en-US"/>
              </w:rPr>
            </w:pPr>
            <w:r w:rsidRPr="00005BFB">
              <w:rPr>
                <w:rFonts w:eastAsia="Calibri"/>
                <w:sz w:val="24"/>
                <w:szCs w:val="24"/>
                <w:lang w:val="en-US"/>
              </w:rPr>
              <w:t>Correlation coefficient</w:t>
            </w:r>
          </w:p>
        </w:tc>
        <w:tc>
          <w:tcPr>
            <w:tcW w:w="1159" w:type="dxa"/>
            <w:vAlign w:val="center"/>
          </w:tcPr>
          <w:p w14:paraId="73C6D0E4" w14:textId="6FA237B6"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166</w:t>
            </w:r>
          </w:p>
        </w:tc>
      </w:tr>
      <w:tr w:rsidR="00803819" w:rsidRPr="00126CB0" w14:paraId="7325EC75" w14:textId="77777777" w:rsidTr="006B022D">
        <w:trPr>
          <w:trHeight w:val="408"/>
        </w:trPr>
        <w:tc>
          <w:tcPr>
            <w:tcW w:w="2028" w:type="dxa"/>
            <w:vAlign w:val="center"/>
          </w:tcPr>
          <w:p w14:paraId="6E4403BB" w14:textId="796BE5C2"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65</w:t>
            </w:r>
          </w:p>
        </w:tc>
        <w:tc>
          <w:tcPr>
            <w:tcW w:w="8117" w:type="dxa"/>
            <w:tcBorders>
              <w:top w:val="single" w:sz="4" w:space="0" w:color="auto"/>
              <w:bottom w:val="single" w:sz="4" w:space="0" w:color="auto"/>
            </w:tcBorders>
            <w:vAlign w:val="center"/>
          </w:tcPr>
          <w:p w14:paraId="42500190" w14:textId="27A20A3A" w:rsidR="00803819" w:rsidRPr="00005BFB" w:rsidRDefault="00CA5B95" w:rsidP="006B022D">
            <w:pPr>
              <w:spacing w:after="200" w:line="360" w:lineRule="auto"/>
              <w:jc w:val="center"/>
              <w:rPr>
                <w:rFonts w:eastAsia="Calibri"/>
                <w:sz w:val="24"/>
                <w:szCs w:val="24"/>
                <w:lang w:val="en-US"/>
              </w:rPr>
            </w:pPr>
            <w:r w:rsidRPr="00005BFB">
              <w:rPr>
                <w:rFonts w:eastAsia="Calibri"/>
                <w:sz w:val="24"/>
                <w:szCs w:val="24"/>
              </w:rPr>
              <w:t>Regression coefficients</w:t>
            </w:r>
          </w:p>
        </w:tc>
        <w:tc>
          <w:tcPr>
            <w:tcW w:w="1159" w:type="dxa"/>
            <w:vAlign w:val="center"/>
          </w:tcPr>
          <w:p w14:paraId="1258C90F" w14:textId="23CB8B61"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166</w:t>
            </w:r>
          </w:p>
        </w:tc>
      </w:tr>
      <w:tr w:rsidR="00803819" w:rsidRPr="00126CB0" w14:paraId="2D7E9396" w14:textId="77777777" w:rsidTr="006B022D">
        <w:trPr>
          <w:trHeight w:val="408"/>
        </w:trPr>
        <w:tc>
          <w:tcPr>
            <w:tcW w:w="2028" w:type="dxa"/>
            <w:vAlign w:val="center"/>
          </w:tcPr>
          <w:p w14:paraId="6553CE20" w14:textId="0A19628B"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66</w:t>
            </w:r>
          </w:p>
        </w:tc>
        <w:tc>
          <w:tcPr>
            <w:tcW w:w="8117" w:type="dxa"/>
            <w:tcBorders>
              <w:top w:val="single" w:sz="4" w:space="0" w:color="auto"/>
              <w:bottom w:val="single" w:sz="4" w:space="0" w:color="auto"/>
            </w:tcBorders>
            <w:vAlign w:val="center"/>
          </w:tcPr>
          <w:p w14:paraId="5B179084" w14:textId="032FF220" w:rsidR="00803819" w:rsidRPr="00005BFB" w:rsidRDefault="00CA5B95" w:rsidP="006B022D">
            <w:pPr>
              <w:spacing w:after="200" w:line="360" w:lineRule="auto"/>
              <w:jc w:val="center"/>
              <w:rPr>
                <w:rFonts w:eastAsia="Calibri"/>
                <w:sz w:val="24"/>
                <w:szCs w:val="24"/>
                <w:lang w:val="en-US"/>
              </w:rPr>
            </w:pPr>
            <w:r w:rsidRPr="00005BFB">
              <w:rPr>
                <w:rFonts w:eastAsia="Calibri"/>
                <w:sz w:val="24"/>
                <w:szCs w:val="24"/>
                <w:lang w:val="en-US"/>
              </w:rPr>
              <w:t>Correlation coefficient</w:t>
            </w:r>
          </w:p>
        </w:tc>
        <w:tc>
          <w:tcPr>
            <w:tcW w:w="1159" w:type="dxa"/>
            <w:vAlign w:val="center"/>
          </w:tcPr>
          <w:p w14:paraId="32101190" w14:textId="1CE75BF9"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167</w:t>
            </w:r>
          </w:p>
        </w:tc>
      </w:tr>
      <w:tr w:rsidR="00803819" w:rsidRPr="00126CB0" w14:paraId="224492B4" w14:textId="77777777" w:rsidTr="006B022D">
        <w:trPr>
          <w:trHeight w:val="408"/>
        </w:trPr>
        <w:tc>
          <w:tcPr>
            <w:tcW w:w="2028" w:type="dxa"/>
            <w:vAlign w:val="center"/>
          </w:tcPr>
          <w:p w14:paraId="1B530F75" w14:textId="564C5FF1"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67</w:t>
            </w:r>
          </w:p>
        </w:tc>
        <w:tc>
          <w:tcPr>
            <w:tcW w:w="8117" w:type="dxa"/>
            <w:tcBorders>
              <w:top w:val="single" w:sz="4" w:space="0" w:color="auto"/>
              <w:bottom w:val="single" w:sz="4" w:space="0" w:color="auto"/>
            </w:tcBorders>
            <w:vAlign w:val="center"/>
          </w:tcPr>
          <w:p w14:paraId="5C84B75F" w14:textId="6EC6EECF" w:rsidR="00803819" w:rsidRPr="00005BFB" w:rsidRDefault="00CA5B95" w:rsidP="006B022D">
            <w:pPr>
              <w:tabs>
                <w:tab w:val="left" w:pos="2750"/>
              </w:tabs>
              <w:spacing w:after="200" w:line="360" w:lineRule="auto"/>
              <w:jc w:val="center"/>
              <w:rPr>
                <w:rFonts w:eastAsia="Calibri"/>
                <w:sz w:val="24"/>
                <w:szCs w:val="24"/>
                <w:lang w:val="en-US"/>
              </w:rPr>
            </w:pPr>
            <w:r w:rsidRPr="00005BFB">
              <w:rPr>
                <w:rFonts w:eastAsia="Calibri"/>
                <w:sz w:val="24"/>
                <w:szCs w:val="24"/>
              </w:rPr>
              <w:t>Regression coefficients</w:t>
            </w:r>
          </w:p>
        </w:tc>
        <w:tc>
          <w:tcPr>
            <w:tcW w:w="1159" w:type="dxa"/>
            <w:vAlign w:val="center"/>
          </w:tcPr>
          <w:p w14:paraId="6A7B965E" w14:textId="5C448F97"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167</w:t>
            </w:r>
          </w:p>
        </w:tc>
      </w:tr>
      <w:tr w:rsidR="00CA4B7E" w:rsidRPr="00126CB0" w14:paraId="5DB85D98" w14:textId="77777777" w:rsidTr="00CA4B7E">
        <w:trPr>
          <w:trHeight w:val="366"/>
        </w:trPr>
        <w:tc>
          <w:tcPr>
            <w:tcW w:w="2028" w:type="dxa"/>
            <w:vAlign w:val="center"/>
          </w:tcPr>
          <w:p w14:paraId="3C98455F" w14:textId="2655AE79" w:rsidR="00CA4B7E" w:rsidRPr="00005BFB" w:rsidRDefault="00CA4B7E" w:rsidP="00CA4B7E">
            <w:pPr>
              <w:jc w:val="center"/>
              <w:rPr>
                <w:rFonts w:asciiTheme="majorBidi" w:hAnsiTheme="majorBidi" w:cstheme="majorBidi"/>
                <w:sz w:val="24"/>
                <w:szCs w:val="24"/>
                <w:lang w:val="en-GB"/>
              </w:rPr>
            </w:pPr>
            <w:r>
              <w:rPr>
                <w:rFonts w:asciiTheme="majorBidi" w:hAnsiTheme="majorBidi" w:cstheme="majorBidi"/>
                <w:sz w:val="24"/>
                <w:szCs w:val="24"/>
                <w:lang w:val="en-GB"/>
              </w:rPr>
              <w:t>68</w:t>
            </w:r>
          </w:p>
        </w:tc>
        <w:tc>
          <w:tcPr>
            <w:tcW w:w="8117" w:type="dxa"/>
            <w:tcBorders>
              <w:top w:val="single" w:sz="4" w:space="0" w:color="auto"/>
              <w:bottom w:val="single" w:sz="4" w:space="0" w:color="auto"/>
            </w:tcBorders>
            <w:vAlign w:val="center"/>
          </w:tcPr>
          <w:p w14:paraId="38AA1BAA" w14:textId="6874E9A9" w:rsidR="00CA4B7E" w:rsidRPr="00005BFB" w:rsidRDefault="00CA4B7E" w:rsidP="00CA4B7E">
            <w:pPr>
              <w:tabs>
                <w:tab w:val="left" w:pos="2750"/>
              </w:tabs>
              <w:spacing w:after="200" w:line="360" w:lineRule="auto"/>
              <w:jc w:val="center"/>
              <w:rPr>
                <w:rFonts w:eastAsia="Calibri"/>
                <w:sz w:val="24"/>
                <w:szCs w:val="24"/>
              </w:rPr>
            </w:pPr>
            <w:r w:rsidRPr="00CA4B7E">
              <w:rPr>
                <w:rFonts w:eastAsia="Calibri"/>
                <w:sz w:val="24"/>
                <w:szCs w:val="24"/>
              </w:rPr>
              <w:t>Available Formats and Pricing</w:t>
            </w:r>
          </w:p>
        </w:tc>
        <w:tc>
          <w:tcPr>
            <w:tcW w:w="1159" w:type="dxa"/>
            <w:vAlign w:val="center"/>
          </w:tcPr>
          <w:p w14:paraId="70F40D8A" w14:textId="76CF88CC" w:rsidR="00CA4B7E" w:rsidRDefault="00CA4B7E" w:rsidP="00CA4B7E">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170</w:t>
            </w:r>
          </w:p>
        </w:tc>
      </w:tr>
      <w:tr w:rsidR="00803819" w:rsidRPr="00126CB0" w14:paraId="3A3061FB" w14:textId="77777777" w:rsidTr="006B022D">
        <w:trPr>
          <w:trHeight w:val="507"/>
        </w:trPr>
        <w:tc>
          <w:tcPr>
            <w:tcW w:w="2028" w:type="dxa"/>
            <w:vAlign w:val="center"/>
          </w:tcPr>
          <w:p w14:paraId="740821A2" w14:textId="5753477B" w:rsidR="00803819" w:rsidRPr="00005BFB" w:rsidRDefault="00803819"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6</w:t>
            </w:r>
            <w:r w:rsidR="00CA4B7E">
              <w:rPr>
                <w:rFonts w:asciiTheme="majorBidi" w:hAnsiTheme="majorBidi" w:cstheme="majorBidi"/>
                <w:sz w:val="24"/>
                <w:szCs w:val="24"/>
                <w:lang w:val="en-GB"/>
              </w:rPr>
              <w:t>9</w:t>
            </w:r>
          </w:p>
        </w:tc>
        <w:tc>
          <w:tcPr>
            <w:tcW w:w="8117" w:type="dxa"/>
            <w:tcBorders>
              <w:top w:val="single" w:sz="4" w:space="0" w:color="auto"/>
              <w:bottom w:val="single" w:sz="4" w:space="0" w:color="auto"/>
            </w:tcBorders>
            <w:vAlign w:val="center"/>
          </w:tcPr>
          <w:p w14:paraId="76FF427A" w14:textId="43D0F1EE" w:rsidR="00803819" w:rsidRPr="00005BFB" w:rsidRDefault="00CA5B95" w:rsidP="006B022D">
            <w:pPr>
              <w:jc w:val="center"/>
              <w:rPr>
                <w:rFonts w:asciiTheme="majorBidi" w:hAnsiTheme="majorBidi" w:cstheme="majorBidi"/>
                <w:sz w:val="24"/>
                <w:szCs w:val="24"/>
                <w:lang w:val="en-GB"/>
              </w:rPr>
            </w:pPr>
            <w:r w:rsidRPr="00005BFB">
              <w:rPr>
                <w:rFonts w:asciiTheme="majorBidi" w:hAnsiTheme="majorBidi" w:cstheme="majorBidi"/>
                <w:sz w:val="24"/>
                <w:szCs w:val="24"/>
                <w:lang w:val="en-GB"/>
              </w:rPr>
              <w:t>Comparative Table of Competitors</w:t>
            </w:r>
          </w:p>
        </w:tc>
        <w:tc>
          <w:tcPr>
            <w:tcW w:w="1159" w:type="dxa"/>
            <w:vAlign w:val="center"/>
          </w:tcPr>
          <w:p w14:paraId="39A641A0" w14:textId="71014915" w:rsidR="00803819" w:rsidRPr="006B022D" w:rsidRDefault="00CA4B7E" w:rsidP="006B022D">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171</w:t>
            </w:r>
          </w:p>
        </w:tc>
      </w:tr>
    </w:tbl>
    <w:p w14:paraId="6D323C09" w14:textId="079FD172" w:rsidR="003A19AC" w:rsidRDefault="003A19AC" w:rsidP="000E4C0A">
      <w:pPr>
        <w:jc w:val="both"/>
        <w:rPr>
          <w:rFonts w:asciiTheme="majorBidi" w:hAnsiTheme="majorBidi" w:cstheme="majorBidi"/>
          <w:sz w:val="24"/>
          <w:szCs w:val="24"/>
          <w:lang w:val="en-GB"/>
        </w:rPr>
      </w:pPr>
    </w:p>
    <w:p w14:paraId="1932C853" w14:textId="77777777" w:rsidR="003A19AC" w:rsidRDefault="003A19AC">
      <w:pPr>
        <w:rPr>
          <w:rFonts w:asciiTheme="majorBidi" w:hAnsiTheme="majorBidi" w:cstheme="majorBidi"/>
          <w:sz w:val="24"/>
          <w:szCs w:val="24"/>
          <w:lang w:val="en-GB"/>
        </w:rPr>
      </w:pPr>
      <w:r>
        <w:rPr>
          <w:rFonts w:asciiTheme="majorBidi" w:hAnsiTheme="majorBidi" w:cstheme="majorBidi"/>
          <w:sz w:val="24"/>
          <w:szCs w:val="24"/>
          <w:lang w:val="en-GB"/>
        </w:rPr>
        <w:br w:type="page"/>
      </w:r>
    </w:p>
    <w:p w14:paraId="2FA29140" w14:textId="7EBCFB50" w:rsidR="00AB7DFE" w:rsidRDefault="00AB7DFE" w:rsidP="00265A9C">
      <w:pPr>
        <w:pStyle w:val="NormalWeb"/>
        <w:spacing w:line="360" w:lineRule="auto"/>
        <w:jc w:val="center"/>
        <w:rPr>
          <w:rStyle w:val="fadeinm1hgl8"/>
          <w:rFonts w:asciiTheme="majorBidi" w:hAnsiTheme="majorBidi" w:cstheme="majorBidi"/>
          <w:b/>
          <w:bCs/>
          <w:lang w:val="en-GB"/>
        </w:rPr>
      </w:pPr>
      <w:r w:rsidRPr="00AB7DFE">
        <w:rPr>
          <w:rStyle w:val="fadeinm1hgl8"/>
          <w:rFonts w:asciiTheme="majorBidi" w:hAnsiTheme="majorBidi" w:cstheme="majorBidi"/>
          <w:b/>
          <w:bCs/>
          <w:lang w:val="en-GB"/>
        </w:rPr>
        <w:t>LIST OF FIGURES</w:t>
      </w:r>
    </w:p>
    <w:tbl>
      <w:tblPr>
        <w:tblStyle w:val="TableGrid"/>
        <w:tblW w:w="10632" w:type="dxa"/>
        <w:tblInd w:w="-856" w:type="dxa"/>
        <w:tblLook w:val="04A0" w:firstRow="1" w:lastRow="0" w:firstColumn="1" w:lastColumn="0" w:noHBand="0" w:noVBand="1"/>
      </w:tblPr>
      <w:tblGrid>
        <w:gridCol w:w="1844"/>
        <w:gridCol w:w="7229"/>
        <w:gridCol w:w="1559"/>
      </w:tblGrid>
      <w:tr w:rsidR="00642A09" w14:paraId="78068D8C" w14:textId="77777777" w:rsidTr="006B022D">
        <w:trPr>
          <w:trHeight w:val="694"/>
        </w:trPr>
        <w:tc>
          <w:tcPr>
            <w:tcW w:w="1844" w:type="dxa"/>
            <w:vAlign w:val="center"/>
          </w:tcPr>
          <w:p w14:paraId="6B55DF08" w14:textId="77777777" w:rsidR="00642A09" w:rsidRPr="00DC12DD" w:rsidRDefault="00642A09" w:rsidP="006B022D">
            <w:pPr>
              <w:spacing w:line="360" w:lineRule="auto"/>
              <w:jc w:val="center"/>
              <w:rPr>
                <w:rFonts w:asciiTheme="majorBidi" w:hAnsiTheme="majorBidi" w:cstheme="majorBidi"/>
                <w:b/>
                <w:bCs/>
                <w:sz w:val="24"/>
                <w:szCs w:val="24"/>
              </w:rPr>
            </w:pPr>
            <w:r w:rsidRPr="00DC12DD">
              <w:rPr>
                <w:rFonts w:asciiTheme="majorBidi" w:hAnsiTheme="majorBidi" w:cstheme="majorBidi"/>
                <w:b/>
                <w:bCs/>
                <w:sz w:val="24"/>
                <w:szCs w:val="24"/>
              </w:rPr>
              <w:t>Number of</w:t>
            </w:r>
          </w:p>
          <w:p w14:paraId="585A33B6" w14:textId="1EE1A160" w:rsidR="00642A09" w:rsidRPr="00DC12DD" w:rsidRDefault="00642A09" w:rsidP="006B022D">
            <w:pPr>
              <w:spacing w:line="360" w:lineRule="auto"/>
              <w:jc w:val="center"/>
              <w:rPr>
                <w:rFonts w:asciiTheme="majorBidi" w:hAnsiTheme="majorBidi" w:cstheme="majorBidi"/>
                <w:sz w:val="32"/>
                <w:szCs w:val="32"/>
              </w:rPr>
            </w:pPr>
            <w:r w:rsidRPr="00DC12DD">
              <w:rPr>
                <w:rFonts w:asciiTheme="majorBidi" w:hAnsiTheme="majorBidi" w:cstheme="majorBidi"/>
                <w:b/>
                <w:bCs/>
                <w:sz w:val="24"/>
                <w:szCs w:val="24"/>
              </w:rPr>
              <w:t>figure</w:t>
            </w:r>
          </w:p>
        </w:tc>
        <w:tc>
          <w:tcPr>
            <w:tcW w:w="7229" w:type="dxa"/>
            <w:tcBorders>
              <w:bottom w:val="single" w:sz="4" w:space="0" w:color="auto"/>
            </w:tcBorders>
            <w:vAlign w:val="center"/>
          </w:tcPr>
          <w:p w14:paraId="177EA60F" w14:textId="77777777" w:rsidR="00642A09" w:rsidRPr="00DC12DD" w:rsidRDefault="00642A09" w:rsidP="006B022D">
            <w:pPr>
              <w:spacing w:line="360" w:lineRule="auto"/>
              <w:jc w:val="center"/>
              <w:rPr>
                <w:rFonts w:asciiTheme="majorBidi" w:hAnsiTheme="majorBidi" w:cstheme="majorBidi"/>
                <w:b/>
                <w:bCs/>
                <w:sz w:val="24"/>
                <w:szCs w:val="24"/>
              </w:rPr>
            </w:pPr>
            <w:r w:rsidRPr="00DC12DD">
              <w:rPr>
                <w:rFonts w:asciiTheme="majorBidi" w:hAnsiTheme="majorBidi" w:cstheme="majorBidi"/>
                <w:b/>
                <w:bCs/>
                <w:sz w:val="24"/>
                <w:szCs w:val="24"/>
              </w:rPr>
              <w:t>Figure title</w:t>
            </w:r>
          </w:p>
        </w:tc>
        <w:tc>
          <w:tcPr>
            <w:tcW w:w="1559" w:type="dxa"/>
            <w:vAlign w:val="center"/>
          </w:tcPr>
          <w:p w14:paraId="70B5583A" w14:textId="5CAE26A2" w:rsidR="00642A09" w:rsidRPr="00DC12DD" w:rsidRDefault="006B1405" w:rsidP="006B022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P</w:t>
            </w:r>
            <w:r w:rsidR="00642A09" w:rsidRPr="00DC12DD">
              <w:rPr>
                <w:rFonts w:asciiTheme="majorBidi" w:hAnsiTheme="majorBidi" w:cstheme="majorBidi"/>
                <w:b/>
                <w:bCs/>
                <w:sz w:val="24"/>
                <w:szCs w:val="24"/>
              </w:rPr>
              <w:t>age</w:t>
            </w:r>
          </w:p>
        </w:tc>
      </w:tr>
      <w:tr w:rsidR="00642A09" w14:paraId="04BB1E6A" w14:textId="77777777" w:rsidTr="006B022D">
        <w:trPr>
          <w:trHeight w:val="546"/>
        </w:trPr>
        <w:tc>
          <w:tcPr>
            <w:tcW w:w="1844" w:type="dxa"/>
            <w:tcBorders>
              <w:right w:val="nil"/>
            </w:tcBorders>
            <w:vAlign w:val="center"/>
          </w:tcPr>
          <w:p w14:paraId="2E712407" w14:textId="77777777" w:rsidR="00642A09" w:rsidRPr="000E7701" w:rsidRDefault="00642A09" w:rsidP="006B022D">
            <w:pPr>
              <w:spacing w:line="360" w:lineRule="auto"/>
              <w:jc w:val="center"/>
              <w:rPr>
                <w:rFonts w:asciiTheme="majorBidi" w:hAnsiTheme="majorBidi" w:cstheme="majorBidi"/>
                <w:sz w:val="24"/>
                <w:szCs w:val="24"/>
              </w:rPr>
            </w:pPr>
          </w:p>
        </w:tc>
        <w:tc>
          <w:tcPr>
            <w:tcW w:w="7229" w:type="dxa"/>
            <w:tcBorders>
              <w:left w:val="nil"/>
              <w:right w:val="nil"/>
            </w:tcBorders>
            <w:vAlign w:val="center"/>
          </w:tcPr>
          <w:p w14:paraId="457FF73C" w14:textId="77777777" w:rsidR="00642A09" w:rsidRPr="000E7701" w:rsidRDefault="00642A09" w:rsidP="006B022D">
            <w:pPr>
              <w:spacing w:line="360" w:lineRule="auto"/>
              <w:jc w:val="center"/>
              <w:rPr>
                <w:rFonts w:asciiTheme="majorBidi" w:hAnsiTheme="majorBidi" w:cstheme="majorBidi"/>
                <w:b/>
                <w:bCs/>
                <w:sz w:val="24"/>
                <w:szCs w:val="24"/>
              </w:rPr>
            </w:pPr>
            <w:r w:rsidRPr="000E7701">
              <w:rPr>
                <w:rFonts w:asciiTheme="majorBidi" w:hAnsiTheme="majorBidi" w:cstheme="majorBidi"/>
                <w:b/>
                <w:bCs/>
                <w:sz w:val="24"/>
                <w:szCs w:val="24"/>
              </w:rPr>
              <w:t>Chapter 1</w:t>
            </w:r>
          </w:p>
        </w:tc>
        <w:tc>
          <w:tcPr>
            <w:tcW w:w="1559" w:type="dxa"/>
            <w:tcBorders>
              <w:left w:val="nil"/>
            </w:tcBorders>
            <w:vAlign w:val="center"/>
          </w:tcPr>
          <w:p w14:paraId="593C98B4" w14:textId="77777777" w:rsidR="00642A09" w:rsidRPr="00DC12DD" w:rsidRDefault="00642A09" w:rsidP="006B022D">
            <w:pPr>
              <w:spacing w:line="360" w:lineRule="auto"/>
              <w:jc w:val="center"/>
              <w:rPr>
                <w:rFonts w:asciiTheme="majorBidi" w:hAnsiTheme="majorBidi" w:cstheme="majorBidi"/>
                <w:sz w:val="32"/>
                <w:szCs w:val="32"/>
              </w:rPr>
            </w:pPr>
          </w:p>
        </w:tc>
      </w:tr>
      <w:tr w:rsidR="00642A09" w14:paraId="6C449554" w14:textId="77777777" w:rsidTr="006B022D">
        <w:trPr>
          <w:trHeight w:val="546"/>
        </w:trPr>
        <w:tc>
          <w:tcPr>
            <w:tcW w:w="1844" w:type="dxa"/>
            <w:vAlign w:val="center"/>
          </w:tcPr>
          <w:p w14:paraId="198A8700" w14:textId="77777777" w:rsidR="00642A09" w:rsidRPr="000E7701" w:rsidRDefault="00642A09" w:rsidP="006B022D">
            <w:pPr>
              <w:spacing w:line="360" w:lineRule="auto"/>
              <w:jc w:val="center"/>
              <w:rPr>
                <w:rFonts w:asciiTheme="majorBidi" w:hAnsiTheme="majorBidi" w:cstheme="majorBidi"/>
                <w:sz w:val="24"/>
                <w:szCs w:val="24"/>
              </w:rPr>
            </w:pPr>
            <w:r w:rsidRPr="000E7701">
              <w:rPr>
                <w:rFonts w:asciiTheme="majorBidi" w:hAnsiTheme="majorBidi" w:cstheme="majorBidi"/>
                <w:sz w:val="24"/>
                <w:szCs w:val="24"/>
              </w:rPr>
              <w:t>1</w:t>
            </w:r>
          </w:p>
        </w:tc>
        <w:tc>
          <w:tcPr>
            <w:tcW w:w="7229" w:type="dxa"/>
            <w:tcBorders>
              <w:bottom w:val="single" w:sz="4" w:space="0" w:color="auto"/>
            </w:tcBorders>
            <w:vAlign w:val="center"/>
          </w:tcPr>
          <w:p w14:paraId="7269D134" w14:textId="77777777" w:rsidR="00642A09" w:rsidRPr="000E7701" w:rsidRDefault="00642A09" w:rsidP="006B022D">
            <w:pPr>
              <w:spacing w:line="360" w:lineRule="auto"/>
              <w:jc w:val="center"/>
              <w:rPr>
                <w:rFonts w:asciiTheme="majorBidi" w:hAnsiTheme="majorBidi" w:cstheme="majorBidi"/>
                <w:sz w:val="24"/>
                <w:szCs w:val="24"/>
              </w:rPr>
            </w:pPr>
            <w:r w:rsidRPr="000E7701">
              <w:rPr>
                <w:rFonts w:asciiTheme="majorBidi" w:hAnsiTheme="majorBidi" w:cstheme="majorBidi"/>
                <w:sz w:val="24"/>
                <w:szCs w:val="24"/>
              </w:rPr>
              <w:t>Charles Cunningham Boycott</w:t>
            </w:r>
          </w:p>
        </w:tc>
        <w:tc>
          <w:tcPr>
            <w:tcW w:w="1559" w:type="dxa"/>
            <w:vAlign w:val="center"/>
          </w:tcPr>
          <w:p w14:paraId="608BBFA9" w14:textId="2752A4DC" w:rsidR="00642A09" w:rsidRPr="006B022D" w:rsidRDefault="006B022D" w:rsidP="006B022D">
            <w:pPr>
              <w:spacing w:line="360" w:lineRule="auto"/>
              <w:jc w:val="center"/>
              <w:rPr>
                <w:rFonts w:asciiTheme="majorBidi" w:hAnsiTheme="majorBidi" w:cstheme="majorBidi"/>
                <w:sz w:val="28"/>
                <w:szCs w:val="28"/>
              </w:rPr>
            </w:pPr>
            <w:r w:rsidRPr="006B022D">
              <w:rPr>
                <w:rFonts w:asciiTheme="majorBidi" w:hAnsiTheme="majorBidi" w:cstheme="majorBidi"/>
                <w:sz w:val="28"/>
                <w:szCs w:val="28"/>
              </w:rPr>
              <w:t>1</w:t>
            </w:r>
            <w:r w:rsidRPr="006B022D">
              <w:rPr>
                <w:sz w:val="28"/>
                <w:szCs w:val="28"/>
              </w:rPr>
              <w:t>4</w:t>
            </w:r>
          </w:p>
        </w:tc>
      </w:tr>
      <w:tr w:rsidR="00642A09" w14:paraId="7F1C3C8D" w14:textId="77777777" w:rsidTr="006B022D">
        <w:trPr>
          <w:trHeight w:val="546"/>
        </w:trPr>
        <w:tc>
          <w:tcPr>
            <w:tcW w:w="1844" w:type="dxa"/>
            <w:tcBorders>
              <w:right w:val="nil"/>
            </w:tcBorders>
            <w:vAlign w:val="center"/>
          </w:tcPr>
          <w:p w14:paraId="1E2196AD" w14:textId="77777777" w:rsidR="00642A09" w:rsidRPr="000E7701" w:rsidRDefault="00642A09" w:rsidP="006B022D">
            <w:pPr>
              <w:spacing w:line="360" w:lineRule="auto"/>
              <w:jc w:val="center"/>
              <w:rPr>
                <w:rFonts w:asciiTheme="majorBidi" w:hAnsiTheme="majorBidi" w:cstheme="majorBidi"/>
                <w:sz w:val="24"/>
                <w:szCs w:val="24"/>
              </w:rPr>
            </w:pPr>
          </w:p>
        </w:tc>
        <w:tc>
          <w:tcPr>
            <w:tcW w:w="7229" w:type="dxa"/>
            <w:tcBorders>
              <w:left w:val="nil"/>
              <w:right w:val="nil"/>
            </w:tcBorders>
            <w:vAlign w:val="center"/>
          </w:tcPr>
          <w:p w14:paraId="099E38B4" w14:textId="77777777" w:rsidR="00642A09" w:rsidRPr="000E7701" w:rsidRDefault="00642A09" w:rsidP="006B022D">
            <w:pPr>
              <w:spacing w:line="360" w:lineRule="auto"/>
              <w:jc w:val="center"/>
              <w:rPr>
                <w:rFonts w:asciiTheme="majorBidi" w:hAnsiTheme="majorBidi" w:cstheme="majorBidi"/>
                <w:b/>
                <w:bCs/>
                <w:sz w:val="24"/>
                <w:szCs w:val="24"/>
              </w:rPr>
            </w:pPr>
            <w:r w:rsidRPr="000E7701">
              <w:rPr>
                <w:rFonts w:asciiTheme="majorBidi" w:hAnsiTheme="majorBidi" w:cstheme="majorBidi"/>
                <w:b/>
                <w:bCs/>
                <w:sz w:val="24"/>
                <w:szCs w:val="24"/>
              </w:rPr>
              <w:t>Chapter 2</w:t>
            </w:r>
          </w:p>
        </w:tc>
        <w:tc>
          <w:tcPr>
            <w:tcW w:w="1559" w:type="dxa"/>
            <w:tcBorders>
              <w:left w:val="nil"/>
            </w:tcBorders>
            <w:vAlign w:val="center"/>
          </w:tcPr>
          <w:p w14:paraId="15F1FA4E" w14:textId="77777777" w:rsidR="00642A09" w:rsidRPr="006B022D" w:rsidRDefault="00642A09" w:rsidP="006B022D">
            <w:pPr>
              <w:spacing w:line="360" w:lineRule="auto"/>
              <w:jc w:val="center"/>
              <w:rPr>
                <w:rFonts w:asciiTheme="majorBidi" w:hAnsiTheme="majorBidi" w:cstheme="majorBidi"/>
                <w:sz w:val="28"/>
                <w:szCs w:val="28"/>
              </w:rPr>
            </w:pPr>
          </w:p>
        </w:tc>
      </w:tr>
      <w:tr w:rsidR="00642A09" w:rsidRPr="00740E8D" w14:paraId="369184AB" w14:textId="77777777" w:rsidTr="006B022D">
        <w:tc>
          <w:tcPr>
            <w:tcW w:w="1844" w:type="dxa"/>
            <w:vAlign w:val="center"/>
          </w:tcPr>
          <w:p w14:paraId="794BF298" w14:textId="77777777" w:rsidR="00642A09" w:rsidRPr="000E7701" w:rsidRDefault="00642A09" w:rsidP="006B022D">
            <w:pPr>
              <w:spacing w:line="360" w:lineRule="auto"/>
              <w:jc w:val="center"/>
              <w:rPr>
                <w:rFonts w:asciiTheme="majorBidi" w:hAnsiTheme="majorBidi" w:cstheme="majorBidi"/>
                <w:sz w:val="24"/>
                <w:szCs w:val="24"/>
              </w:rPr>
            </w:pPr>
            <w:r w:rsidRPr="000E7701">
              <w:rPr>
                <w:rFonts w:asciiTheme="majorBidi" w:hAnsiTheme="majorBidi" w:cstheme="majorBidi"/>
                <w:sz w:val="24"/>
                <w:szCs w:val="24"/>
              </w:rPr>
              <w:t>2</w:t>
            </w:r>
          </w:p>
        </w:tc>
        <w:tc>
          <w:tcPr>
            <w:tcW w:w="7229" w:type="dxa"/>
            <w:vAlign w:val="center"/>
          </w:tcPr>
          <w:p w14:paraId="71A69758"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Style w:val="c"/>
                <w:rFonts w:asciiTheme="majorBidi" w:hAnsiTheme="majorBidi" w:cstheme="majorBidi"/>
                <w:color w:val="000000" w:themeColor="text1"/>
                <w:sz w:val="24"/>
                <w:szCs w:val="24"/>
                <w:lang w:val="en-GB"/>
              </w:rPr>
              <w:t>Exports of goods and services (current US$)</w:t>
            </w:r>
          </w:p>
        </w:tc>
        <w:tc>
          <w:tcPr>
            <w:tcW w:w="1559" w:type="dxa"/>
            <w:vAlign w:val="center"/>
          </w:tcPr>
          <w:p w14:paraId="1F08FAFD" w14:textId="030E8695"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4</w:t>
            </w:r>
            <w:r>
              <w:rPr>
                <w:sz w:val="28"/>
                <w:lang w:val="en-GB"/>
              </w:rPr>
              <w:t>5</w:t>
            </w:r>
          </w:p>
        </w:tc>
      </w:tr>
      <w:tr w:rsidR="00642A09" w:rsidRPr="00740E8D" w14:paraId="71300050" w14:textId="77777777" w:rsidTr="006B022D">
        <w:tc>
          <w:tcPr>
            <w:tcW w:w="1844" w:type="dxa"/>
            <w:vAlign w:val="center"/>
          </w:tcPr>
          <w:p w14:paraId="079B55E9"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Fonts w:asciiTheme="majorBidi" w:hAnsiTheme="majorBidi" w:cstheme="majorBidi"/>
                <w:sz w:val="24"/>
                <w:szCs w:val="24"/>
                <w:lang w:val="en-GB"/>
              </w:rPr>
              <w:t>3</w:t>
            </w:r>
          </w:p>
        </w:tc>
        <w:tc>
          <w:tcPr>
            <w:tcW w:w="7229" w:type="dxa"/>
            <w:vAlign w:val="center"/>
          </w:tcPr>
          <w:p w14:paraId="6D3B918D"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Fonts w:asciiTheme="majorBidi" w:hAnsiTheme="majorBidi" w:cstheme="majorBidi"/>
                <w:color w:val="000000"/>
                <w:sz w:val="24"/>
                <w:szCs w:val="24"/>
                <w:lang w:val="en-GB"/>
              </w:rPr>
              <w:t>Export competitiveness scores by country</w:t>
            </w:r>
          </w:p>
        </w:tc>
        <w:tc>
          <w:tcPr>
            <w:tcW w:w="1559" w:type="dxa"/>
            <w:vAlign w:val="center"/>
          </w:tcPr>
          <w:p w14:paraId="214BBA1F" w14:textId="41DB3CE4"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4</w:t>
            </w:r>
            <w:r>
              <w:rPr>
                <w:sz w:val="28"/>
                <w:lang w:val="en-GB"/>
              </w:rPr>
              <w:t>8</w:t>
            </w:r>
          </w:p>
        </w:tc>
      </w:tr>
      <w:tr w:rsidR="00642A09" w:rsidRPr="00740E8D" w14:paraId="0F841C34" w14:textId="77777777" w:rsidTr="006B022D">
        <w:tc>
          <w:tcPr>
            <w:tcW w:w="1844" w:type="dxa"/>
            <w:vAlign w:val="center"/>
          </w:tcPr>
          <w:p w14:paraId="59890116"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Fonts w:asciiTheme="majorBidi" w:hAnsiTheme="majorBidi" w:cstheme="majorBidi"/>
                <w:sz w:val="24"/>
                <w:szCs w:val="24"/>
                <w:lang w:val="en-GB"/>
              </w:rPr>
              <w:t>4</w:t>
            </w:r>
          </w:p>
        </w:tc>
        <w:tc>
          <w:tcPr>
            <w:tcW w:w="7229" w:type="dxa"/>
            <w:vAlign w:val="center"/>
          </w:tcPr>
          <w:p w14:paraId="77FB84ED" w14:textId="671F4C7C" w:rsidR="00642A09" w:rsidRPr="000E7701" w:rsidRDefault="000A587F"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US"/>
              </w:rPr>
              <w:t>K</w:t>
            </w:r>
            <w:r w:rsidR="00642A09" w:rsidRPr="000E7701">
              <w:rPr>
                <w:rFonts w:asciiTheme="majorBidi" w:hAnsiTheme="majorBidi" w:cstheme="majorBidi"/>
                <w:sz w:val="24"/>
                <w:szCs w:val="24"/>
                <w:lang w:val="en-US"/>
              </w:rPr>
              <w:t>ey steps for success in the export markets</w:t>
            </w:r>
          </w:p>
        </w:tc>
        <w:tc>
          <w:tcPr>
            <w:tcW w:w="1559" w:type="dxa"/>
            <w:vAlign w:val="center"/>
          </w:tcPr>
          <w:p w14:paraId="0727736F" w14:textId="491BCEFC"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5</w:t>
            </w:r>
            <w:r>
              <w:rPr>
                <w:sz w:val="28"/>
                <w:lang w:val="en-GB"/>
              </w:rPr>
              <w:t>6</w:t>
            </w:r>
          </w:p>
        </w:tc>
      </w:tr>
      <w:tr w:rsidR="00642A09" w:rsidRPr="00740E8D" w14:paraId="75DF921B" w14:textId="77777777" w:rsidTr="006B022D">
        <w:tc>
          <w:tcPr>
            <w:tcW w:w="1844" w:type="dxa"/>
            <w:vAlign w:val="center"/>
          </w:tcPr>
          <w:p w14:paraId="5A3AB72E"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Fonts w:asciiTheme="majorBidi" w:hAnsiTheme="majorBidi" w:cstheme="majorBidi"/>
                <w:sz w:val="24"/>
                <w:szCs w:val="24"/>
                <w:lang w:val="en-GB"/>
              </w:rPr>
              <w:t>5</w:t>
            </w:r>
          </w:p>
        </w:tc>
        <w:tc>
          <w:tcPr>
            <w:tcW w:w="7229" w:type="dxa"/>
            <w:tcBorders>
              <w:bottom w:val="single" w:sz="4" w:space="0" w:color="auto"/>
            </w:tcBorders>
            <w:vAlign w:val="center"/>
          </w:tcPr>
          <w:p w14:paraId="199233B5" w14:textId="77777777" w:rsidR="00642A09" w:rsidRPr="000E7701" w:rsidRDefault="00642A09" w:rsidP="006B022D">
            <w:pPr>
              <w:spacing w:line="360" w:lineRule="auto"/>
              <w:jc w:val="center"/>
              <w:rPr>
                <w:rFonts w:asciiTheme="majorBidi" w:hAnsiTheme="majorBidi" w:cstheme="majorBidi"/>
                <w:sz w:val="24"/>
                <w:szCs w:val="24"/>
                <w:lang w:val="en-GB"/>
              </w:rPr>
            </w:pPr>
            <w:r w:rsidRPr="000E7701">
              <w:rPr>
                <w:rFonts w:asciiTheme="majorBidi" w:hAnsiTheme="majorBidi" w:cstheme="majorBidi"/>
                <w:sz w:val="24"/>
                <w:szCs w:val="24"/>
                <w:lang w:val="en-GB"/>
              </w:rPr>
              <w:t>Store Count Comparison of Retail Chains in Turkey (2015–2016)</w:t>
            </w:r>
          </w:p>
        </w:tc>
        <w:tc>
          <w:tcPr>
            <w:tcW w:w="1559" w:type="dxa"/>
            <w:vAlign w:val="center"/>
          </w:tcPr>
          <w:p w14:paraId="18D671FC" w14:textId="1F66F243"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7</w:t>
            </w:r>
            <w:r>
              <w:rPr>
                <w:sz w:val="28"/>
                <w:lang w:val="en-GB"/>
              </w:rPr>
              <w:t>3</w:t>
            </w:r>
          </w:p>
        </w:tc>
      </w:tr>
      <w:tr w:rsidR="00642A09" w:rsidRPr="00DC12DD" w14:paraId="18587EC1" w14:textId="77777777" w:rsidTr="006B022D">
        <w:tc>
          <w:tcPr>
            <w:tcW w:w="1844" w:type="dxa"/>
            <w:tcBorders>
              <w:right w:val="nil"/>
            </w:tcBorders>
            <w:vAlign w:val="center"/>
          </w:tcPr>
          <w:p w14:paraId="1CF5138A" w14:textId="77777777" w:rsidR="00642A09" w:rsidRPr="000E7701" w:rsidRDefault="00642A09" w:rsidP="006B022D">
            <w:pPr>
              <w:spacing w:line="360" w:lineRule="auto"/>
              <w:jc w:val="center"/>
              <w:rPr>
                <w:rFonts w:asciiTheme="majorBidi" w:hAnsiTheme="majorBidi" w:cstheme="majorBidi"/>
                <w:sz w:val="24"/>
                <w:szCs w:val="24"/>
                <w:lang w:val="en-GB"/>
              </w:rPr>
            </w:pPr>
          </w:p>
        </w:tc>
        <w:tc>
          <w:tcPr>
            <w:tcW w:w="7229" w:type="dxa"/>
            <w:tcBorders>
              <w:left w:val="nil"/>
              <w:right w:val="nil"/>
            </w:tcBorders>
            <w:vAlign w:val="center"/>
          </w:tcPr>
          <w:p w14:paraId="00FB672F" w14:textId="77777777" w:rsidR="00642A09" w:rsidRPr="000E7701" w:rsidRDefault="00642A09" w:rsidP="006B022D">
            <w:pPr>
              <w:spacing w:line="360" w:lineRule="auto"/>
              <w:jc w:val="center"/>
              <w:rPr>
                <w:rFonts w:asciiTheme="majorBidi" w:hAnsiTheme="majorBidi" w:cstheme="majorBidi"/>
                <w:b/>
                <w:bCs/>
                <w:sz w:val="24"/>
                <w:szCs w:val="24"/>
                <w:lang w:val="en-GB"/>
              </w:rPr>
            </w:pPr>
            <w:r w:rsidRPr="000E7701">
              <w:rPr>
                <w:rFonts w:asciiTheme="majorBidi" w:hAnsiTheme="majorBidi" w:cstheme="majorBidi"/>
                <w:b/>
                <w:bCs/>
                <w:sz w:val="24"/>
                <w:szCs w:val="24"/>
                <w:lang w:val="en-GB"/>
              </w:rPr>
              <w:t>Chapter 3</w:t>
            </w:r>
          </w:p>
        </w:tc>
        <w:tc>
          <w:tcPr>
            <w:tcW w:w="1559" w:type="dxa"/>
            <w:tcBorders>
              <w:left w:val="nil"/>
            </w:tcBorders>
            <w:vAlign w:val="center"/>
          </w:tcPr>
          <w:p w14:paraId="47B22594" w14:textId="77777777" w:rsidR="00642A09" w:rsidRPr="006B022D" w:rsidRDefault="00642A09" w:rsidP="006B022D">
            <w:pPr>
              <w:spacing w:line="360" w:lineRule="auto"/>
              <w:jc w:val="center"/>
              <w:rPr>
                <w:rFonts w:asciiTheme="majorBidi" w:hAnsiTheme="majorBidi" w:cstheme="majorBidi"/>
                <w:sz w:val="28"/>
                <w:szCs w:val="28"/>
                <w:lang w:val="en-GB"/>
              </w:rPr>
            </w:pPr>
          </w:p>
        </w:tc>
      </w:tr>
      <w:tr w:rsidR="00642A09" w:rsidRPr="00DC12DD" w14:paraId="1A160D86" w14:textId="77777777" w:rsidTr="006B022D">
        <w:tc>
          <w:tcPr>
            <w:tcW w:w="1844" w:type="dxa"/>
            <w:vAlign w:val="center"/>
          </w:tcPr>
          <w:p w14:paraId="160364D8"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6</w:t>
            </w:r>
          </w:p>
        </w:tc>
        <w:tc>
          <w:tcPr>
            <w:tcW w:w="7229" w:type="dxa"/>
            <w:vAlign w:val="center"/>
          </w:tcPr>
          <w:p w14:paraId="1B4064D3" w14:textId="39AE4DC2" w:rsidR="00642A09" w:rsidRPr="00DC12DD" w:rsidRDefault="00436E06" w:rsidP="006B022D">
            <w:pPr>
              <w:spacing w:line="360" w:lineRule="auto"/>
              <w:jc w:val="center"/>
              <w:rPr>
                <w:rFonts w:asciiTheme="majorBidi" w:hAnsiTheme="majorBidi" w:cstheme="majorBidi"/>
                <w:sz w:val="32"/>
                <w:szCs w:val="32"/>
                <w:lang w:val="en-GB"/>
              </w:rPr>
            </w:pPr>
            <w:r w:rsidRPr="007F5EEF">
              <w:rPr>
                <w:rFonts w:asciiTheme="majorBidi" w:hAnsiTheme="majorBidi" w:cstheme="majorBidi"/>
                <w:sz w:val="24"/>
                <w:szCs w:val="24"/>
              </w:rPr>
              <w:t>Logo of Proderma Dermocosmétique</w:t>
            </w:r>
          </w:p>
        </w:tc>
        <w:tc>
          <w:tcPr>
            <w:tcW w:w="1559" w:type="dxa"/>
            <w:vAlign w:val="center"/>
          </w:tcPr>
          <w:p w14:paraId="1068A887" w14:textId="08F50EDC"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2</w:t>
            </w:r>
          </w:p>
        </w:tc>
      </w:tr>
      <w:tr w:rsidR="00642A09" w:rsidRPr="00740E8D" w14:paraId="40745A90" w14:textId="77777777" w:rsidTr="006B022D">
        <w:tc>
          <w:tcPr>
            <w:tcW w:w="1844" w:type="dxa"/>
            <w:vAlign w:val="center"/>
          </w:tcPr>
          <w:p w14:paraId="5B119649"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7</w:t>
            </w:r>
          </w:p>
        </w:tc>
        <w:tc>
          <w:tcPr>
            <w:tcW w:w="7229" w:type="dxa"/>
            <w:vAlign w:val="center"/>
          </w:tcPr>
          <w:p w14:paraId="4CBF48BC" w14:textId="7C1A8C10" w:rsidR="00642A09" w:rsidRPr="00DC12DD" w:rsidRDefault="00436E06" w:rsidP="006B022D">
            <w:pPr>
              <w:spacing w:line="360" w:lineRule="auto"/>
              <w:jc w:val="center"/>
              <w:rPr>
                <w:rFonts w:asciiTheme="majorBidi" w:hAnsiTheme="majorBidi" w:cstheme="majorBidi"/>
                <w:sz w:val="32"/>
                <w:szCs w:val="32"/>
                <w:lang w:val="en-GB"/>
              </w:rPr>
            </w:pPr>
            <w:r w:rsidRPr="007F5EEF">
              <w:rPr>
                <w:rStyle w:val="Emphasis"/>
                <w:rFonts w:asciiTheme="majorBidi" w:hAnsiTheme="majorBidi" w:cstheme="majorBidi"/>
                <w:sz w:val="24"/>
                <w:szCs w:val="24"/>
                <w:lang w:val="en-GB"/>
              </w:rPr>
              <w:t>Instagram QR Code for Proderma Algeria (@proderma.algeria)</w:t>
            </w:r>
          </w:p>
        </w:tc>
        <w:tc>
          <w:tcPr>
            <w:tcW w:w="1559" w:type="dxa"/>
            <w:vAlign w:val="center"/>
          </w:tcPr>
          <w:p w14:paraId="61562272" w14:textId="28FE2A47"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3</w:t>
            </w:r>
          </w:p>
        </w:tc>
      </w:tr>
      <w:tr w:rsidR="00642A09" w:rsidRPr="00DC12DD" w14:paraId="647F9A00" w14:textId="77777777" w:rsidTr="006B022D">
        <w:tc>
          <w:tcPr>
            <w:tcW w:w="1844" w:type="dxa"/>
            <w:vAlign w:val="center"/>
          </w:tcPr>
          <w:p w14:paraId="4AC31669"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8</w:t>
            </w:r>
          </w:p>
        </w:tc>
        <w:tc>
          <w:tcPr>
            <w:tcW w:w="7229" w:type="dxa"/>
            <w:vAlign w:val="center"/>
          </w:tcPr>
          <w:p w14:paraId="393F9AA7" w14:textId="5FD76202" w:rsidR="00642A09" w:rsidRPr="00DC12DD" w:rsidRDefault="00E52576" w:rsidP="006B022D">
            <w:pPr>
              <w:spacing w:line="360" w:lineRule="auto"/>
              <w:jc w:val="center"/>
              <w:rPr>
                <w:rFonts w:asciiTheme="majorBidi" w:hAnsiTheme="majorBidi" w:cstheme="majorBidi"/>
                <w:sz w:val="32"/>
                <w:szCs w:val="32"/>
                <w:lang w:val="en-GB"/>
              </w:rPr>
            </w:pPr>
            <w:r w:rsidRPr="00E52576">
              <w:rPr>
                <w:rFonts w:asciiTheme="majorBidi" w:hAnsiTheme="majorBidi" w:cstheme="majorBidi"/>
                <w:sz w:val="24"/>
                <w:szCs w:val="24"/>
                <w:lang w:val="en-GB"/>
              </w:rPr>
              <w:t>Proderma lightening cream</w:t>
            </w:r>
          </w:p>
        </w:tc>
        <w:tc>
          <w:tcPr>
            <w:tcW w:w="1559" w:type="dxa"/>
            <w:vAlign w:val="center"/>
          </w:tcPr>
          <w:p w14:paraId="581CD0B5" w14:textId="18BE47AF"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7</w:t>
            </w:r>
          </w:p>
        </w:tc>
      </w:tr>
      <w:tr w:rsidR="00642A09" w:rsidRPr="00DC12DD" w14:paraId="67680999" w14:textId="77777777" w:rsidTr="006B022D">
        <w:tc>
          <w:tcPr>
            <w:tcW w:w="1844" w:type="dxa"/>
            <w:vAlign w:val="center"/>
          </w:tcPr>
          <w:p w14:paraId="0E43E192"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9</w:t>
            </w:r>
          </w:p>
        </w:tc>
        <w:tc>
          <w:tcPr>
            <w:tcW w:w="7229" w:type="dxa"/>
            <w:vAlign w:val="center"/>
          </w:tcPr>
          <w:p w14:paraId="5D316345" w14:textId="74D5C011" w:rsidR="00642A09" w:rsidRPr="00DC12DD" w:rsidRDefault="00E52576" w:rsidP="006B022D">
            <w:pPr>
              <w:spacing w:line="360" w:lineRule="auto"/>
              <w:jc w:val="center"/>
              <w:rPr>
                <w:rFonts w:asciiTheme="majorBidi" w:hAnsiTheme="majorBidi" w:cstheme="majorBidi"/>
                <w:sz w:val="32"/>
                <w:szCs w:val="32"/>
                <w:lang w:val="en-GB"/>
              </w:rPr>
            </w:pPr>
            <w:r w:rsidRPr="00E52576">
              <w:rPr>
                <w:rFonts w:asciiTheme="majorBidi" w:hAnsiTheme="majorBidi" w:cstheme="majorBidi"/>
                <w:noProof/>
                <w:sz w:val="24"/>
                <w:szCs w:val="24"/>
                <w:lang w:val="en-GB"/>
              </w:rPr>
              <w:t>Proderma soothing massage gel</w:t>
            </w:r>
          </w:p>
        </w:tc>
        <w:tc>
          <w:tcPr>
            <w:tcW w:w="1559" w:type="dxa"/>
            <w:vAlign w:val="center"/>
          </w:tcPr>
          <w:p w14:paraId="4ABA47F9" w14:textId="20B016B5"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7</w:t>
            </w:r>
          </w:p>
        </w:tc>
      </w:tr>
      <w:tr w:rsidR="00642A09" w:rsidRPr="00DC12DD" w14:paraId="53A922BE" w14:textId="77777777" w:rsidTr="006B022D">
        <w:tc>
          <w:tcPr>
            <w:tcW w:w="1844" w:type="dxa"/>
            <w:vAlign w:val="center"/>
          </w:tcPr>
          <w:p w14:paraId="1D45333D"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10</w:t>
            </w:r>
          </w:p>
        </w:tc>
        <w:tc>
          <w:tcPr>
            <w:tcW w:w="7229" w:type="dxa"/>
            <w:vAlign w:val="center"/>
          </w:tcPr>
          <w:p w14:paraId="02CB59EB" w14:textId="2A0DC270" w:rsidR="00642A09" w:rsidRPr="00AB7DFE" w:rsidRDefault="00E52576" w:rsidP="006B022D">
            <w:pPr>
              <w:spacing w:line="360" w:lineRule="auto"/>
              <w:jc w:val="center"/>
              <w:rPr>
                <w:rFonts w:asciiTheme="majorBidi" w:hAnsiTheme="majorBidi" w:cstheme="majorBidi"/>
                <w:sz w:val="32"/>
                <w:szCs w:val="32"/>
                <w:lang w:val="en-GB"/>
              </w:rPr>
            </w:pPr>
            <w:r w:rsidRPr="00AB7DFE">
              <w:rPr>
                <w:rFonts w:asciiTheme="majorBidi" w:hAnsiTheme="majorBidi" w:cstheme="majorBidi"/>
                <w:noProof/>
                <w:sz w:val="24"/>
                <w:szCs w:val="24"/>
                <w:lang w:val="en-GB"/>
              </w:rPr>
              <w:t>Proderma lightening glycerin</w:t>
            </w:r>
          </w:p>
        </w:tc>
        <w:tc>
          <w:tcPr>
            <w:tcW w:w="1559" w:type="dxa"/>
            <w:vAlign w:val="center"/>
          </w:tcPr>
          <w:p w14:paraId="4E454D09" w14:textId="77DFC4C6"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8</w:t>
            </w:r>
          </w:p>
        </w:tc>
      </w:tr>
      <w:tr w:rsidR="00642A09" w:rsidRPr="00DC12DD" w14:paraId="67AB9AAE" w14:textId="77777777" w:rsidTr="006B022D">
        <w:tc>
          <w:tcPr>
            <w:tcW w:w="1844" w:type="dxa"/>
            <w:vAlign w:val="center"/>
          </w:tcPr>
          <w:p w14:paraId="1AA6C704"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11</w:t>
            </w:r>
          </w:p>
        </w:tc>
        <w:tc>
          <w:tcPr>
            <w:tcW w:w="7229" w:type="dxa"/>
            <w:vAlign w:val="center"/>
          </w:tcPr>
          <w:p w14:paraId="0B2D9ED3" w14:textId="1C46BC34" w:rsidR="00642A09" w:rsidRPr="00AB7DFE" w:rsidRDefault="00E52576" w:rsidP="006B022D">
            <w:pPr>
              <w:spacing w:line="360" w:lineRule="auto"/>
              <w:jc w:val="center"/>
              <w:rPr>
                <w:rFonts w:asciiTheme="majorBidi" w:hAnsiTheme="majorBidi" w:cstheme="majorBidi"/>
                <w:sz w:val="32"/>
                <w:szCs w:val="32"/>
                <w:lang w:val="en-GB"/>
              </w:rPr>
            </w:pPr>
            <w:r w:rsidRPr="00AB7DFE">
              <w:rPr>
                <w:rFonts w:asciiTheme="majorBidi" w:hAnsiTheme="majorBidi" w:cstheme="majorBidi"/>
                <w:sz w:val="24"/>
                <w:szCs w:val="24"/>
                <w:lang w:val="en-GB"/>
              </w:rPr>
              <w:t>Proderma emollient cream</w:t>
            </w:r>
          </w:p>
        </w:tc>
        <w:tc>
          <w:tcPr>
            <w:tcW w:w="1559" w:type="dxa"/>
            <w:vAlign w:val="center"/>
          </w:tcPr>
          <w:p w14:paraId="7032CB3B" w14:textId="5B2964FF"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8</w:t>
            </w:r>
          </w:p>
        </w:tc>
      </w:tr>
      <w:tr w:rsidR="00642A09" w:rsidRPr="00DC12DD" w14:paraId="241F9CE7" w14:textId="77777777" w:rsidTr="006B022D">
        <w:tc>
          <w:tcPr>
            <w:tcW w:w="1844" w:type="dxa"/>
            <w:vAlign w:val="center"/>
          </w:tcPr>
          <w:p w14:paraId="3D59F5FA" w14:textId="77777777" w:rsidR="00642A09" w:rsidRPr="00EA4918" w:rsidRDefault="00642A09" w:rsidP="006B022D">
            <w:pPr>
              <w:spacing w:line="360" w:lineRule="auto"/>
              <w:jc w:val="center"/>
              <w:rPr>
                <w:rFonts w:asciiTheme="majorBidi" w:hAnsiTheme="majorBidi" w:cstheme="majorBidi"/>
                <w:sz w:val="24"/>
                <w:szCs w:val="24"/>
                <w:lang w:val="en-GB"/>
              </w:rPr>
            </w:pPr>
            <w:r w:rsidRPr="00EA4918">
              <w:rPr>
                <w:rFonts w:asciiTheme="majorBidi" w:hAnsiTheme="majorBidi" w:cstheme="majorBidi"/>
                <w:sz w:val="24"/>
                <w:szCs w:val="24"/>
                <w:lang w:val="en-GB"/>
              </w:rPr>
              <w:t>12</w:t>
            </w:r>
          </w:p>
        </w:tc>
        <w:tc>
          <w:tcPr>
            <w:tcW w:w="7229" w:type="dxa"/>
            <w:vAlign w:val="center"/>
          </w:tcPr>
          <w:p w14:paraId="3F3E5FD2" w14:textId="44572C68" w:rsidR="00642A09" w:rsidRPr="00AB7DFE" w:rsidRDefault="00A02D68" w:rsidP="006B022D">
            <w:pPr>
              <w:spacing w:line="360" w:lineRule="auto"/>
              <w:jc w:val="center"/>
              <w:rPr>
                <w:rFonts w:asciiTheme="majorBidi" w:hAnsiTheme="majorBidi" w:cstheme="majorBidi"/>
                <w:sz w:val="32"/>
                <w:szCs w:val="32"/>
                <w:lang w:val="en-GB"/>
              </w:rPr>
            </w:pPr>
            <w:r w:rsidRPr="00AB7DFE">
              <w:rPr>
                <w:rFonts w:asciiTheme="majorBidi" w:hAnsiTheme="majorBidi" w:cstheme="majorBidi"/>
                <w:sz w:val="24"/>
                <w:szCs w:val="24"/>
                <w:lang w:val="en-GB"/>
              </w:rPr>
              <w:t>Surgical alcohol</w:t>
            </w:r>
          </w:p>
        </w:tc>
        <w:tc>
          <w:tcPr>
            <w:tcW w:w="1559" w:type="dxa"/>
            <w:vAlign w:val="center"/>
          </w:tcPr>
          <w:p w14:paraId="56EED99F" w14:textId="52536BFB"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8</w:t>
            </w:r>
            <w:r>
              <w:rPr>
                <w:sz w:val="28"/>
                <w:lang w:val="en-GB"/>
              </w:rPr>
              <w:t>9</w:t>
            </w:r>
          </w:p>
        </w:tc>
      </w:tr>
      <w:tr w:rsidR="00B1738A" w:rsidRPr="00DC12DD" w14:paraId="1328F2A4" w14:textId="77777777" w:rsidTr="006B022D">
        <w:tc>
          <w:tcPr>
            <w:tcW w:w="1844" w:type="dxa"/>
            <w:vAlign w:val="center"/>
          </w:tcPr>
          <w:p w14:paraId="0A3DB157" w14:textId="025D8C7C" w:rsidR="00B1738A" w:rsidRPr="00EA4918" w:rsidRDefault="00B1738A"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13</w:t>
            </w:r>
          </w:p>
        </w:tc>
        <w:tc>
          <w:tcPr>
            <w:tcW w:w="7229" w:type="dxa"/>
            <w:vAlign w:val="center"/>
          </w:tcPr>
          <w:p w14:paraId="7BC90475" w14:textId="54CB4E0F" w:rsidR="00B1738A" w:rsidRPr="00AB7DFE" w:rsidRDefault="00B1738A" w:rsidP="006B022D">
            <w:pPr>
              <w:spacing w:line="360" w:lineRule="auto"/>
              <w:jc w:val="center"/>
              <w:rPr>
                <w:rFonts w:asciiTheme="majorBidi" w:hAnsiTheme="majorBidi" w:cstheme="majorBidi"/>
                <w:sz w:val="24"/>
                <w:szCs w:val="24"/>
                <w:lang w:val="en-GB"/>
              </w:rPr>
            </w:pPr>
            <w:r w:rsidRPr="000924C9">
              <w:rPr>
                <w:rFonts w:asciiTheme="majorBidi" w:hAnsiTheme="majorBidi" w:cstheme="majorBidi"/>
                <w:sz w:val="24"/>
                <w:szCs w:val="24"/>
                <w:lang w:val="en-GB"/>
              </w:rPr>
              <w:t>Macro model</w:t>
            </w:r>
          </w:p>
        </w:tc>
        <w:tc>
          <w:tcPr>
            <w:tcW w:w="1559" w:type="dxa"/>
            <w:vAlign w:val="center"/>
          </w:tcPr>
          <w:p w14:paraId="69BD02FF" w14:textId="0706E750" w:rsidR="00B1738A"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9</w:t>
            </w:r>
            <w:r>
              <w:rPr>
                <w:sz w:val="28"/>
                <w:lang w:val="en-GB"/>
              </w:rPr>
              <w:t>7</w:t>
            </w:r>
          </w:p>
        </w:tc>
      </w:tr>
      <w:tr w:rsidR="00642A09" w:rsidRPr="00DC12DD" w14:paraId="72612EF0" w14:textId="77777777" w:rsidTr="006B022D">
        <w:tc>
          <w:tcPr>
            <w:tcW w:w="1844" w:type="dxa"/>
            <w:vAlign w:val="center"/>
          </w:tcPr>
          <w:p w14:paraId="6BD31239" w14:textId="7A41F73F" w:rsidR="00642A09" w:rsidRPr="00AB7DFE" w:rsidRDefault="00642A09"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4</w:t>
            </w:r>
          </w:p>
        </w:tc>
        <w:tc>
          <w:tcPr>
            <w:tcW w:w="7229" w:type="dxa"/>
            <w:vAlign w:val="center"/>
          </w:tcPr>
          <w:p w14:paraId="1B6EF96A" w14:textId="6E8C436C" w:rsidR="00642A09" w:rsidRPr="00AB7DFE" w:rsidRDefault="00005BFB" w:rsidP="006B022D">
            <w:pPr>
              <w:spacing w:line="360" w:lineRule="auto"/>
              <w:jc w:val="center"/>
              <w:rPr>
                <w:rFonts w:asciiTheme="majorBidi" w:hAnsiTheme="majorBidi" w:cstheme="majorBidi"/>
                <w:sz w:val="24"/>
                <w:szCs w:val="24"/>
                <w:lang w:val="en-GB"/>
              </w:rPr>
            </w:pPr>
            <w:r w:rsidRPr="00AB7DFE">
              <w:rPr>
                <w:rFonts w:eastAsia="Times New Roman"/>
                <w:sz w:val="24"/>
                <w:szCs w:val="24"/>
                <w:lang w:val="en-US"/>
              </w:rPr>
              <w:t>GDP growth rate</w:t>
            </w:r>
          </w:p>
        </w:tc>
        <w:tc>
          <w:tcPr>
            <w:tcW w:w="1559" w:type="dxa"/>
            <w:vAlign w:val="center"/>
          </w:tcPr>
          <w:p w14:paraId="0B630FC8" w14:textId="16014E59"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9</w:t>
            </w:r>
            <w:r>
              <w:rPr>
                <w:sz w:val="28"/>
                <w:lang w:val="en-GB"/>
              </w:rPr>
              <w:t>8</w:t>
            </w:r>
          </w:p>
        </w:tc>
      </w:tr>
      <w:tr w:rsidR="00642A09" w:rsidRPr="00DC12DD" w14:paraId="1F3D5435" w14:textId="77777777" w:rsidTr="006B022D">
        <w:tc>
          <w:tcPr>
            <w:tcW w:w="1844" w:type="dxa"/>
            <w:vAlign w:val="center"/>
          </w:tcPr>
          <w:p w14:paraId="1552B1BD" w14:textId="41319F62" w:rsidR="00642A09" w:rsidRPr="00AB7DFE" w:rsidRDefault="00642A09"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5</w:t>
            </w:r>
          </w:p>
        </w:tc>
        <w:tc>
          <w:tcPr>
            <w:tcW w:w="7229" w:type="dxa"/>
            <w:vAlign w:val="center"/>
          </w:tcPr>
          <w:p w14:paraId="20795F94" w14:textId="0F7797A7" w:rsidR="00642A09"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US"/>
              </w:rPr>
              <w:t>Inflation rate</w:t>
            </w:r>
          </w:p>
        </w:tc>
        <w:tc>
          <w:tcPr>
            <w:tcW w:w="1559" w:type="dxa"/>
            <w:vAlign w:val="center"/>
          </w:tcPr>
          <w:p w14:paraId="6B5461EB" w14:textId="40B8B831"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9</w:t>
            </w:r>
            <w:r>
              <w:rPr>
                <w:sz w:val="28"/>
                <w:lang w:val="en-GB"/>
              </w:rPr>
              <w:t>9</w:t>
            </w:r>
          </w:p>
        </w:tc>
      </w:tr>
      <w:tr w:rsidR="00642A09" w:rsidRPr="00DC12DD" w14:paraId="53288095" w14:textId="77777777" w:rsidTr="006B022D">
        <w:tc>
          <w:tcPr>
            <w:tcW w:w="1844" w:type="dxa"/>
            <w:vAlign w:val="center"/>
          </w:tcPr>
          <w:p w14:paraId="0ED43505" w14:textId="7AA5A10F" w:rsidR="00642A09" w:rsidRPr="00AB7DFE" w:rsidRDefault="00642A09"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6</w:t>
            </w:r>
          </w:p>
        </w:tc>
        <w:tc>
          <w:tcPr>
            <w:tcW w:w="7229" w:type="dxa"/>
            <w:vAlign w:val="center"/>
          </w:tcPr>
          <w:p w14:paraId="7E02CA64" w14:textId="2265A2C5" w:rsidR="00642A09" w:rsidRPr="00AB7DFE" w:rsidRDefault="00005BFB" w:rsidP="006B022D">
            <w:pPr>
              <w:tabs>
                <w:tab w:val="left" w:pos="1900"/>
              </w:tabs>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US" w:bidi="ar-DZ"/>
              </w:rPr>
              <w:t>GDP</w:t>
            </w:r>
          </w:p>
        </w:tc>
        <w:tc>
          <w:tcPr>
            <w:tcW w:w="1559" w:type="dxa"/>
            <w:vAlign w:val="center"/>
          </w:tcPr>
          <w:p w14:paraId="4C1B6CC4" w14:textId="707E1D72"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9</w:t>
            </w:r>
            <w:r>
              <w:rPr>
                <w:sz w:val="28"/>
                <w:lang w:val="en-GB"/>
              </w:rPr>
              <w:t>9</w:t>
            </w:r>
          </w:p>
        </w:tc>
      </w:tr>
      <w:tr w:rsidR="00642A09" w:rsidRPr="00DC12DD" w14:paraId="7714D880" w14:textId="77777777" w:rsidTr="006B022D">
        <w:tc>
          <w:tcPr>
            <w:tcW w:w="1844" w:type="dxa"/>
            <w:vAlign w:val="center"/>
          </w:tcPr>
          <w:p w14:paraId="53D9A4C0" w14:textId="66F1F8D4" w:rsidR="00642A09"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7</w:t>
            </w:r>
          </w:p>
        </w:tc>
        <w:tc>
          <w:tcPr>
            <w:tcW w:w="7229" w:type="dxa"/>
            <w:vAlign w:val="center"/>
          </w:tcPr>
          <w:p w14:paraId="5F9244AC" w14:textId="53C5C533" w:rsidR="00642A09" w:rsidRPr="00AB7DFE" w:rsidRDefault="009D56E4" w:rsidP="006B022D">
            <w:pPr>
              <w:spacing w:line="360" w:lineRule="auto"/>
              <w:jc w:val="center"/>
              <w:rPr>
                <w:rFonts w:asciiTheme="majorBidi" w:hAnsiTheme="majorBidi" w:cstheme="majorBidi"/>
                <w:sz w:val="24"/>
                <w:szCs w:val="24"/>
                <w:lang w:val="en-GB"/>
              </w:rPr>
            </w:pPr>
            <w:r w:rsidRPr="00AB7DFE">
              <w:rPr>
                <w:rFonts w:eastAsia="Times New Roman"/>
                <w:sz w:val="24"/>
                <w:szCs w:val="24"/>
                <w:lang w:val="en-US"/>
              </w:rPr>
              <w:t>Unemployment rate</w:t>
            </w:r>
          </w:p>
        </w:tc>
        <w:tc>
          <w:tcPr>
            <w:tcW w:w="1559" w:type="dxa"/>
            <w:vAlign w:val="center"/>
          </w:tcPr>
          <w:p w14:paraId="09615C0B" w14:textId="3DDAE061"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00</w:t>
            </w:r>
          </w:p>
        </w:tc>
      </w:tr>
      <w:tr w:rsidR="00642A09" w:rsidRPr="00DC12DD" w14:paraId="0AF5C515" w14:textId="77777777" w:rsidTr="006B022D">
        <w:tc>
          <w:tcPr>
            <w:tcW w:w="1844" w:type="dxa"/>
            <w:vAlign w:val="center"/>
          </w:tcPr>
          <w:p w14:paraId="75C2A3C7" w14:textId="1C6044E9" w:rsidR="00642A09"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8</w:t>
            </w:r>
          </w:p>
        </w:tc>
        <w:tc>
          <w:tcPr>
            <w:tcW w:w="7229" w:type="dxa"/>
            <w:vAlign w:val="center"/>
          </w:tcPr>
          <w:p w14:paraId="4711FE1B" w14:textId="2CB70091" w:rsidR="00642A09" w:rsidRPr="00AB7DFE" w:rsidRDefault="009D56E4"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US" w:bidi="ar-DZ"/>
              </w:rPr>
              <w:t>Exchange rate</w:t>
            </w:r>
          </w:p>
        </w:tc>
        <w:tc>
          <w:tcPr>
            <w:tcW w:w="1559" w:type="dxa"/>
            <w:vAlign w:val="center"/>
          </w:tcPr>
          <w:p w14:paraId="184E328B" w14:textId="0A611085"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01</w:t>
            </w:r>
          </w:p>
        </w:tc>
      </w:tr>
      <w:tr w:rsidR="00642A09" w:rsidRPr="00DC12DD" w14:paraId="1B5C5114" w14:textId="77777777" w:rsidTr="006B022D">
        <w:tc>
          <w:tcPr>
            <w:tcW w:w="1844" w:type="dxa"/>
            <w:vAlign w:val="center"/>
          </w:tcPr>
          <w:p w14:paraId="11966E27" w14:textId="25476228" w:rsidR="00642A09"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1</w:t>
            </w:r>
            <w:r w:rsidR="00B1738A">
              <w:rPr>
                <w:rFonts w:asciiTheme="majorBidi" w:hAnsiTheme="majorBidi" w:cstheme="majorBidi"/>
                <w:sz w:val="24"/>
                <w:szCs w:val="24"/>
                <w:lang w:val="en-GB"/>
              </w:rPr>
              <w:t>9</w:t>
            </w:r>
          </w:p>
        </w:tc>
        <w:tc>
          <w:tcPr>
            <w:tcW w:w="7229" w:type="dxa"/>
            <w:vAlign w:val="center"/>
          </w:tcPr>
          <w:p w14:paraId="530C987F" w14:textId="6E696341" w:rsidR="00642A09" w:rsidRPr="00AB7DFE" w:rsidRDefault="009D56E4"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US" w:bidi="ar-DZ"/>
              </w:rPr>
              <w:t>GDP Forecast from 2025 to 2030</w:t>
            </w:r>
          </w:p>
        </w:tc>
        <w:tc>
          <w:tcPr>
            <w:tcW w:w="1559" w:type="dxa"/>
            <w:vAlign w:val="center"/>
          </w:tcPr>
          <w:p w14:paraId="2543212C" w14:textId="29A08FE7" w:rsidR="00642A09"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11</w:t>
            </w:r>
          </w:p>
        </w:tc>
      </w:tr>
      <w:tr w:rsidR="00005BFB" w:rsidRPr="00DC12DD" w14:paraId="665F4977" w14:textId="77777777" w:rsidTr="006B022D">
        <w:tc>
          <w:tcPr>
            <w:tcW w:w="1844" w:type="dxa"/>
            <w:vAlign w:val="center"/>
          </w:tcPr>
          <w:p w14:paraId="03299FE8" w14:textId="785AF36F" w:rsidR="00005BFB" w:rsidRPr="00AB7DFE" w:rsidRDefault="00B1738A"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20</w:t>
            </w:r>
          </w:p>
        </w:tc>
        <w:tc>
          <w:tcPr>
            <w:tcW w:w="7229" w:type="dxa"/>
            <w:vAlign w:val="center"/>
          </w:tcPr>
          <w:p w14:paraId="6EE84638" w14:textId="6C7334E3" w:rsidR="00005BFB" w:rsidRPr="00AB7DFE" w:rsidRDefault="000A587F"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US" w:bidi="ar-DZ"/>
              </w:rPr>
              <w:t>I</w:t>
            </w:r>
            <w:r w:rsidR="009D56E4" w:rsidRPr="00AB7DFE">
              <w:rPr>
                <w:rFonts w:asciiTheme="majorBidi" w:hAnsiTheme="majorBidi" w:cstheme="majorBidi"/>
                <w:sz w:val="24"/>
                <w:szCs w:val="24"/>
                <w:lang w:val="en-US" w:bidi="ar-DZ"/>
              </w:rPr>
              <w:t>nflation Forecast from 2025 to 2030</w:t>
            </w:r>
          </w:p>
        </w:tc>
        <w:tc>
          <w:tcPr>
            <w:tcW w:w="1559" w:type="dxa"/>
            <w:vAlign w:val="center"/>
          </w:tcPr>
          <w:p w14:paraId="5FDAC25D" w14:textId="66D97657" w:rsidR="00005BFB"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14</w:t>
            </w:r>
          </w:p>
        </w:tc>
      </w:tr>
      <w:tr w:rsidR="00005BFB" w:rsidRPr="00DC12DD" w14:paraId="52CD2F8D" w14:textId="77777777" w:rsidTr="006B022D">
        <w:tc>
          <w:tcPr>
            <w:tcW w:w="1844" w:type="dxa"/>
            <w:vAlign w:val="center"/>
          </w:tcPr>
          <w:p w14:paraId="5B3ADB69" w14:textId="4BA13EB9" w:rsidR="00005BFB"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2</w:t>
            </w:r>
            <w:r w:rsidR="00B1738A">
              <w:rPr>
                <w:rFonts w:asciiTheme="majorBidi" w:hAnsiTheme="majorBidi" w:cstheme="majorBidi"/>
                <w:sz w:val="24"/>
                <w:szCs w:val="24"/>
                <w:lang w:val="en-GB"/>
              </w:rPr>
              <w:t>1</w:t>
            </w:r>
          </w:p>
        </w:tc>
        <w:tc>
          <w:tcPr>
            <w:tcW w:w="7229" w:type="dxa"/>
            <w:vAlign w:val="center"/>
          </w:tcPr>
          <w:p w14:paraId="7C00364A" w14:textId="3892A1D0" w:rsidR="00005BFB" w:rsidRPr="00AB7DFE" w:rsidRDefault="009D56E4" w:rsidP="006B022D">
            <w:pPr>
              <w:spacing w:line="360" w:lineRule="auto"/>
              <w:ind w:firstLine="708"/>
              <w:jc w:val="center"/>
              <w:rPr>
                <w:rFonts w:asciiTheme="majorBidi" w:hAnsiTheme="majorBidi" w:cstheme="majorBidi"/>
                <w:sz w:val="24"/>
                <w:szCs w:val="24"/>
                <w:lang w:val="en-GB"/>
              </w:rPr>
            </w:pPr>
            <w:r w:rsidRPr="00AB7DFE">
              <w:rPr>
                <w:rFonts w:asciiTheme="majorBidi" w:hAnsiTheme="majorBidi" w:cstheme="majorBidi"/>
                <w:sz w:val="24"/>
                <w:szCs w:val="24"/>
                <w:lang w:val="en-US" w:bidi="ar-DZ"/>
              </w:rPr>
              <w:t>Unemployment Forecast from 2025 to 2030</w:t>
            </w:r>
          </w:p>
        </w:tc>
        <w:tc>
          <w:tcPr>
            <w:tcW w:w="1559" w:type="dxa"/>
            <w:vAlign w:val="center"/>
          </w:tcPr>
          <w:p w14:paraId="2F2FAB59" w14:textId="3E609004" w:rsidR="00005BFB"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17</w:t>
            </w:r>
          </w:p>
        </w:tc>
      </w:tr>
      <w:tr w:rsidR="00005BFB" w:rsidRPr="00DC12DD" w14:paraId="32BF882D" w14:textId="77777777" w:rsidTr="006B022D">
        <w:tc>
          <w:tcPr>
            <w:tcW w:w="1844" w:type="dxa"/>
            <w:vAlign w:val="center"/>
          </w:tcPr>
          <w:p w14:paraId="75861868" w14:textId="2C7C58DA" w:rsidR="00005BFB"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2</w:t>
            </w:r>
            <w:r w:rsidR="00B1738A">
              <w:rPr>
                <w:rFonts w:asciiTheme="majorBidi" w:hAnsiTheme="majorBidi" w:cstheme="majorBidi"/>
                <w:sz w:val="24"/>
                <w:szCs w:val="24"/>
                <w:lang w:val="en-GB"/>
              </w:rPr>
              <w:t>2</w:t>
            </w:r>
          </w:p>
        </w:tc>
        <w:tc>
          <w:tcPr>
            <w:tcW w:w="7229" w:type="dxa"/>
            <w:vAlign w:val="center"/>
          </w:tcPr>
          <w:p w14:paraId="34633662" w14:textId="15DD2938" w:rsidR="00005BFB" w:rsidRPr="00AB7DFE" w:rsidRDefault="006B1405"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US" w:bidi="ar-DZ"/>
              </w:rPr>
              <w:t>Exchange rate</w:t>
            </w:r>
            <w:r w:rsidR="009D56E4" w:rsidRPr="00AB7DFE">
              <w:rPr>
                <w:rFonts w:asciiTheme="majorBidi" w:hAnsiTheme="majorBidi" w:cstheme="majorBidi"/>
                <w:sz w:val="24"/>
                <w:szCs w:val="24"/>
                <w:lang w:val="en-US" w:bidi="ar-DZ"/>
              </w:rPr>
              <w:t xml:space="preserve"> For from 2025 to 2030</w:t>
            </w:r>
          </w:p>
        </w:tc>
        <w:tc>
          <w:tcPr>
            <w:tcW w:w="1559" w:type="dxa"/>
            <w:vAlign w:val="center"/>
          </w:tcPr>
          <w:p w14:paraId="5D2A16F4" w14:textId="26A065D7" w:rsidR="00005BFB"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19</w:t>
            </w:r>
          </w:p>
        </w:tc>
      </w:tr>
      <w:tr w:rsidR="00005BFB" w:rsidRPr="00DC12DD" w14:paraId="659B36CD" w14:textId="77777777" w:rsidTr="006B022D">
        <w:tc>
          <w:tcPr>
            <w:tcW w:w="1844" w:type="dxa"/>
            <w:vAlign w:val="center"/>
          </w:tcPr>
          <w:p w14:paraId="6F3C4B35" w14:textId="1DE8FFB6" w:rsidR="00005BFB" w:rsidRPr="00AB7DFE" w:rsidRDefault="00005BFB" w:rsidP="006B022D">
            <w:pPr>
              <w:spacing w:line="360" w:lineRule="auto"/>
              <w:jc w:val="center"/>
              <w:rPr>
                <w:rFonts w:asciiTheme="majorBidi" w:hAnsiTheme="majorBidi" w:cstheme="majorBidi"/>
                <w:sz w:val="24"/>
                <w:szCs w:val="24"/>
                <w:lang w:val="en-GB"/>
              </w:rPr>
            </w:pPr>
            <w:r w:rsidRPr="00AB7DFE">
              <w:rPr>
                <w:rFonts w:asciiTheme="majorBidi" w:hAnsiTheme="majorBidi" w:cstheme="majorBidi"/>
                <w:sz w:val="24"/>
                <w:szCs w:val="24"/>
                <w:lang w:val="en-GB"/>
              </w:rPr>
              <w:t>2</w:t>
            </w:r>
            <w:r w:rsidR="00B1738A">
              <w:rPr>
                <w:rFonts w:asciiTheme="majorBidi" w:hAnsiTheme="majorBidi" w:cstheme="majorBidi"/>
                <w:sz w:val="24"/>
                <w:szCs w:val="24"/>
                <w:lang w:val="en-GB"/>
              </w:rPr>
              <w:t>3</w:t>
            </w:r>
          </w:p>
        </w:tc>
        <w:tc>
          <w:tcPr>
            <w:tcW w:w="7229" w:type="dxa"/>
            <w:vAlign w:val="center"/>
          </w:tcPr>
          <w:p w14:paraId="771E2776" w14:textId="13357378" w:rsidR="00005BFB" w:rsidRPr="00AB7DFE" w:rsidRDefault="00B1738A" w:rsidP="006B022D">
            <w:pPr>
              <w:spacing w:line="360" w:lineRule="auto"/>
              <w:jc w:val="center"/>
              <w:rPr>
                <w:rFonts w:asciiTheme="majorBidi" w:hAnsiTheme="majorBidi" w:cstheme="majorBidi"/>
                <w:sz w:val="24"/>
                <w:szCs w:val="24"/>
                <w:lang w:val="en-GB"/>
              </w:rPr>
            </w:pPr>
            <w:r w:rsidRPr="000924C9">
              <w:rPr>
                <w:rFonts w:asciiTheme="majorBidi" w:hAnsiTheme="majorBidi" w:cstheme="majorBidi"/>
                <w:sz w:val="24"/>
                <w:szCs w:val="24"/>
                <w:lang w:val="en-GB"/>
              </w:rPr>
              <w:t>Micro model</w:t>
            </w:r>
          </w:p>
        </w:tc>
        <w:tc>
          <w:tcPr>
            <w:tcW w:w="1559" w:type="dxa"/>
            <w:vAlign w:val="center"/>
          </w:tcPr>
          <w:p w14:paraId="5ADCD9C5" w14:textId="2E4BDE38" w:rsidR="00005BFB" w:rsidRPr="006B022D" w:rsidRDefault="006B022D"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w:t>
            </w:r>
            <w:r>
              <w:rPr>
                <w:sz w:val="28"/>
                <w:lang w:val="en-GB"/>
              </w:rPr>
              <w:t>37</w:t>
            </w:r>
          </w:p>
        </w:tc>
      </w:tr>
      <w:tr w:rsidR="006B1405" w:rsidRPr="00DC12DD" w14:paraId="0E29C0B7" w14:textId="77777777" w:rsidTr="006B022D">
        <w:tc>
          <w:tcPr>
            <w:tcW w:w="1844" w:type="dxa"/>
            <w:vAlign w:val="center"/>
          </w:tcPr>
          <w:p w14:paraId="4615E755" w14:textId="1F39E7ED" w:rsidR="006B1405" w:rsidRPr="00AB7DFE" w:rsidRDefault="006B1405" w:rsidP="006B022D">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24</w:t>
            </w:r>
          </w:p>
        </w:tc>
        <w:tc>
          <w:tcPr>
            <w:tcW w:w="7229" w:type="dxa"/>
            <w:vAlign w:val="center"/>
          </w:tcPr>
          <w:p w14:paraId="51587521" w14:textId="4564A4C0" w:rsidR="006B1405" w:rsidRPr="000924C9" w:rsidRDefault="006B1405" w:rsidP="006B1405">
            <w:pPr>
              <w:spacing w:line="360" w:lineRule="auto"/>
              <w:jc w:val="center"/>
              <w:rPr>
                <w:rFonts w:asciiTheme="majorBidi" w:hAnsiTheme="majorBidi" w:cstheme="majorBidi"/>
                <w:sz w:val="24"/>
                <w:szCs w:val="24"/>
                <w:lang w:val="en-GB"/>
              </w:rPr>
            </w:pPr>
            <w:r w:rsidRPr="006B1405">
              <w:rPr>
                <w:rFonts w:asciiTheme="majorBidi" w:hAnsiTheme="majorBidi" w:cstheme="majorBidi"/>
                <w:sz w:val="24"/>
                <w:szCs w:val="24"/>
                <w:lang w:val="en-GB"/>
              </w:rPr>
              <w:t>Proderma emollient cream</w:t>
            </w:r>
          </w:p>
        </w:tc>
        <w:tc>
          <w:tcPr>
            <w:tcW w:w="1559" w:type="dxa"/>
            <w:vAlign w:val="center"/>
          </w:tcPr>
          <w:p w14:paraId="4992573E" w14:textId="5637884F" w:rsidR="006B1405" w:rsidRDefault="006B1405" w:rsidP="006B022D">
            <w:pPr>
              <w:spacing w:line="360" w:lineRule="auto"/>
              <w:jc w:val="center"/>
              <w:rPr>
                <w:rFonts w:asciiTheme="majorBidi" w:hAnsiTheme="majorBidi" w:cstheme="majorBidi"/>
                <w:sz w:val="28"/>
                <w:szCs w:val="28"/>
                <w:lang w:val="en-GB"/>
              </w:rPr>
            </w:pPr>
            <w:r>
              <w:rPr>
                <w:rFonts w:asciiTheme="majorBidi" w:hAnsiTheme="majorBidi" w:cstheme="majorBidi"/>
                <w:sz w:val="28"/>
                <w:szCs w:val="28"/>
                <w:lang w:val="en-GB"/>
              </w:rPr>
              <w:t>169</w:t>
            </w:r>
          </w:p>
        </w:tc>
      </w:tr>
    </w:tbl>
    <w:p w14:paraId="3F9F39AB" w14:textId="430A6A56" w:rsidR="00642A09" w:rsidRPr="00DC12DD" w:rsidRDefault="00642A09" w:rsidP="00DC12DD">
      <w:pPr>
        <w:spacing w:line="360" w:lineRule="auto"/>
        <w:jc w:val="both"/>
        <w:rPr>
          <w:rFonts w:asciiTheme="majorBidi" w:hAnsiTheme="majorBidi" w:cstheme="majorBidi"/>
          <w:sz w:val="24"/>
          <w:szCs w:val="24"/>
          <w:lang w:val="en-GB"/>
        </w:rPr>
      </w:pPr>
    </w:p>
    <w:p w14:paraId="3BFF504E"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176BE85A"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7FBD3EDD"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18373B28"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07EDA75B"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254B0012"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61FF7E5A"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746933A6"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3343707E" w14:textId="77777777" w:rsidR="00265A9C" w:rsidRDefault="00265A9C" w:rsidP="003414A5">
      <w:pPr>
        <w:pStyle w:val="NormalWeb"/>
        <w:spacing w:line="360" w:lineRule="auto"/>
        <w:jc w:val="both"/>
        <w:rPr>
          <w:rStyle w:val="fadeinm1hgl8"/>
          <w:rFonts w:asciiTheme="majorBidi" w:hAnsiTheme="majorBidi" w:cstheme="majorBidi"/>
          <w:b/>
          <w:bCs/>
          <w:lang w:val="en-GB"/>
        </w:rPr>
      </w:pPr>
    </w:p>
    <w:p w14:paraId="162BADA0"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22E95677"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57274825"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5589A960"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60348222"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6A427139" w14:textId="77777777" w:rsidR="00642A09" w:rsidRDefault="00642A09" w:rsidP="003414A5">
      <w:pPr>
        <w:pStyle w:val="NormalWeb"/>
        <w:spacing w:line="360" w:lineRule="auto"/>
        <w:jc w:val="both"/>
        <w:rPr>
          <w:rStyle w:val="fadeinm1hgl8"/>
          <w:rFonts w:asciiTheme="majorBidi" w:hAnsiTheme="majorBidi" w:cstheme="majorBidi"/>
          <w:b/>
          <w:bCs/>
          <w:lang w:val="en-GB"/>
        </w:rPr>
      </w:pPr>
    </w:p>
    <w:p w14:paraId="6CBAF279" w14:textId="4C3BDDAF" w:rsidR="003A19AC" w:rsidRDefault="003A19AC">
      <w:pPr>
        <w:rPr>
          <w:rStyle w:val="fadeinm1hgl8"/>
          <w:rFonts w:asciiTheme="majorBidi" w:eastAsia="Times New Roman" w:hAnsiTheme="majorBidi" w:cstheme="majorBidi"/>
          <w:b/>
          <w:bCs/>
          <w:sz w:val="24"/>
          <w:szCs w:val="24"/>
          <w:lang w:val="en-GB" w:eastAsia="fr-FR"/>
        </w:rPr>
      </w:pPr>
      <w:r>
        <w:rPr>
          <w:rStyle w:val="fadeinm1hgl8"/>
          <w:rFonts w:asciiTheme="majorBidi" w:hAnsiTheme="majorBidi" w:cstheme="majorBidi"/>
          <w:b/>
          <w:bCs/>
          <w:lang w:val="en-GB"/>
        </w:rPr>
        <w:br w:type="page"/>
      </w:r>
    </w:p>
    <w:p w14:paraId="388B5C52" w14:textId="39A8772A" w:rsidR="002B29BF" w:rsidRDefault="002B29BF" w:rsidP="002B29BF">
      <w:pPr>
        <w:pStyle w:val="NormalWeb"/>
        <w:spacing w:line="360" w:lineRule="auto"/>
        <w:jc w:val="center"/>
        <w:rPr>
          <w:rStyle w:val="fadeinm1hgl8"/>
          <w:rFonts w:asciiTheme="majorBidi" w:hAnsiTheme="majorBidi" w:cstheme="majorBidi"/>
          <w:b/>
          <w:bCs/>
          <w:lang w:val="en-GB"/>
        </w:rPr>
      </w:pPr>
      <w:r w:rsidRPr="002B29BF">
        <w:rPr>
          <w:rStyle w:val="fadeinm1hgl8"/>
          <w:rFonts w:asciiTheme="majorBidi" w:hAnsiTheme="majorBidi" w:cstheme="majorBidi"/>
          <w:b/>
          <w:bCs/>
          <w:lang w:val="en-GB"/>
        </w:rPr>
        <w:t>LIST OF ABBREVIATIONS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7194"/>
      </w:tblGrid>
      <w:tr w:rsidR="002B29BF" w:rsidRPr="002B29BF" w14:paraId="78801F0A" w14:textId="77777777" w:rsidTr="004C32F4">
        <w:trPr>
          <w:tblHeader/>
          <w:tblCellSpacing w:w="15" w:type="dxa"/>
          <w:jc w:val="center"/>
        </w:trPr>
        <w:tc>
          <w:tcPr>
            <w:tcW w:w="1651" w:type="dxa"/>
            <w:vAlign w:val="center"/>
            <w:hideMark/>
          </w:tcPr>
          <w:p w14:paraId="73A9457F" w14:textId="77777777" w:rsidR="002B29BF" w:rsidRPr="002B29BF" w:rsidRDefault="002B29BF" w:rsidP="002B29BF">
            <w:pPr>
              <w:spacing w:after="0" w:line="240" w:lineRule="auto"/>
              <w:jc w:val="center"/>
              <w:rPr>
                <w:rFonts w:asciiTheme="majorBidi" w:eastAsia="Times New Roman" w:hAnsiTheme="majorBidi" w:cstheme="majorBidi"/>
                <w:b/>
                <w:bCs/>
                <w:sz w:val="24"/>
                <w:szCs w:val="24"/>
                <w:lang w:eastAsia="fr-FR"/>
              </w:rPr>
            </w:pPr>
            <w:r w:rsidRPr="002B29BF">
              <w:rPr>
                <w:rFonts w:asciiTheme="majorBidi" w:eastAsia="Times New Roman" w:hAnsiTheme="majorBidi" w:cstheme="majorBidi"/>
                <w:b/>
                <w:bCs/>
                <w:sz w:val="24"/>
                <w:szCs w:val="24"/>
                <w:lang w:eastAsia="fr-FR"/>
              </w:rPr>
              <w:t>Abbreviation</w:t>
            </w:r>
          </w:p>
        </w:tc>
        <w:tc>
          <w:tcPr>
            <w:tcW w:w="7149" w:type="dxa"/>
            <w:vAlign w:val="center"/>
            <w:hideMark/>
          </w:tcPr>
          <w:p w14:paraId="3FDC10DF" w14:textId="77777777" w:rsidR="002B29BF" w:rsidRPr="002B29BF" w:rsidRDefault="002B29BF" w:rsidP="002B29BF">
            <w:pPr>
              <w:spacing w:after="0" w:line="240" w:lineRule="auto"/>
              <w:jc w:val="center"/>
              <w:rPr>
                <w:rFonts w:asciiTheme="majorBidi" w:eastAsia="Times New Roman" w:hAnsiTheme="majorBidi" w:cstheme="majorBidi"/>
                <w:b/>
                <w:bCs/>
                <w:sz w:val="24"/>
                <w:szCs w:val="24"/>
                <w:lang w:eastAsia="fr-FR"/>
              </w:rPr>
            </w:pPr>
            <w:r w:rsidRPr="002B29BF">
              <w:rPr>
                <w:rFonts w:asciiTheme="majorBidi" w:eastAsia="Times New Roman" w:hAnsiTheme="majorBidi" w:cstheme="majorBidi"/>
                <w:b/>
                <w:bCs/>
                <w:sz w:val="24"/>
                <w:szCs w:val="24"/>
                <w:lang w:eastAsia="fr-FR"/>
              </w:rPr>
              <w:t>Meaning</w:t>
            </w:r>
          </w:p>
        </w:tc>
      </w:tr>
      <w:tr w:rsidR="002B29BF" w:rsidRPr="002B29BF" w14:paraId="69364F2C" w14:textId="77777777" w:rsidTr="004C32F4">
        <w:trPr>
          <w:tblCellSpacing w:w="15" w:type="dxa"/>
          <w:jc w:val="center"/>
        </w:trPr>
        <w:tc>
          <w:tcPr>
            <w:tcW w:w="1651" w:type="dxa"/>
            <w:vAlign w:val="center"/>
            <w:hideMark/>
          </w:tcPr>
          <w:p w14:paraId="6633AF4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AA</w:t>
            </w:r>
          </w:p>
        </w:tc>
        <w:tc>
          <w:tcPr>
            <w:tcW w:w="7149" w:type="dxa"/>
            <w:vAlign w:val="center"/>
            <w:hideMark/>
          </w:tcPr>
          <w:p w14:paraId="67D81F5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Availability and Accessibility</w:t>
            </w:r>
          </w:p>
        </w:tc>
      </w:tr>
      <w:tr w:rsidR="002B29BF" w:rsidRPr="002B29BF" w14:paraId="7ECFF546" w14:textId="77777777" w:rsidTr="004C32F4">
        <w:trPr>
          <w:tblCellSpacing w:w="15" w:type="dxa"/>
          <w:jc w:val="center"/>
        </w:trPr>
        <w:tc>
          <w:tcPr>
            <w:tcW w:w="1651" w:type="dxa"/>
            <w:vAlign w:val="center"/>
            <w:hideMark/>
          </w:tcPr>
          <w:p w14:paraId="638848A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ADA</w:t>
            </w:r>
          </w:p>
        </w:tc>
        <w:tc>
          <w:tcPr>
            <w:tcW w:w="7149" w:type="dxa"/>
            <w:vAlign w:val="center"/>
            <w:hideMark/>
          </w:tcPr>
          <w:p w14:paraId="7E57868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Automotive Distributors Association</w:t>
            </w:r>
          </w:p>
        </w:tc>
      </w:tr>
      <w:tr w:rsidR="002B29BF" w:rsidRPr="00A10E08" w14:paraId="35153763" w14:textId="77777777" w:rsidTr="004C32F4">
        <w:trPr>
          <w:tblCellSpacing w:w="15" w:type="dxa"/>
          <w:jc w:val="center"/>
        </w:trPr>
        <w:tc>
          <w:tcPr>
            <w:tcW w:w="1651" w:type="dxa"/>
            <w:vAlign w:val="center"/>
            <w:hideMark/>
          </w:tcPr>
          <w:p w14:paraId="0B018CB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ALGEX</w:t>
            </w:r>
          </w:p>
        </w:tc>
        <w:tc>
          <w:tcPr>
            <w:tcW w:w="7149" w:type="dxa"/>
            <w:vAlign w:val="center"/>
            <w:hideMark/>
          </w:tcPr>
          <w:p w14:paraId="55804649"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Algerian National Agency for the Promotion of Foreign Trade</w:t>
            </w:r>
          </w:p>
        </w:tc>
      </w:tr>
      <w:tr w:rsidR="002B29BF" w:rsidRPr="002B29BF" w14:paraId="0C9322C4" w14:textId="77777777" w:rsidTr="004C32F4">
        <w:trPr>
          <w:tblCellSpacing w:w="15" w:type="dxa"/>
          <w:jc w:val="center"/>
        </w:trPr>
        <w:tc>
          <w:tcPr>
            <w:tcW w:w="1651" w:type="dxa"/>
            <w:vAlign w:val="center"/>
            <w:hideMark/>
          </w:tcPr>
          <w:p w14:paraId="09FA94C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ANOVA</w:t>
            </w:r>
          </w:p>
        </w:tc>
        <w:tc>
          <w:tcPr>
            <w:tcW w:w="7149" w:type="dxa"/>
            <w:vAlign w:val="center"/>
            <w:hideMark/>
          </w:tcPr>
          <w:p w14:paraId="6D2A588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Analysis of Variance</w:t>
            </w:r>
          </w:p>
        </w:tc>
      </w:tr>
      <w:tr w:rsidR="002B29BF" w:rsidRPr="002B29BF" w14:paraId="5EB4F11C" w14:textId="77777777" w:rsidTr="004C32F4">
        <w:trPr>
          <w:tblCellSpacing w:w="15" w:type="dxa"/>
          <w:jc w:val="center"/>
        </w:trPr>
        <w:tc>
          <w:tcPr>
            <w:tcW w:w="1651" w:type="dxa"/>
            <w:vAlign w:val="center"/>
            <w:hideMark/>
          </w:tcPr>
          <w:p w14:paraId="03A9661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APA</w:t>
            </w:r>
          </w:p>
        </w:tc>
        <w:tc>
          <w:tcPr>
            <w:tcW w:w="7149" w:type="dxa"/>
            <w:vAlign w:val="center"/>
            <w:hideMark/>
          </w:tcPr>
          <w:p w14:paraId="14BE2C4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Alternative Product Appeal</w:t>
            </w:r>
          </w:p>
        </w:tc>
      </w:tr>
      <w:tr w:rsidR="002B29BF" w:rsidRPr="002B29BF" w14:paraId="56225A53" w14:textId="77777777" w:rsidTr="004C32F4">
        <w:trPr>
          <w:tblCellSpacing w:w="15" w:type="dxa"/>
          <w:jc w:val="center"/>
        </w:trPr>
        <w:tc>
          <w:tcPr>
            <w:tcW w:w="1651" w:type="dxa"/>
            <w:vAlign w:val="center"/>
            <w:hideMark/>
          </w:tcPr>
          <w:p w14:paraId="5E92B92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ARIMA</w:t>
            </w:r>
          </w:p>
        </w:tc>
        <w:tc>
          <w:tcPr>
            <w:tcW w:w="7149" w:type="dxa"/>
            <w:vAlign w:val="center"/>
            <w:hideMark/>
          </w:tcPr>
          <w:p w14:paraId="3DD6024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Autoregressive Integrated Moving Average</w:t>
            </w:r>
          </w:p>
        </w:tc>
      </w:tr>
      <w:tr w:rsidR="002B29BF" w:rsidRPr="002B29BF" w14:paraId="29D9EFA6" w14:textId="77777777" w:rsidTr="004C32F4">
        <w:trPr>
          <w:tblCellSpacing w:w="15" w:type="dxa"/>
          <w:jc w:val="center"/>
        </w:trPr>
        <w:tc>
          <w:tcPr>
            <w:tcW w:w="1651" w:type="dxa"/>
            <w:vAlign w:val="center"/>
            <w:hideMark/>
          </w:tcPr>
          <w:p w14:paraId="7EEFF7A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ATA Carnet</w:t>
            </w:r>
          </w:p>
        </w:tc>
        <w:tc>
          <w:tcPr>
            <w:tcW w:w="7149" w:type="dxa"/>
            <w:vAlign w:val="center"/>
            <w:hideMark/>
          </w:tcPr>
          <w:p w14:paraId="56FC587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Admission Temporaire/Temporary Admission Carnet</w:t>
            </w:r>
          </w:p>
        </w:tc>
      </w:tr>
      <w:tr w:rsidR="002B29BF" w:rsidRPr="002B29BF" w14:paraId="7C0F9E93" w14:textId="77777777" w:rsidTr="004C32F4">
        <w:trPr>
          <w:tblCellSpacing w:w="15" w:type="dxa"/>
          <w:jc w:val="center"/>
        </w:trPr>
        <w:tc>
          <w:tcPr>
            <w:tcW w:w="1651" w:type="dxa"/>
            <w:vAlign w:val="center"/>
            <w:hideMark/>
          </w:tcPr>
          <w:p w14:paraId="28CB6BC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AVE</w:t>
            </w:r>
          </w:p>
        </w:tc>
        <w:tc>
          <w:tcPr>
            <w:tcW w:w="7149" w:type="dxa"/>
            <w:vAlign w:val="center"/>
            <w:hideMark/>
          </w:tcPr>
          <w:p w14:paraId="1EF36FA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Average Variance Extracted</w:t>
            </w:r>
          </w:p>
        </w:tc>
      </w:tr>
      <w:tr w:rsidR="002B29BF" w:rsidRPr="002B29BF" w14:paraId="17DB5ED7" w14:textId="77777777" w:rsidTr="004C32F4">
        <w:trPr>
          <w:tblCellSpacing w:w="15" w:type="dxa"/>
          <w:jc w:val="center"/>
        </w:trPr>
        <w:tc>
          <w:tcPr>
            <w:tcW w:w="1651" w:type="dxa"/>
            <w:vAlign w:val="center"/>
            <w:hideMark/>
          </w:tcPr>
          <w:p w14:paraId="7E437B1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BDS</w:t>
            </w:r>
          </w:p>
        </w:tc>
        <w:tc>
          <w:tcPr>
            <w:tcW w:w="7149" w:type="dxa"/>
            <w:vAlign w:val="center"/>
            <w:hideMark/>
          </w:tcPr>
          <w:p w14:paraId="7DD60DC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Boycott, Divestment, Sanctions</w:t>
            </w:r>
          </w:p>
        </w:tc>
      </w:tr>
      <w:tr w:rsidR="002B29BF" w:rsidRPr="002B29BF" w14:paraId="00BADE20" w14:textId="77777777" w:rsidTr="004C32F4">
        <w:trPr>
          <w:tblCellSpacing w:w="15" w:type="dxa"/>
          <w:jc w:val="center"/>
        </w:trPr>
        <w:tc>
          <w:tcPr>
            <w:tcW w:w="1651" w:type="dxa"/>
            <w:vAlign w:val="center"/>
            <w:hideMark/>
          </w:tcPr>
          <w:p w14:paraId="55D225F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BEA</w:t>
            </w:r>
          </w:p>
        </w:tc>
        <w:tc>
          <w:tcPr>
            <w:tcW w:w="7149" w:type="dxa"/>
            <w:vAlign w:val="center"/>
            <w:hideMark/>
          </w:tcPr>
          <w:p w14:paraId="7A072F9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Banque Extérieure d’Algérie</w:t>
            </w:r>
          </w:p>
        </w:tc>
      </w:tr>
      <w:tr w:rsidR="002B29BF" w:rsidRPr="002B29BF" w14:paraId="38F333E4" w14:textId="77777777" w:rsidTr="004C32F4">
        <w:trPr>
          <w:tblCellSpacing w:w="15" w:type="dxa"/>
          <w:jc w:val="center"/>
        </w:trPr>
        <w:tc>
          <w:tcPr>
            <w:tcW w:w="1651" w:type="dxa"/>
            <w:vAlign w:val="center"/>
            <w:hideMark/>
          </w:tcPr>
          <w:p w14:paraId="1BE832B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BIC</w:t>
            </w:r>
          </w:p>
        </w:tc>
        <w:tc>
          <w:tcPr>
            <w:tcW w:w="7149" w:type="dxa"/>
            <w:vAlign w:val="center"/>
            <w:hideMark/>
          </w:tcPr>
          <w:p w14:paraId="35EF509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Bayesian Information Criterion</w:t>
            </w:r>
          </w:p>
        </w:tc>
      </w:tr>
      <w:tr w:rsidR="002B29BF" w:rsidRPr="002B29BF" w14:paraId="6A4A431D" w14:textId="77777777" w:rsidTr="004C32F4">
        <w:trPr>
          <w:tblCellSpacing w:w="15" w:type="dxa"/>
          <w:jc w:val="center"/>
        </w:trPr>
        <w:tc>
          <w:tcPr>
            <w:tcW w:w="1651" w:type="dxa"/>
            <w:vAlign w:val="center"/>
            <w:hideMark/>
          </w:tcPr>
          <w:p w14:paraId="651A863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BP</w:t>
            </w:r>
          </w:p>
        </w:tc>
        <w:tc>
          <w:tcPr>
            <w:tcW w:w="7149" w:type="dxa"/>
            <w:vAlign w:val="center"/>
            <w:hideMark/>
          </w:tcPr>
          <w:p w14:paraId="459B1A3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British Petroleum</w:t>
            </w:r>
          </w:p>
        </w:tc>
      </w:tr>
      <w:tr w:rsidR="002B29BF" w:rsidRPr="002B29BF" w14:paraId="2991C225" w14:textId="77777777" w:rsidTr="004C32F4">
        <w:trPr>
          <w:tblCellSpacing w:w="15" w:type="dxa"/>
          <w:jc w:val="center"/>
        </w:trPr>
        <w:tc>
          <w:tcPr>
            <w:tcW w:w="1651" w:type="dxa"/>
            <w:vAlign w:val="center"/>
            <w:hideMark/>
          </w:tcPr>
          <w:p w14:paraId="3DFDAF2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CA</w:t>
            </w:r>
          </w:p>
        </w:tc>
        <w:tc>
          <w:tcPr>
            <w:tcW w:w="7149" w:type="dxa"/>
            <w:vAlign w:val="center"/>
            <w:hideMark/>
          </w:tcPr>
          <w:p w14:paraId="4834B85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Cultural Alignment</w:t>
            </w:r>
          </w:p>
        </w:tc>
      </w:tr>
      <w:tr w:rsidR="002B29BF" w:rsidRPr="00A10E08" w14:paraId="3A8A5BBA" w14:textId="77777777" w:rsidTr="004C32F4">
        <w:trPr>
          <w:tblCellSpacing w:w="15" w:type="dxa"/>
          <w:jc w:val="center"/>
        </w:trPr>
        <w:tc>
          <w:tcPr>
            <w:tcW w:w="1651" w:type="dxa"/>
            <w:vAlign w:val="center"/>
            <w:hideMark/>
          </w:tcPr>
          <w:p w14:paraId="57D1D0A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CACI</w:t>
            </w:r>
          </w:p>
        </w:tc>
        <w:tc>
          <w:tcPr>
            <w:tcW w:w="7149" w:type="dxa"/>
            <w:vAlign w:val="center"/>
            <w:hideMark/>
          </w:tcPr>
          <w:p w14:paraId="273F180C"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Algerian Chamber of Commerce and Industry</w:t>
            </w:r>
          </w:p>
        </w:tc>
      </w:tr>
      <w:tr w:rsidR="002B29BF" w:rsidRPr="00A10E08" w14:paraId="2FAB93E8" w14:textId="77777777" w:rsidTr="004C32F4">
        <w:trPr>
          <w:tblCellSpacing w:w="15" w:type="dxa"/>
          <w:jc w:val="center"/>
        </w:trPr>
        <w:tc>
          <w:tcPr>
            <w:tcW w:w="1651" w:type="dxa"/>
            <w:vAlign w:val="center"/>
            <w:hideMark/>
          </w:tcPr>
          <w:p w14:paraId="68EDC07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CACQE</w:t>
            </w:r>
          </w:p>
        </w:tc>
        <w:tc>
          <w:tcPr>
            <w:tcW w:w="7149" w:type="dxa"/>
            <w:vAlign w:val="center"/>
            <w:hideMark/>
          </w:tcPr>
          <w:p w14:paraId="03FD8387"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Algerian Centre for Quality and Certification</w:t>
            </w:r>
          </w:p>
        </w:tc>
      </w:tr>
      <w:tr w:rsidR="002B29BF" w:rsidRPr="002B29BF" w14:paraId="06B1E622" w14:textId="77777777" w:rsidTr="004C32F4">
        <w:trPr>
          <w:tblCellSpacing w:w="15" w:type="dxa"/>
          <w:jc w:val="center"/>
        </w:trPr>
        <w:tc>
          <w:tcPr>
            <w:tcW w:w="1651" w:type="dxa"/>
            <w:vAlign w:val="center"/>
            <w:hideMark/>
          </w:tcPr>
          <w:p w14:paraId="6455F82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CAGR</w:t>
            </w:r>
          </w:p>
        </w:tc>
        <w:tc>
          <w:tcPr>
            <w:tcW w:w="7149" w:type="dxa"/>
            <w:vAlign w:val="center"/>
            <w:hideMark/>
          </w:tcPr>
          <w:p w14:paraId="511DFE4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Compound Annual Growth Rate</w:t>
            </w:r>
          </w:p>
        </w:tc>
      </w:tr>
      <w:tr w:rsidR="002B29BF" w:rsidRPr="002B29BF" w14:paraId="59B8400A" w14:textId="77777777" w:rsidTr="004C32F4">
        <w:trPr>
          <w:tblCellSpacing w:w="15" w:type="dxa"/>
          <w:jc w:val="center"/>
        </w:trPr>
        <w:tc>
          <w:tcPr>
            <w:tcW w:w="1651" w:type="dxa"/>
            <w:vAlign w:val="center"/>
            <w:hideMark/>
          </w:tcPr>
          <w:p w14:paraId="71D65A20"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CBRAs</w:t>
            </w:r>
          </w:p>
        </w:tc>
        <w:tc>
          <w:tcPr>
            <w:tcW w:w="7149" w:type="dxa"/>
            <w:vAlign w:val="center"/>
            <w:hideMark/>
          </w:tcPr>
          <w:p w14:paraId="474C6B2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Cross-Border Regulatory Agencies</w:t>
            </w:r>
          </w:p>
        </w:tc>
      </w:tr>
      <w:tr w:rsidR="002B29BF" w:rsidRPr="002B29BF" w14:paraId="350E7A4D" w14:textId="77777777" w:rsidTr="004C32F4">
        <w:trPr>
          <w:tblCellSpacing w:w="15" w:type="dxa"/>
          <w:jc w:val="center"/>
        </w:trPr>
        <w:tc>
          <w:tcPr>
            <w:tcW w:w="1651" w:type="dxa"/>
            <w:vAlign w:val="center"/>
            <w:hideMark/>
          </w:tcPr>
          <w:p w14:paraId="0C7D9D4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CMB</w:t>
            </w:r>
          </w:p>
        </w:tc>
        <w:tc>
          <w:tcPr>
            <w:tcW w:w="7149" w:type="dxa"/>
            <w:vAlign w:val="center"/>
            <w:hideMark/>
          </w:tcPr>
          <w:p w14:paraId="4A08220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Consumer Motivation for Boycott</w:t>
            </w:r>
          </w:p>
        </w:tc>
      </w:tr>
      <w:tr w:rsidR="002B29BF" w:rsidRPr="00A10E08" w14:paraId="1FF53A41" w14:textId="77777777" w:rsidTr="004C32F4">
        <w:trPr>
          <w:tblCellSpacing w:w="15" w:type="dxa"/>
          <w:jc w:val="center"/>
        </w:trPr>
        <w:tc>
          <w:tcPr>
            <w:tcW w:w="1651" w:type="dxa"/>
            <w:vAlign w:val="center"/>
            <w:hideMark/>
          </w:tcPr>
          <w:p w14:paraId="0776BD4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CMR</w:t>
            </w:r>
          </w:p>
        </w:tc>
        <w:tc>
          <w:tcPr>
            <w:tcW w:w="7149" w:type="dxa"/>
            <w:vAlign w:val="center"/>
            <w:hideMark/>
          </w:tcPr>
          <w:p w14:paraId="7149314D"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Convention on the Contract for the International Carriage of Goods by Road</w:t>
            </w:r>
          </w:p>
        </w:tc>
      </w:tr>
      <w:tr w:rsidR="002B29BF" w:rsidRPr="002B29BF" w14:paraId="0D5F931B" w14:textId="77777777" w:rsidTr="004C32F4">
        <w:trPr>
          <w:tblCellSpacing w:w="15" w:type="dxa"/>
          <w:jc w:val="center"/>
        </w:trPr>
        <w:tc>
          <w:tcPr>
            <w:tcW w:w="1651" w:type="dxa"/>
            <w:vAlign w:val="center"/>
            <w:hideMark/>
          </w:tcPr>
          <w:p w14:paraId="1DC89D0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CSR</w:t>
            </w:r>
          </w:p>
        </w:tc>
        <w:tc>
          <w:tcPr>
            <w:tcW w:w="7149" w:type="dxa"/>
            <w:vAlign w:val="center"/>
            <w:hideMark/>
          </w:tcPr>
          <w:p w14:paraId="343C6E4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Corporate Social Responsibility</w:t>
            </w:r>
          </w:p>
        </w:tc>
      </w:tr>
      <w:tr w:rsidR="002B29BF" w:rsidRPr="002B29BF" w14:paraId="7B1AA2EC" w14:textId="77777777" w:rsidTr="004C32F4">
        <w:trPr>
          <w:tblCellSpacing w:w="15" w:type="dxa"/>
          <w:jc w:val="center"/>
        </w:trPr>
        <w:tc>
          <w:tcPr>
            <w:tcW w:w="1651" w:type="dxa"/>
            <w:vAlign w:val="center"/>
            <w:hideMark/>
          </w:tcPr>
          <w:p w14:paraId="269B293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DA</w:t>
            </w:r>
          </w:p>
        </w:tc>
        <w:tc>
          <w:tcPr>
            <w:tcW w:w="7149" w:type="dxa"/>
            <w:vAlign w:val="center"/>
            <w:hideMark/>
          </w:tcPr>
          <w:p w14:paraId="2988AB2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Algerian Dinar (currency)</w:t>
            </w:r>
          </w:p>
        </w:tc>
      </w:tr>
      <w:tr w:rsidR="002B29BF" w:rsidRPr="002B29BF" w14:paraId="215113D0" w14:textId="77777777" w:rsidTr="004C32F4">
        <w:trPr>
          <w:tblCellSpacing w:w="15" w:type="dxa"/>
          <w:jc w:val="center"/>
        </w:trPr>
        <w:tc>
          <w:tcPr>
            <w:tcW w:w="1651" w:type="dxa"/>
            <w:vAlign w:val="center"/>
            <w:hideMark/>
          </w:tcPr>
          <w:p w14:paraId="47E93AE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DF</w:t>
            </w:r>
          </w:p>
        </w:tc>
        <w:tc>
          <w:tcPr>
            <w:tcW w:w="7149" w:type="dxa"/>
            <w:vAlign w:val="center"/>
            <w:hideMark/>
          </w:tcPr>
          <w:p w14:paraId="5986BEC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Degrees of Freedom</w:t>
            </w:r>
          </w:p>
        </w:tc>
      </w:tr>
      <w:tr w:rsidR="002B29BF" w:rsidRPr="002B29BF" w14:paraId="011449D3" w14:textId="77777777" w:rsidTr="004C32F4">
        <w:trPr>
          <w:tblCellSpacing w:w="15" w:type="dxa"/>
          <w:jc w:val="center"/>
        </w:trPr>
        <w:tc>
          <w:tcPr>
            <w:tcW w:w="1651" w:type="dxa"/>
            <w:vAlign w:val="center"/>
            <w:hideMark/>
          </w:tcPr>
          <w:p w14:paraId="3E71C54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DSF</w:t>
            </w:r>
          </w:p>
        </w:tc>
        <w:tc>
          <w:tcPr>
            <w:tcW w:w="7149" w:type="dxa"/>
            <w:vAlign w:val="center"/>
            <w:hideMark/>
          </w:tcPr>
          <w:p w14:paraId="2DAA809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Disinfectant Solution Forte</w:t>
            </w:r>
          </w:p>
        </w:tc>
      </w:tr>
      <w:tr w:rsidR="002B29BF" w:rsidRPr="00A10E08" w14:paraId="0AED12B3" w14:textId="77777777" w:rsidTr="004C32F4">
        <w:trPr>
          <w:tblCellSpacing w:w="15" w:type="dxa"/>
          <w:jc w:val="center"/>
        </w:trPr>
        <w:tc>
          <w:tcPr>
            <w:tcW w:w="1651" w:type="dxa"/>
            <w:vAlign w:val="center"/>
            <w:hideMark/>
          </w:tcPr>
          <w:p w14:paraId="0260C7C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EBCH</w:t>
            </w:r>
          </w:p>
        </w:tc>
        <w:tc>
          <w:tcPr>
            <w:tcW w:w="7149" w:type="dxa"/>
            <w:vAlign w:val="center"/>
            <w:hideMark/>
          </w:tcPr>
          <w:p w14:paraId="55DC992C"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Effectiveness of Boycott in Changing Habits</w:t>
            </w:r>
          </w:p>
        </w:tc>
      </w:tr>
      <w:tr w:rsidR="002B29BF" w:rsidRPr="002B29BF" w14:paraId="017E1660" w14:textId="77777777" w:rsidTr="004C32F4">
        <w:trPr>
          <w:tblCellSpacing w:w="15" w:type="dxa"/>
          <w:jc w:val="center"/>
        </w:trPr>
        <w:tc>
          <w:tcPr>
            <w:tcW w:w="1651" w:type="dxa"/>
            <w:vAlign w:val="center"/>
            <w:hideMark/>
          </w:tcPr>
          <w:p w14:paraId="43F322D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EU</w:t>
            </w:r>
          </w:p>
        </w:tc>
        <w:tc>
          <w:tcPr>
            <w:tcW w:w="7149" w:type="dxa"/>
            <w:vAlign w:val="center"/>
            <w:hideMark/>
          </w:tcPr>
          <w:p w14:paraId="618D36D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European Union</w:t>
            </w:r>
          </w:p>
        </w:tc>
      </w:tr>
      <w:tr w:rsidR="002B29BF" w:rsidRPr="002B29BF" w14:paraId="080D0BFA" w14:textId="77777777" w:rsidTr="004C32F4">
        <w:trPr>
          <w:tblCellSpacing w:w="15" w:type="dxa"/>
          <w:jc w:val="center"/>
        </w:trPr>
        <w:tc>
          <w:tcPr>
            <w:tcW w:w="1651" w:type="dxa"/>
            <w:vAlign w:val="center"/>
            <w:hideMark/>
          </w:tcPr>
          <w:p w14:paraId="5D2D17C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FOB</w:t>
            </w:r>
          </w:p>
        </w:tc>
        <w:tc>
          <w:tcPr>
            <w:tcW w:w="7149" w:type="dxa"/>
            <w:vAlign w:val="center"/>
            <w:hideMark/>
          </w:tcPr>
          <w:p w14:paraId="25F6CC6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Free On Board</w:t>
            </w:r>
          </w:p>
        </w:tc>
      </w:tr>
      <w:tr w:rsidR="002B29BF" w:rsidRPr="00A10E08" w14:paraId="6531D931" w14:textId="77777777" w:rsidTr="004C32F4">
        <w:trPr>
          <w:tblCellSpacing w:w="15" w:type="dxa"/>
          <w:jc w:val="center"/>
        </w:trPr>
        <w:tc>
          <w:tcPr>
            <w:tcW w:w="1651" w:type="dxa"/>
            <w:vAlign w:val="center"/>
            <w:hideMark/>
          </w:tcPr>
          <w:p w14:paraId="779126E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FDA</w:t>
            </w:r>
          </w:p>
        </w:tc>
        <w:tc>
          <w:tcPr>
            <w:tcW w:w="7149" w:type="dxa"/>
            <w:vAlign w:val="center"/>
            <w:hideMark/>
          </w:tcPr>
          <w:p w14:paraId="168E1E6C"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Food and Drug Administration (U.S.)</w:t>
            </w:r>
          </w:p>
        </w:tc>
      </w:tr>
      <w:tr w:rsidR="002B29BF" w:rsidRPr="002B29BF" w14:paraId="008B43C5" w14:textId="77777777" w:rsidTr="004C32F4">
        <w:trPr>
          <w:tblCellSpacing w:w="15" w:type="dxa"/>
          <w:jc w:val="center"/>
        </w:trPr>
        <w:tc>
          <w:tcPr>
            <w:tcW w:w="1651" w:type="dxa"/>
            <w:vAlign w:val="center"/>
            <w:hideMark/>
          </w:tcPr>
          <w:p w14:paraId="4466235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GDP</w:t>
            </w:r>
          </w:p>
        </w:tc>
        <w:tc>
          <w:tcPr>
            <w:tcW w:w="7149" w:type="dxa"/>
            <w:vAlign w:val="center"/>
            <w:hideMark/>
          </w:tcPr>
          <w:p w14:paraId="1D6681B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Gross Domestic Product</w:t>
            </w:r>
          </w:p>
        </w:tc>
      </w:tr>
      <w:tr w:rsidR="002B29BF" w:rsidRPr="002B29BF" w14:paraId="1526AF8B" w14:textId="77777777" w:rsidTr="004C32F4">
        <w:trPr>
          <w:tblCellSpacing w:w="15" w:type="dxa"/>
          <w:jc w:val="center"/>
        </w:trPr>
        <w:tc>
          <w:tcPr>
            <w:tcW w:w="1651" w:type="dxa"/>
            <w:vAlign w:val="center"/>
            <w:hideMark/>
          </w:tcPr>
          <w:p w14:paraId="79B37A7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GMP</w:t>
            </w:r>
          </w:p>
        </w:tc>
        <w:tc>
          <w:tcPr>
            <w:tcW w:w="7149" w:type="dxa"/>
            <w:vAlign w:val="center"/>
            <w:hideMark/>
          </w:tcPr>
          <w:p w14:paraId="756DECE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Good Manufacturing Practices</w:t>
            </w:r>
          </w:p>
        </w:tc>
      </w:tr>
      <w:tr w:rsidR="002B29BF" w:rsidRPr="00A10E08" w14:paraId="0FFDC741" w14:textId="77777777" w:rsidTr="004C32F4">
        <w:trPr>
          <w:tblCellSpacing w:w="15" w:type="dxa"/>
          <w:jc w:val="center"/>
        </w:trPr>
        <w:tc>
          <w:tcPr>
            <w:tcW w:w="1651" w:type="dxa"/>
            <w:vAlign w:val="center"/>
            <w:hideMark/>
          </w:tcPr>
          <w:p w14:paraId="0829159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GTIP</w:t>
            </w:r>
          </w:p>
        </w:tc>
        <w:tc>
          <w:tcPr>
            <w:tcW w:w="7149" w:type="dxa"/>
            <w:vAlign w:val="center"/>
            <w:hideMark/>
          </w:tcPr>
          <w:p w14:paraId="2B2D9D71"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Customs Tariff Statistical Position (Harmonized System Code equivalent)</w:t>
            </w:r>
          </w:p>
        </w:tc>
      </w:tr>
      <w:tr w:rsidR="002B29BF" w:rsidRPr="002B29BF" w14:paraId="4CB3F843" w14:textId="77777777" w:rsidTr="004C32F4">
        <w:trPr>
          <w:tblCellSpacing w:w="15" w:type="dxa"/>
          <w:jc w:val="center"/>
        </w:trPr>
        <w:tc>
          <w:tcPr>
            <w:tcW w:w="1651" w:type="dxa"/>
            <w:vAlign w:val="center"/>
            <w:hideMark/>
          </w:tcPr>
          <w:p w14:paraId="15D1BBD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IATA</w:t>
            </w:r>
          </w:p>
        </w:tc>
        <w:tc>
          <w:tcPr>
            <w:tcW w:w="7149" w:type="dxa"/>
            <w:vAlign w:val="center"/>
            <w:hideMark/>
          </w:tcPr>
          <w:p w14:paraId="2A20F06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International Air Transport Association</w:t>
            </w:r>
          </w:p>
        </w:tc>
      </w:tr>
      <w:tr w:rsidR="002B29BF" w:rsidRPr="002B29BF" w14:paraId="6C173193" w14:textId="77777777" w:rsidTr="004C32F4">
        <w:trPr>
          <w:tblCellSpacing w:w="15" w:type="dxa"/>
          <w:jc w:val="center"/>
        </w:trPr>
        <w:tc>
          <w:tcPr>
            <w:tcW w:w="1651" w:type="dxa"/>
            <w:vAlign w:val="center"/>
            <w:hideMark/>
          </w:tcPr>
          <w:p w14:paraId="2F47EF7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ILA</w:t>
            </w:r>
          </w:p>
        </w:tc>
        <w:tc>
          <w:tcPr>
            <w:tcW w:w="7149" w:type="dxa"/>
            <w:vAlign w:val="center"/>
            <w:hideMark/>
          </w:tcPr>
          <w:p w14:paraId="75B9985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International Longshoremen’s Association</w:t>
            </w:r>
          </w:p>
        </w:tc>
      </w:tr>
      <w:tr w:rsidR="002B29BF" w:rsidRPr="002B29BF" w14:paraId="6FD70F41" w14:textId="77777777" w:rsidTr="004C32F4">
        <w:trPr>
          <w:tblCellSpacing w:w="15" w:type="dxa"/>
          <w:jc w:val="center"/>
        </w:trPr>
        <w:tc>
          <w:tcPr>
            <w:tcW w:w="1651" w:type="dxa"/>
            <w:vAlign w:val="center"/>
            <w:hideMark/>
          </w:tcPr>
          <w:p w14:paraId="50D5D61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IMF</w:t>
            </w:r>
          </w:p>
        </w:tc>
        <w:tc>
          <w:tcPr>
            <w:tcW w:w="7149" w:type="dxa"/>
            <w:vAlign w:val="center"/>
            <w:hideMark/>
          </w:tcPr>
          <w:p w14:paraId="36838D7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International Monetary Fund</w:t>
            </w:r>
          </w:p>
        </w:tc>
      </w:tr>
      <w:tr w:rsidR="002B29BF" w:rsidRPr="002B29BF" w14:paraId="466E8DDF" w14:textId="77777777" w:rsidTr="004C32F4">
        <w:trPr>
          <w:tblCellSpacing w:w="15" w:type="dxa"/>
          <w:jc w:val="center"/>
        </w:trPr>
        <w:tc>
          <w:tcPr>
            <w:tcW w:w="1651" w:type="dxa"/>
            <w:vAlign w:val="center"/>
            <w:hideMark/>
          </w:tcPr>
          <w:p w14:paraId="2871289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ISO</w:t>
            </w:r>
          </w:p>
        </w:tc>
        <w:tc>
          <w:tcPr>
            <w:tcW w:w="7149" w:type="dxa"/>
            <w:vAlign w:val="center"/>
            <w:hideMark/>
          </w:tcPr>
          <w:p w14:paraId="182E61E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International Organization for Standardization</w:t>
            </w:r>
          </w:p>
        </w:tc>
      </w:tr>
      <w:tr w:rsidR="002B29BF" w:rsidRPr="002B29BF" w14:paraId="17BDBA28" w14:textId="77777777" w:rsidTr="004C32F4">
        <w:trPr>
          <w:tblCellSpacing w:w="15" w:type="dxa"/>
          <w:jc w:val="center"/>
        </w:trPr>
        <w:tc>
          <w:tcPr>
            <w:tcW w:w="1651" w:type="dxa"/>
            <w:vAlign w:val="center"/>
            <w:hideMark/>
          </w:tcPr>
          <w:p w14:paraId="1A456B4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ITC</w:t>
            </w:r>
          </w:p>
        </w:tc>
        <w:tc>
          <w:tcPr>
            <w:tcW w:w="7149" w:type="dxa"/>
            <w:vAlign w:val="center"/>
            <w:hideMark/>
          </w:tcPr>
          <w:p w14:paraId="743105F0"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International Trade Centre</w:t>
            </w:r>
          </w:p>
        </w:tc>
      </w:tr>
      <w:tr w:rsidR="002B29BF" w:rsidRPr="002B29BF" w14:paraId="677F28EB" w14:textId="77777777" w:rsidTr="004C32F4">
        <w:trPr>
          <w:tblCellSpacing w:w="15" w:type="dxa"/>
          <w:jc w:val="center"/>
        </w:trPr>
        <w:tc>
          <w:tcPr>
            <w:tcW w:w="1651" w:type="dxa"/>
            <w:vAlign w:val="center"/>
            <w:hideMark/>
          </w:tcPr>
          <w:p w14:paraId="649B4EA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KDMF</w:t>
            </w:r>
          </w:p>
        </w:tc>
        <w:tc>
          <w:tcPr>
            <w:tcW w:w="7149" w:type="dxa"/>
            <w:vAlign w:val="center"/>
            <w:hideMark/>
          </w:tcPr>
          <w:p w14:paraId="3525000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Key Decision-Making Factors</w:t>
            </w:r>
          </w:p>
        </w:tc>
      </w:tr>
      <w:tr w:rsidR="002B29BF" w:rsidRPr="002B29BF" w14:paraId="6B207F92" w14:textId="77777777" w:rsidTr="004C32F4">
        <w:trPr>
          <w:tblCellSpacing w:w="15" w:type="dxa"/>
          <w:jc w:val="center"/>
        </w:trPr>
        <w:tc>
          <w:tcPr>
            <w:tcW w:w="1651" w:type="dxa"/>
            <w:vAlign w:val="center"/>
            <w:hideMark/>
          </w:tcPr>
          <w:p w14:paraId="14519C6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LC</w:t>
            </w:r>
          </w:p>
        </w:tc>
        <w:tc>
          <w:tcPr>
            <w:tcW w:w="7149" w:type="dxa"/>
            <w:vAlign w:val="center"/>
            <w:hideMark/>
          </w:tcPr>
          <w:p w14:paraId="19EB18B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Letter of Credit</w:t>
            </w:r>
          </w:p>
        </w:tc>
      </w:tr>
      <w:tr w:rsidR="002B29BF" w:rsidRPr="002B29BF" w14:paraId="1B4E90D9" w14:textId="77777777" w:rsidTr="004C32F4">
        <w:trPr>
          <w:tblCellSpacing w:w="15" w:type="dxa"/>
          <w:jc w:val="center"/>
        </w:trPr>
        <w:tc>
          <w:tcPr>
            <w:tcW w:w="1651" w:type="dxa"/>
            <w:vAlign w:val="center"/>
            <w:hideMark/>
          </w:tcPr>
          <w:p w14:paraId="58CAE25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MAPE</w:t>
            </w:r>
          </w:p>
        </w:tc>
        <w:tc>
          <w:tcPr>
            <w:tcW w:w="7149" w:type="dxa"/>
            <w:vAlign w:val="center"/>
            <w:hideMark/>
          </w:tcPr>
          <w:p w14:paraId="7A5B4AB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Mean Absolute Percentage Error</w:t>
            </w:r>
          </w:p>
        </w:tc>
      </w:tr>
      <w:tr w:rsidR="002B29BF" w:rsidRPr="002B29BF" w14:paraId="572FF3D7" w14:textId="77777777" w:rsidTr="004C32F4">
        <w:trPr>
          <w:tblCellSpacing w:w="15" w:type="dxa"/>
          <w:jc w:val="center"/>
        </w:trPr>
        <w:tc>
          <w:tcPr>
            <w:tcW w:w="1651" w:type="dxa"/>
            <w:vAlign w:val="center"/>
            <w:hideMark/>
          </w:tcPr>
          <w:p w14:paraId="30178F3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MAE</w:t>
            </w:r>
          </w:p>
        </w:tc>
        <w:tc>
          <w:tcPr>
            <w:tcW w:w="7149" w:type="dxa"/>
            <w:vAlign w:val="center"/>
            <w:hideMark/>
          </w:tcPr>
          <w:p w14:paraId="12DD847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Mean Absolute Error</w:t>
            </w:r>
          </w:p>
        </w:tc>
      </w:tr>
      <w:tr w:rsidR="002B29BF" w:rsidRPr="002B29BF" w14:paraId="64B13588" w14:textId="77777777" w:rsidTr="004C32F4">
        <w:trPr>
          <w:tblCellSpacing w:w="15" w:type="dxa"/>
          <w:jc w:val="center"/>
        </w:trPr>
        <w:tc>
          <w:tcPr>
            <w:tcW w:w="1651" w:type="dxa"/>
            <w:vAlign w:val="center"/>
            <w:hideMark/>
          </w:tcPr>
          <w:p w14:paraId="65AA6FC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MaxAE</w:t>
            </w:r>
          </w:p>
        </w:tc>
        <w:tc>
          <w:tcPr>
            <w:tcW w:w="7149" w:type="dxa"/>
            <w:vAlign w:val="center"/>
            <w:hideMark/>
          </w:tcPr>
          <w:p w14:paraId="568FC62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Maximum Absolute Error</w:t>
            </w:r>
          </w:p>
        </w:tc>
      </w:tr>
      <w:tr w:rsidR="002B29BF" w:rsidRPr="002B29BF" w14:paraId="3DB3BB82" w14:textId="77777777" w:rsidTr="004C32F4">
        <w:trPr>
          <w:tblCellSpacing w:w="15" w:type="dxa"/>
          <w:jc w:val="center"/>
        </w:trPr>
        <w:tc>
          <w:tcPr>
            <w:tcW w:w="1651" w:type="dxa"/>
            <w:vAlign w:val="center"/>
            <w:hideMark/>
          </w:tcPr>
          <w:p w14:paraId="7D5F962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MaxAPE</w:t>
            </w:r>
          </w:p>
        </w:tc>
        <w:tc>
          <w:tcPr>
            <w:tcW w:w="7149" w:type="dxa"/>
            <w:vAlign w:val="center"/>
            <w:hideMark/>
          </w:tcPr>
          <w:p w14:paraId="5710E1D0"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Maximum Absolute Percentage Error</w:t>
            </w:r>
          </w:p>
        </w:tc>
      </w:tr>
      <w:tr w:rsidR="002B29BF" w:rsidRPr="00A10E08" w14:paraId="5A08ACF5" w14:textId="77777777" w:rsidTr="004C32F4">
        <w:trPr>
          <w:tblCellSpacing w:w="15" w:type="dxa"/>
          <w:jc w:val="center"/>
        </w:trPr>
        <w:tc>
          <w:tcPr>
            <w:tcW w:w="1651" w:type="dxa"/>
            <w:vAlign w:val="center"/>
            <w:hideMark/>
          </w:tcPr>
          <w:p w14:paraId="332D46F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MENA</w:t>
            </w:r>
          </w:p>
        </w:tc>
        <w:tc>
          <w:tcPr>
            <w:tcW w:w="7149" w:type="dxa"/>
            <w:vAlign w:val="center"/>
            <w:hideMark/>
          </w:tcPr>
          <w:p w14:paraId="6B092CCD"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Middle East and North Africa</w:t>
            </w:r>
          </w:p>
        </w:tc>
      </w:tr>
      <w:tr w:rsidR="002B29BF" w:rsidRPr="002B29BF" w14:paraId="1862A619" w14:textId="77777777" w:rsidTr="004C32F4">
        <w:trPr>
          <w:tblCellSpacing w:w="15" w:type="dxa"/>
          <w:jc w:val="center"/>
        </w:trPr>
        <w:tc>
          <w:tcPr>
            <w:tcW w:w="1651" w:type="dxa"/>
            <w:vAlign w:val="center"/>
            <w:hideMark/>
          </w:tcPr>
          <w:p w14:paraId="19E00FD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MOBIL</w:t>
            </w:r>
          </w:p>
        </w:tc>
        <w:tc>
          <w:tcPr>
            <w:tcW w:w="7149" w:type="dxa"/>
            <w:vAlign w:val="center"/>
            <w:hideMark/>
          </w:tcPr>
          <w:p w14:paraId="43CC86F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Mobil Oil</w:t>
            </w:r>
          </w:p>
        </w:tc>
      </w:tr>
      <w:tr w:rsidR="002B29BF" w:rsidRPr="002B29BF" w14:paraId="3E00ED3B" w14:textId="77777777" w:rsidTr="004C32F4">
        <w:trPr>
          <w:tblCellSpacing w:w="15" w:type="dxa"/>
          <w:jc w:val="center"/>
        </w:trPr>
        <w:tc>
          <w:tcPr>
            <w:tcW w:w="1651" w:type="dxa"/>
            <w:vAlign w:val="center"/>
            <w:hideMark/>
          </w:tcPr>
          <w:p w14:paraId="1B8AC3E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NLRB</w:t>
            </w:r>
          </w:p>
        </w:tc>
        <w:tc>
          <w:tcPr>
            <w:tcW w:w="7149" w:type="dxa"/>
            <w:vAlign w:val="center"/>
            <w:hideMark/>
          </w:tcPr>
          <w:p w14:paraId="358B59C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National Labor Relations Board</w:t>
            </w:r>
          </w:p>
        </w:tc>
      </w:tr>
      <w:tr w:rsidR="002B29BF" w:rsidRPr="002B29BF" w14:paraId="2C65002F" w14:textId="77777777" w:rsidTr="004C32F4">
        <w:trPr>
          <w:tblCellSpacing w:w="15" w:type="dxa"/>
          <w:jc w:val="center"/>
        </w:trPr>
        <w:tc>
          <w:tcPr>
            <w:tcW w:w="1651" w:type="dxa"/>
            <w:vAlign w:val="center"/>
            <w:hideMark/>
          </w:tcPr>
          <w:p w14:paraId="4499CF8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NOW</w:t>
            </w:r>
          </w:p>
        </w:tc>
        <w:tc>
          <w:tcPr>
            <w:tcW w:w="7149" w:type="dxa"/>
            <w:vAlign w:val="center"/>
            <w:hideMark/>
          </w:tcPr>
          <w:p w14:paraId="5BBAE80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National Organization for Women</w:t>
            </w:r>
          </w:p>
        </w:tc>
      </w:tr>
      <w:tr w:rsidR="002B29BF" w:rsidRPr="00A10E08" w14:paraId="5DD1EB42" w14:textId="77777777" w:rsidTr="004C32F4">
        <w:trPr>
          <w:tblCellSpacing w:w="15" w:type="dxa"/>
          <w:jc w:val="center"/>
        </w:trPr>
        <w:tc>
          <w:tcPr>
            <w:tcW w:w="1651" w:type="dxa"/>
            <w:vAlign w:val="center"/>
            <w:hideMark/>
          </w:tcPr>
          <w:p w14:paraId="39C4CD2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NVOCC</w:t>
            </w:r>
          </w:p>
        </w:tc>
        <w:tc>
          <w:tcPr>
            <w:tcW w:w="7149" w:type="dxa"/>
            <w:vAlign w:val="center"/>
            <w:hideMark/>
          </w:tcPr>
          <w:p w14:paraId="4DFF7FAD"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Non-Vessel Operating Common Carrier</w:t>
            </w:r>
          </w:p>
        </w:tc>
      </w:tr>
      <w:tr w:rsidR="002B29BF" w:rsidRPr="00A10E08" w14:paraId="4B2AE04C" w14:textId="77777777" w:rsidTr="004C32F4">
        <w:trPr>
          <w:tblCellSpacing w:w="15" w:type="dxa"/>
          <w:jc w:val="center"/>
        </w:trPr>
        <w:tc>
          <w:tcPr>
            <w:tcW w:w="1651" w:type="dxa"/>
            <w:vAlign w:val="center"/>
            <w:hideMark/>
          </w:tcPr>
          <w:p w14:paraId="593B33E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OECD</w:t>
            </w:r>
          </w:p>
        </w:tc>
        <w:tc>
          <w:tcPr>
            <w:tcW w:w="7149" w:type="dxa"/>
            <w:vAlign w:val="center"/>
            <w:hideMark/>
          </w:tcPr>
          <w:p w14:paraId="4F42A7C4"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Organisation for Economic Co-operation and Development</w:t>
            </w:r>
          </w:p>
        </w:tc>
      </w:tr>
      <w:tr w:rsidR="002B29BF" w:rsidRPr="002B29BF" w14:paraId="24559DAE" w14:textId="77777777" w:rsidTr="004C32F4">
        <w:trPr>
          <w:tblCellSpacing w:w="15" w:type="dxa"/>
          <w:jc w:val="center"/>
        </w:trPr>
        <w:tc>
          <w:tcPr>
            <w:tcW w:w="1651" w:type="dxa"/>
            <w:vAlign w:val="center"/>
            <w:hideMark/>
          </w:tcPr>
          <w:p w14:paraId="46EB922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OEC</w:t>
            </w:r>
          </w:p>
        </w:tc>
        <w:tc>
          <w:tcPr>
            <w:tcW w:w="7149" w:type="dxa"/>
            <w:vAlign w:val="center"/>
            <w:hideMark/>
          </w:tcPr>
          <w:p w14:paraId="565209F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Observatory of Economic Complexity</w:t>
            </w:r>
          </w:p>
        </w:tc>
      </w:tr>
      <w:tr w:rsidR="002B29BF" w:rsidRPr="002B29BF" w14:paraId="0FF5B59A" w14:textId="77777777" w:rsidTr="004C32F4">
        <w:trPr>
          <w:tblCellSpacing w:w="15" w:type="dxa"/>
          <w:jc w:val="center"/>
        </w:trPr>
        <w:tc>
          <w:tcPr>
            <w:tcW w:w="1651" w:type="dxa"/>
            <w:vAlign w:val="center"/>
            <w:hideMark/>
          </w:tcPr>
          <w:p w14:paraId="038ED83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OEM</w:t>
            </w:r>
          </w:p>
        </w:tc>
        <w:tc>
          <w:tcPr>
            <w:tcW w:w="7149" w:type="dxa"/>
            <w:vAlign w:val="center"/>
            <w:hideMark/>
          </w:tcPr>
          <w:p w14:paraId="1A0A15D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Original Equipment Manufacturing</w:t>
            </w:r>
          </w:p>
        </w:tc>
      </w:tr>
      <w:tr w:rsidR="002B29BF" w:rsidRPr="002B29BF" w14:paraId="20414647" w14:textId="77777777" w:rsidTr="004C32F4">
        <w:trPr>
          <w:tblCellSpacing w:w="15" w:type="dxa"/>
          <w:jc w:val="center"/>
        </w:trPr>
        <w:tc>
          <w:tcPr>
            <w:tcW w:w="1651" w:type="dxa"/>
            <w:vAlign w:val="center"/>
            <w:hideMark/>
          </w:tcPr>
          <w:p w14:paraId="6044812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 PH</w:t>
            </w:r>
          </w:p>
        </w:tc>
        <w:tc>
          <w:tcPr>
            <w:tcW w:w="7149" w:type="dxa"/>
            <w:vAlign w:val="center"/>
            <w:hideMark/>
          </w:tcPr>
          <w:p w14:paraId="3F1B957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Pharmacy Price</w:t>
            </w:r>
          </w:p>
        </w:tc>
      </w:tr>
      <w:tr w:rsidR="002B29BF" w:rsidRPr="002B29BF" w14:paraId="07A63712" w14:textId="77777777" w:rsidTr="004C32F4">
        <w:trPr>
          <w:tblCellSpacing w:w="15" w:type="dxa"/>
          <w:jc w:val="center"/>
        </w:trPr>
        <w:tc>
          <w:tcPr>
            <w:tcW w:w="1651" w:type="dxa"/>
            <w:vAlign w:val="center"/>
            <w:hideMark/>
          </w:tcPr>
          <w:p w14:paraId="0331E20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P.V. GR</w:t>
            </w:r>
          </w:p>
        </w:tc>
        <w:tc>
          <w:tcPr>
            <w:tcW w:w="7149" w:type="dxa"/>
            <w:vAlign w:val="center"/>
            <w:hideMark/>
          </w:tcPr>
          <w:p w14:paraId="2BB9881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Wholesale Price</w:t>
            </w:r>
          </w:p>
        </w:tc>
      </w:tr>
      <w:tr w:rsidR="002B29BF" w:rsidRPr="002B29BF" w14:paraId="51099A64" w14:textId="77777777" w:rsidTr="004C32F4">
        <w:trPr>
          <w:tblCellSpacing w:w="15" w:type="dxa"/>
          <w:jc w:val="center"/>
        </w:trPr>
        <w:tc>
          <w:tcPr>
            <w:tcW w:w="1651" w:type="dxa"/>
            <w:vAlign w:val="center"/>
            <w:hideMark/>
          </w:tcPr>
          <w:p w14:paraId="0E9B62D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PBH</w:t>
            </w:r>
          </w:p>
        </w:tc>
        <w:tc>
          <w:tcPr>
            <w:tcW w:w="7149" w:type="dxa"/>
            <w:vAlign w:val="center"/>
            <w:hideMark/>
          </w:tcPr>
          <w:p w14:paraId="7A2AA50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Pre-Boycott Habits</w:t>
            </w:r>
          </w:p>
        </w:tc>
      </w:tr>
      <w:tr w:rsidR="002B29BF" w:rsidRPr="002B29BF" w14:paraId="2B08655B" w14:textId="77777777" w:rsidTr="004C32F4">
        <w:trPr>
          <w:tblCellSpacing w:w="15" w:type="dxa"/>
          <w:jc w:val="center"/>
        </w:trPr>
        <w:tc>
          <w:tcPr>
            <w:tcW w:w="1651" w:type="dxa"/>
            <w:vAlign w:val="center"/>
            <w:hideMark/>
          </w:tcPr>
          <w:p w14:paraId="7874C59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PC</w:t>
            </w:r>
          </w:p>
        </w:tc>
        <w:tc>
          <w:tcPr>
            <w:tcW w:w="7149" w:type="dxa"/>
            <w:vAlign w:val="center"/>
            <w:hideMark/>
          </w:tcPr>
          <w:p w14:paraId="32CE2FB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Price Competitiveness</w:t>
            </w:r>
          </w:p>
        </w:tc>
      </w:tr>
      <w:tr w:rsidR="002B29BF" w:rsidRPr="00A10E08" w14:paraId="7F1DF611" w14:textId="77777777" w:rsidTr="004C32F4">
        <w:trPr>
          <w:tblCellSpacing w:w="15" w:type="dxa"/>
          <w:jc w:val="center"/>
        </w:trPr>
        <w:tc>
          <w:tcPr>
            <w:tcW w:w="1651" w:type="dxa"/>
            <w:vAlign w:val="center"/>
            <w:hideMark/>
          </w:tcPr>
          <w:p w14:paraId="7C25158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PESTEL</w:t>
            </w:r>
          </w:p>
        </w:tc>
        <w:tc>
          <w:tcPr>
            <w:tcW w:w="7149" w:type="dxa"/>
            <w:vAlign w:val="center"/>
            <w:hideMark/>
          </w:tcPr>
          <w:p w14:paraId="35B86C42"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Political, Economic, Social, Technological, Environmental, and Legal</w:t>
            </w:r>
          </w:p>
        </w:tc>
      </w:tr>
      <w:tr w:rsidR="002B29BF" w:rsidRPr="002B29BF" w14:paraId="4B49BA8B" w14:textId="77777777" w:rsidTr="004C32F4">
        <w:trPr>
          <w:tblCellSpacing w:w="15" w:type="dxa"/>
          <w:jc w:val="center"/>
        </w:trPr>
        <w:tc>
          <w:tcPr>
            <w:tcW w:w="1651" w:type="dxa"/>
            <w:vAlign w:val="center"/>
            <w:hideMark/>
          </w:tcPr>
          <w:p w14:paraId="3B75DF11"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PPA</w:t>
            </w:r>
          </w:p>
        </w:tc>
        <w:tc>
          <w:tcPr>
            <w:tcW w:w="7149" w:type="dxa"/>
            <w:vAlign w:val="center"/>
            <w:hideMark/>
          </w:tcPr>
          <w:p w14:paraId="33FB5070"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Public Price with Tax</w:t>
            </w:r>
          </w:p>
        </w:tc>
      </w:tr>
      <w:tr w:rsidR="002B29BF" w:rsidRPr="002B29BF" w14:paraId="3C41B5EF" w14:textId="77777777" w:rsidTr="004C32F4">
        <w:trPr>
          <w:tblCellSpacing w:w="15" w:type="dxa"/>
          <w:jc w:val="center"/>
        </w:trPr>
        <w:tc>
          <w:tcPr>
            <w:tcW w:w="1651" w:type="dxa"/>
            <w:vAlign w:val="center"/>
            <w:hideMark/>
          </w:tcPr>
          <w:p w14:paraId="668648E0"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PQP</w:t>
            </w:r>
          </w:p>
        </w:tc>
        <w:tc>
          <w:tcPr>
            <w:tcW w:w="7149" w:type="dxa"/>
            <w:vAlign w:val="center"/>
            <w:hideMark/>
          </w:tcPr>
          <w:p w14:paraId="48A6A62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Product Quality Perception</w:t>
            </w:r>
          </w:p>
        </w:tc>
      </w:tr>
      <w:tr w:rsidR="002B29BF" w:rsidRPr="002B29BF" w14:paraId="2CE277F5" w14:textId="77777777" w:rsidTr="004C32F4">
        <w:trPr>
          <w:tblCellSpacing w:w="15" w:type="dxa"/>
          <w:jc w:val="center"/>
        </w:trPr>
        <w:tc>
          <w:tcPr>
            <w:tcW w:w="1651" w:type="dxa"/>
            <w:vAlign w:val="center"/>
            <w:hideMark/>
          </w:tcPr>
          <w:p w14:paraId="3FED646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PTA</w:t>
            </w:r>
          </w:p>
        </w:tc>
        <w:tc>
          <w:tcPr>
            <w:tcW w:w="7149" w:type="dxa"/>
            <w:vAlign w:val="center"/>
            <w:hideMark/>
          </w:tcPr>
          <w:p w14:paraId="113156F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Preferential Trade Agreement</w:t>
            </w:r>
          </w:p>
        </w:tc>
      </w:tr>
      <w:tr w:rsidR="002B29BF" w:rsidRPr="00A10E08" w14:paraId="50061F76" w14:textId="77777777" w:rsidTr="004C32F4">
        <w:trPr>
          <w:tblCellSpacing w:w="15" w:type="dxa"/>
          <w:jc w:val="center"/>
        </w:trPr>
        <w:tc>
          <w:tcPr>
            <w:tcW w:w="1651" w:type="dxa"/>
            <w:vAlign w:val="center"/>
            <w:hideMark/>
          </w:tcPr>
          <w:p w14:paraId="0720C24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PUSH</w:t>
            </w:r>
          </w:p>
        </w:tc>
        <w:tc>
          <w:tcPr>
            <w:tcW w:w="7149" w:type="dxa"/>
            <w:vAlign w:val="center"/>
            <w:hideMark/>
          </w:tcPr>
          <w:p w14:paraId="0EC8FFB3"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People United to Save Humanity</w:t>
            </w:r>
          </w:p>
        </w:tc>
      </w:tr>
      <w:tr w:rsidR="002B29BF" w:rsidRPr="002B29BF" w14:paraId="3E19D7F3" w14:textId="77777777" w:rsidTr="004C32F4">
        <w:trPr>
          <w:tblCellSpacing w:w="15" w:type="dxa"/>
          <w:jc w:val="center"/>
        </w:trPr>
        <w:tc>
          <w:tcPr>
            <w:tcW w:w="1651" w:type="dxa"/>
            <w:vAlign w:val="center"/>
            <w:hideMark/>
          </w:tcPr>
          <w:p w14:paraId="15F1DCD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RMSE</w:t>
            </w:r>
          </w:p>
        </w:tc>
        <w:tc>
          <w:tcPr>
            <w:tcW w:w="7149" w:type="dxa"/>
            <w:vAlign w:val="center"/>
            <w:hideMark/>
          </w:tcPr>
          <w:p w14:paraId="7AB2F2CF"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Root Mean Square Error</w:t>
            </w:r>
          </w:p>
        </w:tc>
      </w:tr>
      <w:tr w:rsidR="002B29BF" w:rsidRPr="002B29BF" w14:paraId="49DB24EE" w14:textId="77777777" w:rsidTr="004C32F4">
        <w:trPr>
          <w:tblCellSpacing w:w="15" w:type="dxa"/>
          <w:jc w:val="center"/>
        </w:trPr>
        <w:tc>
          <w:tcPr>
            <w:tcW w:w="1651" w:type="dxa"/>
            <w:vAlign w:val="center"/>
            <w:hideMark/>
          </w:tcPr>
          <w:p w14:paraId="007E5CB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SARL</w:t>
            </w:r>
          </w:p>
        </w:tc>
        <w:tc>
          <w:tcPr>
            <w:tcW w:w="7149" w:type="dxa"/>
            <w:vAlign w:val="center"/>
            <w:hideMark/>
          </w:tcPr>
          <w:p w14:paraId="0AB7D7B6"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Société à Responsabilité Limitée (Limited Liability Company)</w:t>
            </w:r>
          </w:p>
        </w:tc>
      </w:tr>
      <w:tr w:rsidR="002B29BF" w:rsidRPr="002B29BF" w14:paraId="7706BD33" w14:textId="77777777" w:rsidTr="004C32F4">
        <w:trPr>
          <w:tblCellSpacing w:w="15" w:type="dxa"/>
          <w:jc w:val="center"/>
        </w:trPr>
        <w:tc>
          <w:tcPr>
            <w:tcW w:w="1651" w:type="dxa"/>
            <w:vAlign w:val="center"/>
            <w:hideMark/>
          </w:tcPr>
          <w:p w14:paraId="77248C3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Sig</w:t>
            </w:r>
          </w:p>
        </w:tc>
        <w:tc>
          <w:tcPr>
            <w:tcW w:w="7149" w:type="dxa"/>
            <w:vAlign w:val="center"/>
            <w:hideMark/>
          </w:tcPr>
          <w:p w14:paraId="5023587E"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Significance</w:t>
            </w:r>
          </w:p>
        </w:tc>
      </w:tr>
      <w:tr w:rsidR="002B29BF" w:rsidRPr="00A10E08" w14:paraId="72363F5C" w14:textId="77777777" w:rsidTr="004C32F4">
        <w:trPr>
          <w:tblCellSpacing w:w="15" w:type="dxa"/>
          <w:jc w:val="center"/>
        </w:trPr>
        <w:tc>
          <w:tcPr>
            <w:tcW w:w="1651" w:type="dxa"/>
            <w:vAlign w:val="center"/>
            <w:hideMark/>
          </w:tcPr>
          <w:p w14:paraId="58954F27"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SPSS</w:t>
            </w:r>
          </w:p>
        </w:tc>
        <w:tc>
          <w:tcPr>
            <w:tcW w:w="7149" w:type="dxa"/>
            <w:vAlign w:val="center"/>
            <w:hideMark/>
          </w:tcPr>
          <w:p w14:paraId="730A6E4C"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Statistical Package for the Social Sciences</w:t>
            </w:r>
          </w:p>
        </w:tc>
      </w:tr>
      <w:tr w:rsidR="002B29BF" w:rsidRPr="00A10E08" w14:paraId="1E2C98BE" w14:textId="77777777" w:rsidTr="004C32F4">
        <w:trPr>
          <w:tblCellSpacing w:w="15" w:type="dxa"/>
          <w:jc w:val="center"/>
        </w:trPr>
        <w:tc>
          <w:tcPr>
            <w:tcW w:w="1651" w:type="dxa"/>
            <w:vAlign w:val="center"/>
            <w:hideMark/>
          </w:tcPr>
          <w:p w14:paraId="2629A00A"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SWIFT</w:t>
            </w:r>
          </w:p>
        </w:tc>
        <w:tc>
          <w:tcPr>
            <w:tcW w:w="7149" w:type="dxa"/>
            <w:vAlign w:val="center"/>
            <w:hideMark/>
          </w:tcPr>
          <w:p w14:paraId="25ED5D9A"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Society for Worldwide Interbank Financial Telecommunication</w:t>
            </w:r>
          </w:p>
        </w:tc>
      </w:tr>
      <w:tr w:rsidR="002B29BF" w:rsidRPr="002B29BF" w14:paraId="44FB3437" w14:textId="77777777" w:rsidTr="004C32F4">
        <w:trPr>
          <w:tblCellSpacing w:w="15" w:type="dxa"/>
          <w:jc w:val="center"/>
        </w:trPr>
        <w:tc>
          <w:tcPr>
            <w:tcW w:w="1651" w:type="dxa"/>
            <w:vAlign w:val="center"/>
            <w:hideMark/>
          </w:tcPr>
          <w:p w14:paraId="2FEC628D"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TAB</w:t>
            </w:r>
          </w:p>
        </w:tc>
        <w:tc>
          <w:tcPr>
            <w:tcW w:w="7149" w:type="dxa"/>
            <w:vAlign w:val="center"/>
            <w:hideMark/>
          </w:tcPr>
          <w:p w14:paraId="1A8D978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Trust in Alternative Products</w:t>
            </w:r>
          </w:p>
        </w:tc>
      </w:tr>
      <w:tr w:rsidR="002B29BF" w:rsidRPr="002B29BF" w14:paraId="49A03403" w14:textId="77777777" w:rsidTr="004C32F4">
        <w:trPr>
          <w:tblCellSpacing w:w="15" w:type="dxa"/>
          <w:jc w:val="center"/>
        </w:trPr>
        <w:tc>
          <w:tcPr>
            <w:tcW w:w="1651" w:type="dxa"/>
            <w:vAlign w:val="center"/>
            <w:hideMark/>
          </w:tcPr>
          <w:p w14:paraId="740F0CD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TCB</w:t>
            </w:r>
          </w:p>
        </w:tc>
        <w:tc>
          <w:tcPr>
            <w:tcW w:w="7149" w:type="dxa"/>
            <w:vAlign w:val="center"/>
            <w:hideMark/>
          </w:tcPr>
          <w:p w14:paraId="006BFB9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Turkish Consumer Behavior</w:t>
            </w:r>
          </w:p>
        </w:tc>
      </w:tr>
      <w:tr w:rsidR="002B29BF" w:rsidRPr="002B29BF" w14:paraId="0296BE9A" w14:textId="77777777" w:rsidTr="004C32F4">
        <w:trPr>
          <w:tblCellSpacing w:w="15" w:type="dxa"/>
          <w:jc w:val="center"/>
        </w:trPr>
        <w:tc>
          <w:tcPr>
            <w:tcW w:w="1651" w:type="dxa"/>
            <w:vAlign w:val="center"/>
            <w:hideMark/>
          </w:tcPr>
          <w:p w14:paraId="21F8349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TRY</w:t>
            </w:r>
          </w:p>
        </w:tc>
        <w:tc>
          <w:tcPr>
            <w:tcW w:w="7149" w:type="dxa"/>
            <w:vAlign w:val="center"/>
            <w:hideMark/>
          </w:tcPr>
          <w:p w14:paraId="4A06D142"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Turkish Lira (currency)</w:t>
            </w:r>
          </w:p>
        </w:tc>
      </w:tr>
      <w:tr w:rsidR="002B29BF" w:rsidRPr="002B29BF" w14:paraId="1587A638" w14:textId="77777777" w:rsidTr="004C32F4">
        <w:trPr>
          <w:tblCellSpacing w:w="15" w:type="dxa"/>
          <w:jc w:val="center"/>
        </w:trPr>
        <w:tc>
          <w:tcPr>
            <w:tcW w:w="1651" w:type="dxa"/>
            <w:vAlign w:val="center"/>
            <w:hideMark/>
          </w:tcPr>
          <w:p w14:paraId="6C1AC374"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TURKSTAT</w:t>
            </w:r>
          </w:p>
        </w:tc>
        <w:tc>
          <w:tcPr>
            <w:tcW w:w="7149" w:type="dxa"/>
            <w:vAlign w:val="center"/>
            <w:hideMark/>
          </w:tcPr>
          <w:p w14:paraId="59C92B1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Turkish Statistical Institute</w:t>
            </w:r>
          </w:p>
        </w:tc>
      </w:tr>
      <w:tr w:rsidR="002B29BF" w:rsidRPr="002B29BF" w14:paraId="03D2DDB0" w14:textId="77777777" w:rsidTr="004C32F4">
        <w:trPr>
          <w:tblCellSpacing w:w="15" w:type="dxa"/>
          <w:jc w:val="center"/>
        </w:trPr>
        <w:tc>
          <w:tcPr>
            <w:tcW w:w="1651" w:type="dxa"/>
            <w:vAlign w:val="center"/>
            <w:hideMark/>
          </w:tcPr>
          <w:p w14:paraId="10006C0B"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USD</w:t>
            </w:r>
          </w:p>
        </w:tc>
        <w:tc>
          <w:tcPr>
            <w:tcW w:w="7149" w:type="dxa"/>
            <w:vAlign w:val="center"/>
            <w:hideMark/>
          </w:tcPr>
          <w:p w14:paraId="7B3D9039"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United States Dollar (currency)</w:t>
            </w:r>
          </w:p>
        </w:tc>
      </w:tr>
      <w:tr w:rsidR="002B29BF" w:rsidRPr="002B29BF" w14:paraId="786421A6" w14:textId="77777777" w:rsidTr="004C32F4">
        <w:trPr>
          <w:tblCellSpacing w:w="15" w:type="dxa"/>
          <w:jc w:val="center"/>
        </w:trPr>
        <w:tc>
          <w:tcPr>
            <w:tcW w:w="1651" w:type="dxa"/>
            <w:vAlign w:val="center"/>
            <w:hideMark/>
          </w:tcPr>
          <w:p w14:paraId="4B8F4988"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VAT</w:t>
            </w:r>
          </w:p>
        </w:tc>
        <w:tc>
          <w:tcPr>
            <w:tcW w:w="7149" w:type="dxa"/>
            <w:vAlign w:val="center"/>
            <w:hideMark/>
          </w:tcPr>
          <w:p w14:paraId="5304C0C5"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Value Added Tax</w:t>
            </w:r>
          </w:p>
        </w:tc>
      </w:tr>
      <w:tr w:rsidR="002B29BF" w:rsidRPr="00A10E08" w14:paraId="0E547EB8" w14:textId="77777777" w:rsidTr="004C32F4">
        <w:trPr>
          <w:tblCellSpacing w:w="15" w:type="dxa"/>
          <w:jc w:val="center"/>
        </w:trPr>
        <w:tc>
          <w:tcPr>
            <w:tcW w:w="1651" w:type="dxa"/>
            <w:vAlign w:val="center"/>
            <w:hideMark/>
          </w:tcPr>
          <w:p w14:paraId="346BE693"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WAVAW</w:t>
            </w:r>
          </w:p>
        </w:tc>
        <w:tc>
          <w:tcPr>
            <w:tcW w:w="7149" w:type="dxa"/>
            <w:vAlign w:val="center"/>
            <w:hideMark/>
          </w:tcPr>
          <w:p w14:paraId="2A796640"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Women Against Violence Against Women</w:t>
            </w:r>
          </w:p>
        </w:tc>
      </w:tr>
      <w:tr w:rsidR="002B29BF" w:rsidRPr="00A10E08" w14:paraId="64951E09" w14:textId="77777777" w:rsidTr="004C32F4">
        <w:trPr>
          <w:tblCellSpacing w:w="15" w:type="dxa"/>
          <w:jc w:val="center"/>
        </w:trPr>
        <w:tc>
          <w:tcPr>
            <w:tcW w:w="1651" w:type="dxa"/>
            <w:vAlign w:val="center"/>
            <w:hideMark/>
          </w:tcPr>
          <w:p w14:paraId="5A8E07AC" w14:textId="77777777" w:rsidR="002B29BF" w:rsidRPr="002B29BF" w:rsidRDefault="002B29BF" w:rsidP="002B29BF">
            <w:pPr>
              <w:spacing w:after="0" w:line="240" w:lineRule="auto"/>
              <w:jc w:val="center"/>
              <w:rPr>
                <w:rFonts w:asciiTheme="majorBidi" w:eastAsia="Times New Roman" w:hAnsiTheme="majorBidi" w:cstheme="majorBidi"/>
                <w:sz w:val="24"/>
                <w:szCs w:val="24"/>
                <w:lang w:eastAsia="fr-FR"/>
              </w:rPr>
            </w:pPr>
            <w:r w:rsidRPr="002B29BF">
              <w:rPr>
                <w:rFonts w:asciiTheme="majorBidi" w:eastAsia="Times New Roman" w:hAnsiTheme="majorBidi" w:cstheme="majorBidi"/>
                <w:sz w:val="24"/>
                <w:szCs w:val="24"/>
                <w:lang w:eastAsia="fr-FR"/>
              </w:rPr>
              <w:t>WTNA</w:t>
            </w:r>
          </w:p>
        </w:tc>
        <w:tc>
          <w:tcPr>
            <w:tcW w:w="7149" w:type="dxa"/>
            <w:vAlign w:val="center"/>
            <w:hideMark/>
          </w:tcPr>
          <w:p w14:paraId="15C93F7B" w14:textId="77777777" w:rsidR="002B29BF" w:rsidRPr="002B29BF" w:rsidRDefault="002B29BF" w:rsidP="002B29BF">
            <w:pPr>
              <w:spacing w:after="0" w:line="240" w:lineRule="auto"/>
              <w:jc w:val="center"/>
              <w:rPr>
                <w:rFonts w:asciiTheme="majorBidi" w:eastAsia="Times New Roman" w:hAnsiTheme="majorBidi" w:cstheme="majorBidi"/>
                <w:sz w:val="24"/>
                <w:szCs w:val="24"/>
                <w:lang w:val="en-GB" w:eastAsia="fr-FR"/>
              </w:rPr>
            </w:pPr>
            <w:r w:rsidRPr="002B29BF">
              <w:rPr>
                <w:rFonts w:asciiTheme="majorBidi" w:eastAsia="Times New Roman" w:hAnsiTheme="majorBidi" w:cstheme="majorBidi"/>
                <w:sz w:val="24"/>
                <w:szCs w:val="24"/>
                <w:lang w:val="en-GB" w:eastAsia="fr-FR"/>
              </w:rPr>
              <w:t>Willingness To Try New Alternatives</w:t>
            </w:r>
          </w:p>
        </w:tc>
      </w:tr>
    </w:tbl>
    <w:p w14:paraId="68D41639" w14:textId="77777777" w:rsidR="002E5550" w:rsidRDefault="002E5550" w:rsidP="003414A5">
      <w:pPr>
        <w:pStyle w:val="NormalWeb"/>
        <w:spacing w:line="360" w:lineRule="auto"/>
        <w:jc w:val="both"/>
        <w:rPr>
          <w:rStyle w:val="fadeinm1hgl8"/>
          <w:rFonts w:asciiTheme="majorBidi" w:hAnsiTheme="majorBidi" w:cstheme="majorBidi"/>
          <w:b/>
          <w:bCs/>
          <w:lang w:val="en-US"/>
        </w:rPr>
        <w:sectPr w:rsidR="002E5550" w:rsidSect="00C401F5">
          <w:headerReference w:type="default" r:id="rId10"/>
          <w:footerReference w:type="default" r:id="rId11"/>
          <w:pgSz w:w="11906" w:h="16838"/>
          <w:pgMar w:top="1417" w:right="1417" w:bottom="1417" w:left="1417" w:header="708" w:footer="708" w:gutter="0"/>
          <w:pgNumType w:fmt="upperRoman" w:start="1"/>
          <w:cols w:space="708"/>
          <w:docGrid w:linePitch="360"/>
        </w:sectPr>
      </w:pPr>
    </w:p>
    <w:p w14:paraId="78792763" w14:textId="5A18146A" w:rsidR="00D75D3D" w:rsidRPr="002E5550" w:rsidRDefault="00D75D3D" w:rsidP="003414A5">
      <w:pPr>
        <w:pStyle w:val="NormalWeb"/>
        <w:spacing w:line="360" w:lineRule="auto"/>
        <w:jc w:val="both"/>
        <w:rPr>
          <w:rStyle w:val="fadeinm1hgl8"/>
          <w:rFonts w:asciiTheme="majorBidi" w:hAnsiTheme="majorBidi" w:cstheme="majorBidi"/>
          <w:b/>
          <w:bCs/>
          <w:lang w:val="en-US"/>
        </w:rPr>
      </w:pPr>
    </w:p>
    <w:p w14:paraId="50E9BC9F" w14:textId="77777777" w:rsidR="00D75D3D" w:rsidRDefault="00D75D3D" w:rsidP="003414A5">
      <w:pPr>
        <w:pStyle w:val="NormalWeb"/>
        <w:spacing w:line="360" w:lineRule="auto"/>
        <w:jc w:val="both"/>
        <w:rPr>
          <w:rStyle w:val="fadeinm1hgl8"/>
          <w:rFonts w:asciiTheme="majorBidi" w:hAnsiTheme="majorBidi" w:cstheme="majorBidi"/>
          <w:b/>
          <w:bCs/>
          <w:lang w:val="en-GB"/>
        </w:rPr>
      </w:pPr>
    </w:p>
    <w:p w14:paraId="39087A90" w14:textId="77777777" w:rsidR="00A1183D" w:rsidRDefault="00A1183D" w:rsidP="00A1183D">
      <w:pPr>
        <w:pStyle w:val="NormalWeb"/>
        <w:spacing w:line="360" w:lineRule="auto"/>
        <w:jc w:val="center"/>
        <w:rPr>
          <w:rStyle w:val="fadeinm1hgl8"/>
          <w:rFonts w:asciiTheme="majorBidi" w:hAnsiTheme="majorBidi" w:cstheme="majorBidi"/>
          <w:b/>
          <w:bCs/>
          <w:sz w:val="72"/>
          <w:szCs w:val="72"/>
          <w:lang w:val="en-GB"/>
        </w:rPr>
      </w:pPr>
    </w:p>
    <w:p w14:paraId="1EB736FA" w14:textId="77777777" w:rsidR="00A1183D" w:rsidRDefault="00A1183D" w:rsidP="00A1183D">
      <w:pPr>
        <w:pStyle w:val="NormalWeb"/>
        <w:spacing w:line="360" w:lineRule="auto"/>
        <w:jc w:val="center"/>
        <w:rPr>
          <w:rStyle w:val="fadeinm1hgl8"/>
          <w:rFonts w:asciiTheme="majorBidi" w:hAnsiTheme="majorBidi" w:cstheme="majorBidi"/>
          <w:b/>
          <w:bCs/>
          <w:sz w:val="72"/>
          <w:szCs w:val="72"/>
          <w:lang w:val="en-GB"/>
        </w:rPr>
      </w:pPr>
    </w:p>
    <w:p w14:paraId="214CF77E" w14:textId="77777777" w:rsidR="00A1183D" w:rsidRDefault="00A1183D" w:rsidP="00FC7ADD">
      <w:pPr>
        <w:pStyle w:val="NormalWeb"/>
        <w:spacing w:line="360" w:lineRule="auto"/>
        <w:rPr>
          <w:rStyle w:val="fadeinm1hgl8"/>
          <w:rFonts w:asciiTheme="majorBidi" w:hAnsiTheme="majorBidi" w:cstheme="majorBidi"/>
          <w:b/>
          <w:bCs/>
          <w:sz w:val="72"/>
          <w:szCs w:val="72"/>
          <w:lang w:val="en-GB"/>
        </w:rPr>
      </w:pPr>
    </w:p>
    <w:p w14:paraId="6B7C42D8" w14:textId="23BD1AC0" w:rsidR="00FC7ADD" w:rsidRPr="00B163B6" w:rsidRDefault="00D75D3D" w:rsidP="00B163B6">
      <w:pPr>
        <w:pStyle w:val="Heading1"/>
        <w:rPr>
          <w:rStyle w:val="fadeinm1hgl8"/>
        </w:rPr>
      </w:pPr>
      <w:bookmarkStart w:id="1" w:name="_Toc200719950"/>
      <w:bookmarkStart w:id="2" w:name="_Toc200721591"/>
      <w:r w:rsidRPr="00B163B6">
        <w:rPr>
          <w:rStyle w:val="fadeinm1hgl8"/>
        </w:rPr>
        <w:t>General introduction</w:t>
      </w:r>
      <w:bookmarkEnd w:id="1"/>
      <w:bookmarkEnd w:id="2"/>
    </w:p>
    <w:p w14:paraId="14614182" w14:textId="77777777" w:rsidR="00FC7ADD" w:rsidRDefault="00FC7ADD" w:rsidP="003414A5">
      <w:pPr>
        <w:pStyle w:val="NormalWeb"/>
        <w:spacing w:line="360" w:lineRule="auto"/>
        <w:jc w:val="both"/>
        <w:rPr>
          <w:rStyle w:val="fadeinm1hgl8"/>
          <w:rFonts w:asciiTheme="majorBidi" w:hAnsiTheme="majorBidi" w:cstheme="majorBidi"/>
          <w:b/>
          <w:bCs/>
          <w:lang w:val="en-GB"/>
        </w:rPr>
      </w:pPr>
    </w:p>
    <w:p w14:paraId="0CB17FC7" w14:textId="77777777" w:rsidR="00FC7ADD" w:rsidRDefault="00FC7ADD" w:rsidP="003414A5">
      <w:pPr>
        <w:pStyle w:val="NormalWeb"/>
        <w:spacing w:line="360" w:lineRule="auto"/>
        <w:jc w:val="both"/>
        <w:rPr>
          <w:rStyle w:val="fadeinm1hgl8"/>
          <w:rFonts w:asciiTheme="majorBidi" w:hAnsiTheme="majorBidi" w:cstheme="majorBidi"/>
          <w:b/>
          <w:bCs/>
          <w:lang w:val="en-GB"/>
        </w:rPr>
      </w:pPr>
    </w:p>
    <w:p w14:paraId="331E1DDD" w14:textId="77777777" w:rsidR="002E5550" w:rsidRDefault="002E5550" w:rsidP="003414A5">
      <w:pPr>
        <w:pStyle w:val="NormalWeb"/>
        <w:spacing w:line="360" w:lineRule="auto"/>
        <w:jc w:val="both"/>
        <w:rPr>
          <w:rStyle w:val="fadeinm1hgl8"/>
          <w:rFonts w:asciiTheme="majorBidi" w:hAnsiTheme="majorBidi" w:cstheme="majorBidi"/>
          <w:b/>
          <w:bCs/>
          <w:lang w:val="en-GB"/>
        </w:rPr>
        <w:sectPr w:rsidR="002E5550" w:rsidSect="00C401F5">
          <w:headerReference w:type="default" r:id="rId12"/>
          <w:footerReference w:type="default" r:id="rId13"/>
          <w:pgSz w:w="11906" w:h="16838"/>
          <w:pgMar w:top="1417" w:right="1417" w:bottom="1417" w:left="1417" w:header="708" w:footer="708" w:gutter="0"/>
          <w:pgNumType w:start="1"/>
          <w:cols w:space="708"/>
          <w:docGrid w:linePitch="360"/>
        </w:sectPr>
      </w:pPr>
    </w:p>
    <w:p w14:paraId="235E4AA4" w14:textId="28B7ED7A" w:rsidR="00DC2EB3" w:rsidRDefault="00DC2EB3" w:rsidP="003414A5">
      <w:pPr>
        <w:pStyle w:val="NormalWeb"/>
        <w:spacing w:line="360" w:lineRule="auto"/>
        <w:jc w:val="both"/>
        <w:rPr>
          <w:rStyle w:val="fadeinm1hgl8"/>
          <w:rFonts w:asciiTheme="majorBidi" w:hAnsiTheme="majorBidi" w:cstheme="majorBidi"/>
          <w:b/>
          <w:bCs/>
          <w:lang w:val="en-GB"/>
        </w:rPr>
      </w:pPr>
      <w:r>
        <w:rPr>
          <w:rStyle w:val="fadeinm1hgl8"/>
          <w:rFonts w:asciiTheme="majorBidi" w:hAnsiTheme="majorBidi" w:cstheme="majorBidi"/>
          <w:b/>
          <w:bCs/>
          <w:lang w:val="en-GB"/>
        </w:rPr>
        <w:t>G</w:t>
      </w:r>
      <w:r w:rsidRPr="00AA14A3">
        <w:rPr>
          <w:rStyle w:val="fadeinm1hgl8"/>
          <w:rFonts w:asciiTheme="majorBidi" w:hAnsiTheme="majorBidi" w:cstheme="majorBidi"/>
          <w:b/>
          <w:bCs/>
          <w:lang w:val="en-GB"/>
        </w:rPr>
        <w:t>eneral introduction</w:t>
      </w:r>
      <w:r>
        <w:rPr>
          <w:rStyle w:val="fadeinm1hgl8"/>
          <w:rFonts w:asciiTheme="majorBidi" w:hAnsiTheme="majorBidi" w:cstheme="majorBidi"/>
          <w:b/>
          <w:bCs/>
          <w:lang w:val="en-GB"/>
        </w:rPr>
        <w:t xml:space="preserve"> </w:t>
      </w:r>
    </w:p>
    <w:p w14:paraId="73623843" w14:textId="29348C10" w:rsidR="00DC2EB3" w:rsidRPr="003414A5" w:rsidRDefault="00F0380F" w:rsidP="003414A5">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In an increasingly interconnected and politically sensitive global marketplace, consumer boycotts have emerged as powerful tools through which populations express discontent, shape economic behavior, and challenge international trade dynamics. Boycotts, once considered simple acts of individual or collective refusal to purchase goods, have evolved into highly organized and influential socio-political movements. While traditionally understood as forms of protest that result in negative economic consequences for targeted companies or nations, boycotts also have the potential to generate new and unexpected opportunities. In particular, they can create spaces for alternative markets and local industries to thrive, especially in regions where foreign dominance in consumer goods has overshadowed domestic production. For developing economies like Algeria, such shifts in consumer behavior offer a valuable chance to reposition local products, enhance national industry visibility, and pursue new export strategies. This dissertation explores how boycott movements can serve as strategic openings for the promotion and export of local Algerian products to European markets, using Turkey as a focal point for analysis.</w:t>
      </w:r>
    </w:p>
    <w:p w14:paraId="1A155582" w14:textId="77777777" w:rsidR="00DC2EB3" w:rsidRPr="003414A5" w:rsidRDefault="00DC2EB3" w:rsidP="003414A5">
      <w:pPr>
        <w:pStyle w:val="NormalWeb"/>
        <w:spacing w:line="360" w:lineRule="auto"/>
        <w:jc w:val="both"/>
        <w:rPr>
          <w:rFonts w:asciiTheme="majorBidi" w:hAnsiTheme="majorBidi" w:cstheme="majorBidi"/>
          <w:lang w:val="en-GB"/>
        </w:rPr>
      </w:pPr>
      <w:r w:rsidRPr="003414A5">
        <w:rPr>
          <w:rStyle w:val="fadeinm1hgl8"/>
          <w:rFonts w:asciiTheme="majorBidi" w:hAnsiTheme="majorBidi" w:cstheme="majorBidi"/>
          <w:lang w:val="en-GB"/>
        </w:rPr>
        <w:t>The growing prevalence of boycott campaigns in the Middle East and North Africa (MENA) region, often driven by political, religious, or social motivations, has had ripple effects across various economic sectors. These campaigns are not only reactions to foreign policies or ethical concerns but are also reflections of an increasing awareness among consumers of their power and influence in the global economy. In Algeria, recent calls for the boycott of goods originating from countries associated with colonial history, political tension, or perceived hostility toward Islamic or Arab values, have fueled a renewed interest in local products. This revival of national pride in domestic goods is not limited to ethical consumption but is also tied to broader themes of economic independence and sovereignty.</w:t>
      </w:r>
    </w:p>
    <w:p w14:paraId="3F7E16BF" w14:textId="6F139C0B" w:rsidR="00DC2EB3" w:rsidRPr="003414A5" w:rsidRDefault="00F0380F" w:rsidP="003414A5">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At the same time, Turkey offers a particularly compelling case study. As a nation that straddles both Europe and Asia geographically and culturally, Turkey maintains strong ties with the European Union, the Arab world, and North Africa. It is a growing consumer market with a complex political identity and a population that is responsive to calls for solidarity with causes in the MENA region. Turkish consumers have historically participated in boycotts aligned with political causes and may show openness to alternative product sources, particularly from culturally or politically aligned countries like Algeria. Moreover, Turkey's role as a trade and logistics hub can act as a gateway for Algerian products to enter wider European markets.</w:t>
      </w:r>
    </w:p>
    <w:p w14:paraId="4E1FA17C" w14:textId="50993F2B" w:rsidR="00DC2EB3" w:rsidRPr="003414A5" w:rsidRDefault="00F0380F" w:rsidP="00CE435F">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By analyzing these dynamics, this research aims to understand the dual role of boycotts—as both acts of resistance and vehicles of economic opportunity. The central hypothesis is that boycotts, far from being solely negative or disruptive events, can be harnessed strategically to promote national industry, build economic alliances, and open new export pathways. This study contributes to a broader conversation about how developing countries can leverage socio-political movements to create economic value, with a focus on the relationship between Algeria, Turkey, and the European market.</w:t>
      </w:r>
    </w:p>
    <w:p w14:paraId="4B3C7A11" w14:textId="77777777" w:rsidR="00DC2EB3" w:rsidRPr="003414A5" w:rsidRDefault="00DC2EB3" w:rsidP="003414A5">
      <w:pPr>
        <w:spacing w:line="360" w:lineRule="auto"/>
        <w:jc w:val="both"/>
        <w:rPr>
          <w:rFonts w:asciiTheme="majorBidi" w:hAnsiTheme="majorBidi" w:cstheme="majorBidi"/>
          <w:b/>
          <w:bCs/>
          <w:sz w:val="24"/>
          <w:szCs w:val="24"/>
          <w:lang w:val="en-GB"/>
        </w:rPr>
      </w:pPr>
      <w:r w:rsidRPr="003414A5">
        <w:rPr>
          <w:rFonts w:asciiTheme="majorBidi" w:hAnsiTheme="majorBidi" w:cstheme="majorBidi"/>
          <w:b/>
          <w:bCs/>
          <w:sz w:val="24"/>
          <w:szCs w:val="24"/>
          <w:lang w:val="en-GB"/>
        </w:rPr>
        <w:t>The importance of the study:</w:t>
      </w:r>
    </w:p>
    <w:p w14:paraId="6A23C6B3" w14:textId="61E5AECE" w:rsidR="00DC2EB3" w:rsidRPr="003414A5" w:rsidRDefault="00F0380F" w:rsidP="003414A5">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The importance of this study lies in its exploration of how consumer boycotts particularly those driven by ethical, or cultural motivations can create unexpected opportunities for local producers to enter and expand in international markets, specifically the European market. By examining Turkey as a case study, the research sheds light on how shifts in consumer sentiment and trade dynamics can be strategically leveraged to boost local production, enhance brand visibility abroad, and reduce dependency on traditional markets. This study contributes valuable insights into alternative export strategies and the broader implications of consumer activism on global trade patterns.</w:t>
      </w:r>
    </w:p>
    <w:p w14:paraId="798AA9C6" w14:textId="77777777" w:rsidR="00DC2EB3" w:rsidRPr="003414A5" w:rsidRDefault="00DC2EB3" w:rsidP="003414A5">
      <w:pPr>
        <w:spacing w:line="360" w:lineRule="auto"/>
        <w:jc w:val="both"/>
        <w:rPr>
          <w:rFonts w:asciiTheme="majorBidi" w:hAnsiTheme="majorBidi" w:cstheme="majorBidi"/>
          <w:b/>
          <w:bCs/>
          <w:sz w:val="24"/>
          <w:szCs w:val="24"/>
          <w:lang w:val="en-GB"/>
        </w:rPr>
      </w:pPr>
      <w:r w:rsidRPr="003414A5">
        <w:rPr>
          <w:rFonts w:asciiTheme="majorBidi" w:hAnsiTheme="majorBidi" w:cstheme="majorBidi"/>
          <w:b/>
          <w:bCs/>
          <w:sz w:val="24"/>
          <w:szCs w:val="24"/>
          <w:lang w:val="en-GB"/>
        </w:rPr>
        <w:t>Justification for the choice of subject:</w:t>
      </w:r>
    </w:p>
    <w:p w14:paraId="036AAC58" w14:textId="2E243D14" w:rsidR="008268F9" w:rsidRDefault="00F0380F" w:rsidP="008268F9">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8268F9">
        <w:rPr>
          <w:rStyle w:val="fadeinm1hgl8"/>
          <w:rFonts w:asciiTheme="majorBidi" w:hAnsiTheme="majorBidi" w:cstheme="majorBidi"/>
          <w:sz w:val="24"/>
          <w:szCs w:val="24"/>
          <w:lang w:val="en-GB"/>
        </w:rPr>
        <w:t>I</w:t>
      </w:r>
      <w:r w:rsidR="008268F9" w:rsidRPr="008268F9">
        <w:rPr>
          <w:rStyle w:val="fadeinm1hgl8"/>
          <w:rFonts w:asciiTheme="majorBidi" w:hAnsiTheme="majorBidi" w:cstheme="majorBidi"/>
          <w:sz w:val="24"/>
          <w:szCs w:val="24"/>
          <w:lang w:val="en-GB"/>
        </w:rPr>
        <w:t>n selecting this research topic, both academic relevance and personal motivation were considered. The following points summarize the key justifications that guided the choice of this study:</w:t>
      </w:r>
    </w:p>
    <w:p w14:paraId="5BED4860" w14:textId="56F5B879"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Consumer boycotts have become a key force influencing global trade and market behavior.</w:t>
      </w:r>
    </w:p>
    <w:p w14:paraId="1375E621" w14:textId="6D95971D"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Political and ethical tensions are pushing consumers to reject certain foreign products.</w:t>
      </w:r>
    </w:p>
    <w:p w14:paraId="7B624E07" w14:textId="7D7FBC00"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These boycotts create export opportunities for alternative, culturally aligned suppliers.</w:t>
      </w:r>
    </w:p>
    <w:p w14:paraId="2B5DE4B9" w14:textId="4CAB825A"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Turkey is a strategic case due to its geopolitical position and strong local market.</w:t>
      </w:r>
    </w:p>
    <w:p w14:paraId="7714BB43" w14:textId="22E68ED1"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The Turkish market is highly reactive to boycott campaigns and open to alternatives.</w:t>
      </w:r>
    </w:p>
    <w:p w14:paraId="3118723F" w14:textId="3AB474D2"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Algeria can fill market gaps through South–South trade partnerships.</w:t>
      </w:r>
    </w:p>
    <w:p w14:paraId="652C312D" w14:textId="325B3422"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The topic aligns with Algeria’s economic diversification goals beyond hydrocarbons.</w:t>
      </w:r>
    </w:p>
    <w:p w14:paraId="79BB676F" w14:textId="07CA4AED"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It links consumer behavior with international trade strategy — a rarely explored area.</w:t>
      </w:r>
    </w:p>
    <w:p w14:paraId="2006697C" w14:textId="03FD0EC9" w:rsidR="008268F9" w:rsidRPr="008268F9" w:rsidRDefault="008268F9" w:rsidP="00413B73">
      <w:pPr>
        <w:pStyle w:val="ListParagraph"/>
        <w:numPr>
          <w:ilvl w:val="0"/>
          <w:numId w:val="85"/>
        </w:numPr>
        <w:spacing w:line="360" w:lineRule="auto"/>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The cosmetics and parapharmaceutical sectors offer viable, high-potential exports.</w:t>
      </w:r>
    </w:p>
    <w:p w14:paraId="0C4848DE" w14:textId="31098CEB" w:rsidR="008268F9" w:rsidRPr="008268F9" w:rsidRDefault="008268F9" w:rsidP="00413B73">
      <w:pPr>
        <w:pStyle w:val="ListParagraph"/>
        <w:numPr>
          <w:ilvl w:val="0"/>
          <w:numId w:val="85"/>
        </w:numPr>
        <w:spacing w:line="360" w:lineRule="auto"/>
        <w:jc w:val="both"/>
        <w:rPr>
          <w:rStyle w:val="fadeinm1hgl8"/>
          <w:rFonts w:asciiTheme="majorBidi" w:hAnsiTheme="majorBidi" w:cstheme="majorBidi"/>
          <w:sz w:val="24"/>
          <w:szCs w:val="24"/>
          <w:lang w:val="en-GB"/>
        </w:rPr>
      </w:pPr>
      <w:r w:rsidRPr="008268F9">
        <w:rPr>
          <w:rStyle w:val="fadeinm1hgl8"/>
          <w:rFonts w:asciiTheme="majorBidi" w:hAnsiTheme="majorBidi" w:cstheme="majorBidi"/>
          <w:sz w:val="24"/>
          <w:szCs w:val="24"/>
          <w:lang w:val="en-GB"/>
        </w:rPr>
        <w:t>Personally, the researcher is driven by a desire to promote Algerian products globally.</w:t>
      </w:r>
    </w:p>
    <w:p w14:paraId="325C5B7F" w14:textId="77777777" w:rsidR="00DC2EB3" w:rsidRPr="003414A5" w:rsidRDefault="00DC2EB3" w:rsidP="003414A5">
      <w:pPr>
        <w:pStyle w:val="NormalWeb"/>
        <w:spacing w:line="360" w:lineRule="auto"/>
        <w:jc w:val="both"/>
        <w:rPr>
          <w:rFonts w:asciiTheme="majorBidi" w:hAnsiTheme="majorBidi" w:cstheme="majorBidi"/>
          <w:lang w:val="en-GB"/>
        </w:rPr>
      </w:pPr>
      <w:r w:rsidRPr="003414A5">
        <w:rPr>
          <w:rStyle w:val="fadeinm1hgl8"/>
          <w:rFonts w:asciiTheme="majorBidi" w:hAnsiTheme="majorBidi" w:cstheme="majorBidi"/>
          <w:b/>
          <w:bCs/>
          <w:lang w:val="en-GB"/>
        </w:rPr>
        <w:t>Methodological Approach:</w:t>
      </w:r>
    </w:p>
    <w:p w14:paraId="1C2EEA29" w14:textId="63AA84D2" w:rsidR="00DC2EB3" w:rsidRPr="003414A5" w:rsidRDefault="00F0380F" w:rsidP="003414A5">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To carry out this study, we adopted two complementary yet distinct approaches: the theoretical approach and the empirical approach.</w:t>
      </w:r>
    </w:p>
    <w:p w14:paraId="4ED9E443" w14:textId="17878D80" w:rsidR="00DC2EB3" w:rsidRPr="003414A5" w:rsidRDefault="00F0380F" w:rsidP="003414A5">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The theoretical approach focuses on reviewing the concept of consumer boycotts, export strategies, and international market dynamics. This provided a solid conceptual framework to understand how boycott movements can influence trade flows and potentially create opportunities for local products to penetrate new markets, particularly in Europe.</w:t>
      </w:r>
    </w:p>
    <w:p w14:paraId="1816AF1E" w14:textId="77777777" w:rsidR="00DC2EB3" w:rsidRPr="003414A5" w:rsidRDefault="00DC2EB3" w:rsidP="003414A5">
      <w:pPr>
        <w:pStyle w:val="NormalWeb"/>
        <w:spacing w:line="360" w:lineRule="auto"/>
        <w:jc w:val="both"/>
        <w:rPr>
          <w:rFonts w:asciiTheme="majorBidi" w:hAnsiTheme="majorBidi" w:cstheme="majorBidi"/>
          <w:lang w:val="en-GB"/>
        </w:rPr>
      </w:pPr>
      <w:r w:rsidRPr="003414A5">
        <w:rPr>
          <w:rStyle w:val="fadeinm1hgl8"/>
          <w:rFonts w:asciiTheme="majorBidi" w:hAnsiTheme="majorBidi" w:cstheme="majorBidi"/>
          <w:lang w:val="en-GB"/>
        </w:rPr>
        <w:t xml:space="preserve">The empirical approach is based on concrete data collected within a professional and economic context. We gathered empirical data from a specific sample in order to examine the relationship between consumer boycotts and the export potential of local products. After data collection, the dataset was analyzed using </w:t>
      </w:r>
      <w:r w:rsidRPr="003414A5">
        <w:rPr>
          <w:rStyle w:val="fadeinm1hgl8"/>
          <w:rFonts w:asciiTheme="majorBidi" w:hAnsiTheme="majorBidi" w:cstheme="majorBidi"/>
          <w:b/>
          <w:bCs/>
          <w:lang w:val="en-GB"/>
        </w:rPr>
        <w:t>SPSS (Statistical Package for the Social Sciences)</w:t>
      </w:r>
      <w:r w:rsidRPr="003414A5">
        <w:rPr>
          <w:rStyle w:val="fadeinm1hgl8"/>
          <w:rFonts w:asciiTheme="majorBidi" w:hAnsiTheme="majorBidi" w:cstheme="majorBidi"/>
          <w:lang w:val="en-GB"/>
        </w:rPr>
        <w:t xml:space="preserve"> and the </w:t>
      </w:r>
      <w:r w:rsidRPr="003414A5">
        <w:rPr>
          <w:rStyle w:val="fadeinm1hgl8"/>
          <w:rFonts w:asciiTheme="majorBidi" w:hAnsiTheme="majorBidi" w:cstheme="majorBidi"/>
          <w:b/>
          <w:bCs/>
          <w:lang w:val="en-GB"/>
        </w:rPr>
        <w:t>R programming language</w:t>
      </w:r>
      <w:r w:rsidRPr="003414A5">
        <w:rPr>
          <w:rStyle w:val="fadeinm1hgl8"/>
          <w:rFonts w:asciiTheme="majorBidi" w:hAnsiTheme="majorBidi" w:cstheme="majorBidi"/>
          <w:lang w:val="en-GB"/>
        </w:rPr>
        <w:t>, both of which allowed for rigorous statistical analysis and modeling. The results were interpreted to address the research questions and to test the formulated hypotheses.</w:t>
      </w:r>
    </w:p>
    <w:p w14:paraId="3948BE08" w14:textId="76AF82A3" w:rsidR="00DC2EB3" w:rsidRPr="003414A5" w:rsidRDefault="00F0380F" w:rsidP="003414A5">
      <w:pPr>
        <w:pStyle w:val="NormalWeb"/>
        <w:spacing w:line="360" w:lineRule="auto"/>
        <w:jc w:val="both"/>
        <w:rPr>
          <w:rStyle w:val="fadeinm1hgl8"/>
          <w:rFonts w:asciiTheme="majorBidi" w:hAnsiTheme="majorBidi" w:cstheme="majorBidi"/>
          <w:lang w:val="en-GB"/>
        </w:rPr>
      </w:pPr>
      <w:r>
        <w:rPr>
          <w:rStyle w:val="fadeinm1hgl8"/>
          <w:rFonts w:asciiTheme="majorBidi" w:hAnsiTheme="majorBidi" w:cstheme="majorBidi"/>
          <w:lang w:val="en-GB"/>
        </w:rPr>
        <w:t xml:space="preserve">   </w:t>
      </w:r>
      <w:r w:rsidR="00DC2EB3" w:rsidRPr="003414A5">
        <w:rPr>
          <w:rStyle w:val="fadeinm1hgl8"/>
          <w:rFonts w:asciiTheme="majorBidi" w:hAnsiTheme="majorBidi" w:cstheme="majorBidi"/>
          <w:lang w:val="en-GB"/>
        </w:rPr>
        <w:t>The findings are presented in a structured report that includes an introduction, a literature review, the methodology, analysis results, and the final conclusions. The report is designed to be clear and concise, incorporating charts, tables, and illustrative examples to effectively communicate the outcomes of the study.</w:t>
      </w:r>
    </w:p>
    <w:p w14:paraId="36AF1239" w14:textId="77777777" w:rsidR="00DC2EB3" w:rsidRPr="00CB79A3" w:rsidRDefault="00DC2EB3" w:rsidP="003414A5">
      <w:pPr>
        <w:spacing w:line="360" w:lineRule="auto"/>
        <w:jc w:val="both"/>
        <w:rPr>
          <w:rFonts w:asciiTheme="majorBidi" w:hAnsiTheme="majorBidi" w:cstheme="majorBidi"/>
          <w:b/>
          <w:bCs/>
          <w:sz w:val="24"/>
          <w:szCs w:val="24"/>
          <w:lang w:val="en-GB"/>
        </w:rPr>
      </w:pPr>
      <w:r w:rsidRPr="00CB79A3">
        <w:rPr>
          <w:rFonts w:asciiTheme="majorBidi" w:hAnsiTheme="majorBidi" w:cstheme="majorBidi"/>
          <w:b/>
          <w:bCs/>
          <w:sz w:val="24"/>
          <w:szCs w:val="24"/>
          <w:lang w:val="en-GB"/>
        </w:rPr>
        <w:t>The Previous Studies</w:t>
      </w:r>
    </w:p>
    <w:p w14:paraId="755ADBF6" w14:textId="77777777" w:rsidR="00DC2EB3" w:rsidRPr="003414A5" w:rsidRDefault="00DC2EB3" w:rsidP="003414A5">
      <w:pPr>
        <w:spacing w:line="360" w:lineRule="auto"/>
        <w:jc w:val="both"/>
        <w:rPr>
          <w:rStyle w:val="fadeinm1hgl8"/>
          <w:rFonts w:asciiTheme="majorBidi" w:hAnsiTheme="majorBidi" w:cstheme="majorBidi"/>
          <w:b/>
          <w:bCs/>
          <w:sz w:val="24"/>
          <w:szCs w:val="24"/>
          <w:lang w:val="en-GB"/>
        </w:rPr>
      </w:pPr>
      <w:r w:rsidRPr="003414A5">
        <w:rPr>
          <w:rStyle w:val="fadeinm1hgl8"/>
          <w:rFonts w:asciiTheme="majorBidi" w:hAnsiTheme="majorBidi" w:cstheme="majorBidi"/>
          <w:b/>
          <w:bCs/>
          <w:sz w:val="24"/>
          <w:szCs w:val="24"/>
          <w:lang w:val="en-GB"/>
        </w:rPr>
        <w:t xml:space="preserve">The study of Marinette Amirault-Thébault: A conceptual analysis and modeling of the boycott phenomenon: </w:t>
      </w:r>
    </w:p>
    <w:p w14:paraId="39B5629B" w14:textId="2B381F89" w:rsidR="00DC2EB3" w:rsidRPr="003414A5" w:rsidRDefault="00F0380F" w:rsidP="003414A5">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 xml:space="preserve">In her seminal work </w:t>
      </w:r>
      <w:r w:rsidR="00DC2EB3" w:rsidRPr="003414A5">
        <w:rPr>
          <w:rStyle w:val="fadeinm1hgl8"/>
          <w:rFonts w:asciiTheme="majorBidi" w:hAnsiTheme="majorBidi" w:cstheme="majorBidi"/>
          <w:i/>
          <w:iCs/>
          <w:sz w:val="24"/>
          <w:szCs w:val="24"/>
          <w:lang w:val="en-GB"/>
        </w:rPr>
        <w:t>"Le boycott: analyse conceptuelle et modélisation"</w:t>
      </w:r>
      <w:r w:rsidR="00DC2EB3" w:rsidRPr="003414A5">
        <w:rPr>
          <w:rStyle w:val="fadeinm1hgl8"/>
          <w:rFonts w:asciiTheme="majorBidi" w:hAnsiTheme="majorBidi" w:cstheme="majorBidi"/>
          <w:sz w:val="24"/>
          <w:szCs w:val="24"/>
          <w:lang w:val="en-GB"/>
        </w:rPr>
        <w:t xml:space="preserve"> (1999), Marinette Amirault-Thébault offers a comprehensive conceptual and theoretical framework for understanding the phenomenon of consumer boycotts. Her research, conducted at the Université de la Réunion, systematically explores the motives behind boycott actions, their typologies, and their socio-economic consequences. By constructing a model that links individual motivations to collective behavior, Amirault-Thébault provides a valuable foundation for analyzing how consumer boycotts can serve not only as protest tools but also as catalysts for market shifts and alternative consumption patterns. This thesis serves as a key reference in contextualizing the present study, which extends the discussion to examine how such boycotts can paradoxically create new opportunities for local producers specifically in the Turkish context to access and grow within the European market</w:t>
      </w:r>
      <w:r w:rsidR="00DC2EB3">
        <w:rPr>
          <w:rStyle w:val="FootnoteReference"/>
          <w:rFonts w:asciiTheme="majorBidi" w:hAnsiTheme="majorBidi" w:cstheme="majorBidi"/>
          <w:sz w:val="24"/>
          <w:szCs w:val="24"/>
          <w:lang w:val="en-GB"/>
        </w:rPr>
        <w:footnoteReference w:id="1"/>
      </w:r>
      <w:r>
        <w:rPr>
          <w:rStyle w:val="fadeinm1hgl8"/>
          <w:rFonts w:asciiTheme="majorBidi" w:hAnsiTheme="majorBidi" w:cstheme="majorBidi"/>
          <w:sz w:val="24"/>
          <w:szCs w:val="24"/>
          <w:lang w:val="en-GB"/>
        </w:rPr>
        <w:t>.</w:t>
      </w:r>
    </w:p>
    <w:p w14:paraId="7E94A00F" w14:textId="77777777" w:rsidR="00DC2EB3" w:rsidRPr="003414A5" w:rsidRDefault="00DC2EB3" w:rsidP="003414A5">
      <w:pPr>
        <w:spacing w:line="360" w:lineRule="auto"/>
        <w:jc w:val="both"/>
        <w:rPr>
          <w:rStyle w:val="fadeinm1hgl8"/>
          <w:rFonts w:asciiTheme="majorBidi" w:hAnsiTheme="majorBidi" w:cstheme="majorBidi"/>
          <w:color w:val="FF0000"/>
          <w:sz w:val="24"/>
          <w:szCs w:val="24"/>
          <w:lang w:val="en-GB"/>
        </w:rPr>
      </w:pPr>
      <w:r w:rsidRPr="003414A5">
        <w:rPr>
          <w:rStyle w:val="fadeinm1hgl8"/>
          <w:rFonts w:asciiTheme="majorBidi" w:hAnsiTheme="majorBidi" w:cstheme="majorBidi"/>
          <w:b/>
          <w:bCs/>
          <w:sz w:val="24"/>
          <w:szCs w:val="24"/>
          <w:lang w:val="en-GB"/>
        </w:rPr>
        <w:t>The study of J. G. Klein, N. C. Smith, and A. John: An exploratory analysis of consumer motivations for boycott participation</w:t>
      </w:r>
    </w:p>
    <w:p w14:paraId="26CD51CB" w14:textId="7B5BB5DD" w:rsidR="00DC2EB3" w:rsidRDefault="00F0380F" w:rsidP="00AA14A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 xml:space="preserve">In their influential article </w:t>
      </w:r>
      <w:r w:rsidR="00DC2EB3" w:rsidRPr="003414A5">
        <w:rPr>
          <w:rStyle w:val="fadeinm1hgl8"/>
          <w:rFonts w:asciiTheme="majorBidi" w:hAnsiTheme="majorBidi" w:cstheme="majorBidi"/>
          <w:i/>
          <w:iCs/>
          <w:sz w:val="24"/>
          <w:szCs w:val="24"/>
          <w:lang w:val="en-GB"/>
        </w:rPr>
        <w:t>"Why We Boycott: Consumer Motivations for Boycott Participation"</w:t>
      </w:r>
      <w:r w:rsidR="00DC2EB3" w:rsidRPr="003414A5">
        <w:rPr>
          <w:rStyle w:val="fadeinm1hgl8"/>
          <w:rFonts w:asciiTheme="majorBidi" w:hAnsiTheme="majorBidi" w:cstheme="majorBidi"/>
          <w:sz w:val="24"/>
          <w:szCs w:val="24"/>
          <w:lang w:val="en-GB"/>
        </w:rPr>
        <w:t xml:space="preserve"> (2004), Klein, Smith, and John provide an in-depth empirical analysis of the psychological and social drivers that lead consumers to engage in boycott actions. Published in the </w:t>
      </w:r>
      <w:r w:rsidR="00DC2EB3" w:rsidRPr="003414A5">
        <w:rPr>
          <w:rStyle w:val="fadeinm1hgl8"/>
          <w:rFonts w:asciiTheme="majorBidi" w:hAnsiTheme="majorBidi" w:cstheme="majorBidi"/>
          <w:i/>
          <w:iCs/>
          <w:sz w:val="24"/>
          <w:szCs w:val="24"/>
          <w:lang w:val="en-GB"/>
        </w:rPr>
        <w:t>Journal of Marketing</w:t>
      </w:r>
      <w:r w:rsidR="00DC2EB3" w:rsidRPr="003414A5">
        <w:rPr>
          <w:rStyle w:val="fadeinm1hgl8"/>
          <w:rFonts w:asciiTheme="majorBidi" w:hAnsiTheme="majorBidi" w:cstheme="majorBidi"/>
          <w:sz w:val="24"/>
          <w:szCs w:val="24"/>
          <w:lang w:val="en-GB"/>
        </w:rPr>
        <w:t>, the study identifies key motivational factors</w:t>
      </w:r>
      <w:r w:rsidR="00DC2EB3">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including perceived egregiousness of company behavior, efficacy of the boycott, and moral obligation</w:t>
      </w:r>
      <w:r w:rsidR="00DC2EB3">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that influence consumer participation. The authors offer a structured framework for understanding how individual values and beliefs translate into collective market behavior. This research is essential to the present study, as it highlights the underlying forces behind boycott movements and supports the argument that such actions can reshape market demand, potentially opening new avenues for local producers</w:t>
      </w:r>
      <w:r w:rsidR="00DC2EB3">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such as those in Turkey</w:t>
      </w:r>
      <w:r w:rsidR="00DC2EB3">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to position their products in ethically motivated consumer segments within the European market</w:t>
      </w:r>
      <w:r w:rsidR="00DC2EB3">
        <w:rPr>
          <w:rStyle w:val="FootnoteReference"/>
          <w:rFonts w:asciiTheme="majorBidi" w:hAnsiTheme="majorBidi" w:cstheme="majorBidi"/>
          <w:sz w:val="24"/>
          <w:szCs w:val="24"/>
          <w:lang w:val="en-GB"/>
        </w:rPr>
        <w:footnoteReference w:id="2"/>
      </w:r>
      <w:r>
        <w:rPr>
          <w:rStyle w:val="fadeinm1hgl8"/>
          <w:rFonts w:asciiTheme="majorBidi" w:hAnsiTheme="majorBidi" w:cstheme="majorBidi"/>
          <w:sz w:val="24"/>
          <w:szCs w:val="24"/>
          <w:lang w:val="en-GB"/>
        </w:rPr>
        <w:t>.</w:t>
      </w:r>
    </w:p>
    <w:p w14:paraId="1121FBD9" w14:textId="77777777" w:rsidR="00451381" w:rsidRPr="003414A5" w:rsidRDefault="00451381" w:rsidP="00451381">
      <w:pPr>
        <w:spacing w:line="360" w:lineRule="auto"/>
        <w:jc w:val="both"/>
        <w:rPr>
          <w:rFonts w:asciiTheme="majorBidi" w:hAnsiTheme="majorBidi" w:cstheme="majorBidi"/>
          <w:b/>
          <w:bCs/>
          <w:color w:val="FF0000"/>
          <w:sz w:val="24"/>
          <w:szCs w:val="24"/>
          <w:lang w:val="en-GB"/>
        </w:rPr>
      </w:pPr>
      <w:r w:rsidRPr="003414A5">
        <w:rPr>
          <w:rStyle w:val="fadeinm1hgl8"/>
          <w:rFonts w:asciiTheme="majorBidi" w:hAnsiTheme="majorBidi" w:cstheme="majorBidi"/>
          <w:b/>
          <w:bCs/>
          <w:sz w:val="24"/>
          <w:szCs w:val="24"/>
          <w:lang w:val="en-GB"/>
        </w:rPr>
        <w:t>The study of N. Arrouche: An analysis of support for Algerian companies in export – Scope and limitations</w:t>
      </w:r>
    </w:p>
    <w:p w14:paraId="234B0C42" w14:textId="5FC76C54" w:rsidR="00451381" w:rsidRDefault="00451381" w:rsidP="0045138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Pr="003414A5">
        <w:rPr>
          <w:rStyle w:val="fadeinm1hgl8"/>
          <w:rFonts w:asciiTheme="majorBidi" w:hAnsiTheme="majorBidi" w:cstheme="majorBidi"/>
          <w:sz w:val="24"/>
          <w:szCs w:val="24"/>
          <w:lang w:val="en-GB"/>
        </w:rPr>
        <w:t xml:space="preserve">In her article </w:t>
      </w:r>
      <w:r w:rsidRPr="003414A5">
        <w:rPr>
          <w:rStyle w:val="fadeinm1hgl8"/>
          <w:rFonts w:asciiTheme="majorBidi" w:hAnsiTheme="majorBidi" w:cstheme="majorBidi"/>
          <w:i/>
          <w:iCs/>
          <w:sz w:val="24"/>
          <w:szCs w:val="24"/>
          <w:lang w:val="en-GB"/>
        </w:rPr>
        <w:t>"Supporting Algerian Companies in Export: Scope and Limitations"</w:t>
      </w:r>
      <w:r w:rsidRPr="003414A5">
        <w:rPr>
          <w:rStyle w:val="fadeinm1hgl8"/>
          <w:rFonts w:asciiTheme="majorBidi" w:hAnsiTheme="majorBidi" w:cstheme="majorBidi"/>
          <w:sz w:val="24"/>
          <w:szCs w:val="24"/>
          <w:lang w:val="en-GB"/>
        </w:rPr>
        <w:t xml:space="preserve"> (2017), N. Arrouche examines the mechanisms put in place to assist Algerian enterprises in their efforts to access international markets. Published in the </w:t>
      </w:r>
      <w:r w:rsidRPr="009535A4">
        <w:rPr>
          <w:rStyle w:val="fadeinm1hgl8"/>
          <w:rFonts w:asciiTheme="majorBidi" w:hAnsiTheme="majorBidi" w:cstheme="majorBidi"/>
          <w:sz w:val="24"/>
          <w:szCs w:val="24"/>
          <w:lang w:val="en-GB"/>
        </w:rPr>
        <w:t>Revue Performance des Entreprises Algériennes,</w:t>
      </w:r>
      <w:r w:rsidRPr="003414A5">
        <w:rPr>
          <w:rStyle w:val="fadeinm1hgl8"/>
          <w:rFonts w:asciiTheme="majorBidi" w:hAnsiTheme="majorBidi" w:cstheme="majorBidi"/>
          <w:sz w:val="24"/>
          <w:szCs w:val="24"/>
          <w:lang w:val="en-GB"/>
        </w:rPr>
        <w:t xml:space="preserve"> the study highlights the institutional frameworks, support programs, and public initiatives designed to promote exports, while also pointing out the structural and operational limitations that hinder their effectiveness. The author underscores key challenges such as inadequate training, limited market knowledge, and weak coordination among stakeholders. This research provides valuable insight into the broader context of export development and emphasizes the importance of targeted strategies for empowering local businesses to overcome barriers to internationalization. It supports the current study by illustrating that, when properly leveraged, external market dynamics</w:t>
      </w:r>
      <w:r>
        <w:rPr>
          <w:rStyle w:val="fadeinm1hgl8"/>
          <w:rFonts w:asciiTheme="majorBidi" w:hAnsiTheme="majorBidi" w:cstheme="majorBidi"/>
          <w:sz w:val="24"/>
          <w:szCs w:val="24"/>
          <w:lang w:val="en-GB"/>
        </w:rPr>
        <w:t xml:space="preserve"> </w:t>
      </w:r>
      <w:r w:rsidRPr="003414A5">
        <w:rPr>
          <w:rStyle w:val="fadeinm1hgl8"/>
          <w:rFonts w:asciiTheme="majorBidi" w:hAnsiTheme="majorBidi" w:cstheme="majorBidi"/>
          <w:sz w:val="24"/>
          <w:szCs w:val="24"/>
          <w:lang w:val="en-GB"/>
        </w:rPr>
        <w:t>such as consumer boycotts</w:t>
      </w:r>
      <w:r>
        <w:rPr>
          <w:rStyle w:val="fadeinm1hgl8"/>
          <w:rFonts w:asciiTheme="majorBidi" w:hAnsiTheme="majorBidi" w:cstheme="majorBidi"/>
          <w:sz w:val="24"/>
          <w:szCs w:val="24"/>
          <w:lang w:val="en-GB"/>
        </w:rPr>
        <w:t xml:space="preserve"> </w:t>
      </w:r>
      <w:r w:rsidRPr="003414A5">
        <w:rPr>
          <w:rStyle w:val="fadeinm1hgl8"/>
          <w:rFonts w:asciiTheme="majorBidi" w:hAnsiTheme="majorBidi" w:cstheme="majorBidi"/>
          <w:sz w:val="24"/>
          <w:szCs w:val="24"/>
          <w:lang w:val="en-GB"/>
        </w:rPr>
        <w:t>can serve as a catalyst for improving export capacity and repositioning local products in strategic markets like Europe</w:t>
      </w:r>
      <w:r>
        <w:rPr>
          <w:rStyle w:val="FootnoteReference"/>
          <w:rFonts w:asciiTheme="majorBidi" w:hAnsiTheme="majorBidi" w:cstheme="majorBidi"/>
          <w:sz w:val="24"/>
          <w:szCs w:val="24"/>
          <w:lang w:val="en-GB"/>
        </w:rPr>
        <w:footnoteReference w:id="3"/>
      </w:r>
      <w:r>
        <w:rPr>
          <w:rStyle w:val="fadeinm1hgl8"/>
          <w:rFonts w:asciiTheme="majorBidi" w:hAnsiTheme="majorBidi" w:cstheme="majorBidi"/>
          <w:sz w:val="24"/>
          <w:szCs w:val="24"/>
          <w:lang w:val="en-GB"/>
        </w:rPr>
        <w:t>.</w:t>
      </w:r>
    </w:p>
    <w:p w14:paraId="0783383C" w14:textId="77777777" w:rsidR="00451381" w:rsidRPr="0098433E" w:rsidRDefault="00451381" w:rsidP="00451381">
      <w:pPr>
        <w:spacing w:line="360" w:lineRule="auto"/>
        <w:jc w:val="both"/>
        <w:rPr>
          <w:rStyle w:val="Strong"/>
          <w:rFonts w:asciiTheme="majorBidi" w:hAnsiTheme="majorBidi" w:cstheme="majorBidi"/>
          <w:sz w:val="24"/>
          <w:szCs w:val="24"/>
          <w:lang w:val="en-GB"/>
        </w:rPr>
      </w:pPr>
      <w:r w:rsidRPr="0098433E">
        <w:rPr>
          <w:rStyle w:val="Strong"/>
          <w:rFonts w:asciiTheme="majorBidi" w:hAnsiTheme="majorBidi" w:cstheme="majorBidi"/>
          <w:sz w:val="24"/>
          <w:szCs w:val="24"/>
          <w:lang w:val="en-GB"/>
        </w:rPr>
        <w:t>The study of H. Jung and J. Lee: The impact of export controls on international trade – Evidence from the Japan–Korea trade dispute in the semiconductor industry</w:t>
      </w:r>
    </w:p>
    <w:p w14:paraId="50110B72" w14:textId="77777777" w:rsidR="00451381" w:rsidRPr="0098433E" w:rsidRDefault="00451381" w:rsidP="00451381">
      <w:pPr>
        <w:spacing w:line="360" w:lineRule="auto"/>
        <w:jc w:val="both"/>
        <w:rPr>
          <w:rStyle w:val="fadeinm1hgl8"/>
          <w:b/>
          <w:bCs/>
          <w:lang w:val="en-GB"/>
        </w:rPr>
      </w:pPr>
      <w:r w:rsidRPr="0098433E">
        <w:rPr>
          <w:rFonts w:asciiTheme="majorBidi" w:hAnsiTheme="majorBidi" w:cstheme="majorBidi"/>
          <w:sz w:val="24"/>
          <w:szCs w:val="24"/>
          <w:lang w:val="en-GB"/>
        </w:rPr>
        <w:t xml:space="preserve">The study by H. Jung and J. Lee (2021), titled </w:t>
      </w:r>
      <w:r w:rsidRPr="0098433E">
        <w:rPr>
          <w:rStyle w:val="Emphasis"/>
          <w:rFonts w:asciiTheme="majorBidi" w:hAnsiTheme="majorBidi" w:cstheme="majorBidi"/>
          <w:sz w:val="24"/>
          <w:szCs w:val="24"/>
          <w:lang w:val="en-GB"/>
        </w:rPr>
        <w:t>"The Impact of Export Controls on International Trade: Evidence from the Japan–Korea Trade Dispute in the Semiconductor Industry"</w:t>
      </w:r>
      <w:r w:rsidRPr="0098433E">
        <w:rPr>
          <w:rFonts w:asciiTheme="majorBidi" w:hAnsiTheme="majorBidi" w:cstheme="majorBidi"/>
          <w:sz w:val="24"/>
          <w:szCs w:val="24"/>
          <w:lang w:val="en-GB"/>
        </w:rPr>
        <w:t>, investigates how government-imposed export controls can significantly disrupt international trade flows and supply chains, using the high-stakes semiconductor trade conflict between Japan and South Korea as a case study. The research analyzes the economic and strategic consequences of Japan’s 2019 restrictions on key chemical exports used in South Korean semiconductor production. Through empirical data and trade flow analysis, the authors show how such measures triggered shifts in sourcing strategies, encouraged the search for alternative suppliers, and accelerated domestic substitution policies in Korea. This study is relevant to the present research as it illustrates how trade disruptions</w:t>
      </w:r>
      <w:r>
        <w:rPr>
          <w:rFonts w:asciiTheme="majorBidi" w:hAnsiTheme="majorBidi" w:cstheme="majorBidi"/>
          <w:sz w:val="24"/>
          <w:szCs w:val="24"/>
          <w:lang w:val="en-GB"/>
        </w:rPr>
        <w:t xml:space="preserve"> </w:t>
      </w:r>
      <w:r w:rsidRPr="0098433E">
        <w:rPr>
          <w:rFonts w:asciiTheme="majorBidi" w:hAnsiTheme="majorBidi" w:cstheme="majorBidi"/>
          <w:sz w:val="24"/>
          <w:szCs w:val="24"/>
          <w:lang w:val="en-GB"/>
        </w:rPr>
        <w:t>whether due to political disputes or boycott-induced market shifts</w:t>
      </w:r>
      <w:r>
        <w:rPr>
          <w:rFonts w:asciiTheme="majorBidi" w:hAnsiTheme="majorBidi" w:cstheme="majorBidi"/>
          <w:sz w:val="24"/>
          <w:szCs w:val="24"/>
          <w:lang w:val="en-GB"/>
        </w:rPr>
        <w:t xml:space="preserve"> </w:t>
      </w:r>
      <w:r w:rsidRPr="0098433E">
        <w:rPr>
          <w:rFonts w:asciiTheme="majorBidi" w:hAnsiTheme="majorBidi" w:cstheme="majorBidi"/>
          <w:sz w:val="24"/>
          <w:szCs w:val="24"/>
          <w:lang w:val="en-GB"/>
        </w:rPr>
        <w:t>can create opportunities for new exporters to enter and establish themselves in foreign markets, especially when existing supply channels are weakened or restructured.</w:t>
      </w:r>
      <w:r>
        <w:rPr>
          <w:rStyle w:val="FootnoteReference"/>
          <w:rFonts w:asciiTheme="majorBidi" w:hAnsiTheme="majorBidi" w:cstheme="majorBidi"/>
          <w:sz w:val="24"/>
          <w:szCs w:val="24"/>
          <w:lang w:val="en-GB"/>
        </w:rPr>
        <w:footnoteReference w:id="4"/>
      </w:r>
    </w:p>
    <w:p w14:paraId="2FF67022" w14:textId="77777777" w:rsidR="00DC2EB3" w:rsidRPr="003414A5" w:rsidRDefault="00DC2EB3" w:rsidP="003414A5">
      <w:pPr>
        <w:spacing w:line="360" w:lineRule="auto"/>
        <w:jc w:val="both"/>
        <w:rPr>
          <w:rStyle w:val="fadeinm1hgl8"/>
          <w:rFonts w:asciiTheme="majorBidi" w:hAnsiTheme="majorBidi" w:cstheme="majorBidi"/>
          <w:b/>
          <w:bCs/>
          <w:sz w:val="24"/>
          <w:szCs w:val="24"/>
          <w:lang w:val="en-GB"/>
        </w:rPr>
      </w:pPr>
      <w:r w:rsidRPr="003414A5">
        <w:rPr>
          <w:rStyle w:val="fadeinm1hgl8"/>
          <w:rFonts w:asciiTheme="majorBidi" w:hAnsiTheme="majorBidi" w:cstheme="majorBidi"/>
          <w:b/>
          <w:bCs/>
          <w:sz w:val="24"/>
          <w:szCs w:val="24"/>
          <w:lang w:val="en-GB"/>
        </w:rPr>
        <w:t>The study of R. Yahi and A. Menana: An analysis of risk management in foreign trade operations – The case of BEA</w:t>
      </w:r>
    </w:p>
    <w:p w14:paraId="1C38942E" w14:textId="11A2A856" w:rsidR="00DC2EB3" w:rsidRDefault="00F0380F" w:rsidP="00AA14A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 xml:space="preserve">The study by R. Yahi and A. Menana (2022), titled </w:t>
      </w:r>
      <w:r w:rsidR="00DC2EB3" w:rsidRPr="003414A5">
        <w:rPr>
          <w:rStyle w:val="fadeinm1hgl8"/>
          <w:rFonts w:asciiTheme="majorBidi" w:hAnsiTheme="majorBidi" w:cstheme="majorBidi"/>
          <w:i/>
          <w:iCs/>
          <w:sz w:val="24"/>
          <w:szCs w:val="24"/>
          <w:lang w:val="en-GB"/>
        </w:rPr>
        <w:t>"Risk Management in Foreign Trade Operations: The Case of BEA"</w:t>
      </w:r>
      <w:r w:rsidR="00DC2EB3" w:rsidRPr="003414A5">
        <w:rPr>
          <w:rStyle w:val="fadeinm1hgl8"/>
          <w:rFonts w:asciiTheme="majorBidi" w:hAnsiTheme="majorBidi" w:cstheme="majorBidi"/>
          <w:sz w:val="24"/>
          <w:szCs w:val="24"/>
          <w:lang w:val="en-GB"/>
        </w:rPr>
        <w:t>, focuses on identifying and analyzing the various risks associated with international trade transactions and how financial institutions, particularly the Banque Extérieure d’Algérie (BEA), manage these risks. The research examines political, commercial, financial, and logistical uncertainties that can impact cross-border operations and emphasizes the importance of proactive risk assessment and strategic planning in maintaining stability and efficiency in foreign trade. By studying the procedures, tools, and risk mitigation mechanisms employed by BEA, the thesis highlights how effective risk management is critical for supporting local businesses in accessing and sustaining foreign markets. This work is particularly relevant to the present research, as it underlines the necessity of understanding trade risks when exploring new export opportunities</w:t>
      </w:r>
      <w:r w:rsidR="009D3FFF">
        <w:rPr>
          <w:rStyle w:val="fadeinm1hgl8"/>
          <w:rFonts w:asciiTheme="majorBidi" w:hAnsiTheme="majorBidi" w:cstheme="majorBidi"/>
          <w:sz w:val="24"/>
          <w:szCs w:val="24"/>
          <w:lang w:val="en-GB"/>
        </w:rPr>
        <w:t xml:space="preserve"> </w:t>
      </w:r>
      <w:r w:rsidR="00DC2EB3" w:rsidRPr="003414A5">
        <w:rPr>
          <w:rStyle w:val="fadeinm1hgl8"/>
          <w:rFonts w:asciiTheme="majorBidi" w:hAnsiTheme="majorBidi" w:cstheme="majorBidi"/>
          <w:sz w:val="24"/>
          <w:szCs w:val="24"/>
          <w:lang w:val="en-GB"/>
        </w:rPr>
        <w:t>especially in the context of shifting consumer preferences due to boycott movements and their potential to open pathways for local products in European markets</w:t>
      </w:r>
      <w:r w:rsidR="00DC2EB3">
        <w:rPr>
          <w:rStyle w:val="FootnoteReference"/>
          <w:rFonts w:asciiTheme="majorBidi" w:hAnsiTheme="majorBidi" w:cstheme="majorBidi"/>
          <w:sz w:val="24"/>
          <w:szCs w:val="24"/>
          <w:lang w:val="en-GB"/>
        </w:rPr>
        <w:footnoteReference w:id="5"/>
      </w:r>
      <w:r>
        <w:rPr>
          <w:rStyle w:val="fadeinm1hgl8"/>
          <w:rFonts w:asciiTheme="majorBidi" w:hAnsiTheme="majorBidi" w:cstheme="majorBidi"/>
          <w:sz w:val="24"/>
          <w:szCs w:val="24"/>
          <w:lang w:val="en-GB"/>
        </w:rPr>
        <w:t>.</w:t>
      </w:r>
    </w:p>
    <w:p w14:paraId="49C34B41" w14:textId="77777777" w:rsidR="00451381" w:rsidRPr="003414A5" w:rsidRDefault="00451381" w:rsidP="00451381">
      <w:pPr>
        <w:spacing w:line="360" w:lineRule="auto"/>
        <w:jc w:val="both"/>
        <w:rPr>
          <w:rFonts w:asciiTheme="majorBidi" w:eastAsia="Times New Roman" w:hAnsiTheme="majorBidi" w:cstheme="majorBidi"/>
          <w:b/>
          <w:bCs/>
          <w:color w:val="FF0000"/>
          <w:sz w:val="24"/>
          <w:szCs w:val="24"/>
          <w:lang w:val="en-GB" w:eastAsia="fr-FR"/>
        </w:rPr>
      </w:pPr>
      <w:r w:rsidRPr="003414A5">
        <w:rPr>
          <w:rStyle w:val="fadeinm1hgl8"/>
          <w:rFonts w:asciiTheme="majorBidi" w:hAnsiTheme="majorBidi" w:cstheme="majorBidi"/>
          <w:b/>
          <w:bCs/>
          <w:sz w:val="24"/>
          <w:szCs w:val="24"/>
          <w:lang w:val="en-GB"/>
        </w:rPr>
        <w:t>The study of Azaz Rahmani and A. Benghida: An analysis of the impact of boycott on the customer-brand relationship – The case of SARL Famili Shop:</w:t>
      </w:r>
    </w:p>
    <w:p w14:paraId="6C27B122" w14:textId="44BD3034" w:rsidR="00451381" w:rsidRDefault="00451381" w:rsidP="0045138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Pr="003414A5">
        <w:rPr>
          <w:rStyle w:val="fadeinm1hgl8"/>
          <w:rFonts w:asciiTheme="majorBidi" w:hAnsiTheme="majorBidi" w:cstheme="majorBidi"/>
          <w:sz w:val="24"/>
          <w:szCs w:val="24"/>
          <w:lang w:val="en-GB"/>
        </w:rPr>
        <w:t xml:space="preserve">The study by Azaz Rahmani and A. Benghida (2023/2024), titled </w:t>
      </w:r>
      <w:r w:rsidRPr="003414A5">
        <w:rPr>
          <w:rStyle w:val="fadeinm1hgl8"/>
          <w:rFonts w:asciiTheme="majorBidi" w:hAnsiTheme="majorBidi" w:cstheme="majorBidi"/>
          <w:i/>
          <w:iCs/>
          <w:sz w:val="24"/>
          <w:szCs w:val="24"/>
          <w:lang w:val="en-GB"/>
        </w:rPr>
        <w:t>"The Impact of Boycott on the Customer-Brand Relationship: Case of the Company SARL Famili Shop"</w:t>
      </w:r>
      <w:r w:rsidRPr="003414A5">
        <w:rPr>
          <w:rStyle w:val="fadeinm1hgl8"/>
          <w:rFonts w:asciiTheme="majorBidi" w:hAnsiTheme="majorBidi" w:cstheme="majorBidi"/>
          <w:sz w:val="24"/>
          <w:szCs w:val="24"/>
          <w:lang w:val="en-GB"/>
        </w:rPr>
        <w:t>, investigates how consumer boycotts influence the dynamics between brands and their customers. Through an in-depth analysis, the research highlights that in a context marked by rising consumer awareness, intensified competition, and increased access to information through modern communication technologies, companies must go beyond satisfying customer needs</w:t>
      </w:r>
      <w:r>
        <w:rPr>
          <w:rStyle w:val="fadeinm1hgl8"/>
          <w:rFonts w:asciiTheme="majorBidi" w:hAnsiTheme="majorBidi" w:cstheme="majorBidi"/>
          <w:sz w:val="24"/>
          <w:szCs w:val="24"/>
          <w:lang w:val="en-GB"/>
        </w:rPr>
        <w:t xml:space="preserve"> </w:t>
      </w:r>
      <w:r w:rsidRPr="003414A5">
        <w:rPr>
          <w:rStyle w:val="fadeinm1hgl8"/>
          <w:rFonts w:asciiTheme="majorBidi" w:hAnsiTheme="majorBidi" w:cstheme="majorBidi"/>
          <w:sz w:val="24"/>
          <w:szCs w:val="24"/>
          <w:lang w:val="en-GB"/>
        </w:rPr>
        <w:t>they must foster long-term trust and loyalty. The findings confirm that ethical practices significantly influence brand loyalty, that customers who have participated in a boycott are likely to do so again, and that negative perceptions of boycotts reduce the likelihood of switching brands. The authors recommend greater transparency, active listening to customer concerns, investment in value-aligned initiatives, and the development of crisis management strategies. This study provides key insights into the evolving nature of customer-brand relationships during boycott periods and serves as a relevant foundation for examining how such movements may simultaneously create opportunities for local producers to reposition themselves, particularly in markets like Europe</w:t>
      </w:r>
      <w:r>
        <w:rPr>
          <w:rStyle w:val="FootnoteReference"/>
          <w:rFonts w:asciiTheme="majorBidi" w:hAnsiTheme="majorBidi" w:cstheme="majorBidi"/>
          <w:sz w:val="24"/>
          <w:szCs w:val="24"/>
          <w:lang w:val="en-GB"/>
        </w:rPr>
        <w:footnoteReference w:id="6"/>
      </w:r>
      <w:r>
        <w:rPr>
          <w:rStyle w:val="fadeinm1hgl8"/>
          <w:rFonts w:asciiTheme="majorBidi" w:hAnsiTheme="majorBidi" w:cstheme="majorBidi"/>
          <w:sz w:val="24"/>
          <w:szCs w:val="24"/>
          <w:lang w:val="en-GB"/>
        </w:rPr>
        <w:t>.</w:t>
      </w:r>
    </w:p>
    <w:p w14:paraId="7623854D" w14:textId="77777777" w:rsidR="00451381" w:rsidRDefault="00451381" w:rsidP="00C33C59">
      <w:pPr>
        <w:spacing w:line="360" w:lineRule="auto"/>
        <w:jc w:val="both"/>
        <w:rPr>
          <w:rFonts w:asciiTheme="majorBidi" w:hAnsiTheme="majorBidi" w:cstheme="majorBidi"/>
          <w:b/>
          <w:bCs/>
          <w:sz w:val="24"/>
          <w:szCs w:val="24"/>
          <w:lang w:val="en-GB"/>
        </w:rPr>
      </w:pPr>
    </w:p>
    <w:p w14:paraId="4DD03C32" w14:textId="77777777" w:rsidR="00451381" w:rsidRDefault="00451381" w:rsidP="00C33C59">
      <w:pPr>
        <w:spacing w:line="360" w:lineRule="auto"/>
        <w:jc w:val="both"/>
        <w:rPr>
          <w:rFonts w:asciiTheme="majorBidi" w:hAnsiTheme="majorBidi" w:cstheme="majorBidi"/>
          <w:b/>
          <w:bCs/>
          <w:sz w:val="24"/>
          <w:szCs w:val="24"/>
          <w:lang w:val="en-GB"/>
        </w:rPr>
      </w:pPr>
    </w:p>
    <w:p w14:paraId="0E9CB3ED" w14:textId="77777777" w:rsidR="00451381" w:rsidRDefault="00451381" w:rsidP="00C33C59">
      <w:pPr>
        <w:spacing w:line="360" w:lineRule="auto"/>
        <w:jc w:val="both"/>
        <w:rPr>
          <w:rFonts w:asciiTheme="majorBidi" w:hAnsiTheme="majorBidi" w:cstheme="majorBidi"/>
          <w:b/>
          <w:bCs/>
          <w:sz w:val="24"/>
          <w:szCs w:val="24"/>
          <w:lang w:val="en-GB"/>
        </w:rPr>
      </w:pPr>
    </w:p>
    <w:p w14:paraId="41D57B1C" w14:textId="48A21F6F" w:rsidR="00C33C59" w:rsidRPr="00CB79A3" w:rsidRDefault="00C33C59" w:rsidP="00C33C59">
      <w:pPr>
        <w:spacing w:line="360" w:lineRule="auto"/>
        <w:jc w:val="both"/>
        <w:rPr>
          <w:rFonts w:asciiTheme="majorBidi" w:hAnsiTheme="majorBidi" w:cstheme="majorBidi"/>
          <w:b/>
          <w:bCs/>
          <w:sz w:val="24"/>
          <w:szCs w:val="24"/>
          <w:lang w:val="en-GB"/>
        </w:rPr>
      </w:pPr>
      <w:r w:rsidRPr="00CB79A3">
        <w:rPr>
          <w:rFonts w:asciiTheme="majorBidi" w:hAnsiTheme="majorBidi" w:cstheme="majorBidi"/>
          <w:b/>
          <w:bCs/>
          <w:sz w:val="24"/>
          <w:szCs w:val="24"/>
          <w:lang w:val="en-GB"/>
        </w:rPr>
        <w:t>1.Research Question:</w:t>
      </w:r>
    </w:p>
    <w:p w14:paraId="27B64C8D" w14:textId="685D49BC" w:rsidR="00486AA6" w:rsidRPr="00DB0A1F" w:rsidRDefault="00F0380F" w:rsidP="00DB0A1F">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DB0A1F" w:rsidRPr="00DB0A1F">
        <w:rPr>
          <w:rFonts w:asciiTheme="majorBidi" w:hAnsiTheme="majorBidi" w:cstheme="majorBidi"/>
          <w:sz w:val="24"/>
          <w:szCs w:val="24"/>
          <w:lang w:val="en-US"/>
        </w:rPr>
        <w:t>Based on the growing role of consumer boycotts, the observed gap in Turkish imports from Algeria and the changing behavior of consumers toward alternative products, these factors together lead us to pose the following problem:</w:t>
      </w:r>
    </w:p>
    <w:p w14:paraId="35E0C547" w14:textId="43EAF498" w:rsidR="00C33C59" w:rsidRPr="00CB79A3" w:rsidRDefault="00C33C59" w:rsidP="00C33C59">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Can boycott serve as an opportunity to export Algerian local products to the European market (turkey as case study)?</w:t>
      </w:r>
    </w:p>
    <w:p w14:paraId="0AFD020C" w14:textId="1D893805" w:rsidR="00C33C59" w:rsidRDefault="00C33C59" w:rsidP="00C33C59">
      <w:pPr>
        <w:spacing w:line="360" w:lineRule="auto"/>
        <w:jc w:val="both"/>
        <w:rPr>
          <w:rFonts w:asciiTheme="majorBidi" w:hAnsiTheme="majorBidi" w:cstheme="majorBidi"/>
          <w:b/>
          <w:bCs/>
          <w:sz w:val="24"/>
          <w:szCs w:val="24"/>
          <w:lang w:val="en-GB"/>
        </w:rPr>
      </w:pPr>
      <w:r w:rsidRPr="003414A5">
        <w:rPr>
          <w:rFonts w:asciiTheme="majorBidi" w:hAnsiTheme="majorBidi" w:cstheme="majorBidi"/>
          <w:b/>
          <w:bCs/>
          <w:sz w:val="24"/>
          <w:szCs w:val="24"/>
          <w:lang w:val="en-GB"/>
        </w:rPr>
        <w:t>2. Hypotheses</w:t>
      </w:r>
      <w:r>
        <w:rPr>
          <w:rFonts w:asciiTheme="majorBidi" w:hAnsiTheme="majorBidi" w:cstheme="majorBidi"/>
          <w:b/>
          <w:bCs/>
          <w:sz w:val="24"/>
          <w:szCs w:val="24"/>
          <w:lang w:val="en-GB"/>
        </w:rPr>
        <w:t>:</w:t>
      </w:r>
    </w:p>
    <w:p w14:paraId="3436E871" w14:textId="0EF29A1A" w:rsidR="008C235E" w:rsidRPr="00486AA6" w:rsidRDefault="00486AA6" w:rsidP="00486AA6">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486AA6">
        <w:rPr>
          <w:rFonts w:asciiTheme="majorBidi" w:hAnsiTheme="majorBidi" w:cstheme="majorBidi"/>
          <w:sz w:val="24"/>
          <w:szCs w:val="24"/>
          <w:lang w:val="en-GB"/>
        </w:rPr>
        <w:t>To guide this research and provide a clear structure for the empirical analysis, a series of hypotheses have been formulated. These hypotheses are divided into two main categories: macroeconomic hypotheses, which examine the influence of economic indicators on export feasibility, and microeconomic hypotheses, which focus on consumer behavior in the context of boycott movements. Together, they provide a comprehensive analytical framework to assess the potential for exporting Algerian products to the Turkish market.</w:t>
      </w:r>
    </w:p>
    <w:p w14:paraId="27444441"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Hypo</w:t>
      </w:r>
      <w:r>
        <w:rPr>
          <w:rFonts w:asciiTheme="majorBidi" w:hAnsiTheme="majorBidi" w:cstheme="majorBidi"/>
          <w:b/>
          <w:bCs/>
          <w:sz w:val="24"/>
          <w:szCs w:val="24"/>
          <w:lang w:val="en-US"/>
        </w:rPr>
        <w:t>theses</w:t>
      </w:r>
      <w:r w:rsidRPr="002551A7">
        <w:rPr>
          <w:rFonts w:asciiTheme="majorBidi" w:hAnsiTheme="majorBidi" w:cstheme="majorBidi"/>
          <w:b/>
          <w:bCs/>
          <w:sz w:val="24"/>
          <w:szCs w:val="24"/>
          <w:lang w:val="en-US"/>
        </w:rPr>
        <w:t xml:space="preserve"> of the macroeconomic analysis</w:t>
      </w:r>
    </w:p>
    <w:p w14:paraId="00FB2671"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H1: </w:t>
      </w:r>
      <w:r w:rsidRPr="002551A7">
        <w:rPr>
          <w:rFonts w:asciiTheme="majorBidi" w:hAnsiTheme="majorBidi" w:cstheme="majorBidi"/>
          <w:sz w:val="24"/>
          <w:szCs w:val="24"/>
          <w:lang w:val="en-US"/>
        </w:rPr>
        <w:t>Macroeconomic variables (GDP, inflation, unemployment, and exchange rate) significantly affect the feasibility of exporting Algerian products to the Turkish market.</w:t>
      </w:r>
    </w:p>
    <w:p w14:paraId="3DFE72B3"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H1.1:</w:t>
      </w:r>
      <w:r w:rsidRPr="002551A7">
        <w:rPr>
          <w:rFonts w:asciiTheme="majorBidi" w:hAnsiTheme="majorBidi" w:cstheme="majorBidi"/>
          <w:sz w:val="24"/>
          <w:szCs w:val="24"/>
          <w:lang w:val="en-US"/>
        </w:rPr>
        <w:t xml:space="preserve"> The growth in GDP contributes to enhancing the opportunity for exporting Algerian products to Turkey by expanding the market and increasing demand.</w:t>
      </w:r>
    </w:p>
    <w:p w14:paraId="658318F7"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H1.2: </w:t>
      </w:r>
      <w:r w:rsidRPr="002551A7">
        <w:rPr>
          <w:rFonts w:asciiTheme="majorBidi" w:hAnsiTheme="majorBidi" w:cstheme="majorBidi"/>
          <w:sz w:val="24"/>
          <w:szCs w:val="24"/>
          <w:lang w:val="en-US"/>
        </w:rPr>
        <w:t>High inflation negatively affects the Turkish market’s ability to absorb imported products due to reduced purchasing power.</w:t>
      </w:r>
    </w:p>
    <w:p w14:paraId="71619C29"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H1.3: </w:t>
      </w:r>
      <w:r w:rsidRPr="002551A7">
        <w:rPr>
          <w:rFonts w:asciiTheme="majorBidi" w:hAnsiTheme="majorBidi" w:cstheme="majorBidi"/>
          <w:sz w:val="24"/>
          <w:szCs w:val="24"/>
          <w:lang w:val="en-US"/>
        </w:rPr>
        <w:t>A decline in the unemployment rate creates an opportunity to increase demand for imported goods, thereby supporting the export decision.</w:t>
      </w:r>
    </w:p>
    <w:p w14:paraId="48B0C854"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H1.4: </w:t>
      </w:r>
      <w:r w:rsidRPr="002551A7">
        <w:rPr>
          <w:rFonts w:asciiTheme="majorBidi" w:hAnsiTheme="majorBidi" w:cstheme="majorBidi"/>
          <w:sz w:val="24"/>
          <w:szCs w:val="24"/>
          <w:lang w:val="en-US"/>
        </w:rPr>
        <w:t>The increase in the Turkish exchange rate (TRY/USD) makes Algerian products more competitive in the Turkish market, enhancing the export decision.</w:t>
      </w:r>
    </w:p>
    <w:p w14:paraId="41022D09"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Hypo</w:t>
      </w:r>
      <w:r>
        <w:rPr>
          <w:rFonts w:asciiTheme="majorBidi" w:hAnsiTheme="majorBidi" w:cstheme="majorBidi"/>
          <w:b/>
          <w:bCs/>
          <w:sz w:val="24"/>
          <w:szCs w:val="24"/>
          <w:lang w:val="en-US"/>
        </w:rPr>
        <w:t>theses</w:t>
      </w:r>
      <w:r w:rsidRPr="002551A7">
        <w:rPr>
          <w:rFonts w:asciiTheme="majorBidi" w:hAnsiTheme="majorBidi" w:cstheme="majorBidi"/>
          <w:b/>
          <w:bCs/>
          <w:sz w:val="24"/>
          <w:szCs w:val="24"/>
          <w:lang w:val="en-US"/>
        </w:rPr>
        <w:t xml:space="preserve"> of the microeconomic analysis</w:t>
      </w:r>
    </w:p>
    <w:p w14:paraId="0B86890A"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 </w:t>
      </w:r>
      <w:r w:rsidRPr="002551A7">
        <w:rPr>
          <w:rFonts w:asciiTheme="majorBidi" w:hAnsiTheme="majorBidi" w:cstheme="majorBidi"/>
          <w:sz w:val="24"/>
          <w:szCs w:val="24"/>
          <w:lang w:val="en-US"/>
        </w:rPr>
        <w:t>The Boycott movements positively influences Turkish consumer behavior and their willingness to try alternative products, especially when these alternatives meet expectations in terms of quality, price, cultural alignment and availability.</w:t>
      </w:r>
    </w:p>
    <w:p w14:paraId="43440525"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H2.1: </w:t>
      </w:r>
      <w:r w:rsidRPr="002551A7">
        <w:rPr>
          <w:rFonts w:asciiTheme="majorBidi" w:hAnsiTheme="majorBidi" w:cstheme="majorBidi"/>
          <w:sz w:val="24"/>
          <w:szCs w:val="24"/>
          <w:lang w:val="en-US"/>
        </w:rPr>
        <w:t>Turkish consumer are aware of the ongoing boycott</w:t>
      </w:r>
    </w:p>
    <w:p w14:paraId="23864558"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H2.2: </w:t>
      </w:r>
      <w:r w:rsidRPr="002551A7">
        <w:rPr>
          <w:rFonts w:asciiTheme="majorBidi" w:hAnsiTheme="majorBidi" w:cstheme="majorBidi"/>
          <w:sz w:val="24"/>
          <w:szCs w:val="24"/>
          <w:lang w:val="en-US"/>
        </w:rPr>
        <w:t xml:space="preserve">Turkish consumer trust alternative products </w:t>
      </w:r>
    </w:p>
    <w:p w14:paraId="711EFFD5"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H2.3: </w:t>
      </w:r>
      <w:r w:rsidRPr="002551A7">
        <w:rPr>
          <w:rFonts w:asciiTheme="majorBidi" w:hAnsiTheme="majorBidi" w:cstheme="majorBidi"/>
          <w:sz w:val="24"/>
          <w:szCs w:val="24"/>
          <w:lang w:val="en-US"/>
        </w:rPr>
        <w:t>Turkish consumer willinge to try new alternatives</w:t>
      </w:r>
      <w:r w:rsidRPr="002551A7">
        <w:rPr>
          <w:rFonts w:asciiTheme="majorBidi" w:hAnsiTheme="majorBidi" w:cstheme="majorBidi"/>
          <w:b/>
          <w:bCs/>
          <w:sz w:val="24"/>
          <w:szCs w:val="24"/>
          <w:lang w:val="en-US"/>
        </w:rPr>
        <w:t xml:space="preserve"> </w:t>
      </w:r>
      <w:r w:rsidRPr="002551A7">
        <w:rPr>
          <w:rFonts w:asciiTheme="majorBidi" w:hAnsiTheme="majorBidi" w:cstheme="majorBidi"/>
          <w:sz w:val="24"/>
          <w:szCs w:val="24"/>
          <w:lang w:val="en-US"/>
        </w:rPr>
        <w:t>in response of boycott.</w:t>
      </w:r>
    </w:p>
    <w:p w14:paraId="4D49776E"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H2.4.a:  </w:t>
      </w:r>
      <w:r w:rsidRPr="002551A7">
        <w:rPr>
          <w:rFonts w:asciiTheme="majorBidi" w:hAnsiTheme="majorBidi" w:cstheme="majorBidi"/>
          <w:sz w:val="24"/>
          <w:szCs w:val="24"/>
          <w:lang w:val="en-US"/>
        </w:rPr>
        <w:t>Perceived product quality positively influences Turkish consumer behavior.</w:t>
      </w:r>
    </w:p>
    <w:p w14:paraId="167783EA"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H2.4.b: </w:t>
      </w:r>
      <w:r w:rsidRPr="002551A7">
        <w:rPr>
          <w:rFonts w:asciiTheme="majorBidi" w:hAnsiTheme="majorBidi" w:cstheme="majorBidi"/>
          <w:sz w:val="24"/>
          <w:szCs w:val="24"/>
          <w:lang w:val="en-US"/>
        </w:rPr>
        <w:t>Perceived product quality positively influences Turkish consumers’ willingness to try alternative products.</w:t>
      </w:r>
    </w:p>
    <w:p w14:paraId="020C7065" w14:textId="77777777" w:rsidR="00C33C59" w:rsidRPr="002551A7"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sz w:val="24"/>
          <w:szCs w:val="24"/>
          <w:lang w:val="en-US"/>
        </w:rPr>
        <w:t xml:space="preserve">H2.5.a: </w:t>
      </w:r>
      <w:r w:rsidRPr="002551A7">
        <w:rPr>
          <w:rFonts w:asciiTheme="majorBidi" w:hAnsiTheme="majorBidi" w:cstheme="majorBidi"/>
          <w:bCs/>
          <w:sz w:val="24"/>
          <w:szCs w:val="24"/>
          <w:lang w:val="en-US"/>
        </w:rPr>
        <w:t>Competitive pricing positively influences Turkish consumer behavior.</w:t>
      </w:r>
    </w:p>
    <w:p w14:paraId="324071A3" w14:textId="77777777" w:rsidR="00C33C59" w:rsidRPr="002551A7" w:rsidRDefault="00C33C59" w:rsidP="00C33C59">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H2.5.b:</w:t>
      </w:r>
      <w:r w:rsidRPr="002551A7">
        <w:rPr>
          <w:rFonts w:asciiTheme="majorBidi" w:hAnsiTheme="majorBidi" w:cstheme="majorBidi"/>
          <w:bCs/>
          <w:sz w:val="24"/>
          <w:szCs w:val="24"/>
          <w:lang w:val="en-US"/>
        </w:rPr>
        <w:t xml:space="preserve"> Competitive pricing positively influences Turkish consumers’ willingness to try alternative products.</w:t>
      </w:r>
    </w:p>
    <w:p w14:paraId="6D5454BA" w14:textId="77777777" w:rsidR="00C33C59" w:rsidRPr="002551A7" w:rsidRDefault="00C33C59" w:rsidP="00C33C59">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 xml:space="preserve">H2.6.a: </w:t>
      </w:r>
      <w:r w:rsidRPr="002551A7">
        <w:rPr>
          <w:rFonts w:asciiTheme="majorBidi" w:hAnsiTheme="majorBidi" w:cstheme="majorBidi"/>
          <w:sz w:val="24"/>
          <w:szCs w:val="24"/>
          <w:lang w:val="en-US"/>
        </w:rPr>
        <w:t>Cultural alignment of products positively influences Turkish consumer behavior.</w:t>
      </w:r>
    </w:p>
    <w:p w14:paraId="57436499" w14:textId="77777777" w:rsidR="00C33C59" w:rsidRPr="002551A7" w:rsidRDefault="00C33C59" w:rsidP="00C33C59">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 xml:space="preserve">H2.6.b: </w:t>
      </w:r>
      <w:r w:rsidRPr="002551A7">
        <w:rPr>
          <w:rFonts w:asciiTheme="majorBidi" w:hAnsiTheme="majorBidi" w:cstheme="majorBidi"/>
          <w:sz w:val="24"/>
          <w:szCs w:val="24"/>
          <w:lang w:val="en-US"/>
        </w:rPr>
        <w:t>Cultural alignment of products positively influences Turkish consumers’ willingness to try alternative products.</w:t>
      </w:r>
    </w:p>
    <w:p w14:paraId="4F771354" w14:textId="77777777" w:rsidR="00C33C59" w:rsidRPr="002551A7" w:rsidRDefault="00C33C59" w:rsidP="00C33C59">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H2.7.a: </w:t>
      </w:r>
      <w:r w:rsidRPr="002551A7">
        <w:rPr>
          <w:rFonts w:asciiTheme="majorBidi" w:hAnsiTheme="majorBidi" w:cstheme="majorBidi"/>
          <w:sz w:val="24"/>
          <w:szCs w:val="24"/>
          <w:lang w:val="en-US"/>
        </w:rPr>
        <w:t>Availability and accessibility of products positively influence Turkish consumer behavior.</w:t>
      </w:r>
    </w:p>
    <w:p w14:paraId="262D5DE0" w14:textId="77777777" w:rsidR="00C33C59" w:rsidRPr="00845661" w:rsidRDefault="00C33C59" w:rsidP="00C33C59">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H2.7.b: </w:t>
      </w:r>
      <w:r w:rsidRPr="002551A7">
        <w:rPr>
          <w:rFonts w:asciiTheme="majorBidi" w:hAnsiTheme="majorBidi" w:cstheme="majorBidi"/>
          <w:sz w:val="24"/>
          <w:szCs w:val="24"/>
          <w:lang w:val="en-US"/>
        </w:rPr>
        <w:t>Availability and accessibility of products positively influence Turkish consumers’ willingness to try alternative products.</w:t>
      </w:r>
    </w:p>
    <w:p w14:paraId="608138DD" w14:textId="77777777" w:rsidR="00DC2EB3" w:rsidRPr="00AA14A3" w:rsidRDefault="00DC2EB3" w:rsidP="00AA14A3">
      <w:pPr>
        <w:spacing w:line="360" w:lineRule="auto"/>
        <w:jc w:val="both"/>
        <w:rPr>
          <w:rStyle w:val="fadeinm1hgl8"/>
          <w:rFonts w:asciiTheme="majorBidi" w:hAnsiTheme="majorBidi" w:cstheme="majorBidi"/>
          <w:b/>
          <w:bCs/>
          <w:sz w:val="24"/>
          <w:szCs w:val="24"/>
          <w:lang w:val="en-GB"/>
        </w:rPr>
      </w:pPr>
      <w:r w:rsidRPr="00AA14A3">
        <w:rPr>
          <w:rStyle w:val="fadeinm1hgl8"/>
          <w:rFonts w:asciiTheme="majorBidi" w:hAnsiTheme="majorBidi" w:cstheme="majorBidi"/>
          <w:b/>
          <w:bCs/>
          <w:sz w:val="24"/>
          <w:szCs w:val="24"/>
          <w:lang w:val="en-GB"/>
        </w:rPr>
        <w:t>Sturcture of the dissertation:</w:t>
      </w:r>
    </w:p>
    <w:p w14:paraId="586F5225" w14:textId="7D71EF8F" w:rsidR="00DC2EB3" w:rsidRPr="00AA14A3" w:rsidRDefault="00F0380F" w:rsidP="00AA14A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AA14A3">
        <w:rPr>
          <w:rStyle w:val="fadeinm1hgl8"/>
          <w:rFonts w:asciiTheme="majorBidi" w:hAnsiTheme="majorBidi" w:cstheme="majorBidi"/>
          <w:sz w:val="24"/>
          <w:szCs w:val="24"/>
          <w:lang w:val="en-GB"/>
        </w:rPr>
        <w:t>The structure of this dissertation is divided into three chapters, each of which is subdivided into three distinct sections.</w:t>
      </w:r>
    </w:p>
    <w:p w14:paraId="41AF49CE" w14:textId="7DFE0DE5" w:rsidR="00DC2EB3" w:rsidRPr="00AA14A3" w:rsidRDefault="00F0380F" w:rsidP="00AA14A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AA14A3">
        <w:rPr>
          <w:rStyle w:val="fadeinm1hgl8"/>
          <w:rFonts w:asciiTheme="majorBidi" w:hAnsiTheme="majorBidi" w:cstheme="majorBidi"/>
          <w:sz w:val="24"/>
          <w:szCs w:val="24"/>
          <w:lang w:val="en-GB"/>
        </w:rPr>
        <w:t>The first chapter presents a theoretical framework on consumer boycotts and their practical implications. It begins by defining boycotts, tracing their historical background, and identifying their main types and motivations. The second section examines the economic and social impacts of boycotts, both short-term and long-term, supported by real-world examples. It also highlights the significant role of social media in amplifying these movements. The final section explores key factors behind successful boycotts and effective campaign strategies. The chapter emphasizes the growing importance of consumer activism. It sets the stage for understanding how boycotts can create new export opportunities for local products, especially in Turkey.</w:t>
      </w:r>
    </w:p>
    <w:p w14:paraId="7CAF410B" w14:textId="34B799D8" w:rsidR="00DC2EB3" w:rsidRDefault="00F0380F" w:rsidP="00AA14A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DC2EB3" w:rsidRPr="00AA14A3">
        <w:rPr>
          <w:rStyle w:val="fadeinm1hgl8"/>
          <w:rFonts w:asciiTheme="majorBidi" w:hAnsiTheme="majorBidi" w:cstheme="majorBidi"/>
          <w:sz w:val="24"/>
          <w:szCs w:val="24"/>
          <w:lang w:val="en-GB"/>
        </w:rPr>
        <w:t>The second chapter examines the exportation process of Algerian products to Turkey, covering the importance of international trade, key players, and relevant trade policies. It outlines the legal steps, documentation, and customs procedures involved in exporting from Algeria. Finally, it highlights major challenges, including cultural and regulatory barriers, strong market competition, and financial risks like currency fluctuations and payment issues.</w:t>
      </w:r>
    </w:p>
    <w:p w14:paraId="3D51114E" w14:textId="083292FD" w:rsidR="002E5550" w:rsidRDefault="00F0380F" w:rsidP="00AA14A3">
      <w:pPr>
        <w:spacing w:line="360" w:lineRule="auto"/>
        <w:jc w:val="both"/>
        <w:rPr>
          <w:rFonts w:asciiTheme="majorBidi" w:hAnsiTheme="majorBidi" w:cstheme="majorBidi"/>
          <w:sz w:val="24"/>
          <w:szCs w:val="24"/>
          <w:lang w:val="en-GB"/>
        </w:rPr>
        <w:sectPr w:rsidR="002E5550">
          <w:headerReference w:type="default" r:id="rId14"/>
          <w:footerReference w:type="default" r:id="rId15"/>
          <w:pgSz w:w="11906" w:h="16838"/>
          <w:pgMar w:top="1417" w:right="1417" w:bottom="1417" w:left="1417" w:header="708" w:footer="708" w:gutter="0"/>
          <w:cols w:space="708"/>
          <w:docGrid w:linePitch="360"/>
        </w:sectPr>
      </w:pPr>
      <w:r>
        <w:rPr>
          <w:rFonts w:asciiTheme="majorBidi" w:hAnsiTheme="majorBidi" w:cstheme="majorBidi"/>
          <w:sz w:val="24"/>
          <w:szCs w:val="24"/>
          <w:lang w:val="en-GB"/>
        </w:rPr>
        <w:t xml:space="preserve">   </w:t>
      </w:r>
      <w:r w:rsidR="009535A4" w:rsidRPr="009535A4">
        <w:rPr>
          <w:rFonts w:asciiTheme="majorBidi" w:hAnsiTheme="majorBidi" w:cstheme="majorBidi"/>
          <w:sz w:val="24"/>
          <w:szCs w:val="24"/>
          <w:lang w:val="en-GB"/>
        </w:rPr>
        <w:t>The third chapter analyzes the potential for exporting Proderma’s Algerian cosmetic products to Turkey. It begins with a presentation of the company and its production capabilities, then outlines a mixed-method research approach combining economic analysis and consumer surveys. The chapter highlights opportunities such as favorable trade agreements, growing Turkish demand for skincare, and the impact of boycotts. It uses statistical models to forecast key economic indicators and assesses market risks like inflation, exchange rate volatility, and strong local competition. The chapter concludes with strategic recommendations for successful market entry and risk mitigation.</w:t>
      </w:r>
    </w:p>
    <w:p w14:paraId="3D0D3F52" w14:textId="7F997601" w:rsidR="009535A4" w:rsidRPr="009535A4" w:rsidRDefault="009535A4" w:rsidP="00AA14A3">
      <w:pPr>
        <w:spacing w:line="360" w:lineRule="auto"/>
        <w:jc w:val="both"/>
        <w:rPr>
          <w:rFonts w:asciiTheme="majorBidi" w:hAnsiTheme="majorBidi" w:cstheme="majorBidi"/>
          <w:color w:val="FF0000"/>
          <w:sz w:val="24"/>
          <w:szCs w:val="24"/>
          <w:lang w:val="en-GB"/>
        </w:rPr>
      </w:pPr>
    </w:p>
    <w:p w14:paraId="4FDA0035" w14:textId="77777777" w:rsidR="00DC2EB3" w:rsidRDefault="00DC2EB3" w:rsidP="00DC2EB3">
      <w:pPr>
        <w:spacing w:line="360" w:lineRule="auto"/>
        <w:jc w:val="both"/>
        <w:rPr>
          <w:rFonts w:asciiTheme="majorBidi" w:hAnsiTheme="majorBidi" w:cstheme="majorBidi"/>
          <w:sz w:val="24"/>
          <w:szCs w:val="24"/>
          <w:lang w:val="en-GB"/>
        </w:rPr>
      </w:pPr>
    </w:p>
    <w:p w14:paraId="0441D341" w14:textId="77777777" w:rsidR="00DC2EB3" w:rsidRDefault="00DC2EB3" w:rsidP="00DC2EB3">
      <w:pPr>
        <w:spacing w:line="360" w:lineRule="auto"/>
        <w:jc w:val="both"/>
        <w:rPr>
          <w:rFonts w:asciiTheme="majorBidi" w:hAnsiTheme="majorBidi" w:cstheme="majorBidi"/>
          <w:sz w:val="24"/>
          <w:szCs w:val="24"/>
          <w:lang w:val="en-GB"/>
        </w:rPr>
      </w:pPr>
    </w:p>
    <w:p w14:paraId="23030C95" w14:textId="77777777" w:rsidR="00DC2EB3" w:rsidRDefault="00DC2EB3" w:rsidP="00DC2EB3">
      <w:pPr>
        <w:spacing w:line="360" w:lineRule="auto"/>
        <w:jc w:val="both"/>
        <w:rPr>
          <w:rFonts w:asciiTheme="majorBidi" w:hAnsiTheme="majorBidi" w:cstheme="majorBidi"/>
          <w:sz w:val="24"/>
          <w:szCs w:val="24"/>
          <w:lang w:val="en-GB"/>
        </w:rPr>
      </w:pPr>
    </w:p>
    <w:p w14:paraId="5F6C51D6" w14:textId="77777777" w:rsidR="00DC2EB3" w:rsidRDefault="00DC2EB3" w:rsidP="00DC2EB3">
      <w:pPr>
        <w:spacing w:line="360" w:lineRule="auto"/>
        <w:jc w:val="both"/>
        <w:rPr>
          <w:rFonts w:asciiTheme="majorBidi" w:hAnsiTheme="majorBidi" w:cstheme="majorBidi"/>
          <w:sz w:val="24"/>
          <w:szCs w:val="24"/>
          <w:lang w:val="en-GB"/>
        </w:rPr>
      </w:pPr>
    </w:p>
    <w:p w14:paraId="792652AD" w14:textId="77777777" w:rsidR="00DC2EB3" w:rsidRDefault="00DC2EB3" w:rsidP="00DC2EB3">
      <w:pPr>
        <w:spacing w:line="360" w:lineRule="auto"/>
        <w:jc w:val="both"/>
        <w:rPr>
          <w:rFonts w:asciiTheme="majorBidi" w:hAnsiTheme="majorBidi" w:cstheme="majorBidi"/>
          <w:sz w:val="24"/>
          <w:szCs w:val="24"/>
          <w:lang w:val="en-GB"/>
        </w:rPr>
      </w:pPr>
    </w:p>
    <w:p w14:paraId="55915006" w14:textId="77777777" w:rsidR="00DC2EB3" w:rsidRDefault="00DC2EB3" w:rsidP="00DC2EB3">
      <w:pPr>
        <w:spacing w:line="360" w:lineRule="auto"/>
        <w:jc w:val="both"/>
        <w:rPr>
          <w:rFonts w:asciiTheme="majorBidi" w:hAnsiTheme="majorBidi" w:cstheme="majorBidi"/>
          <w:sz w:val="24"/>
          <w:szCs w:val="24"/>
          <w:lang w:val="en-GB"/>
        </w:rPr>
      </w:pPr>
    </w:p>
    <w:p w14:paraId="203E46CB" w14:textId="77777777" w:rsidR="00DC2EB3" w:rsidRDefault="00DC2EB3" w:rsidP="00DC2EB3">
      <w:pPr>
        <w:spacing w:line="360" w:lineRule="auto"/>
        <w:jc w:val="both"/>
        <w:rPr>
          <w:rFonts w:asciiTheme="majorBidi" w:hAnsiTheme="majorBidi" w:cstheme="majorBidi"/>
          <w:sz w:val="24"/>
          <w:szCs w:val="24"/>
          <w:lang w:val="en-GB"/>
        </w:rPr>
      </w:pPr>
    </w:p>
    <w:p w14:paraId="672E5B62" w14:textId="77777777" w:rsidR="00DC2EB3" w:rsidRDefault="00DC2EB3" w:rsidP="00DC2EB3">
      <w:pPr>
        <w:spacing w:line="360" w:lineRule="auto"/>
        <w:jc w:val="both"/>
        <w:rPr>
          <w:rFonts w:asciiTheme="majorBidi" w:hAnsiTheme="majorBidi" w:cstheme="majorBidi"/>
          <w:sz w:val="24"/>
          <w:szCs w:val="24"/>
          <w:lang w:val="en-GB"/>
        </w:rPr>
      </w:pPr>
    </w:p>
    <w:p w14:paraId="2E507E79" w14:textId="77777777" w:rsidR="00DC2EB3" w:rsidRDefault="00DC2EB3" w:rsidP="00DC2EB3">
      <w:pPr>
        <w:spacing w:line="360" w:lineRule="auto"/>
        <w:jc w:val="both"/>
        <w:rPr>
          <w:rFonts w:asciiTheme="majorBidi" w:hAnsiTheme="majorBidi" w:cstheme="majorBidi"/>
          <w:sz w:val="24"/>
          <w:szCs w:val="24"/>
          <w:lang w:val="en-GB"/>
        </w:rPr>
      </w:pPr>
    </w:p>
    <w:p w14:paraId="2F382617" w14:textId="710E6663" w:rsidR="00DC2EB3" w:rsidRPr="00D36F5B" w:rsidRDefault="00DC2EB3" w:rsidP="00BD2EAB">
      <w:pPr>
        <w:pStyle w:val="Heading1"/>
        <w:rPr>
          <w:rStyle w:val="c"/>
          <w:b/>
          <w:bCs w:val="0"/>
          <w:lang w:val="en-US"/>
        </w:rPr>
      </w:pPr>
      <w:bookmarkStart w:id="4" w:name="_Toc200719951"/>
      <w:bookmarkStart w:id="5" w:name="_Toc200721592"/>
      <w:r w:rsidRPr="00D36F5B">
        <w:rPr>
          <w:rStyle w:val="c"/>
          <w:b/>
          <w:bCs w:val="0"/>
        </w:rPr>
        <w:t xml:space="preserve">Chapter </w:t>
      </w:r>
      <w:r w:rsidR="00F0380F" w:rsidRPr="00D36F5B">
        <w:rPr>
          <w:rStyle w:val="c"/>
          <w:b/>
          <w:bCs w:val="0"/>
        </w:rPr>
        <w:t>0</w:t>
      </w:r>
      <w:r w:rsidRPr="00D36F5B">
        <w:rPr>
          <w:rStyle w:val="c"/>
          <w:b/>
          <w:bCs w:val="0"/>
        </w:rPr>
        <w:t>1</w:t>
      </w:r>
      <w:r w:rsidR="00F0380F" w:rsidRPr="00D36F5B">
        <w:rPr>
          <w:rStyle w:val="c"/>
          <w:b/>
          <w:bCs w:val="0"/>
        </w:rPr>
        <w:t>:</w:t>
      </w:r>
      <w:bookmarkEnd w:id="4"/>
      <w:bookmarkEnd w:id="5"/>
      <w:r w:rsidR="00F0380F" w:rsidRPr="00D36F5B">
        <w:rPr>
          <w:rStyle w:val="c"/>
          <w:b/>
          <w:bCs w:val="0"/>
        </w:rPr>
        <w:t xml:space="preserve"> </w:t>
      </w:r>
      <w:r w:rsidR="00BD2EAB" w:rsidRPr="00D36F5B">
        <w:rPr>
          <w:rFonts w:ascii="Times New Roman" w:hAnsi="Times New Roman" w:cs="Times New Roman"/>
          <w:b w:val="0"/>
          <w:bCs w:val="0"/>
          <w:iCs/>
          <w:lang w:val="en-US"/>
        </w:rPr>
        <w:t>Boycott-</w:t>
      </w:r>
      <w:r w:rsidR="0019449B" w:rsidRPr="00D36F5B">
        <w:rPr>
          <w:rFonts w:ascii="Times New Roman" w:hAnsi="Times New Roman" w:cs="Times New Roman"/>
          <w:b w:val="0"/>
          <w:bCs w:val="0"/>
          <w:iCs/>
          <w:lang w:val="en-US"/>
        </w:rPr>
        <w:t>Theoretical</w:t>
      </w:r>
      <w:r w:rsidR="00BD2EAB" w:rsidRPr="00D36F5B">
        <w:rPr>
          <w:rFonts w:ascii="Times New Roman" w:hAnsi="Times New Roman" w:cs="Times New Roman"/>
          <w:b w:val="0"/>
          <w:bCs w:val="0"/>
          <w:iCs/>
          <w:lang w:val="en-US"/>
        </w:rPr>
        <w:t xml:space="preserve"> framework and practical implications</w:t>
      </w:r>
    </w:p>
    <w:p w14:paraId="3A049D83" w14:textId="77777777" w:rsidR="00DC2EB3" w:rsidRPr="00597D09" w:rsidRDefault="00DC2EB3" w:rsidP="00DC2EB3">
      <w:pPr>
        <w:spacing w:line="360" w:lineRule="auto"/>
        <w:jc w:val="both"/>
        <w:rPr>
          <w:rStyle w:val="c"/>
          <w:lang w:val="en-GB"/>
        </w:rPr>
      </w:pPr>
    </w:p>
    <w:p w14:paraId="6091C32F" w14:textId="77777777" w:rsidR="00DC2EB3" w:rsidRDefault="00DC2EB3" w:rsidP="00DC2EB3">
      <w:pPr>
        <w:spacing w:line="360" w:lineRule="auto"/>
        <w:jc w:val="both"/>
        <w:rPr>
          <w:rFonts w:asciiTheme="majorBidi" w:hAnsiTheme="majorBidi" w:cstheme="majorBidi"/>
          <w:sz w:val="24"/>
          <w:szCs w:val="24"/>
          <w:lang w:val="en-GB"/>
        </w:rPr>
      </w:pPr>
    </w:p>
    <w:p w14:paraId="5342FF51" w14:textId="77777777" w:rsidR="00DC2EB3" w:rsidRDefault="00DC2EB3" w:rsidP="00DC2EB3">
      <w:pPr>
        <w:spacing w:line="360" w:lineRule="auto"/>
        <w:jc w:val="both"/>
        <w:rPr>
          <w:rFonts w:asciiTheme="majorBidi" w:hAnsiTheme="majorBidi" w:cstheme="majorBidi"/>
          <w:sz w:val="24"/>
          <w:szCs w:val="24"/>
          <w:lang w:val="en-GB"/>
        </w:rPr>
      </w:pPr>
    </w:p>
    <w:p w14:paraId="3E0F33F7" w14:textId="77777777" w:rsidR="00DC2EB3" w:rsidRDefault="00DC2EB3" w:rsidP="00DC2EB3">
      <w:pPr>
        <w:spacing w:line="360" w:lineRule="auto"/>
        <w:jc w:val="both"/>
        <w:rPr>
          <w:rFonts w:asciiTheme="majorBidi" w:hAnsiTheme="majorBidi" w:cstheme="majorBidi"/>
          <w:sz w:val="24"/>
          <w:szCs w:val="24"/>
          <w:lang w:val="en-GB"/>
        </w:rPr>
      </w:pPr>
    </w:p>
    <w:p w14:paraId="6053E15A" w14:textId="77777777" w:rsidR="00DC2EB3" w:rsidRDefault="00DC2EB3">
      <w:pPr>
        <w:pStyle w:val="NormalWeb"/>
        <w:spacing w:before="0" w:after="0" w:line="360" w:lineRule="auto"/>
        <w:jc w:val="both"/>
        <w:rPr>
          <w:b/>
          <w:bCs/>
          <w:lang w:val="en-GB"/>
        </w:rPr>
      </w:pPr>
    </w:p>
    <w:p w14:paraId="44B4C8B6" w14:textId="77777777" w:rsidR="002E5550" w:rsidRDefault="002E5550" w:rsidP="002E5550">
      <w:pPr>
        <w:pStyle w:val="NormalWeb"/>
        <w:spacing w:line="360" w:lineRule="auto"/>
        <w:jc w:val="both"/>
        <w:rPr>
          <w:b/>
          <w:bCs/>
          <w:lang w:val="en-GB"/>
        </w:rPr>
        <w:sectPr w:rsidR="002E5550">
          <w:headerReference w:type="default" r:id="rId16"/>
          <w:footerReference w:type="default" r:id="rId17"/>
          <w:pgSz w:w="11906" w:h="16838"/>
          <w:pgMar w:top="1417" w:right="1417" w:bottom="1417" w:left="1417" w:header="708" w:footer="708" w:gutter="0"/>
          <w:cols w:space="708"/>
          <w:docGrid w:linePitch="360"/>
        </w:sectPr>
      </w:pPr>
    </w:p>
    <w:p w14:paraId="4DAC881D" w14:textId="0EE00F39" w:rsidR="00DC2EB3" w:rsidRPr="00B163B6" w:rsidRDefault="00DC2EB3" w:rsidP="00B163B6">
      <w:pPr>
        <w:pStyle w:val="Heading2"/>
      </w:pPr>
      <w:bookmarkStart w:id="6" w:name="_Toc200719952"/>
      <w:bookmarkStart w:id="7" w:name="_Toc200721593"/>
      <w:r w:rsidRPr="00B163B6">
        <w:t>Introduction:</w:t>
      </w:r>
      <w:bookmarkEnd w:id="6"/>
      <w:bookmarkEnd w:id="7"/>
    </w:p>
    <w:p w14:paraId="6EEE93EE" w14:textId="77777777" w:rsidR="00DC2EB3" w:rsidRDefault="00DC2EB3">
      <w:pPr>
        <w:pStyle w:val="NormalWeb"/>
        <w:spacing w:before="0" w:after="0" w:line="360" w:lineRule="auto"/>
        <w:ind w:firstLineChars="150" w:firstLine="360"/>
        <w:jc w:val="both"/>
        <w:rPr>
          <w:lang w:val="en-GB"/>
        </w:rPr>
      </w:pPr>
      <w:r>
        <w:rPr>
          <w:lang w:val="en-GB"/>
        </w:rPr>
        <w:t>Boycotts are one of the most powerful ways people can make their voices heard. They happen when individuals or groups decide to stop buying or supporting certain products or companies to protest something they disagree with. These actions usually come from a desire to stand up for political, social, or ethical beliefs. Boycotts have been used throughout history to push back against injustice and demand change. They come in different forms—some target countries, others focus on specific companies or causes. People join boycotts to support a cause, raise awareness, or put pressure on decision-makers. Sometimes the effects are immediate, while other times they play out over the long term. Whether they work or not depends on many things, like timing, public support, and media attention.</w:t>
      </w:r>
    </w:p>
    <w:p w14:paraId="51ADF1AB" w14:textId="797A209A" w:rsidR="00DC2EB3" w:rsidRDefault="00F0380F">
      <w:pPr>
        <w:pStyle w:val="NormalWeb"/>
        <w:spacing w:before="0" w:after="0" w:line="360" w:lineRule="auto"/>
        <w:jc w:val="both"/>
        <w:rPr>
          <w:lang w:val="en-GB"/>
        </w:rPr>
      </w:pPr>
      <w:r>
        <w:rPr>
          <w:lang w:val="en-GB"/>
        </w:rPr>
        <w:t xml:space="preserve">   </w:t>
      </w:r>
      <w:r w:rsidR="00DC2EB3">
        <w:rPr>
          <w:lang w:val="en-GB"/>
        </w:rPr>
        <w:t>This chapter looks closely at what makes a boycott work and why people get involved. It shares real-world examples of boycotts that actually led to change. It also talks about how social media has completely changed the way these movements grow and spread. Today, a single post or hashtag can spark a global movement. The chapter breaks down the key ingredients that help boycotts succeed. It also looks at the best strategies for planning and running a strong campaign. All of this helps set the stage for looking at Turkey’s unique experience and how boycotts there can open doors for local products in Europe.</w:t>
      </w:r>
    </w:p>
    <w:p w14:paraId="191D0FA8" w14:textId="77777777" w:rsidR="00DC2EB3" w:rsidRDefault="00DC2EB3">
      <w:pPr>
        <w:spacing w:line="360" w:lineRule="auto"/>
        <w:jc w:val="both"/>
        <w:rPr>
          <w:rFonts w:asciiTheme="majorBidi" w:hAnsiTheme="majorBidi" w:cstheme="majorBidi"/>
          <w:b/>
          <w:bCs/>
          <w:sz w:val="28"/>
          <w:szCs w:val="28"/>
          <w:lang w:val="en-GB"/>
        </w:rPr>
      </w:pPr>
    </w:p>
    <w:p w14:paraId="25F5ED02" w14:textId="77777777" w:rsidR="00D32E01" w:rsidRDefault="00D32E01">
      <w:pPr>
        <w:spacing w:line="360" w:lineRule="auto"/>
        <w:jc w:val="both"/>
        <w:rPr>
          <w:rFonts w:asciiTheme="majorBidi" w:hAnsiTheme="majorBidi" w:cstheme="majorBidi"/>
          <w:b/>
          <w:bCs/>
          <w:sz w:val="28"/>
          <w:szCs w:val="28"/>
          <w:lang w:val="en-GB"/>
        </w:rPr>
      </w:pPr>
    </w:p>
    <w:p w14:paraId="36294FAC" w14:textId="77777777" w:rsidR="00DE00F9" w:rsidRDefault="00DE00F9">
      <w:pPr>
        <w:spacing w:line="360" w:lineRule="auto"/>
        <w:jc w:val="both"/>
        <w:rPr>
          <w:rFonts w:asciiTheme="majorBidi" w:hAnsiTheme="majorBidi" w:cstheme="majorBidi"/>
          <w:b/>
          <w:bCs/>
          <w:sz w:val="28"/>
          <w:szCs w:val="28"/>
          <w:lang w:val="en-GB"/>
        </w:rPr>
      </w:pPr>
    </w:p>
    <w:p w14:paraId="28CBFE09" w14:textId="77777777" w:rsidR="00DE00F9" w:rsidRDefault="00DE00F9">
      <w:pPr>
        <w:spacing w:line="360" w:lineRule="auto"/>
        <w:jc w:val="both"/>
        <w:rPr>
          <w:rFonts w:asciiTheme="majorBidi" w:hAnsiTheme="majorBidi" w:cstheme="majorBidi"/>
          <w:b/>
          <w:bCs/>
          <w:sz w:val="28"/>
          <w:szCs w:val="28"/>
          <w:lang w:val="en-GB"/>
        </w:rPr>
      </w:pPr>
    </w:p>
    <w:p w14:paraId="2D3752F8" w14:textId="77777777" w:rsidR="00DE00F9" w:rsidRDefault="00DE00F9">
      <w:pPr>
        <w:spacing w:line="360" w:lineRule="auto"/>
        <w:jc w:val="both"/>
        <w:rPr>
          <w:rFonts w:asciiTheme="majorBidi" w:hAnsiTheme="majorBidi" w:cstheme="majorBidi"/>
          <w:b/>
          <w:bCs/>
          <w:sz w:val="28"/>
          <w:szCs w:val="28"/>
          <w:lang w:val="en-GB"/>
        </w:rPr>
      </w:pPr>
    </w:p>
    <w:p w14:paraId="6CFB3030" w14:textId="77777777" w:rsidR="00DE00F9" w:rsidRDefault="00DE00F9">
      <w:pPr>
        <w:spacing w:line="360" w:lineRule="auto"/>
        <w:jc w:val="both"/>
        <w:rPr>
          <w:rFonts w:asciiTheme="majorBidi" w:hAnsiTheme="majorBidi" w:cstheme="majorBidi"/>
          <w:b/>
          <w:bCs/>
          <w:sz w:val="28"/>
          <w:szCs w:val="28"/>
          <w:lang w:val="en-GB"/>
        </w:rPr>
      </w:pPr>
    </w:p>
    <w:p w14:paraId="3FACD8E7" w14:textId="77777777" w:rsidR="00DE00F9" w:rsidRDefault="00DE00F9">
      <w:pPr>
        <w:spacing w:line="360" w:lineRule="auto"/>
        <w:jc w:val="both"/>
        <w:rPr>
          <w:rFonts w:asciiTheme="majorBidi" w:hAnsiTheme="majorBidi" w:cstheme="majorBidi"/>
          <w:b/>
          <w:bCs/>
          <w:sz w:val="28"/>
          <w:szCs w:val="28"/>
          <w:lang w:val="en-GB"/>
        </w:rPr>
      </w:pPr>
    </w:p>
    <w:p w14:paraId="36FA2775" w14:textId="77777777" w:rsidR="00454ADB" w:rsidRDefault="00454ADB">
      <w:pPr>
        <w:spacing w:line="360" w:lineRule="auto"/>
        <w:jc w:val="both"/>
        <w:rPr>
          <w:rFonts w:asciiTheme="majorBidi" w:hAnsiTheme="majorBidi" w:cstheme="majorBidi"/>
          <w:b/>
          <w:bCs/>
          <w:sz w:val="28"/>
          <w:szCs w:val="28"/>
          <w:lang w:val="en-GB"/>
        </w:rPr>
      </w:pPr>
    </w:p>
    <w:p w14:paraId="7A57DAF7" w14:textId="77777777" w:rsidR="002E5550" w:rsidRDefault="002E5550">
      <w:pPr>
        <w:spacing w:line="360" w:lineRule="auto"/>
        <w:jc w:val="both"/>
        <w:rPr>
          <w:rFonts w:asciiTheme="majorBidi" w:hAnsiTheme="majorBidi" w:cstheme="majorBidi"/>
          <w:b/>
          <w:bCs/>
          <w:sz w:val="28"/>
          <w:szCs w:val="28"/>
          <w:lang w:val="en-GB"/>
        </w:rPr>
      </w:pPr>
    </w:p>
    <w:p w14:paraId="79C74CB9" w14:textId="118DE59E" w:rsidR="00DC2EB3" w:rsidRDefault="00DC2EB3" w:rsidP="00B163B6">
      <w:pPr>
        <w:pStyle w:val="Heading2"/>
      </w:pPr>
      <w:bookmarkStart w:id="8" w:name="_Toc200719953"/>
      <w:bookmarkStart w:id="9" w:name="_Toc200721594"/>
      <w:r>
        <w:t>Section</w:t>
      </w:r>
      <w:r w:rsidR="00F0380F">
        <w:t xml:space="preserve"> 0</w:t>
      </w:r>
      <w:r>
        <w:t xml:space="preserve">1: </w:t>
      </w:r>
      <w:r w:rsidR="0019449B">
        <w:t>I</w:t>
      </w:r>
      <w:r>
        <w:t>ntroduction to boycott</w:t>
      </w:r>
      <w:bookmarkEnd w:id="8"/>
      <w:bookmarkEnd w:id="9"/>
    </w:p>
    <w:p w14:paraId="078400EB" w14:textId="77777777" w:rsidR="00D313EB" w:rsidRPr="00D313EB" w:rsidRDefault="00D313EB">
      <w:pPr>
        <w:spacing w:line="360" w:lineRule="auto"/>
        <w:jc w:val="both"/>
        <w:rPr>
          <w:rFonts w:asciiTheme="majorBidi" w:hAnsiTheme="majorBidi" w:cstheme="majorBidi"/>
          <w:sz w:val="24"/>
          <w:szCs w:val="24"/>
          <w:lang w:val="en-GB"/>
        </w:rPr>
      </w:pPr>
      <w:r w:rsidRPr="00D313EB">
        <w:rPr>
          <w:rFonts w:asciiTheme="majorBidi" w:hAnsiTheme="majorBidi" w:cstheme="majorBidi"/>
          <w:sz w:val="24"/>
          <w:szCs w:val="24"/>
          <w:lang w:val="en-GB"/>
        </w:rPr>
        <w:t xml:space="preserve">This section explains what a boycott is, where it comes from, its types, and why people choose to participate in it. </w:t>
      </w:r>
    </w:p>
    <w:p w14:paraId="6DD746F2" w14:textId="3B03453D" w:rsidR="00DC2EB3" w:rsidRPr="00B163B6" w:rsidRDefault="00DC2EB3" w:rsidP="00B163B6">
      <w:pPr>
        <w:pStyle w:val="Heading3"/>
      </w:pPr>
      <w:bookmarkStart w:id="10" w:name="_Toc200719954"/>
      <w:bookmarkStart w:id="11" w:name="_Toc200721595"/>
      <w:r w:rsidRPr="00B163B6">
        <w:t>1-Définition and historical background of boycott</w:t>
      </w:r>
      <w:r w:rsidR="003B547F" w:rsidRPr="00B163B6">
        <w:t>:</w:t>
      </w:r>
      <w:bookmarkEnd w:id="10"/>
      <w:bookmarkEnd w:id="11"/>
    </w:p>
    <w:p w14:paraId="76C9A7EC" w14:textId="4C8F99ED" w:rsidR="00DC2EB3" w:rsidRPr="00B163B6" w:rsidRDefault="00DC2EB3" w:rsidP="00B163B6">
      <w:pPr>
        <w:pStyle w:val="Heading4"/>
      </w:pPr>
      <w:bookmarkStart w:id="12" w:name="_Toc200719955"/>
      <w:bookmarkStart w:id="13" w:name="_Toc200721596"/>
      <w:r w:rsidRPr="00B163B6">
        <w:t>1-1-Définition of boycott</w:t>
      </w:r>
      <w:r w:rsidR="003B547F" w:rsidRPr="00B163B6">
        <w:t>:</w:t>
      </w:r>
      <w:bookmarkEnd w:id="12"/>
      <w:bookmarkEnd w:id="13"/>
    </w:p>
    <w:p w14:paraId="313C0C3C" w14:textId="3C10E76E" w:rsidR="00DC2EB3" w:rsidRDefault="00DC2EB3">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b/>
          <w:bCs/>
          <w:sz w:val="24"/>
          <w:szCs w:val="24"/>
          <w:lang w:val="en-GB" w:eastAsia="fr-FR"/>
        </w:rPr>
        <w:t>Oxford Learner's Dictionaries:</w:t>
      </w:r>
    </w:p>
    <w:p w14:paraId="67AE2B3E" w14:textId="3C1C9F3E" w:rsidR="00DC2EB3" w:rsidRDefault="00DC2EB3">
      <w:pPr>
        <w:numPr>
          <w:ilvl w:val="0"/>
          <w:numId w:val="1"/>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Verb: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To refuse to buy, use, or take part in something as a way of protesting</w:t>
      </w:r>
      <w:r>
        <w:rPr>
          <w:rFonts w:asciiTheme="majorBidi" w:eastAsia="Times New Roman" w:hAnsiTheme="majorBidi" w:cstheme="majorBidi"/>
          <w:sz w:val="24"/>
          <w:szCs w:val="24"/>
          <w:lang w:val="en-US" w:eastAsia="fr-FR"/>
        </w:rPr>
        <w:t>.»</w:t>
      </w:r>
      <w:r>
        <w:rPr>
          <w:rStyle w:val="FootnoteReference"/>
          <w:rFonts w:asciiTheme="majorBidi" w:eastAsia="Times New Roman" w:hAnsiTheme="majorBidi" w:cstheme="majorBidi"/>
          <w:sz w:val="24"/>
          <w:szCs w:val="24"/>
          <w:lang w:eastAsia="fr-FR"/>
        </w:rPr>
        <w:footnoteReference w:id="7"/>
      </w:r>
      <w:r w:rsidR="003B547F">
        <w:rPr>
          <w:rFonts w:asciiTheme="majorBidi" w:eastAsia="Times New Roman" w:hAnsiTheme="majorBidi" w:cstheme="majorBidi"/>
          <w:sz w:val="24"/>
          <w:szCs w:val="24"/>
          <w:lang w:val="en-US" w:eastAsia="fr-FR"/>
        </w:rPr>
        <w:t>.</w:t>
      </w:r>
    </w:p>
    <w:p w14:paraId="1FBDD460" w14:textId="778B32DF" w:rsidR="00DC2EB3" w:rsidRDefault="00DC2EB3">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Merriam-Webster Dictionary:</w:t>
      </w:r>
    </w:p>
    <w:p w14:paraId="50891B19" w14:textId="77777777" w:rsidR="00DC2EB3" w:rsidRDefault="00DC2EB3">
      <w:pPr>
        <w:numPr>
          <w:ilvl w:val="0"/>
          <w:numId w:val="2"/>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Verb: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To engage in a concerted refusal to have dealings with (a person, a store, an organization, etc.) usually to express disapproval or to force acceptance of certain conditions.</w:t>
      </w:r>
      <w:r>
        <w:rPr>
          <w:rFonts w:asciiTheme="majorBidi" w:eastAsia="Times New Roman" w:hAnsiTheme="majorBidi" w:cstheme="majorBidi"/>
          <w:sz w:val="24"/>
          <w:szCs w:val="24"/>
          <w:lang w:val="en-US" w:eastAsia="fr-FR"/>
        </w:rPr>
        <w:t>»</w:t>
      </w:r>
    </w:p>
    <w:p w14:paraId="36E17F13" w14:textId="4010EFAE" w:rsidR="00DC2EB3" w:rsidRDefault="00DC2EB3">
      <w:pPr>
        <w:numPr>
          <w:ilvl w:val="0"/>
          <w:numId w:val="2"/>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Noun: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The practice or an instance of boycotting.</w:t>
      </w:r>
      <w:r>
        <w:rPr>
          <w:rFonts w:asciiTheme="majorBidi" w:eastAsia="Times New Roman" w:hAnsiTheme="majorBidi" w:cstheme="majorBidi"/>
          <w:sz w:val="24"/>
          <w:szCs w:val="24"/>
          <w:lang w:val="en-US" w:eastAsia="fr-FR"/>
        </w:rPr>
        <w:t>»</w:t>
      </w:r>
      <w:r>
        <w:rPr>
          <w:rStyle w:val="FootnoteReference"/>
          <w:rFonts w:asciiTheme="majorBidi" w:eastAsia="Times New Roman" w:hAnsiTheme="majorBidi" w:cstheme="majorBidi"/>
          <w:sz w:val="24"/>
          <w:szCs w:val="24"/>
          <w:lang w:eastAsia="fr-FR"/>
        </w:rPr>
        <w:footnoteReference w:id="8"/>
      </w:r>
      <w:r w:rsidR="00DB0A1F">
        <w:rPr>
          <w:rFonts w:asciiTheme="majorBidi" w:eastAsia="Times New Roman" w:hAnsiTheme="majorBidi" w:cstheme="majorBidi"/>
          <w:sz w:val="24"/>
          <w:szCs w:val="24"/>
          <w:lang w:val="en-US" w:eastAsia="fr-FR"/>
        </w:rPr>
        <w:t>.</w:t>
      </w:r>
    </w:p>
    <w:p w14:paraId="03D4D273" w14:textId="2ECFDE2D" w:rsidR="00DC2EB3" w:rsidRDefault="00DC2EB3">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Cambridge English Dictionary:</w:t>
      </w:r>
    </w:p>
    <w:p w14:paraId="169A3163" w14:textId="77777777" w:rsidR="00DC2EB3" w:rsidRDefault="00DC2EB3">
      <w:pPr>
        <w:numPr>
          <w:ilvl w:val="0"/>
          <w:numId w:val="3"/>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Verb: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To refuse to buy a product or take part in an activity as a way of expressing strong disapproval.</w:t>
      </w:r>
      <w:r>
        <w:rPr>
          <w:rFonts w:asciiTheme="majorBidi" w:eastAsia="Times New Roman" w:hAnsiTheme="majorBidi" w:cstheme="majorBidi"/>
          <w:sz w:val="24"/>
          <w:szCs w:val="24"/>
          <w:lang w:val="en-US" w:eastAsia="fr-FR"/>
        </w:rPr>
        <w:t>»</w:t>
      </w:r>
    </w:p>
    <w:p w14:paraId="346571DE" w14:textId="3D13EA51" w:rsidR="00DC2EB3" w:rsidRDefault="00DC2EB3">
      <w:pPr>
        <w:numPr>
          <w:ilvl w:val="0"/>
          <w:numId w:val="3"/>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Noun: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An act of refusing to buy, use, or take part in something as a way of protesting.</w:t>
      </w:r>
      <w:r>
        <w:rPr>
          <w:rFonts w:asciiTheme="majorBidi" w:eastAsia="Times New Roman" w:hAnsiTheme="majorBidi" w:cstheme="majorBidi"/>
          <w:sz w:val="24"/>
          <w:szCs w:val="24"/>
          <w:lang w:val="en-US" w:eastAsia="fr-FR"/>
        </w:rPr>
        <w:t>»</w:t>
      </w:r>
      <w:r>
        <w:rPr>
          <w:rStyle w:val="FootnoteReference"/>
          <w:rFonts w:asciiTheme="majorBidi" w:eastAsia="Times New Roman" w:hAnsiTheme="majorBidi" w:cstheme="majorBidi"/>
          <w:sz w:val="24"/>
          <w:szCs w:val="24"/>
          <w:lang w:eastAsia="fr-FR"/>
        </w:rPr>
        <w:footnoteReference w:id="9"/>
      </w:r>
      <w:r w:rsidR="00DB0A1F">
        <w:rPr>
          <w:rFonts w:asciiTheme="majorBidi" w:eastAsia="Times New Roman" w:hAnsiTheme="majorBidi" w:cstheme="majorBidi"/>
          <w:sz w:val="24"/>
          <w:szCs w:val="24"/>
          <w:lang w:val="en-US" w:eastAsia="fr-FR"/>
        </w:rPr>
        <w:t>.</w:t>
      </w:r>
    </w:p>
    <w:p w14:paraId="32CE0F64" w14:textId="3115DD19" w:rsidR="00DC2EB3" w:rsidRDefault="00DC2EB3">
      <w:pPr>
        <w:spacing w:before="100" w:beforeAutospacing="1" w:after="100" w:afterAutospacing="1"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b/>
          <w:bCs/>
          <w:sz w:val="24"/>
          <w:szCs w:val="24"/>
          <w:lang w:eastAsia="fr-FR"/>
        </w:rPr>
        <w:t>Britannica Dictionary:</w:t>
      </w:r>
    </w:p>
    <w:p w14:paraId="26313C95" w14:textId="77777777" w:rsidR="00DC2EB3" w:rsidRDefault="00DC2EB3">
      <w:pPr>
        <w:numPr>
          <w:ilvl w:val="0"/>
          <w:numId w:val="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Verb: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To refuse to buy, use, or participate in (something) as a way of protesting; to stop using the goods or services of (a company, country, etc.) until changes are made.</w:t>
      </w:r>
      <w:r>
        <w:rPr>
          <w:rFonts w:asciiTheme="majorBidi" w:eastAsia="Times New Roman" w:hAnsiTheme="majorBidi" w:cstheme="majorBidi"/>
          <w:sz w:val="24"/>
          <w:szCs w:val="24"/>
          <w:lang w:val="en-US" w:eastAsia="fr-FR"/>
        </w:rPr>
        <w:t>»</w:t>
      </w:r>
    </w:p>
    <w:p w14:paraId="49EDDE05" w14:textId="76D3F967" w:rsidR="00DC2EB3" w:rsidRDefault="00DC2EB3">
      <w:pPr>
        <w:numPr>
          <w:ilvl w:val="0"/>
          <w:numId w:val="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Noun: </w:t>
      </w:r>
      <w:r>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GB" w:eastAsia="fr-FR"/>
        </w:rPr>
        <w:t>An often organized act of boycotting something.</w:t>
      </w:r>
      <w:r>
        <w:rPr>
          <w:rFonts w:asciiTheme="majorBidi" w:eastAsia="Times New Roman" w:hAnsiTheme="majorBidi" w:cstheme="majorBidi"/>
          <w:sz w:val="24"/>
          <w:szCs w:val="24"/>
          <w:lang w:val="en-US" w:eastAsia="fr-FR"/>
        </w:rPr>
        <w:t>»</w:t>
      </w:r>
      <w:r>
        <w:rPr>
          <w:rStyle w:val="FootnoteReference"/>
          <w:rFonts w:asciiTheme="majorBidi" w:eastAsia="Times New Roman" w:hAnsiTheme="majorBidi" w:cstheme="majorBidi"/>
          <w:sz w:val="24"/>
          <w:szCs w:val="24"/>
          <w:lang w:eastAsia="fr-FR"/>
        </w:rPr>
        <w:footnoteReference w:id="10"/>
      </w:r>
      <w:r w:rsidR="00DB0A1F">
        <w:rPr>
          <w:rFonts w:asciiTheme="majorBidi" w:eastAsia="Times New Roman" w:hAnsiTheme="majorBidi" w:cstheme="majorBidi"/>
          <w:sz w:val="24"/>
          <w:szCs w:val="24"/>
          <w:lang w:val="en-US" w:eastAsia="fr-FR"/>
        </w:rPr>
        <w:t>.</w:t>
      </w:r>
    </w:p>
    <w:p w14:paraId="3EA99F60" w14:textId="77777777" w:rsidR="00DC2EB3" w:rsidRPr="0099189A" w:rsidRDefault="00DC2EB3">
      <w:pPr>
        <w:spacing w:line="360" w:lineRule="auto"/>
        <w:jc w:val="both"/>
        <w:rPr>
          <w:rFonts w:asciiTheme="majorBidi" w:hAnsiTheme="majorBidi" w:cstheme="majorBidi"/>
          <w:sz w:val="24"/>
          <w:szCs w:val="24"/>
          <w:lang w:val="en-GB"/>
        </w:rPr>
      </w:pPr>
      <w:r w:rsidRPr="0099189A">
        <w:rPr>
          <w:rFonts w:asciiTheme="majorBidi" w:hAnsiTheme="majorBidi" w:cstheme="majorBidi"/>
          <w:sz w:val="24"/>
          <w:szCs w:val="24"/>
          <w:lang w:val="en-GB"/>
        </w:rPr>
        <w:t>From the totality of these definitions, we can conclude that:</w:t>
      </w:r>
    </w:p>
    <w:p w14:paraId="0C5401D1" w14:textId="3DFAFFAB" w:rsidR="00DC2EB3" w:rsidRDefault="00F0380F">
      <w:pPr>
        <w:spacing w:line="360" w:lineRule="auto"/>
        <w:jc w:val="both"/>
        <w:rPr>
          <w:rFonts w:asciiTheme="majorBidi" w:hAnsiTheme="majorBidi" w:cstheme="majorBidi"/>
          <w:sz w:val="24"/>
          <w:szCs w:val="24"/>
          <w:lang w:val="en-GB"/>
        </w:rPr>
      </w:pPr>
      <w:r w:rsidRPr="0099189A">
        <w:rPr>
          <w:rFonts w:asciiTheme="majorBidi" w:hAnsiTheme="majorBidi" w:cstheme="majorBidi"/>
          <w:sz w:val="24"/>
          <w:szCs w:val="24"/>
          <w:lang w:val="en-GB"/>
        </w:rPr>
        <w:t xml:space="preserve">   </w:t>
      </w:r>
      <w:r w:rsidR="00DC2EB3" w:rsidRPr="0099189A">
        <w:rPr>
          <w:rFonts w:asciiTheme="majorBidi" w:hAnsiTheme="majorBidi" w:cstheme="majorBidi"/>
          <w:sz w:val="24"/>
          <w:szCs w:val="24"/>
          <w:lang w:val="en-GB"/>
        </w:rPr>
        <w:t>A boycott</w:t>
      </w:r>
      <w:r w:rsidR="00DC2EB3">
        <w:rPr>
          <w:rFonts w:asciiTheme="majorBidi" w:hAnsiTheme="majorBidi" w:cstheme="majorBidi"/>
          <w:b/>
          <w:bCs/>
          <w:sz w:val="24"/>
          <w:szCs w:val="24"/>
          <w:lang w:val="en-GB"/>
        </w:rPr>
        <w:t xml:space="preserve"> </w:t>
      </w:r>
      <w:r w:rsidR="00DC2EB3">
        <w:rPr>
          <w:rFonts w:asciiTheme="majorBidi" w:hAnsiTheme="majorBidi" w:cstheme="majorBidi"/>
          <w:sz w:val="24"/>
          <w:szCs w:val="24"/>
          <w:lang w:val="en-GB"/>
        </w:rPr>
        <w:t>is when people intentionally stop buying, using, or supporting a product, service, or organization to protest or show disapproval. It’s a way to take a stand against certain practices, push for change, or make a political or social statement. Whether done by individuals or groups, the idea is to apply pressure by refusing to participate, hoping to influence decisions, policies, or behaviors. The ultimate goal is to bring about change or get certain demands met.</w:t>
      </w:r>
    </w:p>
    <w:p w14:paraId="0DD65D89" w14:textId="31A59A26" w:rsidR="00DC2EB3" w:rsidRPr="003B547F" w:rsidRDefault="00DC2EB3" w:rsidP="00B163B6">
      <w:pPr>
        <w:pStyle w:val="Heading4"/>
      </w:pPr>
      <w:bookmarkStart w:id="14" w:name="_Toc200719956"/>
      <w:bookmarkStart w:id="15" w:name="_Toc200721597"/>
      <w:r w:rsidRPr="003B547F">
        <w:t>1-2-Understanding the Concept of Boycott</w:t>
      </w:r>
      <w:r w:rsidR="003B547F">
        <w:t>:</w:t>
      </w:r>
      <w:bookmarkEnd w:id="14"/>
      <w:bookmarkEnd w:id="15"/>
    </w:p>
    <w:p w14:paraId="73CF037E" w14:textId="42B2C01D" w:rsidR="00DC2EB3" w:rsidRDefault="0099189A">
      <w:pPr>
        <w:pStyle w:val="NormalWeb"/>
        <w:spacing w:line="360" w:lineRule="auto"/>
        <w:jc w:val="both"/>
        <w:rPr>
          <w:lang w:val="en-GB"/>
        </w:rPr>
      </w:pPr>
      <w:r>
        <w:rPr>
          <w:lang w:val="en-GB"/>
        </w:rPr>
        <w:t xml:space="preserve">   </w:t>
      </w:r>
      <w:r w:rsidR="00DC2EB3">
        <w:rPr>
          <w:lang w:val="en-GB"/>
        </w:rPr>
        <w:t>The word "boycott" comes from an English land agent, Captain Charles Boycott, who worked in Ireland in 1880. He imposed high rents on farmers, which led to widespread anger. In response, the Irish community refused to work with him or pay the rents, leading to the term "boycott" as we know it today.</w:t>
      </w:r>
    </w:p>
    <w:p w14:paraId="67C5F7DA" w14:textId="77777777" w:rsidR="00DC2EB3" w:rsidRDefault="00DC2EB3">
      <w:pPr>
        <w:pStyle w:val="NormalWeb"/>
        <w:spacing w:line="360" w:lineRule="auto"/>
        <w:jc w:val="both"/>
        <w:rPr>
          <w:lang w:val="en-GB"/>
        </w:rPr>
      </w:pPr>
      <w:r>
        <w:rPr>
          <w:b/>
          <w:bCs/>
          <w:lang w:val="en-GB"/>
        </w:rPr>
        <w:t xml:space="preserve">                                           Figure1:</w:t>
      </w:r>
      <w:r>
        <w:rPr>
          <w:rFonts w:ascii="Montserrat" w:eastAsiaTheme="minorHAnsi" w:hAnsi="Montserrat" w:cstheme="minorBidi"/>
          <w:color w:val="111111"/>
          <w:sz w:val="26"/>
          <w:szCs w:val="26"/>
          <w:shd w:val="clear" w:color="auto" w:fill="FFFFFF"/>
          <w:lang w:eastAsia="en-US"/>
        </w:rPr>
        <w:t xml:space="preserve"> </w:t>
      </w:r>
      <w:r>
        <w:t>Charles Cunningham Boycott</w:t>
      </w:r>
    </w:p>
    <w:p w14:paraId="30C2426F" w14:textId="77777777" w:rsidR="00DC2EB3" w:rsidRDefault="00DC2EB3">
      <w:pPr>
        <w:pStyle w:val="NormalWeb"/>
        <w:spacing w:line="360" w:lineRule="auto"/>
        <w:jc w:val="center"/>
        <w:rPr>
          <w:lang w:val="en-GB"/>
        </w:rPr>
      </w:pPr>
      <w:r>
        <w:rPr>
          <w:noProof/>
          <w:lang w:val="en-GB"/>
        </w:rPr>
        <w:drawing>
          <wp:inline distT="0" distB="0" distL="0" distR="0" wp14:anchorId="01626AA4" wp14:editId="37A1BAD1">
            <wp:extent cx="2901950" cy="3263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901950" cy="3263900"/>
                    </a:xfrm>
                    <a:prstGeom prst="rect">
                      <a:avLst/>
                    </a:prstGeom>
                  </pic:spPr>
                </pic:pic>
              </a:graphicData>
            </a:graphic>
          </wp:inline>
        </w:drawing>
      </w:r>
    </w:p>
    <w:p w14:paraId="277B66CE" w14:textId="77777777" w:rsidR="00DC2EB3" w:rsidRDefault="00DC2EB3" w:rsidP="00DB0A1F">
      <w:pPr>
        <w:pStyle w:val="NormalWeb"/>
        <w:spacing w:line="360" w:lineRule="auto"/>
        <w:jc w:val="center"/>
      </w:pPr>
      <w:r>
        <w:rPr>
          <w:b/>
          <w:bCs/>
        </w:rPr>
        <w:t>Source:</w:t>
      </w:r>
      <w:r>
        <w:t xml:space="preserve"> https://cmonionline.com/2022/06/19/on-this-day-the-death-of-charles-cunningham-boycott/ (consulted avril 25,2025)</w:t>
      </w:r>
    </w:p>
    <w:p w14:paraId="4423B571" w14:textId="5FFB0AFB" w:rsidR="00DC2EB3" w:rsidRDefault="00F0380F">
      <w:pPr>
        <w:pStyle w:val="NormalWeb"/>
        <w:spacing w:line="360" w:lineRule="auto"/>
        <w:jc w:val="both"/>
        <w:rPr>
          <w:lang w:val="en-GB"/>
        </w:rPr>
      </w:pPr>
      <w:r w:rsidRPr="00C401F5">
        <w:t xml:space="preserve">   </w:t>
      </w:r>
      <w:r w:rsidR="00DC2EB3">
        <w:rPr>
          <w:lang w:val="en-GB"/>
        </w:rPr>
        <w:t>A boycott is a way for people to take a stand against companies, governments, or individuals by refusing to buy their products or engage with them. It is often used to push for fair treatment of workers, better environmental practices, or ethical business behavior.</w:t>
      </w:r>
    </w:p>
    <w:p w14:paraId="28F48A44" w14:textId="308F8A65" w:rsidR="00DC2EB3" w:rsidRDefault="00F0380F">
      <w:pPr>
        <w:pStyle w:val="NormalWeb"/>
        <w:spacing w:line="360" w:lineRule="auto"/>
        <w:jc w:val="both"/>
        <w:rPr>
          <w:lang w:val="en-GB"/>
        </w:rPr>
      </w:pPr>
      <w:r>
        <w:rPr>
          <w:lang w:val="en-GB"/>
        </w:rPr>
        <w:t xml:space="preserve">   </w:t>
      </w:r>
      <w:r w:rsidR="00DC2EB3">
        <w:rPr>
          <w:lang w:val="en-GB"/>
        </w:rPr>
        <w:t>Different cultures define boycotts in slightly different ways. In Malay, it means avoiding or cutting off communication with someone. In Arabic, the word "al-Muqāṭa`ah al-iqtişādiyyah" refers to stopping all economic or social interactions based on social rules.</w:t>
      </w:r>
    </w:p>
    <w:p w14:paraId="486920DA" w14:textId="2C6D0998" w:rsidR="00DC2EB3" w:rsidRDefault="00F0380F">
      <w:pPr>
        <w:pStyle w:val="NormalWeb"/>
        <w:spacing w:line="360" w:lineRule="auto"/>
        <w:jc w:val="both"/>
        <w:rPr>
          <w:lang w:val="en-GB"/>
        </w:rPr>
      </w:pPr>
      <w:r>
        <w:rPr>
          <w:lang w:val="en-GB"/>
        </w:rPr>
        <w:t xml:space="preserve">   </w:t>
      </w:r>
      <w:r w:rsidR="00DC2EB3">
        <w:rPr>
          <w:lang w:val="en-GB"/>
        </w:rPr>
        <w:t>Boycotts can take different forms, such as protests, strikes, and public campaigns urging people not to buy certain products. They can target businesses that mistreat workers or governments that violate human rights.</w:t>
      </w:r>
    </w:p>
    <w:p w14:paraId="041E3659" w14:textId="11EBB05B" w:rsidR="00DC2EB3" w:rsidRDefault="00F0380F">
      <w:pPr>
        <w:pStyle w:val="NormalWeb"/>
        <w:spacing w:line="360" w:lineRule="auto"/>
        <w:jc w:val="both"/>
        <w:rPr>
          <w:lang w:val="en-GB"/>
        </w:rPr>
      </w:pPr>
      <w:r>
        <w:rPr>
          <w:lang w:val="en-GB"/>
        </w:rPr>
        <w:t xml:space="preserve">   </w:t>
      </w:r>
      <w:r w:rsidR="00DC2EB3">
        <w:rPr>
          <w:lang w:val="en-GB"/>
        </w:rPr>
        <w:t>However, boycotts can also have downsides. For example, if a business is boycotted, it might suffer financially, affecting employees and local economies. A related concept is "blacklisting," where a person or company is officially excluded or discriminated against.</w:t>
      </w:r>
    </w:p>
    <w:p w14:paraId="16179E12" w14:textId="4F41B770" w:rsidR="00DC2EB3" w:rsidRDefault="00F0380F">
      <w:pPr>
        <w:pStyle w:val="NormalWeb"/>
        <w:spacing w:line="360" w:lineRule="auto"/>
        <w:jc w:val="both"/>
        <w:rPr>
          <w:lang w:val="en-GB"/>
        </w:rPr>
      </w:pPr>
      <w:r>
        <w:rPr>
          <w:lang w:val="en-GB"/>
        </w:rPr>
        <w:t xml:space="preserve">   </w:t>
      </w:r>
      <w:r w:rsidR="00DC2EB3">
        <w:rPr>
          <w:lang w:val="en-GB"/>
        </w:rPr>
        <w:t>A boycott is different from an embargo. While a boycott is voluntary and organized by individuals or groups, an embargo is a legal ban imposed by governments, often in international relations. An embargo can restrict trade with a country, such as banning exports or imports. Unlike a blockade, which is an act of war that forcibly stops supplies from entering a region, an embargo follows legal procedures.</w:t>
      </w:r>
    </w:p>
    <w:p w14:paraId="2317D2AF" w14:textId="09A825BE" w:rsidR="00DC2EB3" w:rsidRDefault="00F0380F">
      <w:pPr>
        <w:pStyle w:val="NormalWeb"/>
        <w:spacing w:line="360" w:lineRule="auto"/>
        <w:jc w:val="both"/>
        <w:rPr>
          <w:lang w:val="en-GB"/>
        </w:rPr>
      </w:pPr>
      <w:r>
        <w:rPr>
          <w:lang w:val="en-GB"/>
        </w:rPr>
        <w:t xml:space="preserve">   </w:t>
      </w:r>
      <w:r w:rsidR="00DC2EB3">
        <w:rPr>
          <w:lang w:val="en-GB"/>
        </w:rPr>
        <w:t>For example, Israel imposed an embargo on Gaza, limiting the entry of goods and aid. While embargoes are legal, blockades are seen as aggressive military actions.</w:t>
      </w:r>
    </w:p>
    <w:p w14:paraId="63FA5B9D" w14:textId="38AFE3B6" w:rsidR="00DC2EB3" w:rsidRDefault="00F0380F">
      <w:pPr>
        <w:pStyle w:val="NormalWeb"/>
        <w:spacing w:line="360" w:lineRule="auto"/>
        <w:jc w:val="both"/>
        <w:rPr>
          <w:lang w:val="en-GB"/>
        </w:rPr>
      </w:pPr>
      <w:r>
        <w:rPr>
          <w:lang w:val="en-GB"/>
        </w:rPr>
        <w:t xml:space="preserve">   </w:t>
      </w:r>
      <w:r w:rsidR="00DC2EB3">
        <w:rPr>
          <w:lang w:val="en-GB"/>
        </w:rPr>
        <w:t>In short, a boycott is a peaceful way for people to push for change, while embargoes and blockades are government-enforced restrictions with wider political implications</w:t>
      </w:r>
      <w:r w:rsidR="00DC2EB3">
        <w:rPr>
          <w:rStyle w:val="FootnoteReference"/>
        </w:rPr>
        <w:footnoteReference w:id="11"/>
      </w:r>
      <w:r w:rsidR="00DB0A1F">
        <w:rPr>
          <w:lang w:val="en-GB"/>
        </w:rPr>
        <w:t>.</w:t>
      </w:r>
    </w:p>
    <w:p w14:paraId="16998049" w14:textId="1ECE0A28" w:rsidR="00DC2EB3" w:rsidRPr="003B547F" w:rsidRDefault="00DC2EB3" w:rsidP="00B163B6">
      <w:pPr>
        <w:pStyle w:val="Heading3"/>
        <w:rPr>
          <w:lang w:eastAsia="fr-FR"/>
        </w:rPr>
      </w:pPr>
      <w:bookmarkStart w:id="16" w:name="_Toc200719957"/>
      <w:bookmarkStart w:id="17" w:name="_Toc200721598"/>
      <w:r w:rsidRPr="003B547F">
        <w:rPr>
          <w:lang w:eastAsia="fr-FR"/>
        </w:rPr>
        <w:t xml:space="preserve">2-Types of </w:t>
      </w:r>
      <w:r w:rsidR="00F0380F" w:rsidRPr="003B547F">
        <w:rPr>
          <w:lang w:eastAsia="fr-FR"/>
        </w:rPr>
        <w:t>boycotts</w:t>
      </w:r>
      <w:r w:rsidR="003B547F">
        <w:rPr>
          <w:lang w:eastAsia="fr-FR"/>
        </w:rPr>
        <w:t>:</w:t>
      </w:r>
      <w:bookmarkEnd w:id="16"/>
      <w:bookmarkEnd w:id="17"/>
    </w:p>
    <w:p w14:paraId="19DB39BA" w14:textId="2A6FFF9A" w:rsidR="00DC2EB3" w:rsidRDefault="00F0380F" w:rsidP="00074785">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Boycotts happen for different reasons, depending on what people want to change. Here are some common types:</w:t>
      </w:r>
    </w:p>
    <w:p w14:paraId="0A4259CF" w14:textId="39176DC2" w:rsidR="00DC2EB3" w:rsidRPr="00074785" w:rsidRDefault="00DC2EB3" w:rsidP="00B163B6">
      <w:pPr>
        <w:pStyle w:val="Heading4"/>
        <w:rPr>
          <w:lang w:eastAsia="fr-FR"/>
        </w:rPr>
      </w:pPr>
      <w:bookmarkStart w:id="18" w:name="_Toc200719958"/>
      <w:bookmarkStart w:id="19" w:name="_Toc200721599"/>
      <w:r>
        <w:rPr>
          <w:lang w:eastAsia="fr-FR"/>
        </w:rPr>
        <w:t>2-1. Economic Boycott</w:t>
      </w:r>
      <w:r w:rsidR="003B547F">
        <w:rPr>
          <w:lang w:eastAsia="fr-FR"/>
        </w:rPr>
        <w:t>:</w:t>
      </w:r>
      <w:bookmarkEnd w:id="18"/>
      <w:bookmarkEnd w:id="19"/>
    </w:p>
    <w:p w14:paraId="4C662573" w14:textId="77777777" w:rsidR="00D32E01" w:rsidRDefault="00DC2EB3" w:rsidP="00D32E01">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What is it?</w:t>
      </w:r>
    </w:p>
    <w:p w14:paraId="2E7C0762" w14:textId="31307B9D" w:rsidR="00DC2EB3" w:rsidRPr="00D32E01" w:rsidRDefault="00F0380F" w:rsidP="00D32E01">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An economic boycott happens when people stop buying from a company or industry because of unfair business practices, low wages, or poor working conditions. The goal is to push companies to treat workers better or operate more ethically.</w:t>
      </w:r>
    </w:p>
    <w:p w14:paraId="67340261"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Examples:</w:t>
      </w:r>
    </w:p>
    <w:p w14:paraId="34DDD45B" w14:textId="77777777" w:rsidR="00DD1A30" w:rsidRDefault="00DC2EB3" w:rsidP="00DD1A30">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Nike Sweatshop Scandal (1990s–2000s):</w:t>
      </w:r>
    </w:p>
    <w:p w14:paraId="514C43E4" w14:textId="22ABD382" w:rsidR="00DC2EB3" w:rsidRPr="00DD1A30" w:rsidRDefault="00DC2EB3" w:rsidP="00DD1A30">
      <w:pPr>
        <w:tabs>
          <w:tab w:val="left" w:pos="720"/>
        </w:tabs>
        <w:spacing w:before="100" w:beforeAutospacing="1" w:after="100" w:afterAutospacing="1" w:line="360" w:lineRule="auto"/>
        <w:ind w:left="720"/>
        <w:jc w:val="both"/>
        <w:rPr>
          <w:rFonts w:ascii="Times New Roman" w:eastAsia="Times New Roman" w:hAnsi="Times New Roman" w:cs="Times New Roman"/>
          <w:sz w:val="24"/>
          <w:szCs w:val="24"/>
          <w:lang w:val="en-GB" w:eastAsia="fr-FR"/>
        </w:rPr>
      </w:pPr>
      <w:r w:rsidRPr="00DD1A30">
        <w:rPr>
          <w:rFonts w:ascii="Times New Roman" w:eastAsia="Times New Roman" w:hAnsi="Times New Roman" w:cs="Times New Roman"/>
          <w:sz w:val="24"/>
          <w:szCs w:val="24"/>
          <w:lang w:val="en-GB" w:eastAsia="fr-FR"/>
        </w:rPr>
        <w:t>Consumers boycotted Nike after reports that the company was using sweatshops in Asia. In response, Nike improved its labor policies.</w:t>
      </w:r>
    </w:p>
    <w:p w14:paraId="147568F2"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Effects:</w:t>
      </w:r>
    </w:p>
    <w:p w14:paraId="7747B618" w14:textId="77777777" w:rsidR="00DC2EB3" w:rsidRDefault="00DC2EB3">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Companies can lose money.</w:t>
      </w:r>
    </w:p>
    <w:p w14:paraId="1521C10A" w14:textId="19AFDA6C" w:rsidR="00DC2EB3" w:rsidRDefault="00DC2EB3">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Some businesses may change their policies to win back customers' trust, such as improving wages or working conditions</w:t>
      </w:r>
      <w:r>
        <w:rPr>
          <w:rStyle w:val="FootnoteReference"/>
          <w:rFonts w:ascii="Times New Roman" w:eastAsia="Times New Roman" w:hAnsi="Times New Roman" w:cs="Times New Roman"/>
          <w:sz w:val="24"/>
          <w:szCs w:val="24"/>
          <w:lang w:eastAsia="fr-FR"/>
        </w:rPr>
        <w:footnoteReference w:id="12"/>
      </w:r>
      <w:bookmarkStart w:id="20" w:name="_Hlk193298384"/>
      <w:r w:rsidR="00DB0A1F">
        <w:rPr>
          <w:rFonts w:ascii="Times New Roman" w:eastAsia="Times New Roman" w:hAnsi="Times New Roman" w:cs="Times New Roman"/>
          <w:sz w:val="24"/>
          <w:szCs w:val="24"/>
          <w:lang w:val="en-GB" w:eastAsia="fr-FR"/>
        </w:rPr>
        <w:t>.</w:t>
      </w:r>
    </w:p>
    <w:p w14:paraId="4AF75C19" w14:textId="1A2E432A" w:rsidR="00DC2EB3" w:rsidRPr="000F7A21" w:rsidRDefault="00DC2EB3" w:rsidP="00B163B6">
      <w:pPr>
        <w:pStyle w:val="Heading4"/>
        <w:rPr>
          <w:lang w:eastAsia="fr-FR"/>
        </w:rPr>
      </w:pPr>
      <w:bookmarkStart w:id="21" w:name="_Toc200719959"/>
      <w:bookmarkStart w:id="22" w:name="_Toc200721600"/>
      <w:r w:rsidRPr="000F7A21">
        <w:rPr>
          <w:lang w:eastAsia="fr-FR"/>
        </w:rPr>
        <w:t>2-2. Political Boycott</w:t>
      </w:r>
      <w:r w:rsidR="000F7A21">
        <w:rPr>
          <w:lang w:eastAsia="fr-FR"/>
        </w:rPr>
        <w:t>:</w:t>
      </w:r>
      <w:bookmarkEnd w:id="21"/>
      <w:bookmarkEnd w:id="22"/>
    </w:p>
    <w:p w14:paraId="2DF63602" w14:textId="77777777" w:rsidR="0077354A" w:rsidRDefault="00DC2EB3" w:rsidP="0077354A">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What is it?</w:t>
      </w:r>
    </w:p>
    <w:p w14:paraId="0E94FF28" w14:textId="06939250" w:rsidR="00DC2EB3" w:rsidRPr="0077354A" w:rsidRDefault="00F0380F" w:rsidP="0077354A">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 political boycott happens when people or organizations stop supporting a company, country, or individual because of their political beliefs, policies, or actions. The goal is to push for change by applying economic and social pressure.</w:t>
      </w:r>
    </w:p>
    <w:p w14:paraId="050D4D5E"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Examples:</w:t>
      </w:r>
    </w:p>
    <w:p w14:paraId="068A5D1E" w14:textId="77777777" w:rsidR="0077354A" w:rsidRDefault="00DC2EB3" w:rsidP="0077354A">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Montgomery Bus Boycott (1955–1956):</w:t>
      </w:r>
    </w:p>
    <w:p w14:paraId="6A5DCC96" w14:textId="0E2278FF" w:rsidR="00DC2EB3" w:rsidRPr="0077354A" w:rsidRDefault="00F0380F"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sidRPr="0077354A">
        <w:rPr>
          <w:rFonts w:ascii="Times New Roman" w:eastAsia="Times New Roman" w:hAnsi="Times New Roman" w:cs="Times New Roman"/>
          <w:sz w:val="24"/>
          <w:szCs w:val="24"/>
          <w:lang w:val="en-GB" w:eastAsia="fr-FR"/>
        </w:rPr>
        <w:t>After Rosa Parks was arrested for refusing to give up her seat, African Americans in Montgomery, Alabama, stopped using city buses to protest racial segregation. Their efforts led to the desegregation of public transportation.</w:t>
      </w:r>
    </w:p>
    <w:p w14:paraId="5C08833D" w14:textId="77777777" w:rsidR="0077354A" w:rsidRPr="0077354A" w:rsidRDefault="00DC2EB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Boycott of Russian Products (2022–present)</w:t>
      </w:r>
      <w:r w:rsidR="0077354A">
        <w:rPr>
          <w:rFonts w:ascii="Times New Roman" w:eastAsia="Times New Roman" w:hAnsi="Times New Roman" w:cs="Times New Roman"/>
          <w:b/>
          <w:bCs/>
          <w:sz w:val="24"/>
          <w:szCs w:val="24"/>
          <w:lang w:val="en-GB" w:eastAsia="fr-FR"/>
        </w:rPr>
        <w:t>:</w:t>
      </w:r>
    </w:p>
    <w:p w14:paraId="2B7E9499" w14:textId="2076E46F" w:rsidR="00DC2EB3" w:rsidRDefault="00F0380F"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Many Western countries and businesses stopped buying Russian products after Russia invaded Ukraine, aiming to weaken its economy and pressure its government.</w:t>
      </w:r>
    </w:p>
    <w:p w14:paraId="32177FF5"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Effects:</w:t>
      </w:r>
    </w:p>
    <w:p w14:paraId="4A94B3B1" w14:textId="77777777" w:rsidR="00DC2EB3" w:rsidRDefault="00DC2EB3">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Can influence political decisions and policies.</w:t>
      </w:r>
    </w:p>
    <w:p w14:paraId="45BE7766" w14:textId="1777C6FD" w:rsidR="00DC2EB3" w:rsidRDefault="00DC2EB3">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May lead to economic consequences like trade restrictions or diplomatic tensions</w:t>
      </w:r>
      <w:r>
        <w:rPr>
          <w:rStyle w:val="FootnoteReference"/>
          <w:rFonts w:ascii="Times New Roman" w:eastAsia="Times New Roman" w:hAnsi="Times New Roman" w:cs="Times New Roman"/>
          <w:sz w:val="24"/>
          <w:szCs w:val="24"/>
          <w:lang w:eastAsia="fr-FR"/>
        </w:rPr>
        <w:footnoteReference w:id="13"/>
      </w:r>
      <w:bookmarkStart w:id="23" w:name="_Hlk193298441"/>
      <w:bookmarkEnd w:id="20"/>
      <w:r w:rsidR="00DB0A1F">
        <w:rPr>
          <w:rFonts w:ascii="Times New Roman" w:eastAsia="Times New Roman" w:hAnsi="Times New Roman" w:cs="Times New Roman"/>
          <w:sz w:val="24"/>
          <w:szCs w:val="24"/>
          <w:lang w:val="en-GB" w:eastAsia="fr-FR"/>
        </w:rPr>
        <w:t>.</w:t>
      </w:r>
    </w:p>
    <w:p w14:paraId="36F765B0" w14:textId="74211E0E" w:rsidR="00DC2EB3" w:rsidRPr="000F7A21" w:rsidRDefault="00DC2EB3" w:rsidP="00B163B6">
      <w:pPr>
        <w:pStyle w:val="Heading4"/>
        <w:rPr>
          <w:lang w:eastAsia="fr-FR"/>
        </w:rPr>
      </w:pPr>
      <w:bookmarkStart w:id="24" w:name="_Toc200719960"/>
      <w:bookmarkStart w:id="25" w:name="_Toc200721601"/>
      <w:r w:rsidRPr="000F7A21">
        <w:rPr>
          <w:lang w:eastAsia="fr-FR"/>
        </w:rPr>
        <w:t>2-3. Social Boycott</w:t>
      </w:r>
      <w:r w:rsidR="000F7A21">
        <w:rPr>
          <w:lang w:eastAsia="fr-FR"/>
        </w:rPr>
        <w:t>:</w:t>
      </w:r>
      <w:bookmarkEnd w:id="24"/>
      <w:bookmarkEnd w:id="25"/>
    </w:p>
    <w:p w14:paraId="552F93B4" w14:textId="77777777" w:rsidR="0077354A" w:rsidRDefault="00DC2EB3">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What is it?</w:t>
      </w:r>
    </w:p>
    <w:p w14:paraId="4C04DE6A" w14:textId="6AEDAFB0" w:rsidR="00DC2EB3" w:rsidRDefault="00F0380F">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 social boycott happens when people stop supporting businesses, individuals, or organizations that are involved in discrimination, injustice, or unethical behavior. These boycotts often focus on human rights, gender equality</w:t>
      </w:r>
      <w:r w:rsidR="00DB0A1F">
        <w:rPr>
          <w:rFonts w:ascii="Times New Roman" w:eastAsia="Times New Roman" w:hAnsi="Times New Roman" w:cs="Times New Roman"/>
          <w:sz w:val="24"/>
          <w:szCs w:val="24"/>
          <w:lang w:val="en-GB" w:eastAsia="fr-FR"/>
        </w:rPr>
        <w:t xml:space="preserve"> or</w:t>
      </w:r>
      <w:r w:rsidR="00DC2EB3">
        <w:rPr>
          <w:rFonts w:ascii="Times New Roman" w:eastAsia="Times New Roman" w:hAnsi="Times New Roman" w:cs="Times New Roman"/>
          <w:sz w:val="24"/>
          <w:szCs w:val="24"/>
          <w:lang w:val="en-GB" w:eastAsia="fr-FR"/>
        </w:rPr>
        <w:t xml:space="preserve"> racism.</w:t>
      </w:r>
    </w:p>
    <w:p w14:paraId="71D55B4D"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Examples:</w:t>
      </w:r>
    </w:p>
    <w:p w14:paraId="3D8AB708" w14:textId="77777777" w:rsidR="0077354A" w:rsidRPr="0077354A" w:rsidRDefault="00DC2EB3">
      <w:pPr>
        <w:numPr>
          <w:ilvl w:val="0"/>
          <w:numId w:val="9"/>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H&amp;M Boycott (2021):</w:t>
      </w:r>
    </w:p>
    <w:p w14:paraId="5F869807" w14:textId="0D9C8773" w:rsidR="00DC2EB3" w:rsidRDefault="00DC2EB3"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Consumers stopped buying from H&amp;M after reports that the company used forced labor from China’s Uyghur population.</w:t>
      </w:r>
    </w:p>
    <w:p w14:paraId="49833C47"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Effects:</w:t>
      </w:r>
    </w:p>
    <w:p w14:paraId="4AAC53AC" w14:textId="77777777" w:rsidR="00DC2EB3" w:rsidRDefault="00DC2EB3">
      <w:pPr>
        <w:numPr>
          <w:ilvl w:val="0"/>
          <w:numId w:val="10"/>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Companies may change their policies to be more socially responsible.</w:t>
      </w:r>
    </w:p>
    <w:p w14:paraId="5012CC31" w14:textId="143BC42F" w:rsidR="00DC2EB3" w:rsidRDefault="00DC2EB3">
      <w:pPr>
        <w:numPr>
          <w:ilvl w:val="0"/>
          <w:numId w:val="10"/>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Businesses often try to improve their image by aligning with public values</w:t>
      </w:r>
      <w:r>
        <w:rPr>
          <w:rStyle w:val="FootnoteReference"/>
          <w:rFonts w:ascii="Times New Roman" w:eastAsia="Times New Roman" w:hAnsi="Times New Roman" w:cs="Times New Roman"/>
          <w:sz w:val="24"/>
          <w:szCs w:val="24"/>
          <w:lang w:eastAsia="fr-FR"/>
        </w:rPr>
        <w:footnoteReference w:id="14"/>
      </w:r>
      <w:bookmarkEnd w:id="23"/>
      <w:r w:rsidR="00DB0A1F">
        <w:rPr>
          <w:rFonts w:ascii="Times New Roman" w:eastAsia="Times New Roman" w:hAnsi="Times New Roman" w:cs="Times New Roman"/>
          <w:sz w:val="24"/>
          <w:szCs w:val="24"/>
          <w:lang w:val="en-GB" w:eastAsia="fr-FR"/>
        </w:rPr>
        <w:t>.</w:t>
      </w:r>
    </w:p>
    <w:p w14:paraId="7C30646A" w14:textId="6306E005" w:rsidR="00DC2EB3" w:rsidRPr="000F7A21" w:rsidRDefault="00DC2EB3" w:rsidP="00B163B6">
      <w:pPr>
        <w:pStyle w:val="Heading4"/>
        <w:rPr>
          <w:lang w:eastAsia="fr-FR"/>
        </w:rPr>
      </w:pPr>
      <w:bookmarkStart w:id="26" w:name="_Toc200719961"/>
      <w:bookmarkStart w:id="27" w:name="_Toc200721602"/>
      <w:r w:rsidRPr="000F7A21">
        <w:rPr>
          <w:lang w:eastAsia="fr-FR"/>
        </w:rPr>
        <w:t>2-4. Ethical/Environmental Boycott</w:t>
      </w:r>
      <w:r w:rsidR="000F7A21">
        <w:rPr>
          <w:lang w:eastAsia="fr-FR"/>
        </w:rPr>
        <w:t>:</w:t>
      </w:r>
      <w:bookmarkEnd w:id="26"/>
      <w:bookmarkEnd w:id="27"/>
    </w:p>
    <w:p w14:paraId="5F5A7D46" w14:textId="77777777" w:rsidR="0077354A" w:rsidRDefault="00DC2EB3">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What is it?</w:t>
      </w:r>
    </w:p>
    <w:p w14:paraId="678936EF" w14:textId="4AF1A240" w:rsidR="00DC2EB3" w:rsidRDefault="00F0380F">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An ethical or environmental boycott happens when people stop buying products or services because of concerns about the environment, sustainability, or unethical practices like animal testing. The goal is to encourage companies to be more responsible.</w:t>
      </w:r>
    </w:p>
    <w:p w14:paraId="160D558E"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Examples:</w:t>
      </w:r>
    </w:p>
    <w:p w14:paraId="0C2ED935" w14:textId="77777777" w:rsidR="0077354A" w:rsidRPr="0077354A" w:rsidRDefault="00DC2EB3">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Nestlé Boycott (1977–Present):</w:t>
      </w:r>
    </w:p>
    <w:p w14:paraId="1897DD30" w14:textId="090A9B29" w:rsidR="00DC2EB3" w:rsidRDefault="00F0380F"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People boycotted Nestlé for aggressively promoting infant formula in developing countries, which led to health risks for babies.</w:t>
      </w:r>
    </w:p>
    <w:p w14:paraId="00F8B45C" w14:textId="77777777" w:rsidR="0077354A" w:rsidRPr="0077354A" w:rsidRDefault="00DC2EB3">
      <w:pPr>
        <w:numPr>
          <w:ilvl w:val="0"/>
          <w:numId w:val="11"/>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Palm Oil Boycott (2010s–Present):</w:t>
      </w:r>
    </w:p>
    <w:p w14:paraId="150D418C" w14:textId="125F4B96" w:rsidR="00DC2EB3" w:rsidRDefault="00F0380F"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Many brands faced boycotts for using unsustainable palm oil, which contributes to deforestation and harms wildlife.</w:t>
      </w:r>
    </w:p>
    <w:p w14:paraId="389859CC"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Effects:</w:t>
      </w:r>
    </w:p>
    <w:p w14:paraId="47B9BAF4" w14:textId="77777777" w:rsidR="00DC2EB3" w:rsidRDefault="00DC2EB3">
      <w:pPr>
        <w:numPr>
          <w:ilvl w:val="0"/>
          <w:numId w:val="12"/>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Encourages businesses to adopt sustainable and eco-friendly practices.</w:t>
      </w:r>
    </w:p>
    <w:p w14:paraId="3B46064C" w14:textId="1DD54064" w:rsidR="00DC2EB3" w:rsidRDefault="00DC2EB3">
      <w:pPr>
        <w:numPr>
          <w:ilvl w:val="0"/>
          <w:numId w:val="12"/>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Pressures companies to reduce environmental harm and act more ethically</w:t>
      </w:r>
      <w:r>
        <w:rPr>
          <w:rStyle w:val="FootnoteReference"/>
          <w:rFonts w:ascii="Times New Roman" w:eastAsia="Times New Roman" w:hAnsi="Times New Roman" w:cs="Times New Roman"/>
          <w:sz w:val="24"/>
          <w:szCs w:val="24"/>
          <w:lang w:eastAsia="fr-FR"/>
        </w:rPr>
        <w:footnoteReference w:id="15"/>
      </w:r>
      <w:r w:rsidR="00DB0A1F">
        <w:rPr>
          <w:rFonts w:ascii="Times New Roman" w:eastAsia="Times New Roman" w:hAnsi="Times New Roman" w:cs="Times New Roman"/>
          <w:sz w:val="24"/>
          <w:szCs w:val="24"/>
          <w:lang w:val="en-GB" w:eastAsia="fr-FR"/>
        </w:rPr>
        <w:t>.</w:t>
      </w:r>
    </w:p>
    <w:p w14:paraId="086C5B6B" w14:textId="02A4DA88" w:rsidR="00DC2EB3" w:rsidRPr="000F7A21" w:rsidRDefault="00DC2EB3" w:rsidP="00B163B6">
      <w:pPr>
        <w:pStyle w:val="Heading4"/>
        <w:rPr>
          <w:lang w:eastAsia="fr-FR"/>
        </w:rPr>
      </w:pPr>
      <w:bookmarkStart w:id="28" w:name="_Toc200719962"/>
      <w:bookmarkStart w:id="29" w:name="_Toc200721603"/>
      <w:r w:rsidRPr="000F7A21">
        <w:rPr>
          <w:lang w:eastAsia="fr-FR"/>
        </w:rPr>
        <w:t>2-5. Religious Boycott</w:t>
      </w:r>
      <w:r w:rsidR="000F7A21">
        <w:rPr>
          <w:lang w:eastAsia="fr-FR"/>
        </w:rPr>
        <w:t>:</w:t>
      </w:r>
      <w:bookmarkEnd w:id="28"/>
      <w:bookmarkEnd w:id="29"/>
    </w:p>
    <w:p w14:paraId="17BAA030" w14:textId="77777777" w:rsidR="0077354A" w:rsidRDefault="00DC2EB3">
      <w:pPr>
        <w:spacing w:before="100" w:beforeAutospacing="1" w:after="100" w:afterAutospacing="1" w:line="360" w:lineRule="auto"/>
        <w:jc w:val="both"/>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What is it?</w:t>
      </w:r>
    </w:p>
    <w:p w14:paraId="3FFBC820" w14:textId="07C3D0B2" w:rsidR="00DC2EB3" w:rsidRDefault="00F0380F">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 religious boycott happens when a group refuses to buy from companies or support products that go against their religious beliefs or values.</w:t>
      </w:r>
    </w:p>
    <w:p w14:paraId="39394C91"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Examples:</w:t>
      </w:r>
    </w:p>
    <w:p w14:paraId="33458C7C" w14:textId="77777777" w:rsidR="0077354A" w:rsidRPr="0077354A" w:rsidRDefault="00DC2EB3">
      <w:pPr>
        <w:numPr>
          <w:ilvl w:val="0"/>
          <w:numId w:val="13"/>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Starbucks Boycott (2000s–Present):</w:t>
      </w:r>
    </w:p>
    <w:p w14:paraId="057F43A0" w14:textId="1BEBF30D" w:rsidR="00DC2EB3" w:rsidRDefault="00F0380F" w:rsidP="0077354A">
      <w:pPr>
        <w:tabs>
          <w:tab w:val="left" w:pos="720"/>
        </w:tabs>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Some religious groups stopped buying from Starbucks due to its support for same-sex marriage and other progressive causes.</w:t>
      </w:r>
    </w:p>
    <w:p w14:paraId="7E51F47D"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Effects:</w:t>
      </w:r>
    </w:p>
    <w:p w14:paraId="291D556D" w14:textId="77777777" w:rsidR="00DC2EB3" w:rsidRDefault="00DC2EB3">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Companies may change their marketing strategies to avoid upsetting religious groups.</w:t>
      </w:r>
    </w:p>
    <w:p w14:paraId="6562ED5E" w14:textId="2C3FAAE2" w:rsidR="00DC2EB3" w:rsidRDefault="00DC2EB3">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These boycotts often spark debates about culture, values, and social issues</w:t>
      </w:r>
      <w:r>
        <w:rPr>
          <w:rStyle w:val="FootnoteReference"/>
          <w:rFonts w:ascii="Times New Roman" w:eastAsia="Times New Roman" w:hAnsi="Times New Roman" w:cs="Times New Roman"/>
          <w:sz w:val="24"/>
          <w:szCs w:val="24"/>
          <w:lang w:eastAsia="fr-FR"/>
        </w:rPr>
        <w:footnoteReference w:id="16"/>
      </w:r>
      <w:r w:rsidR="00DB0A1F">
        <w:rPr>
          <w:rFonts w:ascii="Times New Roman" w:eastAsia="Times New Roman" w:hAnsi="Times New Roman" w:cs="Times New Roman"/>
          <w:sz w:val="24"/>
          <w:szCs w:val="24"/>
          <w:lang w:val="en-GB" w:eastAsia="fr-FR"/>
        </w:rPr>
        <w:t>.</w:t>
      </w:r>
    </w:p>
    <w:p w14:paraId="1F3926E3" w14:textId="00F99A66" w:rsidR="00DC2EB3" w:rsidRPr="00B163B6" w:rsidRDefault="00DC2EB3" w:rsidP="00B163B6">
      <w:pPr>
        <w:pStyle w:val="Heading4"/>
        <w:rPr>
          <w:rFonts w:eastAsia="Times New Roman"/>
          <w:b w:val="0"/>
          <w:bCs w:val="0"/>
          <w:lang w:eastAsia="fr-FR"/>
        </w:rPr>
      </w:pPr>
      <w:r w:rsidRPr="00B163B6">
        <w:rPr>
          <w:rFonts w:eastAsia="Times New Roman"/>
          <w:b w:val="0"/>
          <w:bCs w:val="0"/>
          <w:lang w:eastAsia="fr-FR"/>
        </w:rPr>
        <w:t xml:space="preserve"> </w:t>
      </w:r>
      <w:bookmarkStart w:id="30" w:name="_Toc200719963"/>
      <w:bookmarkStart w:id="31" w:name="_Toc200721604"/>
      <w:r w:rsidRPr="00B163B6">
        <w:rPr>
          <w:rFonts w:eastAsia="Times New Roman"/>
          <w:lang w:eastAsia="fr-FR"/>
        </w:rPr>
        <w:t>2-</w:t>
      </w:r>
      <w:r w:rsidRPr="00B163B6">
        <w:rPr>
          <w:rStyle w:val="Strong"/>
          <w:b/>
          <w:bCs/>
        </w:rPr>
        <w:t>6. Economic Boycotts</w:t>
      </w:r>
      <w:r w:rsidR="000F7A21" w:rsidRPr="00B163B6">
        <w:rPr>
          <w:rStyle w:val="Strong"/>
          <w:b/>
          <w:bCs/>
        </w:rPr>
        <w:t>:</w:t>
      </w:r>
      <w:bookmarkEnd w:id="30"/>
      <w:bookmarkEnd w:id="31"/>
    </w:p>
    <w:p w14:paraId="6E958FFA" w14:textId="39791049" w:rsidR="00DC2EB3" w:rsidRDefault="00F0380F">
      <w:pPr>
        <w:pStyle w:val="NormalWeb"/>
        <w:spacing w:line="360" w:lineRule="auto"/>
        <w:jc w:val="both"/>
        <w:rPr>
          <w:lang w:val="en-GB"/>
        </w:rPr>
      </w:pPr>
      <w:r>
        <w:rPr>
          <w:lang w:val="en-GB"/>
        </w:rPr>
        <w:t xml:space="preserve">   </w:t>
      </w:r>
      <w:r w:rsidR="00DC2EB3">
        <w:rPr>
          <w:lang w:val="en-GB"/>
        </w:rPr>
        <w:t>An economic boycott is when people refuse to do business with a company, industry, or country. This can mean refusing to buy or sell products, stopping financial transactions, or even withdrawing money from banks. The goal is to impact profits and push for change.</w:t>
      </w:r>
    </w:p>
    <w:p w14:paraId="7AC16EE4" w14:textId="4ECE1B01" w:rsidR="00DC2EB3" w:rsidRDefault="00F0380F">
      <w:pPr>
        <w:pStyle w:val="NormalWeb"/>
        <w:spacing w:line="360" w:lineRule="auto"/>
        <w:jc w:val="both"/>
        <w:rPr>
          <w:lang w:val="en-GB"/>
        </w:rPr>
      </w:pPr>
      <w:r>
        <w:rPr>
          <w:lang w:val="en-GB"/>
        </w:rPr>
        <w:t xml:space="preserve">   </w:t>
      </w:r>
      <w:r w:rsidR="00DC2EB3">
        <w:rPr>
          <w:lang w:val="en-GB"/>
        </w:rPr>
        <w:t xml:space="preserve">One of the most powerful forms of economic boycotts is the </w:t>
      </w:r>
      <w:r w:rsidR="00DC2EB3" w:rsidRPr="00DB0A1F">
        <w:rPr>
          <w:rStyle w:val="Strong"/>
          <w:b w:val="0"/>
          <w:bCs w:val="0"/>
          <w:lang w:val="en-GB"/>
        </w:rPr>
        <w:t>consumer boycott</w:t>
      </w:r>
      <w:r w:rsidR="00DC2EB3">
        <w:rPr>
          <w:lang w:val="en-GB"/>
        </w:rPr>
        <w:t>, where people stop buying certain products or services to protest unfair business practices.</w:t>
      </w:r>
    </w:p>
    <w:p w14:paraId="560703D8" w14:textId="686B6A0D" w:rsidR="00DB0A1F" w:rsidRDefault="00F0380F" w:rsidP="00DB0A1F">
      <w:pPr>
        <w:pStyle w:val="NormalWeb"/>
        <w:spacing w:line="360" w:lineRule="auto"/>
        <w:jc w:val="both"/>
        <w:rPr>
          <w:lang w:val="en-GB"/>
        </w:rPr>
      </w:pPr>
      <w:r>
        <w:rPr>
          <w:lang w:val="en-GB"/>
        </w:rPr>
        <w:t xml:space="preserve">   </w:t>
      </w:r>
      <w:r w:rsidR="00DC2EB3">
        <w:rPr>
          <w:lang w:val="en-GB"/>
        </w:rPr>
        <w:t>Economic boycotts have become more common in the modern era, especially with globalization. Since the late 1960s and 1970s, people around the world</w:t>
      </w:r>
      <w:r w:rsidR="00DE00F9">
        <w:rPr>
          <w:lang w:val="en-GB"/>
        </w:rPr>
        <w:t xml:space="preserve"> </w:t>
      </w:r>
      <w:r w:rsidR="00DC2EB3">
        <w:rPr>
          <w:lang w:val="en-GB"/>
        </w:rPr>
        <w:t>women, consumers, minorities, and the poor</w:t>
      </w:r>
      <w:r w:rsidR="00DE00F9">
        <w:rPr>
          <w:lang w:val="en-GB"/>
        </w:rPr>
        <w:t xml:space="preserve"> </w:t>
      </w:r>
      <w:r w:rsidR="00DC2EB3">
        <w:rPr>
          <w:lang w:val="en-GB"/>
        </w:rPr>
        <w:t>have become more aware of their rights. During this time, developing countries also started pushing for a fairer global economy that prioritizes equality over corporate profits.</w:t>
      </w:r>
    </w:p>
    <w:p w14:paraId="3B521C8E" w14:textId="6C3FB5DA" w:rsidR="00DC2EB3" w:rsidRDefault="00F0380F" w:rsidP="00DB0A1F">
      <w:pPr>
        <w:pStyle w:val="NormalWeb"/>
        <w:spacing w:line="360" w:lineRule="auto"/>
        <w:jc w:val="both"/>
        <w:rPr>
          <w:lang w:val="en-GB"/>
        </w:rPr>
      </w:pPr>
      <w:r>
        <w:rPr>
          <w:lang w:val="en-GB"/>
        </w:rPr>
        <w:t xml:space="preserve">   </w:t>
      </w:r>
      <w:r w:rsidR="00DC2EB3">
        <w:rPr>
          <w:lang w:val="en-GB"/>
        </w:rPr>
        <w:t>At the same time, multinational corporations have grown rapidly, and businesses have started paying more attention to social issues, realizing that consumer pressure can affect their success</w:t>
      </w:r>
      <w:r w:rsidR="00DC2EB3">
        <w:rPr>
          <w:rStyle w:val="FootnoteReference"/>
        </w:rPr>
        <w:footnoteReference w:id="17"/>
      </w:r>
      <w:r w:rsidR="00DB0A1F">
        <w:rPr>
          <w:lang w:val="en-GB"/>
        </w:rPr>
        <w:t>.</w:t>
      </w:r>
    </w:p>
    <w:p w14:paraId="1AC16079" w14:textId="19CD0C2A" w:rsidR="00DC2EB3" w:rsidRPr="000F7A21" w:rsidRDefault="003D0975" w:rsidP="00B163B6">
      <w:pPr>
        <w:pStyle w:val="Heading4"/>
        <w:rPr>
          <w:sz w:val="22"/>
          <w:szCs w:val="22"/>
        </w:rPr>
      </w:pPr>
      <w:bookmarkStart w:id="32" w:name="_Toc200719964"/>
      <w:bookmarkStart w:id="33" w:name="_Toc200721605"/>
      <w:r w:rsidRPr="000F7A21">
        <w:t>2</w:t>
      </w:r>
      <w:r w:rsidR="00DC2EB3" w:rsidRPr="000F7A21">
        <w:t>-</w:t>
      </w:r>
      <w:r w:rsidRPr="000F7A21">
        <w:t xml:space="preserve">7. </w:t>
      </w:r>
      <w:r w:rsidR="00DC2EB3" w:rsidRPr="000F7A21">
        <w:t>Other different Types of Boycotts: States, Businesses, and Consumers</w:t>
      </w:r>
      <w:r w:rsidR="000F7A21" w:rsidRPr="000F7A21">
        <w:t>:</w:t>
      </w:r>
      <w:bookmarkEnd w:id="32"/>
      <w:bookmarkEnd w:id="33"/>
    </w:p>
    <w:p w14:paraId="079ED1AF" w14:textId="20C25E54" w:rsidR="00DC2EB3" w:rsidRPr="00DB0A1F" w:rsidRDefault="000805CE">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sidRPr="00DB0A1F">
        <w:rPr>
          <w:rFonts w:ascii="Times New Roman" w:eastAsia="Times New Roman" w:hAnsi="Times New Roman" w:cs="Times New Roman"/>
          <w:sz w:val="24"/>
          <w:szCs w:val="24"/>
          <w:lang w:val="en-GB" w:eastAsia="fr-FR"/>
        </w:rPr>
        <w:t xml:space="preserve">Both the Robert Dictionary and Encyclopaedia Universalis highlight </w:t>
      </w:r>
      <w:r w:rsidR="00DB0A1F" w:rsidRPr="00DB0A1F">
        <w:rPr>
          <w:rFonts w:ascii="Times New Roman" w:eastAsia="Times New Roman" w:hAnsi="Times New Roman" w:cs="Times New Roman"/>
          <w:sz w:val="24"/>
          <w:szCs w:val="24"/>
          <w:lang w:val="en-GB" w:eastAsia="fr-FR"/>
        </w:rPr>
        <w:t>that boycott</w:t>
      </w:r>
      <w:r w:rsidR="00DC2EB3" w:rsidRPr="00DB0A1F">
        <w:rPr>
          <w:rFonts w:ascii="Times New Roman" w:eastAsia="Times New Roman" w:hAnsi="Times New Roman" w:cs="Times New Roman"/>
          <w:sz w:val="24"/>
          <w:szCs w:val="24"/>
          <w:lang w:val="en-GB" w:eastAsia="fr-FR"/>
        </w:rPr>
        <w:t xml:space="preserve"> can happen not just among consumers but also between states and businesses.</w:t>
      </w:r>
    </w:p>
    <w:p w14:paraId="72DEE43D" w14:textId="71A9918E" w:rsidR="00DC2EB3" w:rsidRDefault="000805CE">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A boycott can be initiated by one or more countries, companies (or business unions), or even social movements</w:t>
      </w:r>
      <w:r w:rsidR="00DB0A1F">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such as consumer groups, environmental organizations, or minority rights advocates. These actions can target governments, corporations, or specific products.</w:t>
      </w:r>
    </w:p>
    <w:p w14:paraId="643E7454" w14:textId="7DA0CDAD" w:rsidR="00DE00F9" w:rsidRPr="00985712" w:rsidRDefault="000805CE" w:rsidP="00985712">
      <w:p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C2EB3">
        <w:rPr>
          <w:rFonts w:ascii="Times New Roman" w:eastAsia="Times New Roman" w:hAnsi="Times New Roman" w:cs="Times New Roman"/>
          <w:sz w:val="24"/>
          <w:szCs w:val="24"/>
          <w:lang w:val="en-GB" w:eastAsia="fr-FR"/>
        </w:rPr>
        <w:t>The chart below provides an overview of these different types of boycotts, along with some real-world examples.</w:t>
      </w:r>
    </w:p>
    <w:p w14:paraId="37F46721" w14:textId="6A5873C2" w:rsidR="000805CE" w:rsidRPr="00C16403" w:rsidRDefault="00DC2EB3" w:rsidP="000F7A21">
      <w:pPr>
        <w:spacing w:before="100" w:beforeAutospacing="1" w:after="100" w:afterAutospacing="1" w:line="240" w:lineRule="auto"/>
        <w:jc w:val="center"/>
        <w:rPr>
          <w:rFonts w:asciiTheme="majorBidi" w:hAnsiTheme="majorBidi" w:cstheme="majorBidi"/>
          <w:sz w:val="24"/>
          <w:szCs w:val="24"/>
          <w:lang w:val="en-GB"/>
        </w:rPr>
      </w:pPr>
      <w:r>
        <w:rPr>
          <w:rFonts w:asciiTheme="majorBidi" w:hAnsiTheme="majorBidi" w:cstheme="majorBidi"/>
          <w:b/>
          <w:bCs/>
          <w:sz w:val="24"/>
          <w:szCs w:val="24"/>
          <w:lang w:val="en-GB"/>
        </w:rPr>
        <w:t>Table1</w:t>
      </w:r>
      <w:r>
        <w:rPr>
          <w:rFonts w:asciiTheme="majorBidi" w:hAnsiTheme="majorBidi" w:cstheme="majorBidi"/>
          <w:sz w:val="24"/>
          <w:szCs w:val="24"/>
          <w:lang w:val="en-GB"/>
        </w:rPr>
        <w:t xml:space="preserve">: </w:t>
      </w:r>
      <w:bookmarkStart w:id="34" w:name="_Hlk198744265"/>
      <w:r>
        <w:rPr>
          <w:rFonts w:asciiTheme="majorBidi" w:hAnsiTheme="majorBidi" w:cstheme="majorBidi"/>
          <w:sz w:val="24"/>
          <w:szCs w:val="24"/>
          <w:lang w:val="en-GB"/>
        </w:rPr>
        <w:t>Boycotts by States, Companies, and Consumers</w:t>
      </w:r>
      <w:bookmarkEnd w:id="34"/>
    </w:p>
    <w:tbl>
      <w:tblPr>
        <w:tblStyle w:val="TableGrid"/>
        <w:tblW w:w="9207" w:type="dxa"/>
        <w:tblInd w:w="142" w:type="dxa"/>
        <w:tblLook w:val="04A0" w:firstRow="1" w:lastRow="0" w:firstColumn="1" w:lastColumn="0" w:noHBand="0" w:noVBand="1"/>
      </w:tblPr>
      <w:tblGrid>
        <w:gridCol w:w="2424"/>
        <w:gridCol w:w="932"/>
        <w:gridCol w:w="916"/>
        <w:gridCol w:w="1402"/>
        <w:gridCol w:w="1271"/>
        <w:gridCol w:w="1132"/>
        <w:gridCol w:w="1130"/>
      </w:tblGrid>
      <w:tr w:rsidR="00DC2EB3" w14:paraId="1B6EA9E5" w14:textId="77777777">
        <w:tc>
          <w:tcPr>
            <w:tcW w:w="2424" w:type="dxa"/>
            <w:tcBorders>
              <w:top w:val="nil"/>
              <w:left w:val="nil"/>
              <w:bottom w:val="single" w:sz="4" w:space="0" w:color="auto"/>
            </w:tcBorders>
          </w:tcPr>
          <w:p w14:paraId="4429013F" w14:textId="77777777" w:rsidR="00DC2EB3" w:rsidRPr="000A62FC" w:rsidRDefault="00DC2EB3">
            <w:pPr>
              <w:spacing w:before="100" w:beforeAutospacing="1" w:after="100" w:afterAutospacing="1"/>
              <w:jc w:val="both"/>
              <w:outlineLvl w:val="2"/>
              <w:rPr>
                <w:rFonts w:asciiTheme="majorBidi" w:eastAsia="Times New Roman" w:hAnsiTheme="majorBidi" w:cstheme="majorBidi"/>
                <w:b/>
                <w:bCs/>
                <w:sz w:val="27"/>
                <w:szCs w:val="27"/>
                <w:lang w:val="en-GB"/>
              </w:rPr>
            </w:pPr>
          </w:p>
        </w:tc>
        <w:tc>
          <w:tcPr>
            <w:tcW w:w="932" w:type="dxa"/>
            <w:tcBorders>
              <w:bottom w:val="single" w:sz="4" w:space="0" w:color="auto"/>
              <w:right w:val="nil"/>
            </w:tcBorders>
          </w:tcPr>
          <w:p w14:paraId="7421AC25"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lang w:val="en-GB"/>
              </w:rPr>
            </w:pPr>
          </w:p>
        </w:tc>
        <w:tc>
          <w:tcPr>
            <w:tcW w:w="916" w:type="dxa"/>
            <w:tcBorders>
              <w:left w:val="nil"/>
              <w:right w:val="nil"/>
            </w:tcBorders>
          </w:tcPr>
          <w:p w14:paraId="4AD5F49D"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lang w:val="en-GB"/>
              </w:rPr>
            </w:pPr>
          </w:p>
        </w:tc>
        <w:tc>
          <w:tcPr>
            <w:tcW w:w="1402" w:type="dxa"/>
            <w:tcBorders>
              <w:left w:val="nil"/>
              <w:bottom w:val="single" w:sz="4" w:space="0" w:color="auto"/>
              <w:right w:val="nil"/>
            </w:tcBorders>
          </w:tcPr>
          <w:p w14:paraId="0D15F78A"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bookmarkStart w:id="35" w:name="_Toc200717847"/>
            <w:bookmarkStart w:id="36" w:name="_Toc200719965"/>
            <w:bookmarkStart w:id="37" w:name="_Toc200721606"/>
            <w:r w:rsidRPr="000A62FC">
              <w:rPr>
                <w:rFonts w:asciiTheme="majorBidi" w:eastAsia="Times New Roman" w:hAnsiTheme="majorBidi" w:cstheme="majorBidi"/>
                <w:b/>
                <w:bCs/>
                <w:sz w:val="27"/>
                <w:szCs w:val="27"/>
              </w:rPr>
              <w:t>Target</w:t>
            </w:r>
            <w:bookmarkEnd w:id="35"/>
            <w:bookmarkEnd w:id="36"/>
            <w:bookmarkEnd w:id="37"/>
          </w:p>
        </w:tc>
        <w:tc>
          <w:tcPr>
            <w:tcW w:w="1271" w:type="dxa"/>
            <w:tcBorders>
              <w:left w:val="nil"/>
              <w:right w:val="nil"/>
            </w:tcBorders>
          </w:tcPr>
          <w:p w14:paraId="1EC62E12"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1132" w:type="dxa"/>
            <w:tcBorders>
              <w:left w:val="nil"/>
              <w:bottom w:val="single" w:sz="4" w:space="0" w:color="auto"/>
              <w:right w:val="nil"/>
            </w:tcBorders>
          </w:tcPr>
          <w:p w14:paraId="33E22036"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1130" w:type="dxa"/>
            <w:tcBorders>
              <w:left w:val="nil"/>
            </w:tcBorders>
          </w:tcPr>
          <w:p w14:paraId="04FA8FE3"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r>
      <w:tr w:rsidR="00DC2EB3" w14:paraId="1EFA4FBB" w14:textId="77777777">
        <w:trPr>
          <w:trHeight w:val="373"/>
        </w:trPr>
        <w:tc>
          <w:tcPr>
            <w:tcW w:w="2424" w:type="dxa"/>
            <w:tcBorders>
              <w:bottom w:val="nil"/>
            </w:tcBorders>
          </w:tcPr>
          <w:p w14:paraId="7F787308" w14:textId="77777777" w:rsidR="00DC2EB3" w:rsidRPr="000A62FC" w:rsidRDefault="00DC2EB3" w:rsidP="000805CE">
            <w:pPr>
              <w:jc w:val="center"/>
              <w:rPr>
                <w:rFonts w:asciiTheme="majorBidi" w:hAnsiTheme="majorBidi" w:cstheme="majorBidi"/>
                <w:b/>
                <w:bCs/>
                <w:sz w:val="24"/>
                <w:szCs w:val="24"/>
              </w:rPr>
            </w:pPr>
            <w:r w:rsidRPr="000A62FC">
              <w:rPr>
                <w:rStyle w:val="Strong"/>
                <w:rFonts w:asciiTheme="majorBidi" w:hAnsiTheme="majorBidi" w:cstheme="majorBidi"/>
                <w:sz w:val="24"/>
                <w:szCs w:val="24"/>
              </w:rPr>
              <w:t>Boycott Organizer</w:t>
            </w:r>
          </w:p>
        </w:tc>
        <w:tc>
          <w:tcPr>
            <w:tcW w:w="932" w:type="dxa"/>
            <w:tcBorders>
              <w:right w:val="nil"/>
            </w:tcBorders>
          </w:tcPr>
          <w:p w14:paraId="4AE1E6A0"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7"/>
                <w:szCs w:val="27"/>
              </w:rPr>
            </w:pPr>
            <w:bookmarkStart w:id="38" w:name="_Toc200717848"/>
            <w:bookmarkStart w:id="39" w:name="_Toc200719966"/>
            <w:bookmarkStart w:id="40" w:name="_Toc200721607"/>
            <w:r w:rsidRPr="000A62FC">
              <w:rPr>
                <w:rFonts w:asciiTheme="majorBidi" w:eastAsia="Times New Roman" w:hAnsiTheme="majorBidi" w:cstheme="majorBidi"/>
                <w:sz w:val="27"/>
                <w:szCs w:val="27"/>
              </w:rPr>
              <w:t>state</w:t>
            </w:r>
            <w:bookmarkEnd w:id="38"/>
            <w:bookmarkEnd w:id="39"/>
            <w:bookmarkEnd w:id="40"/>
          </w:p>
        </w:tc>
        <w:tc>
          <w:tcPr>
            <w:tcW w:w="916" w:type="dxa"/>
            <w:tcBorders>
              <w:left w:val="nil"/>
            </w:tcBorders>
          </w:tcPr>
          <w:p w14:paraId="5759778B"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7"/>
                <w:szCs w:val="27"/>
              </w:rPr>
            </w:pPr>
          </w:p>
        </w:tc>
        <w:tc>
          <w:tcPr>
            <w:tcW w:w="1402" w:type="dxa"/>
            <w:tcBorders>
              <w:right w:val="nil"/>
            </w:tcBorders>
          </w:tcPr>
          <w:p w14:paraId="1E4BED29"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41" w:name="_Toc200717849"/>
            <w:bookmarkStart w:id="42" w:name="_Toc200719967"/>
            <w:bookmarkStart w:id="43" w:name="_Toc200721608"/>
            <w:r w:rsidRPr="000A62FC">
              <w:rPr>
                <w:rFonts w:asciiTheme="majorBidi" w:eastAsia="Times New Roman" w:hAnsiTheme="majorBidi" w:cstheme="majorBidi"/>
                <w:sz w:val="24"/>
                <w:szCs w:val="24"/>
              </w:rPr>
              <w:t>Company</w:t>
            </w:r>
            <w:bookmarkEnd w:id="41"/>
            <w:bookmarkEnd w:id="42"/>
            <w:bookmarkEnd w:id="43"/>
          </w:p>
        </w:tc>
        <w:tc>
          <w:tcPr>
            <w:tcW w:w="1271" w:type="dxa"/>
            <w:tcBorders>
              <w:left w:val="nil"/>
            </w:tcBorders>
          </w:tcPr>
          <w:p w14:paraId="61D5F351"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4"/>
                <w:szCs w:val="24"/>
              </w:rPr>
            </w:pPr>
          </w:p>
        </w:tc>
        <w:tc>
          <w:tcPr>
            <w:tcW w:w="1132" w:type="dxa"/>
            <w:tcBorders>
              <w:right w:val="nil"/>
            </w:tcBorders>
          </w:tcPr>
          <w:p w14:paraId="67E457D2"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44" w:name="_Toc200717850"/>
            <w:bookmarkStart w:id="45" w:name="_Toc200719968"/>
            <w:bookmarkStart w:id="46" w:name="_Toc200721609"/>
            <w:r w:rsidRPr="000A62FC">
              <w:rPr>
                <w:rFonts w:asciiTheme="majorBidi" w:eastAsia="Times New Roman" w:hAnsiTheme="majorBidi" w:cstheme="majorBidi"/>
                <w:sz w:val="24"/>
                <w:szCs w:val="24"/>
              </w:rPr>
              <w:t>product</w:t>
            </w:r>
            <w:bookmarkEnd w:id="44"/>
            <w:bookmarkEnd w:id="45"/>
            <w:bookmarkEnd w:id="46"/>
          </w:p>
        </w:tc>
        <w:tc>
          <w:tcPr>
            <w:tcW w:w="1130" w:type="dxa"/>
            <w:tcBorders>
              <w:left w:val="nil"/>
            </w:tcBorders>
          </w:tcPr>
          <w:p w14:paraId="3E09F49F"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r>
      <w:tr w:rsidR="00DC2EB3" w14:paraId="300FFF39" w14:textId="77777777">
        <w:trPr>
          <w:trHeight w:val="335"/>
        </w:trPr>
        <w:tc>
          <w:tcPr>
            <w:tcW w:w="2424" w:type="dxa"/>
            <w:tcBorders>
              <w:top w:val="nil"/>
            </w:tcBorders>
          </w:tcPr>
          <w:p w14:paraId="03D175DB"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932" w:type="dxa"/>
          </w:tcPr>
          <w:p w14:paraId="15A2F986"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47" w:name="_Toc200717851"/>
            <w:bookmarkStart w:id="48" w:name="_Toc200719969"/>
            <w:bookmarkStart w:id="49" w:name="_Toc200721610"/>
            <w:r w:rsidRPr="000A62FC">
              <w:rPr>
                <w:rFonts w:asciiTheme="majorBidi" w:eastAsia="Times New Roman" w:hAnsiTheme="majorBidi" w:cstheme="majorBidi"/>
                <w:sz w:val="24"/>
                <w:szCs w:val="24"/>
              </w:rPr>
              <w:t>one</w:t>
            </w:r>
            <w:bookmarkEnd w:id="47"/>
            <w:bookmarkEnd w:id="48"/>
            <w:bookmarkEnd w:id="49"/>
          </w:p>
        </w:tc>
        <w:tc>
          <w:tcPr>
            <w:tcW w:w="916" w:type="dxa"/>
          </w:tcPr>
          <w:p w14:paraId="284B4E8A"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50" w:name="_Toc200717852"/>
            <w:bookmarkStart w:id="51" w:name="_Toc200719970"/>
            <w:bookmarkStart w:id="52" w:name="_Toc200721611"/>
            <w:r w:rsidRPr="000A62FC">
              <w:rPr>
                <w:rFonts w:asciiTheme="majorBidi" w:eastAsia="Times New Roman" w:hAnsiTheme="majorBidi" w:cstheme="majorBidi"/>
                <w:sz w:val="24"/>
                <w:szCs w:val="24"/>
              </w:rPr>
              <w:t>several</w:t>
            </w:r>
            <w:bookmarkEnd w:id="50"/>
            <w:bookmarkEnd w:id="51"/>
            <w:bookmarkEnd w:id="52"/>
          </w:p>
        </w:tc>
        <w:tc>
          <w:tcPr>
            <w:tcW w:w="1402" w:type="dxa"/>
          </w:tcPr>
          <w:p w14:paraId="6C10DB32"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53" w:name="_Toc200717853"/>
            <w:bookmarkStart w:id="54" w:name="_Toc200719971"/>
            <w:bookmarkStart w:id="55" w:name="_Toc200721612"/>
            <w:r w:rsidRPr="000A62FC">
              <w:rPr>
                <w:rFonts w:asciiTheme="majorBidi" w:eastAsia="Times New Roman" w:hAnsiTheme="majorBidi" w:cstheme="majorBidi"/>
                <w:sz w:val="24"/>
                <w:szCs w:val="24"/>
              </w:rPr>
              <w:t>One</w:t>
            </w:r>
            <w:bookmarkEnd w:id="53"/>
            <w:bookmarkEnd w:id="54"/>
            <w:bookmarkEnd w:id="55"/>
          </w:p>
        </w:tc>
        <w:tc>
          <w:tcPr>
            <w:tcW w:w="1271" w:type="dxa"/>
          </w:tcPr>
          <w:p w14:paraId="5DB60FEA"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56" w:name="_Toc200717854"/>
            <w:bookmarkStart w:id="57" w:name="_Toc200719972"/>
            <w:bookmarkStart w:id="58" w:name="_Toc200721613"/>
            <w:r w:rsidRPr="000A62FC">
              <w:rPr>
                <w:rFonts w:asciiTheme="majorBidi" w:eastAsia="Times New Roman" w:hAnsiTheme="majorBidi" w:cstheme="majorBidi"/>
                <w:sz w:val="24"/>
                <w:szCs w:val="24"/>
              </w:rPr>
              <w:t>several</w:t>
            </w:r>
            <w:bookmarkEnd w:id="56"/>
            <w:bookmarkEnd w:id="57"/>
            <w:bookmarkEnd w:id="58"/>
          </w:p>
        </w:tc>
        <w:tc>
          <w:tcPr>
            <w:tcW w:w="1132" w:type="dxa"/>
          </w:tcPr>
          <w:p w14:paraId="2C8D5C80"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59" w:name="_Toc200717855"/>
            <w:bookmarkStart w:id="60" w:name="_Toc200719973"/>
            <w:bookmarkStart w:id="61" w:name="_Toc200721614"/>
            <w:r w:rsidRPr="000A62FC">
              <w:rPr>
                <w:rFonts w:asciiTheme="majorBidi" w:eastAsia="Times New Roman" w:hAnsiTheme="majorBidi" w:cstheme="majorBidi"/>
                <w:sz w:val="24"/>
                <w:szCs w:val="24"/>
              </w:rPr>
              <w:t>one</w:t>
            </w:r>
            <w:bookmarkEnd w:id="59"/>
            <w:bookmarkEnd w:id="60"/>
            <w:bookmarkEnd w:id="61"/>
          </w:p>
        </w:tc>
        <w:tc>
          <w:tcPr>
            <w:tcW w:w="1130" w:type="dxa"/>
          </w:tcPr>
          <w:p w14:paraId="462261D5" w14:textId="77777777" w:rsidR="00DC2EB3" w:rsidRPr="000A62FC" w:rsidRDefault="00DC2EB3" w:rsidP="000805CE">
            <w:pPr>
              <w:spacing w:before="100" w:beforeAutospacing="1" w:after="100" w:afterAutospacing="1"/>
              <w:jc w:val="center"/>
              <w:outlineLvl w:val="2"/>
              <w:rPr>
                <w:rFonts w:asciiTheme="majorBidi" w:eastAsia="Times New Roman" w:hAnsiTheme="majorBidi" w:cstheme="majorBidi"/>
                <w:sz w:val="24"/>
                <w:szCs w:val="24"/>
              </w:rPr>
            </w:pPr>
            <w:bookmarkStart w:id="62" w:name="_Toc200717856"/>
            <w:bookmarkStart w:id="63" w:name="_Toc200719974"/>
            <w:bookmarkStart w:id="64" w:name="_Toc200721615"/>
            <w:r w:rsidRPr="000A62FC">
              <w:rPr>
                <w:rFonts w:asciiTheme="majorBidi" w:eastAsia="Times New Roman" w:hAnsiTheme="majorBidi" w:cstheme="majorBidi"/>
                <w:sz w:val="24"/>
                <w:szCs w:val="24"/>
              </w:rPr>
              <w:t>several</w:t>
            </w:r>
            <w:bookmarkEnd w:id="62"/>
            <w:bookmarkEnd w:id="63"/>
            <w:bookmarkEnd w:id="64"/>
          </w:p>
        </w:tc>
      </w:tr>
      <w:tr w:rsidR="00DC2EB3" w14:paraId="4B237F79" w14:textId="77777777">
        <w:trPr>
          <w:trHeight w:val="1631"/>
        </w:trPr>
        <w:tc>
          <w:tcPr>
            <w:tcW w:w="2424" w:type="dxa"/>
          </w:tcPr>
          <w:p w14:paraId="70BEF530" w14:textId="77777777" w:rsidR="00DC2EB3" w:rsidRPr="00DB0A1F" w:rsidRDefault="00DC2EB3" w:rsidP="000805CE">
            <w:pPr>
              <w:spacing w:line="360" w:lineRule="auto"/>
              <w:jc w:val="center"/>
              <w:outlineLvl w:val="2"/>
              <w:rPr>
                <w:rFonts w:asciiTheme="majorBidi" w:eastAsia="Times New Roman" w:hAnsiTheme="majorBidi" w:cstheme="majorBidi"/>
                <w:sz w:val="24"/>
                <w:szCs w:val="24"/>
              </w:rPr>
            </w:pPr>
            <w:bookmarkStart w:id="65" w:name="_Toc200717857"/>
            <w:bookmarkStart w:id="66" w:name="_Toc200719975"/>
            <w:bookmarkStart w:id="67" w:name="_Toc200721616"/>
            <w:r w:rsidRPr="00DB0A1F">
              <w:rPr>
                <w:rFonts w:asciiTheme="majorBidi" w:eastAsia="Times New Roman" w:hAnsiTheme="majorBidi" w:cstheme="majorBidi"/>
                <w:sz w:val="24"/>
                <w:szCs w:val="24"/>
              </w:rPr>
              <w:t>State :</w:t>
            </w:r>
            <w:bookmarkEnd w:id="65"/>
            <w:bookmarkEnd w:id="66"/>
            <w:bookmarkEnd w:id="67"/>
          </w:p>
          <w:p w14:paraId="68D11737" w14:textId="77777777" w:rsidR="00DC2EB3" w:rsidRPr="00DB0A1F" w:rsidRDefault="00DC2EB3" w:rsidP="000805CE">
            <w:pPr>
              <w:spacing w:line="360" w:lineRule="auto"/>
              <w:jc w:val="center"/>
              <w:outlineLvl w:val="2"/>
              <w:rPr>
                <w:rFonts w:asciiTheme="majorBidi" w:eastAsia="Times New Roman" w:hAnsiTheme="majorBidi" w:cstheme="majorBidi"/>
                <w:sz w:val="24"/>
                <w:szCs w:val="24"/>
              </w:rPr>
            </w:pPr>
          </w:p>
          <w:p w14:paraId="38747EA9" w14:textId="77777777" w:rsidR="00DC2EB3" w:rsidRPr="00DB0A1F" w:rsidRDefault="00DC2EB3" w:rsidP="000805CE">
            <w:pPr>
              <w:spacing w:line="360" w:lineRule="auto"/>
              <w:jc w:val="center"/>
              <w:outlineLvl w:val="2"/>
              <w:rPr>
                <w:rFonts w:asciiTheme="majorBidi" w:eastAsia="Times New Roman" w:hAnsiTheme="majorBidi" w:cstheme="majorBidi"/>
                <w:sz w:val="24"/>
                <w:szCs w:val="24"/>
              </w:rPr>
            </w:pPr>
            <w:bookmarkStart w:id="68" w:name="_Toc200717858"/>
            <w:bookmarkStart w:id="69" w:name="_Toc200719976"/>
            <w:bookmarkStart w:id="70" w:name="_Toc200721617"/>
            <w:r w:rsidRPr="00DB0A1F">
              <w:rPr>
                <w:rFonts w:asciiTheme="majorBidi" w:eastAsia="Times New Roman" w:hAnsiTheme="majorBidi" w:cstheme="majorBidi"/>
                <w:sz w:val="24"/>
                <w:szCs w:val="24"/>
              </w:rPr>
              <w:t>One</w:t>
            </w:r>
            <w:bookmarkEnd w:id="68"/>
            <w:bookmarkEnd w:id="69"/>
            <w:bookmarkEnd w:id="70"/>
          </w:p>
          <w:p w14:paraId="682BDF86" w14:textId="77777777" w:rsidR="00DC2EB3" w:rsidRPr="00DB0A1F" w:rsidRDefault="00DC2EB3" w:rsidP="000805CE">
            <w:pPr>
              <w:spacing w:line="360" w:lineRule="auto"/>
              <w:jc w:val="center"/>
              <w:outlineLvl w:val="2"/>
              <w:rPr>
                <w:rFonts w:asciiTheme="majorBidi" w:eastAsia="Times New Roman" w:hAnsiTheme="majorBidi" w:cstheme="majorBidi"/>
                <w:sz w:val="24"/>
                <w:szCs w:val="24"/>
              </w:rPr>
            </w:pPr>
          </w:p>
          <w:p w14:paraId="762B187A" w14:textId="77777777" w:rsidR="00DC2EB3" w:rsidRDefault="00DC2EB3" w:rsidP="000805CE">
            <w:pPr>
              <w:spacing w:line="360" w:lineRule="auto"/>
              <w:jc w:val="center"/>
              <w:outlineLvl w:val="2"/>
              <w:rPr>
                <w:rFonts w:asciiTheme="majorBidi" w:eastAsia="Times New Roman" w:hAnsiTheme="majorBidi" w:cstheme="majorBidi"/>
              </w:rPr>
            </w:pPr>
            <w:bookmarkStart w:id="71" w:name="_Toc200717859"/>
            <w:bookmarkStart w:id="72" w:name="_Toc200719977"/>
            <w:bookmarkStart w:id="73" w:name="_Toc200721618"/>
            <w:r w:rsidRPr="00DB0A1F">
              <w:rPr>
                <w:rFonts w:asciiTheme="majorBidi" w:eastAsia="Times New Roman" w:hAnsiTheme="majorBidi" w:cstheme="majorBidi"/>
                <w:sz w:val="24"/>
                <w:szCs w:val="24"/>
              </w:rPr>
              <w:t>Several</w:t>
            </w:r>
            <w:bookmarkEnd w:id="71"/>
            <w:bookmarkEnd w:id="72"/>
            <w:bookmarkEnd w:id="73"/>
          </w:p>
        </w:tc>
        <w:tc>
          <w:tcPr>
            <w:tcW w:w="932" w:type="dxa"/>
          </w:tcPr>
          <w:p w14:paraId="6E5709BC" w14:textId="77777777" w:rsidR="00DC2EB3" w:rsidRPr="00DB0A1F" w:rsidRDefault="00DC2EB3" w:rsidP="000805CE">
            <w:pPr>
              <w:spacing w:line="360" w:lineRule="auto"/>
              <w:jc w:val="center"/>
              <w:outlineLvl w:val="2"/>
              <w:rPr>
                <w:rFonts w:asciiTheme="majorBidi" w:eastAsia="Times New Roman" w:hAnsiTheme="majorBidi" w:cstheme="majorBidi"/>
                <w:b/>
                <w:bCs/>
                <w:sz w:val="24"/>
                <w:szCs w:val="24"/>
              </w:rPr>
            </w:pPr>
          </w:p>
          <w:p w14:paraId="1F6E9C4F" w14:textId="77777777" w:rsidR="00DB0A1F" w:rsidRDefault="00DB0A1F" w:rsidP="000805CE">
            <w:pPr>
              <w:spacing w:line="360" w:lineRule="auto"/>
              <w:jc w:val="center"/>
              <w:outlineLvl w:val="2"/>
              <w:rPr>
                <w:rFonts w:asciiTheme="majorBidi" w:eastAsia="Times New Roman" w:hAnsiTheme="majorBidi" w:cstheme="majorBidi"/>
                <w:sz w:val="24"/>
                <w:szCs w:val="24"/>
              </w:rPr>
            </w:pPr>
          </w:p>
          <w:p w14:paraId="1C1D7699" w14:textId="0D58B6EF" w:rsidR="00DC2EB3" w:rsidRPr="00DB0A1F" w:rsidRDefault="00DB0A1F" w:rsidP="000805CE">
            <w:pPr>
              <w:spacing w:line="360" w:lineRule="auto"/>
              <w:jc w:val="center"/>
              <w:outlineLvl w:val="2"/>
              <w:rPr>
                <w:rFonts w:asciiTheme="majorBidi" w:eastAsia="Times New Roman" w:hAnsiTheme="majorBidi" w:cstheme="majorBidi"/>
                <w:sz w:val="24"/>
                <w:szCs w:val="24"/>
              </w:rPr>
            </w:pPr>
            <w:bookmarkStart w:id="74" w:name="_Toc200717860"/>
            <w:bookmarkStart w:id="75" w:name="_Toc200719978"/>
            <w:bookmarkStart w:id="76" w:name="_Toc200721619"/>
            <w:r w:rsidRPr="00DB0A1F">
              <w:rPr>
                <w:rFonts w:asciiTheme="majorBidi" w:eastAsia="Times New Roman" w:hAnsiTheme="majorBidi" w:cstheme="majorBidi"/>
                <w:sz w:val="24"/>
                <w:szCs w:val="24"/>
              </w:rPr>
              <w:t>1</w:t>
            </w:r>
            <w:bookmarkEnd w:id="74"/>
            <w:bookmarkEnd w:id="75"/>
            <w:bookmarkEnd w:id="76"/>
          </w:p>
          <w:p w14:paraId="315B8474" w14:textId="77777777" w:rsidR="00DC2EB3" w:rsidRPr="00DB0A1F" w:rsidRDefault="00DC2EB3" w:rsidP="000805CE">
            <w:pPr>
              <w:spacing w:line="360" w:lineRule="auto"/>
              <w:jc w:val="center"/>
              <w:outlineLvl w:val="2"/>
              <w:rPr>
                <w:rFonts w:asciiTheme="majorBidi" w:eastAsia="Times New Roman" w:hAnsiTheme="majorBidi" w:cstheme="majorBidi"/>
                <w:sz w:val="24"/>
                <w:szCs w:val="24"/>
              </w:rPr>
            </w:pPr>
          </w:p>
          <w:p w14:paraId="1EF52AD0" w14:textId="77777777" w:rsidR="00DC2EB3" w:rsidRDefault="00DC2EB3" w:rsidP="000805CE">
            <w:pPr>
              <w:jc w:val="center"/>
              <w:outlineLvl w:val="2"/>
              <w:rPr>
                <w:rFonts w:asciiTheme="majorBidi" w:eastAsia="Times New Roman" w:hAnsiTheme="majorBidi" w:cstheme="majorBidi"/>
                <w:sz w:val="27"/>
                <w:szCs w:val="27"/>
              </w:rPr>
            </w:pPr>
          </w:p>
        </w:tc>
        <w:tc>
          <w:tcPr>
            <w:tcW w:w="916" w:type="dxa"/>
          </w:tcPr>
          <w:p w14:paraId="3E782AC8"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1402" w:type="dxa"/>
          </w:tcPr>
          <w:p w14:paraId="230DFD7F"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1271" w:type="dxa"/>
          </w:tcPr>
          <w:p w14:paraId="15E27AFF" w14:textId="77777777" w:rsidR="00DC2EB3" w:rsidRDefault="00DC2EB3" w:rsidP="000805CE">
            <w:pPr>
              <w:spacing w:line="360" w:lineRule="auto"/>
              <w:jc w:val="center"/>
              <w:outlineLvl w:val="2"/>
              <w:rPr>
                <w:rFonts w:asciiTheme="majorBidi" w:eastAsia="Times New Roman" w:hAnsiTheme="majorBidi" w:cstheme="majorBidi"/>
                <w:sz w:val="24"/>
                <w:szCs w:val="24"/>
              </w:rPr>
            </w:pPr>
          </w:p>
          <w:p w14:paraId="75A5A564"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60B5CA99"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26972B74"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699FABD4" w14:textId="106AC541" w:rsidR="000A62FC" w:rsidRPr="00DB0A1F" w:rsidRDefault="000A62FC" w:rsidP="000805CE">
            <w:pPr>
              <w:spacing w:line="360" w:lineRule="auto"/>
              <w:jc w:val="center"/>
              <w:outlineLvl w:val="2"/>
              <w:rPr>
                <w:rFonts w:asciiTheme="majorBidi" w:eastAsia="Times New Roman" w:hAnsiTheme="majorBidi" w:cstheme="majorBidi"/>
                <w:sz w:val="24"/>
                <w:szCs w:val="24"/>
              </w:rPr>
            </w:pPr>
            <w:bookmarkStart w:id="77" w:name="_Toc200717861"/>
            <w:bookmarkStart w:id="78" w:name="_Toc200719979"/>
            <w:bookmarkStart w:id="79" w:name="_Toc200721620"/>
            <w:r>
              <w:rPr>
                <w:rFonts w:asciiTheme="majorBidi" w:eastAsia="Times New Roman" w:hAnsiTheme="majorBidi" w:cstheme="majorBidi"/>
                <w:sz w:val="24"/>
                <w:szCs w:val="24"/>
              </w:rPr>
              <w:t>2</w:t>
            </w:r>
            <w:bookmarkEnd w:id="77"/>
            <w:bookmarkEnd w:id="78"/>
            <w:bookmarkEnd w:id="79"/>
          </w:p>
        </w:tc>
        <w:tc>
          <w:tcPr>
            <w:tcW w:w="1132" w:type="dxa"/>
          </w:tcPr>
          <w:p w14:paraId="2D8FDD1A"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p w14:paraId="0321F64E"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p w14:paraId="48F2C93B" w14:textId="77777777" w:rsidR="00DC2EB3" w:rsidRDefault="00DC2EB3" w:rsidP="000805CE">
            <w:pPr>
              <w:spacing w:before="100" w:beforeAutospacing="1" w:after="100" w:afterAutospacing="1"/>
              <w:jc w:val="center"/>
              <w:outlineLvl w:val="2"/>
              <w:rPr>
                <w:rFonts w:asciiTheme="majorBidi" w:eastAsia="Times New Roman" w:hAnsiTheme="majorBidi" w:cstheme="majorBidi"/>
                <w:b/>
                <w:bCs/>
                <w:sz w:val="27"/>
                <w:szCs w:val="27"/>
              </w:rPr>
            </w:pPr>
          </w:p>
        </w:tc>
        <w:tc>
          <w:tcPr>
            <w:tcW w:w="1130" w:type="dxa"/>
          </w:tcPr>
          <w:p w14:paraId="6E40DF5B" w14:textId="77777777" w:rsidR="00DC2EB3" w:rsidRDefault="00DC2EB3" w:rsidP="000805CE">
            <w:pPr>
              <w:spacing w:line="360" w:lineRule="auto"/>
              <w:jc w:val="center"/>
              <w:outlineLvl w:val="2"/>
              <w:rPr>
                <w:rFonts w:asciiTheme="majorBidi" w:eastAsia="Times New Roman" w:hAnsiTheme="majorBidi" w:cstheme="majorBidi"/>
                <w:sz w:val="24"/>
                <w:szCs w:val="24"/>
              </w:rPr>
            </w:pPr>
          </w:p>
          <w:p w14:paraId="3E31EDF8"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697BD6B7"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5E9F1535"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32BB0109" w14:textId="17FD7310" w:rsidR="000A62FC" w:rsidRPr="000A62FC" w:rsidRDefault="000A62FC" w:rsidP="000805CE">
            <w:pPr>
              <w:spacing w:line="360" w:lineRule="auto"/>
              <w:jc w:val="center"/>
              <w:outlineLvl w:val="2"/>
              <w:rPr>
                <w:rFonts w:asciiTheme="majorBidi" w:eastAsia="Times New Roman" w:hAnsiTheme="majorBidi" w:cstheme="majorBidi"/>
                <w:sz w:val="24"/>
                <w:szCs w:val="24"/>
              </w:rPr>
            </w:pPr>
            <w:bookmarkStart w:id="80" w:name="_Toc200717862"/>
            <w:bookmarkStart w:id="81" w:name="_Toc200719980"/>
            <w:bookmarkStart w:id="82" w:name="_Toc200721621"/>
            <w:r>
              <w:rPr>
                <w:rFonts w:asciiTheme="majorBidi" w:eastAsia="Times New Roman" w:hAnsiTheme="majorBidi" w:cstheme="majorBidi"/>
                <w:sz w:val="24"/>
                <w:szCs w:val="24"/>
              </w:rPr>
              <w:t>3</w:t>
            </w:r>
            <w:bookmarkEnd w:id="80"/>
            <w:bookmarkEnd w:id="81"/>
            <w:bookmarkEnd w:id="82"/>
          </w:p>
        </w:tc>
      </w:tr>
      <w:tr w:rsidR="00DC2EB3" w14:paraId="0578B460" w14:textId="77777777">
        <w:trPr>
          <w:trHeight w:val="1105"/>
        </w:trPr>
        <w:tc>
          <w:tcPr>
            <w:tcW w:w="2424" w:type="dxa"/>
          </w:tcPr>
          <w:p w14:paraId="2BDE308E" w14:textId="77777777" w:rsidR="00DC2EB3" w:rsidRPr="000A62FC" w:rsidRDefault="00DC2EB3" w:rsidP="000805CE">
            <w:pPr>
              <w:jc w:val="center"/>
              <w:outlineLvl w:val="2"/>
              <w:rPr>
                <w:rFonts w:asciiTheme="majorBidi" w:hAnsiTheme="majorBidi" w:cstheme="majorBidi"/>
                <w:sz w:val="24"/>
                <w:szCs w:val="24"/>
                <w:lang w:val="en-GB"/>
              </w:rPr>
            </w:pPr>
            <w:bookmarkStart w:id="83" w:name="_Toc200717863"/>
            <w:bookmarkStart w:id="84" w:name="_Toc200719981"/>
            <w:bookmarkStart w:id="85" w:name="_Toc200721622"/>
            <w:r w:rsidRPr="000A62FC">
              <w:rPr>
                <w:rFonts w:asciiTheme="majorBidi" w:hAnsiTheme="majorBidi" w:cstheme="majorBidi"/>
                <w:sz w:val="24"/>
                <w:szCs w:val="24"/>
                <w:lang w:val="en-GB"/>
              </w:rPr>
              <w:t>Company (or union of C):</w:t>
            </w:r>
            <w:bookmarkEnd w:id="83"/>
            <w:bookmarkEnd w:id="84"/>
            <w:bookmarkEnd w:id="85"/>
          </w:p>
          <w:p w14:paraId="05F98B23" w14:textId="77777777" w:rsidR="00DC2EB3" w:rsidRPr="000A62FC" w:rsidRDefault="00DC2EB3" w:rsidP="000805CE">
            <w:pPr>
              <w:jc w:val="center"/>
              <w:outlineLvl w:val="2"/>
              <w:rPr>
                <w:rFonts w:asciiTheme="majorBidi" w:hAnsiTheme="majorBidi" w:cstheme="majorBidi"/>
                <w:sz w:val="24"/>
                <w:szCs w:val="24"/>
                <w:lang w:val="en-GB"/>
              </w:rPr>
            </w:pPr>
          </w:p>
          <w:p w14:paraId="515B5F22" w14:textId="77777777" w:rsidR="00DC2EB3" w:rsidRPr="000A62FC" w:rsidRDefault="00DC2EB3" w:rsidP="000805CE">
            <w:pPr>
              <w:jc w:val="center"/>
              <w:outlineLvl w:val="2"/>
              <w:rPr>
                <w:rFonts w:asciiTheme="majorBidi" w:hAnsiTheme="majorBidi" w:cstheme="majorBidi"/>
                <w:sz w:val="24"/>
                <w:szCs w:val="24"/>
                <w:lang w:val="en-GB"/>
              </w:rPr>
            </w:pPr>
            <w:bookmarkStart w:id="86" w:name="_Toc200717864"/>
            <w:bookmarkStart w:id="87" w:name="_Toc200719982"/>
            <w:bookmarkStart w:id="88" w:name="_Toc200721623"/>
            <w:r w:rsidRPr="000A62FC">
              <w:rPr>
                <w:rFonts w:asciiTheme="majorBidi" w:hAnsiTheme="majorBidi" w:cstheme="majorBidi"/>
                <w:sz w:val="24"/>
                <w:szCs w:val="24"/>
                <w:lang w:val="en-GB"/>
              </w:rPr>
              <w:t>One</w:t>
            </w:r>
            <w:bookmarkEnd w:id="86"/>
            <w:bookmarkEnd w:id="87"/>
            <w:bookmarkEnd w:id="88"/>
          </w:p>
          <w:p w14:paraId="395D75A4" w14:textId="77777777" w:rsidR="00DC2EB3" w:rsidRPr="000A62FC" w:rsidRDefault="00DC2EB3" w:rsidP="000805CE">
            <w:pPr>
              <w:jc w:val="center"/>
              <w:outlineLvl w:val="2"/>
              <w:rPr>
                <w:rFonts w:asciiTheme="majorBidi" w:hAnsiTheme="majorBidi" w:cstheme="majorBidi"/>
                <w:sz w:val="24"/>
                <w:szCs w:val="24"/>
                <w:lang w:val="en-GB"/>
              </w:rPr>
            </w:pPr>
          </w:p>
          <w:p w14:paraId="5176E9B2" w14:textId="63DC756A" w:rsidR="00DC2EB3" w:rsidRDefault="0077354A" w:rsidP="000805CE">
            <w:pPr>
              <w:jc w:val="center"/>
              <w:outlineLvl w:val="2"/>
              <w:rPr>
                <w:rFonts w:asciiTheme="majorBidi" w:eastAsia="Times New Roman" w:hAnsiTheme="majorBidi" w:cstheme="majorBidi"/>
                <w:b/>
                <w:bCs/>
                <w:sz w:val="27"/>
                <w:szCs w:val="27"/>
                <w:lang w:val="en-GB"/>
              </w:rPr>
            </w:pPr>
            <w:bookmarkStart w:id="89" w:name="_Toc200717865"/>
            <w:bookmarkStart w:id="90" w:name="_Toc200719983"/>
            <w:bookmarkStart w:id="91" w:name="_Toc200721624"/>
            <w:r w:rsidRPr="000A62FC">
              <w:rPr>
                <w:rFonts w:asciiTheme="majorBidi" w:hAnsiTheme="majorBidi" w:cstheme="majorBidi"/>
                <w:sz w:val="24"/>
                <w:szCs w:val="24"/>
                <w:lang w:val="en-GB"/>
              </w:rPr>
              <w:t>S</w:t>
            </w:r>
            <w:r w:rsidR="00DC2EB3" w:rsidRPr="000A62FC">
              <w:rPr>
                <w:rFonts w:asciiTheme="majorBidi" w:hAnsiTheme="majorBidi" w:cstheme="majorBidi"/>
                <w:sz w:val="24"/>
                <w:szCs w:val="24"/>
                <w:lang w:val="en-GB"/>
              </w:rPr>
              <w:t>everal</w:t>
            </w:r>
            <w:bookmarkEnd w:id="89"/>
            <w:bookmarkEnd w:id="90"/>
            <w:bookmarkEnd w:id="91"/>
          </w:p>
        </w:tc>
        <w:tc>
          <w:tcPr>
            <w:tcW w:w="932" w:type="dxa"/>
          </w:tcPr>
          <w:p w14:paraId="59F038B0" w14:textId="77777777" w:rsidR="00DC2EB3" w:rsidRDefault="00DC2EB3" w:rsidP="000805CE">
            <w:pPr>
              <w:jc w:val="center"/>
              <w:outlineLvl w:val="2"/>
              <w:rPr>
                <w:rFonts w:asciiTheme="majorBidi" w:eastAsia="Times New Roman" w:hAnsiTheme="majorBidi" w:cstheme="majorBidi"/>
                <w:b/>
                <w:bCs/>
                <w:sz w:val="27"/>
                <w:szCs w:val="27"/>
                <w:lang w:val="en-GB"/>
              </w:rPr>
            </w:pPr>
          </w:p>
        </w:tc>
        <w:tc>
          <w:tcPr>
            <w:tcW w:w="916" w:type="dxa"/>
          </w:tcPr>
          <w:p w14:paraId="6FBBAEC5" w14:textId="77777777" w:rsidR="00DC2EB3" w:rsidRDefault="00DC2EB3" w:rsidP="000805CE">
            <w:pPr>
              <w:jc w:val="center"/>
              <w:outlineLvl w:val="2"/>
              <w:rPr>
                <w:rFonts w:asciiTheme="majorBidi" w:eastAsia="Times New Roman" w:hAnsiTheme="majorBidi" w:cstheme="majorBidi"/>
                <w:b/>
                <w:bCs/>
                <w:sz w:val="27"/>
                <w:szCs w:val="27"/>
                <w:lang w:val="en-GB"/>
              </w:rPr>
            </w:pPr>
          </w:p>
        </w:tc>
        <w:tc>
          <w:tcPr>
            <w:tcW w:w="1402" w:type="dxa"/>
          </w:tcPr>
          <w:p w14:paraId="4C196647" w14:textId="77777777" w:rsidR="00DC2EB3" w:rsidRDefault="00DC2EB3" w:rsidP="000805CE">
            <w:pPr>
              <w:spacing w:line="360" w:lineRule="auto"/>
              <w:jc w:val="center"/>
              <w:outlineLvl w:val="2"/>
              <w:rPr>
                <w:rFonts w:asciiTheme="majorBidi" w:eastAsia="Times New Roman" w:hAnsiTheme="majorBidi" w:cstheme="majorBidi"/>
                <w:sz w:val="24"/>
                <w:szCs w:val="24"/>
              </w:rPr>
            </w:pPr>
          </w:p>
          <w:p w14:paraId="07E829A2"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061FAAD5" w14:textId="7091E060" w:rsidR="000A62FC" w:rsidRPr="000A62FC" w:rsidRDefault="000A62FC" w:rsidP="000805CE">
            <w:pPr>
              <w:spacing w:line="360" w:lineRule="auto"/>
              <w:jc w:val="center"/>
              <w:outlineLvl w:val="2"/>
              <w:rPr>
                <w:rFonts w:asciiTheme="majorBidi" w:eastAsia="Times New Roman" w:hAnsiTheme="majorBidi" w:cstheme="majorBidi"/>
                <w:sz w:val="24"/>
                <w:szCs w:val="24"/>
              </w:rPr>
            </w:pPr>
            <w:bookmarkStart w:id="92" w:name="_Toc200717866"/>
            <w:bookmarkStart w:id="93" w:name="_Toc200719984"/>
            <w:bookmarkStart w:id="94" w:name="_Toc200721625"/>
            <w:r>
              <w:rPr>
                <w:rFonts w:asciiTheme="majorBidi" w:eastAsia="Times New Roman" w:hAnsiTheme="majorBidi" w:cstheme="majorBidi"/>
                <w:sz w:val="24"/>
                <w:szCs w:val="24"/>
              </w:rPr>
              <w:t>4</w:t>
            </w:r>
            <w:bookmarkEnd w:id="92"/>
            <w:bookmarkEnd w:id="93"/>
            <w:bookmarkEnd w:id="94"/>
          </w:p>
        </w:tc>
        <w:tc>
          <w:tcPr>
            <w:tcW w:w="1271" w:type="dxa"/>
          </w:tcPr>
          <w:p w14:paraId="07E960DC" w14:textId="77777777" w:rsidR="00DC2EB3" w:rsidRDefault="00DC2EB3" w:rsidP="000805CE">
            <w:pPr>
              <w:jc w:val="center"/>
              <w:outlineLvl w:val="2"/>
              <w:rPr>
                <w:rFonts w:asciiTheme="majorBidi" w:eastAsia="Times New Roman" w:hAnsiTheme="majorBidi" w:cstheme="majorBidi"/>
                <w:sz w:val="27"/>
                <w:szCs w:val="27"/>
              </w:rPr>
            </w:pPr>
          </w:p>
          <w:p w14:paraId="1F35833C" w14:textId="77777777" w:rsidR="00DC2EB3" w:rsidRDefault="00DC2EB3" w:rsidP="000805CE">
            <w:pPr>
              <w:jc w:val="center"/>
              <w:outlineLvl w:val="2"/>
              <w:rPr>
                <w:rFonts w:asciiTheme="majorBidi" w:eastAsia="Times New Roman" w:hAnsiTheme="majorBidi" w:cstheme="majorBidi"/>
                <w:sz w:val="27"/>
                <w:szCs w:val="27"/>
              </w:rPr>
            </w:pPr>
          </w:p>
          <w:p w14:paraId="62F847D2" w14:textId="77777777" w:rsidR="00DC2EB3" w:rsidRDefault="00DC2EB3" w:rsidP="000805CE">
            <w:pPr>
              <w:jc w:val="center"/>
              <w:outlineLvl w:val="2"/>
              <w:rPr>
                <w:rFonts w:asciiTheme="majorBidi" w:eastAsia="Times New Roman" w:hAnsiTheme="majorBidi" w:cstheme="majorBidi"/>
                <w:sz w:val="27"/>
                <w:szCs w:val="27"/>
              </w:rPr>
            </w:pPr>
          </w:p>
          <w:p w14:paraId="69E837E0" w14:textId="77777777" w:rsidR="00DC2EB3" w:rsidRDefault="00DC2EB3" w:rsidP="000805CE">
            <w:pPr>
              <w:jc w:val="center"/>
              <w:outlineLvl w:val="2"/>
              <w:rPr>
                <w:rFonts w:asciiTheme="majorBidi" w:eastAsia="Times New Roman" w:hAnsiTheme="majorBidi" w:cstheme="majorBidi"/>
                <w:sz w:val="27"/>
                <w:szCs w:val="27"/>
              </w:rPr>
            </w:pPr>
          </w:p>
          <w:p w14:paraId="0CB47E7F" w14:textId="77777777" w:rsidR="00DC2EB3" w:rsidRDefault="00DC2EB3" w:rsidP="000805CE">
            <w:pPr>
              <w:jc w:val="center"/>
              <w:outlineLvl w:val="2"/>
              <w:rPr>
                <w:rFonts w:asciiTheme="majorBidi" w:eastAsia="Times New Roman" w:hAnsiTheme="majorBidi" w:cstheme="majorBidi"/>
                <w:sz w:val="27"/>
                <w:szCs w:val="27"/>
              </w:rPr>
            </w:pPr>
            <w:bookmarkStart w:id="95" w:name="_Toc200717867"/>
            <w:bookmarkStart w:id="96" w:name="_Toc200719985"/>
            <w:bookmarkStart w:id="97" w:name="_Toc200721626"/>
            <w:r>
              <w:rPr>
                <w:rFonts w:asciiTheme="majorBidi" w:eastAsia="Times New Roman" w:hAnsiTheme="majorBidi" w:cstheme="majorBidi"/>
                <w:sz w:val="27"/>
                <w:szCs w:val="27"/>
              </w:rPr>
              <w:t>5</w:t>
            </w:r>
            <w:bookmarkEnd w:id="95"/>
            <w:bookmarkEnd w:id="96"/>
            <w:bookmarkEnd w:id="97"/>
          </w:p>
        </w:tc>
        <w:tc>
          <w:tcPr>
            <w:tcW w:w="1132" w:type="dxa"/>
          </w:tcPr>
          <w:p w14:paraId="036573C1" w14:textId="77777777" w:rsidR="00DC2EB3" w:rsidRDefault="00DC2EB3" w:rsidP="000805CE">
            <w:pPr>
              <w:jc w:val="center"/>
              <w:outlineLvl w:val="2"/>
              <w:rPr>
                <w:rFonts w:asciiTheme="majorBidi" w:eastAsia="Times New Roman" w:hAnsiTheme="majorBidi" w:cstheme="majorBidi"/>
                <w:b/>
                <w:bCs/>
                <w:sz w:val="27"/>
                <w:szCs w:val="27"/>
              </w:rPr>
            </w:pPr>
          </w:p>
        </w:tc>
        <w:tc>
          <w:tcPr>
            <w:tcW w:w="1130" w:type="dxa"/>
          </w:tcPr>
          <w:p w14:paraId="66166DA1" w14:textId="77777777" w:rsidR="00DC2EB3" w:rsidRDefault="00DC2EB3" w:rsidP="000805CE">
            <w:pPr>
              <w:jc w:val="center"/>
              <w:outlineLvl w:val="2"/>
              <w:rPr>
                <w:rFonts w:asciiTheme="majorBidi" w:eastAsia="Times New Roman" w:hAnsiTheme="majorBidi" w:cstheme="majorBidi"/>
                <w:b/>
                <w:bCs/>
                <w:sz w:val="27"/>
                <w:szCs w:val="27"/>
              </w:rPr>
            </w:pPr>
          </w:p>
        </w:tc>
      </w:tr>
      <w:tr w:rsidR="00DC2EB3" w14:paraId="64F6F80D" w14:textId="77777777">
        <w:trPr>
          <w:trHeight w:val="554"/>
        </w:trPr>
        <w:tc>
          <w:tcPr>
            <w:tcW w:w="2424" w:type="dxa"/>
          </w:tcPr>
          <w:p w14:paraId="02AC7629" w14:textId="77777777" w:rsidR="00DC2EB3" w:rsidRPr="000A62FC" w:rsidRDefault="00DC2EB3" w:rsidP="000805CE">
            <w:pPr>
              <w:spacing w:line="360" w:lineRule="auto"/>
              <w:jc w:val="center"/>
              <w:outlineLvl w:val="2"/>
              <w:rPr>
                <w:rFonts w:asciiTheme="majorBidi" w:hAnsiTheme="majorBidi" w:cstheme="majorBidi"/>
                <w:sz w:val="24"/>
                <w:szCs w:val="24"/>
                <w:lang w:val="en-GB"/>
              </w:rPr>
            </w:pPr>
            <w:bookmarkStart w:id="98" w:name="_Toc200717868"/>
            <w:bookmarkStart w:id="99" w:name="_Toc200719986"/>
            <w:bookmarkStart w:id="100" w:name="_Toc200721627"/>
            <w:r w:rsidRPr="000A62FC">
              <w:rPr>
                <w:rFonts w:asciiTheme="majorBidi" w:hAnsiTheme="majorBidi" w:cstheme="majorBidi"/>
                <w:sz w:val="24"/>
                <w:szCs w:val="24"/>
                <w:lang w:val="en-GB"/>
              </w:rPr>
              <w:t>Movement of individuals:</w:t>
            </w:r>
            <w:bookmarkEnd w:id="98"/>
            <w:bookmarkEnd w:id="99"/>
            <w:bookmarkEnd w:id="100"/>
          </w:p>
          <w:p w14:paraId="2D3DA79C" w14:textId="77777777" w:rsidR="00DC2EB3" w:rsidRPr="000A62FC" w:rsidRDefault="00DC2EB3" w:rsidP="000805CE">
            <w:pPr>
              <w:spacing w:line="360" w:lineRule="auto"/>
              <w:jc w:val="center"/>
              <w:outlineLvl w:val="2"/>
              <w:rPr>
                <w:rFonts w:asciiTheme="majorBidi" w:hAnsiTheme="majorBidi" w:cstheme="majorBidi"/>
                <w:sz w:val="24"/>
                <w:szCs w:val="24"/>
                <w:lang w:val="en-GB"/>
              </w:rPr>
            </w:pPr>
          </w:p>
          <w:p w14:paraId="3153E5AA" w14:textId="77777777" w:rsidR="00DC2EB3" w:rsidRPr="000A62FC" w:rsidRDefault="00DC2EB3" w:rsidP="000805CE">
            <w:pPr>
              <w:spacing w:line="360" w:lineRule="auto"/>
              <w:jc w:val="center"/>
              <w:outlineLvl w:val="2"/>
              <w:rPr>
                <w:rFonts w:asciiTheme="majorBidi" w:hAnsiTheme="majorBidi" w:cstheme="majorBidi"/>
                <w:sz w:val="24"/>
                <w:szCs w:val="24"/>
                <w:lang w:val="en-GB"/>
              </w:rPr>
            </w:pPr>
            <w:bookmarkStart w:id="101" w:name="_Toc200717869"/>
            <w:bookmarkStart w:id="102" w:name="_Toc200719987"/>
            <w:bookmarkStart w:id="103" w:name="_Toc200721628"/>
            <w:r w:rsidRPr="000A62FC">
              <w:rPr>
                <w:rFonts w:asciiTheme="majorBidi" w:hAnsiTheme="majorBidi" w:cstheme="majorBidi"/>
                <w:sz w:val="24"/>
                <w:szCs w:val="24"/>
                <w:lang w:val="en-GB"/>
              </w:rPr>
              <w:t>One</w:t>
            </w:r>
            <w:bookmarkEnd w:id="101"/>
            <w:bookmarkEnd w:id="102"/>
            <w:bookmarkEnd w:id="103"/>
          </w:p>
          <w:p w14:paraId="7A9E7B01" w14:textId="77777777" w:rsidR="00DC2EB3" w:rsidRPr="000A62FC" w:rsidRDefault="00DC2EB3" w:rsidP="000805CE">
            <w:pPr>
              <w:spacing w:line="360" w:lineRule="auto"/>
              <w:jc w:val="center"/>
              <w:outlineLvl w:val="2"/>
              <w:rPr>
                <w:rFonts w:asciiTheme="majorBidi" w:hAnsiTheme="majorBidi" w:cstheme="majorBidi"/>
                <w:sz w:val="24"/>
                <w:szCs w:val="24"/>
                <w:lang w:val="en-GB"/>
              </w:rPr>
            </w:pPr>
          </w:p>
          <w:p w14:paraId="2CE1C3CF" w14:textId="2FBCFC0E" w:rsidR="00DC2EB3" w:rsidRDefault="0077354A" w:rsidP="000805CE">
            <w:pPr>
              <w:spacing w:line="360" w:lineRule="auto"/>
              <w:jc w:val="center"/>
              <w:outlineLvl w:val="2"/>
              <w:rPr>
                <w:rFonts w:asciiTheme="majorBidi" w:eastAsia="Times New Roman" w:hAnsiTheme="majorBidi" w:cstheme="majorBidi"/>
                <w:b/>
                <w:bCs/>
                <w:sz w:val="27"/>
                <w:szCs w:val="27"/>
                <w:lang w:val="en-GB"/>
              </w:rPr>
            </w:pPr>
            <w:bookmarkStart w:id="104" w:name="_Toc200717870"/>
            <w:bookmarkStart w:id="105" w:name="_Toc200719988"/>
            <w:bookmarkStart w:id="106" w:name="_Toc200721629"/>
            <w:r w:rsidRPr="000A62FC">
              <w:rPr>
                <w:rFonts w:asciiTheme="majorBidi" w:hAnsiTheme="majorBidi" w:cstheme="majorBidi"/>
                <w:sz w:val="24"/>
                <w:szCs w:val="24"/>
                <w:lang w:val="en-GB"/>
              </w:rPr>
              <w:t>S</w:t>
            </w:r>
            <w:r w:rsidR="00DC2EB3" w:rsidRPr="000A62FC">
              <w:rPr>
                <w:rFonts w:asciiTheme="majorBidi" w:hAnsiTheme="majorBidi" w:cstheme="majorBidi"/>
                <w:sz w:val="24"/>
                <w:szCs w:val="24"/>
                <w:lang w:val="en-GB"/>
              </w:rPr>
              <w:t>everal</w:t>
            </w:r>
            <w:bookmarkEnd w:id="104"/>
            <w:bookmarkEnd w:id="105"/>
            <w:bookmarkEnd w:id="106"/>
          </w:p>
        </w:tc>
        <w:tc>
          <w:tcPr>
            <w:tcW w:w="932" w:type="dxa"/>
          </w:tcPr>
          <w:p w14:paraId="5E1C3C0B" w14:textId="77777777" w:rsidR="00DC2EB3" w:rsidRPr="00BB5D76" w:rsidRDefault="00DC2EB3" w:rsidP="000805CE">
            <w:pPr>
              <w:jc w:val="center"/>
              <w:outlineLvl w:val="2"/>
              <w:rPr>
                <w:rFonts w:asciiTheme="majorBidi" w:eastAsia="Times New Roman" w:hAnsiTheme="majorBidi" w:cstheme="majorBidi"/>
                <w:sz w:val="24"/>
                <w:szCs w:val="24"/>
                <w:lang w:val="en-GB"/>
              </w:rPr>
            </w:pPr>
          </w:p>
          <w:p w14:paraId="1906C84B" w14:textId="77777777" w:rsidR="000A62FC" w:rsidRPr="00BB5D76" w:rsidRDefault="000A62FC" w:rsidP="000805CE">
            <w:pPr>
              <w:jc w:val="center"/>
              <w:outlineLvl w:val="2"/>
              <w:rPr>
                <w:rFonts w:asciiTheme="majorBidi" w:eastAsia="Times New Roman" w:hAnsiTheme="majorBidi" w:cstheme="majorBidi"/>
                <w:sz w:val="24"/>
                <w:szCs w:val="24"/>
                <w:lang w:val="en-GB"/>
              </w:rPr>
            </w:pPr>
          </w:p>
          <w:p w14:paraId="621F2FBD" w14:textId="77777777" w:rsidR="000A62FC" w:rsidRPr="00BB5D76" w:rsidRDefault="000A62FC" w:rsidP="000805CE">
            <w:pPr>
              <w:jc w:val="center"/>
              <w:outlineLvl w:val="2"/>
              <w:rPr>
                <w:rFonts w:asciiTheme="majorBidi" w:eastAsia="Times New Roman" w:hAnsiTheme="majorBidi" w:cstheme="majorBidi"/>
                <w:sz w:val="24"/>
                <w:szCs w:val="24"/>
                <w:lang w:val="en-GB"/>
              </w:rPr>
            </w:pPr>
          </w:p>
          <w:p w14:paraId="37501D39" w14:textId="77777777" w:rsidR="000A62FC" w:rsidRPr="00BB5D76" w:rsidRDefault="000A62FC" w:rsidP="000805CE">
            <w:pPr>
              <w:jc w:val="center"/>
              <w:outlineLvl w:val="2"/>
              <w:rPr>
                <w:rFonts w:asciiTheme="majorBidi" w:eastAsia="Times New Roman" w:hAnsiTheme="majorBidi" w:cstheme="majorBidi"/>
                <w:sz w:val="24"/>
                <w:szCs w:val="24"/>
                <w:lang w:val="en-GB"/>
              </w:rPr>
            </w:pPr>
          </w:p>
          <w:p w14:paraId="46D9434F" w14:textId="177DEF59" w:rsidR="000A62FC" w:rsidRPr="000A62FC" w:rsidRDefault="000A62FC" w:rsidP="000805CE">
            <w:pPr>
              <w:jc w:val="center"/>
              <w:outlineLvl w:val="2"/>
              <w:rPr>
                <w:rFonts w:asciiTheme="majorBidi" w:eastAsia="Times New Roman" w:hAnsiTheme="majorBidi" w:cstheme="majorBidi"/>
                <w:sz w:val="24"/>
                <w:szCs w:val="24"/>
              </w:rPr>
            </w:pPr>
            <w:bookmarkStart w:id="107" w:name="_Toc200717871"/>
            <w:bookmarkStart w:id="108" w:name="_Toc200719989"/>
            <w:bookmarkStart w:id="109" w:name="_Toc200721630"/>
            <w:r>
              <w:rPr>
                <w:rFonts w:asciiTheme="majorBidi" w:eastAsia="Times New Roman" w:hAnsiTheme="majorBidi" w:cstheme="majorBidi"/>
                <w:sz w:val="24"/>
                <w:szCs w:val="24"/>
              </w:rPr>
              <w:t>6</w:t>
            </w:r>
            <w:bookmarkEnd w:id="107"/>
            <w:bookmarkEnd w:id="108"/>
            <w:bookmarkEnd w:id="109"/>
          </w:p>
        </w:tc>
        <w:tc>
          <w:tcPr>
            <w:tcW w:w="916" w:type="dxa"/>
          </w:tcPr>
          <w:p w14:paraId="2E63EC76" w14:textId="77777777" w:rsidR="000A62FC" w:rsidRDefault="000A62FC" w:rsidP="000805CE">
            <w:pPr>
              <w:jc w:val="center"/>
              <w:outlineLvl w:val="2"/>
              <w:rPr>
                <w:rFonts w:asciiTheme="majorBidi" w:eastAsia="Times New Roman" w:hAnsiTheme="majorBidi" w:cstheme="majorBidi"/>
                <w:b/>
                <w:bCs/>
                <w:sz w:val="24"/>
                <w:szCs w:val="24"/>
              </w:rPr>
            </w:pPr>
          </w:p>
          <w:p w14:paraId="3F4B7187" w14:textId="77777777" w:rsidR="000A62FC" w:rsidRDefault="000A62FC" w:rsidP="000805CE">
            <w:pPr>
              <w:jc w:val="center"/>
              <w:outlineLvl w:val="2"/>
              <w:rPr>
                <w:rFonts w:asciiTheme="majorBidi" w:eastAsia="Times New Roman" w:hAnsiTheme="majorBidi" w:cstheme="majorBidi"/>
                <w:b/>
                <w:bCs/>
                <w:sz w:val="24"/>
                <w:szCs w:val="24"/>
              </w:rPr>
            </w:pPr>
          </w:p>
          <w:p w14:paraId="10A325FF" w14:textId="77777777" w:rsidR="000A62FC" w:rsidRDefault="000A62FC" w:rsidP="000805CE">
            <w:pPr>
              <w:jc w:val="center"/>
              <w:outlineLvl w:val="2"/>
              <w:rPr>
                <w:rFonts w:asciiTheme="majorBidi" w:eastAsia="Times New Roman" w:hAnsiTheme="majorBidi" w:cstheme="majorBidi"/>
                <w:b/>
                <w:bCs/>
                <w:sz w:val="24"/>
                <w:szCs w:val="24"/>
              </w:rPr>
            </w:pPr>
          </w:p>
          <w:p w14:paraId="28565D7A" w14:textId="77777777" w:rsidR="000A62FC" w:rsidRDefault="000A62FC" w:rsidP="000805CE">
            <w:pPr>
              <w:jc w:val="center"/>
              <w:outlineLvl w:val="2"/>
              <w:rPr>
                <w:rFonts w:asciiTheme="majorBidi" w:eastAsia="Times New Roman" w:hAnsiTheme="majorBidi" w:cstheme="majorBidi"/>
                <w:b/>
                <w:bCs/>
                <w:sz w:val="24"/>
                <w:szCs w:val="24"/>
              </w:rPr>
            </w:pPr>
          </w:p>
          <w:p w14:paraId="17F7FEC6" w14:textId="5CB09932" w:rsidR="000A62FC" w:rsidRPr="000A62FC" w:rsidRDefault="000A62FC" w:rsidP="000805CE">
            <w:pPr>
              <w:jc w:val="center"/>
              <w:outlineLvl w:val="2"/>
              <w:rPr>
                <w:rFonts w:asciiTheme="majorBidi" w:eastAsia="Times New Roman" w:hAnsiTheme="majorBidi" w:cstheme="majorBidi"/>
                <w:sz w:val="24"/>
                <w:szCs w:val="24"/>
              </w:rPr>
            </w:pPr>
            <w:bookmarkStart w:id="110" w:name="_Toc200717872"/>
            <w:bookmarkStart w:id="111" w:name="_Toc200719990"/>
            <w:bookmarkStart w:id="112" w:name="_Toc200721631"/>
            <w:r>
              <w:rPr>
                <w:rFonts w:asciiTheme="majorBidi" w:eastAsia="Times New Roman" w:hAnsiTheme="majorBidi" w:cstheme="majorBidi"/>
                <w:sz w:val="24"/>
                <w:szCs w:val="24"/>
              </w:rPr>
              <w:t>7</w:t>
            </w:r>
            <w:bookmarkEnd w:id="110"/>
            <w:bookmarkEnd w:id="111"/>
            <w:bookmarkEnd w:id="112"/>
          </w:p>
        </w:tc>
        <w:tc>
          <w:tcPr>
            <w:tcW w:w="1402" w:type="dxa"/>
          </w:tcPr>
          <w:p w14:paraId="40C68992" w14:textId="5553E26D" w:rsidR="00DC2EB3" w:rsidRPr="000A62FC" w:rsidRDefault="00DC2EB3" w:rsidP="000805CE">
            <w:pPr>
              <w:jc w:val="center"/>
              <w:outlineLvl w:val="2"/>
              <w:rPr>
                <w:rFonts w:asciiTheme="majorBidi" w:eastAsia="Times New Roman" w:hAnsiTheme="majorBidi" w:cstheme="majorBidi"/>
                <w:sz w:val="24"/>
                <w:szCs w:val="24"/>
              </w:rPr>
            </w:pPr>
          </w:p>
        </w:tc>
        <w:tc>
          <w:tcPr>
            <w:tcW w:w="1271" w:type="dxa"/>
          </w:tcPr>
          <w:p w14:paraId="5674CA52" w14:textId="77777777" w:rsidR="00DC2EB3" w:rsidRDefault="00DC2EB3" w:rsidP="000805CE">
            <w:pPr>
              <w:spacing w:line="360" w:lineRule="auto"/>
              <w:jc w:val="center"/>
              <w:outlineLvl w:val="2"/>
              <w:rPr>
                <w:rFonts w:asciiTheme="majorBidi" w:eastAsia="Times New Roman" w:hAnsiTheme="majorBidi" w:cstheme="majorBidi"/>
                <w:sz w:val="24"/>
                <w:szCs w:val="24"/>
              </w:rPr>
            </w:pPr>
          </w:p>
          <w:p w14:paraId="01D40611"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23E51D5F"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6F152D4D"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7FACFCA2"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79E8EBDD" w14:textId="2A64C558" w:rsidR="000A62FC" w:rsidRPr="000A62FC" w:rsidRDefault="000A62FC" w:rsidP="000805CE">
            <w:pPr>
              <w:spacing w:line="360" w:lineRule="auto"/>
              <w:jc w:val="center"/>
              <w:outlineLvl w:val="2"/>
              <w:rPr>
                <w:rFonts w:asciiTheme="majorBidi" w:eastAsia="Times New Roman" w:hAnsiTheme="majorBidi" w:cstheme="majorBidi"/>
                <w:sz w:val="24"/>
                <w:szCs w:val="24"/>
              </w:rPr>
            </w:pPr>
            <w:bookmarkStart w:id="113" w:name="_Toc200717873"/>
            <w:bookmarkStart w:id="114" w:name="_Toc200719991"/>
            <w:bookmarkStart w:id="115" w:name="_Toc200721632"/>
            <w:r>
              <w:rPr>
                <w:rFonts w:asciiTheme="majorBidi" w:eastAsia="Times New Roman" w:hAnsiTheme="majorBidi" w:cstheme="majorBidi"/>
                <w:sz w:val="24"/>
                <w:szCs w:val="24"/>
              </w:rPr>
              <w:t>8</w:t>
            </w:r>
            <w:bookmarkEnd w:id="113"/>
            <w:bookmarkEnd w:id="114"/>
            <w:bookmarkEnd w:id="115"/>
          </w:p>
        </w:tc>
        <w:tc>
          <w:tcPr>
            <w:tcW w:w="1132" w:type="dxa"/>
          </w:tcPr>
          <w:p w14:paraId="6ACF7E08" w14:textId="77777777" w:rsidR="00DC2EB3" w:rsidRDefault="00DC2EB3" w:rsidP="000805CE">
            <w:pPr>
              <w:spacing w:line="360" w:lineRule="auto"/>
              <w:jc w:val="center"/>
              <w:outlineLvl w:val="2"/>
              <w:rPr>
                <w:rFonts w:asciiTheme="majorBidi" w:eastAsia="Times New Roman" w:hAnsiTheme="majorBidi" w:cstheme="majorBidi"/>
                <w:sz w:val="24"/>
                <w:szCs w:val="24"/>
              </w:rPr>
            </w:pPr>
          </w:p>
          <w:p w14:paraId="14D35183"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0FD5E453"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21669C8D"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5F15919D" w14:textId="77777777" w:rsidR="000A62FC" w:rsidRDefault="000A62FC" w:rsidP="000805CE">
            <w:pPr>
              <w:spacing w:line="360" w:lineRule="auto"/>
              <w:jc w:val="center"/>
              <w:outlineLvl w:val="2"/>
              <w:rPr>
                <w:rFonts w:asciiTheme="majorBidi" w:eastAsia="Times New Roman" w:hAnsiTheme="majorBidi" w:cstheme="majorBidi"/>
                <w:sz w:val="24"/>
                <w:szCs w:val="24"/>
              </w:rPr>
            </w:pPr>
          </w:p>
          <w:p w14:paraId="73BF552C" w14:textId="5980234D" w:rsidR="000A62FC" w:rsidRPr="000A62FC" w:rsidRDefault="000A62FC" w:rsidP="000805CE">
            <w:pPr>
              <w:spacing w:line="360" w:lineRule="auto"/>
              <w:jc w:val="center"/>
              <w:outlineLvl w:val="2"/>
              <w:rPr>
                <w:rFonts w:asciiTheme="majorBidi" w:eastAsia="Times New Roman" w:hAnsiTheme="majorBidi" w:cstheme="majorBidi"/>
                <w:sz w:val="24"/>
                <w:szCs w:val="24"/>
              </w:rPr>
            </w:pPr>
            <w:bookmarkStart w:id="116" w:name="_Toc200717874"/>
            <w:bookmarkStart w:id="117" w:name="_Toc200719992"/>
            <w:bookmarkStart w:id="118" w:name="_Toc200721633"/>
            <w:r>
              <w:rPr>
                <w:rFonts w:asciiTheme="majorBidi" w:eastAsia="Times New Roman" w:hAnsiTheme="majorBidi" w:cstheme="majorBidi"/>
                <w:sz w:val="24"/>
                <w:szCs w:val="24"/>
              </w:rPr>
              <w:t>9</w:t>
            </w:r>
            <w:bookmarkEnd w:id="116"/>
            <w:bookmarkEnd w:id="117"/>
            <w:bookmarkEnd w:id="118"/>
          </w:p>
        </w:tc>
        <w:tc>
          <w:tcPr>
            <w:tcW w:w="1130" w:type="dxa"/>
          </w:tcPr>
          <w:p w14:paraId="0E3366AF" w14:textId="77777777" w:rsidR="00DC2EB3" w:rsidRDefault="00DC2EB3" w:rsidP="000805CE">
            <w:pPr>
              <w:jc w:val="center"/>
              <w:outlineLvl w:val="2"/>
              <w:rPr>
                <w:rFonts w:asciiTheme="majorBidi" w:eastAsia="Times New Roman" w:hAnsiTheme="majorBidi" w:cstheme="majorBidi"/>
                <w:b/>
                <w:bCs/>
                <w:sz w:val="27"/>
                <w:szCs w:val="27"/>
              </w:rPr>
            </w:pPr>
          </w:p>
        </w:tc>
      </w:tr>
    </w:tbl>
    <w:p w14:paraId="5B2A657A" w14:textId="77777777" w:rsidR="00DE00F9" w:rsidRDefault="000A62FC" w:rsidP="00DE00F9">
      <w:pPr>
        <w:jc w:val="center"/>
        <w:rPr>
          <w:rFonts w:asciiTheme="majorBidi" w:hAnsiTheme="majorBidi" w:cstheme="majorBidi"/>
          <w:sz w:val="24"/>
          <w:szCs w:val="24"/>
          <w:lang w:eastAsia="fr-FR"/>
        </w:rPr>
      </w:pPr>
      <w:r w:rsidRPr="00C16403">
        <w:rPr>
          <w:rFonts w:asciiTheme="majorBidi" w:hAnsiTheme="majorBidi" w:cstheme="majorBidi"/>
          <w:b/>
          <w:bCs/>
          <w:sz w:val="24"/>
          <w:szCs w:val="24"/>
          <w:lang w:eastAsia="fr-FR"/>
        </w:rPr>
        <w:t>Source :</w:t>
      </w:r>
      <w:r w:rsidR="00C16403" w:rsidRPr="00C16403">
        <w:rPr>
          <w:rFonts w:asciiTheme="majorBidi" w:hAnsiTheme="majorBidi" w:cstheme="majorBidi"/>
          <w:b/>
          <w:bCs/>
          <w:sz w:val="24"/>
          <w:szCs w:val="24"/>
          <w:lang w:eastAsia="fr-FR"/>
        </w:rPr>
        <w:t xml:space="preserve"> </w:t>
      </w:r>
      <w:r w:rsidR="00C16403" w:rsidRPr="00C16403">
        <w:rPr>
          <w:rFonts w:asciiTheme="majorBidi" w:hAnsiTheme="majorBidi" w:cstheme="majorBidi"/>
          <w:sz w:val="24"/>
          <w:szCs w:val="24"/>
          <w:lang w:eastAsia="fr-FR"/>
        </w:rPr>
        <w:t>Marinette Amirault-Thebault. Le boycott : analyse conceptuelle et modélisation. Gestion et management. Université de la Réunion, 1999. Français. P 42</w:t>
      </w:r>
    </w:p>
    <w:p w14:paraId="47CAB774" w14:textId="4E52BDF7" w:rsidR="00DC2EB3" w:rsidRPr="00DE00F9" w:rsidRDefault="00DC2EB3" w:rsidP="00DE00F9">
      <w:pPr>
        <w:rPr>
          <w:rFonts w:asciiTheme="majorBidi" w:hAnsiTheme="majorBidi" w:cstheme="majorBidi"/>
          <w:sz w:val="24"/>
          <w:szCs w:val="24"/>
          <w:lang w:eastAsia="fr-FR"/>
        </w:rPr>
      </w:pPr>
      <w:r w:rsidRPr="000A62FC">
        <w:rPr>
          <w:rFonts w:ascii="Times New Roman" w:eastAsia="Times New Roman" w:hAnsi="Times New Roman" w:cs="Times New Roman"/>
          <w:b/>
          <w:bCs/>
          <w:sz w:val="24"/>
          <w:szCs w:val="24"/>
          <w:lang w:eastAsia="fr-FR"/>
        </w:rPr>
        <w:t>Examples of Boycotts</w:t>
      </w:r>
      <w:r w:rsidR="000F7A21">
        <w:rPr>
          <w:rFonts w:ascii="Times New Roman" w:eastAsia="Times New Roman" w:hAnsi="Times New Roman" w:cs="Times New Roman"/>
          <w:b/>
          <w:bCs/>
          <w:sz w:val="24"/>
          <w:szCs w:val="24"/>
          <w:lang w:eastAsia="fr-FR"/>
        </w:rPr>
        <w:t> :</w:t>
      </w:r>
    </w:p>
    <w:p w14:paraId="46ECC2D1"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1905</w:t>
      </w:r>
      <w:r>
        <w:rPr>
          <w:rFonts w:ascii="Times New Roman" w:eastAsia="Times New Roman" w:hAnsi="Times New Roman" w:cs="Times New Roman"/>
          <w:sz w:val="24"/>
          <w:szCs w:val="24"/>
          <w:lang w:eastAsia="fr-FR"/>
        </w:rPr>
        <w:t xml:space="preserve"> – China boycotted American trade.</w:t>
      </w:r>
    </w:p>
    <w:p w14:paraId="03FAB86D"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1945</w:t>
      </w:r>
      <w:r>
        <w:rPr>
          <w:rFonts w:ascii="Times New Roman" w:eastAsia="Times New Roman" w:hAnsi="Times New Roman" w:cs="Times New Roman"/>
          <w:sz w:val="24"/>
          <w:szCs w:val="24"/>
          <w:lang w:val="en-GB" w:eastAsia="fr-FR"/>
        </w:rPr>
        <w:t xml:space="preserve"> – Arab League member states boycotted companies trading with Israel.</w:t>
      </w:r>
    </w:p>
    <w:p w14:paraId="4481E1AC"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1966</w:t>
      </w:r>
      <w:r>
        <w:rPr>
          <w:rFonts w:ascii="Times New Roman" w:eastAsia="Times New Roman" w:hAnsi="Times New Roman" w:cs="Times New Roman"/>
          <w:sz w:val="24"/>
          <w:szCs w:val="24"/>
          <w:lang w:val="en-GB" w:eastAsia="fr-FR"/>
        </w:rPr>
        <w:t xml:space="preserve"> – United Nations member states boycotted various products going to and from Rhodesia.</w:t>
      </w:r>
    </w:p>
    <w:p w14:paraId="45BB668A"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(Undated)</w:t>
      </w:r>
      <w:r>
        <w:rPr>
          <w:rFonts w:ascii="Times New Roman" w:eastAsia="Times New Roman" w:hAnsi="Times New Roman" w:cs="Times New Roman"/>
          <w:sz w:val="24"/>
          <w:szCs w:val="24"/>
          <w:lang w:val="en-GB" w:eastAsia="fr-FR"/>
        </w:rPr>
        <w:t xml:space="preserve"> – A consumer cooperative was boycotted by the federation of tobacco and cigarette retailers.</w:t>
      </w:r>
    </w:p>
    <w:p w14:paraId="41599AEB"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(Undated)</w:t>
      </w:r>
      <w:r>
        <w:rPr>
          <w:rFonts w:ascii="Times New Roman" w:eastAsia="Times New Roman" w:hAnsi="Times New Roman" w:cs="Times New Roman"/>
          <w:sz w:val="24"/>
          <w:szCs w:val="24"/>
          <w:lang w:val="en-GB" w:eastAsia="fr-FR"/>
        </w:rPr>
        <w:t xml:space="preserve"> – Edouard Leclerc shopping centers were boycotted by branded product manufacturers and retail trade unions.</w:t>
      </w:r>
    </w:p>
    <w:p w14:paraId="2598FA98"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1995</w:t>
      </w:r>
      <w:r>
        <w:rPr>
          <w:rFonts w:ascii="Times New Roman" w:eastAsia="Times New Roman" w:hAnsi="Times New Roman" w:cs="Times New Roman"/>
          <w:sz w:val="24"/>
          <w:szCs w:val="24"/>
          <w:lang w:val="en-GB" w:eastAsia="fr-FR"/>
        </w:rPr>
        <w:t xml:space="preserve"> – The International Peace Bureau boycotted French products.</w:t>
      </w:r>
    </w:p>
    <w:p w14:paraId="78D26F29"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1995</w:t>
      </w:r>
      <w:r>
        <w:rPr>
          <w:rFonts w:ascii="Times New Roman" w:eastAsia="Times New Roman" w:hAnsi="Times New Roman" w:cs="Times New Roman"/>
          <w:sz w:val="24"/>
          <w:szCs w:val="24"/>
          <w:lang w:val="en-GB" w:eastAsia="fr-FR"/>
        </w:rPr>
        <w:t xml:space="preserve"> – Greenpeace launched a boycott against Shell.</w:t>
      </w:r>
    </w:p>
    <w:p w14:paraId="3BFF5ED9" w14:textId="77777777" w:rsidR="00DC2EB3" w:rsidRDefault="00DC2EB3">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1997</w:t>
      </w:r>
      <w:r>
        <w:rPr>
          <w:rFonts w:ascii="Times New Roman" w:eastAsia="Times New Roman" w:hAnsi="Times New Roman" w:cs="Times New Roman"/>
          <w:sz w:val="24"/>
          <w:szCs w:val="24"/>
          <w:lang w:val="en-GB" w:eastAsia="fr-FR"/>
        </w:rPr>
        <w:t xml:space="preserve"> – Shell, Mobil, and BP were boycotted in Turkey by all trade unions and environmental movements.</w:t>
      </w:r>
    </w:p>
    <w:p w14:paraId="4EE6747C" w14:textId="77777777" w:rsidR="00DC2EB3" w:rsidRPr="00D816EB" w:rsidRDefault="00DC2EB3" w:rsidP="00D816EB">
      <w:pPr>
        <w:numPr>
          <w:ilvl w:val="0"/>
          <w:numId w:val="15"/>
        </w:numPr>
        <w:spacing w:before="100" w:beforeAutospacing="1" w:after="100" w:afterAutospacing="1" w:line="360" w:lineRule="auto"/>
        <w:jc w:val="both"/>
        <w:rPr>
          <w:rFonts w:ascii="Times New Roman" w:eastAsia="Times New Roman" w:hAnsi="Times New Roman" w:cs="Times New Roman"/>
          <w:sz w:val="24"/>
          <w:szCs w:val="24"/>
          <w:lang w:val="en-GB" w:eastAsia="fr-FR"/>
        </w:rPr>
      </w:pPr>
      <w:r>
        <w:rPr>
          <w:rFonts w:ascii="Times New Roman" w:eastAsia="Times New Roman" w:hAnsi="Times New Roman" w:cs="Times New Roman"/>
          <w:b/>
          <w:bCs/>
          <w:sz w:val="24"/>
          <w:szCs w:val="24"/>
          <w:lang w:val="en-GB" w:eastAsia="fr-FR"/>
        </w:rPr>
        <w:t>1973</w:t>
      </w:r>
      <w:r>
        <w:rPr>
          <w:rFonts w:ascii="Times New Roman" w:eastAsia="Times New Roman" w:hAnsi="Times New Roman" w:cs="Times New Roman"/>
          <w:sz w:val="24"/>
          <w:szCs w:val="24"/>
          <w:lang w:val="en-GB" w:eastAsia="fr-FR"/>
        </w:rPr>
        <w:t xml:space="preserve"> – American consumer groups boycotted meat in the United States.</w:t>
      </w:r>
      <w:r>
        <w:rPr>
          <w:rStyle w:val="FootnoteReference"/>
        </w:rPr>
        <w:footnoteReference w:id="18"/>
      </w:r>
    </w:p>
    <w:p w14:paraId="7A0FA816" w14:textId="0E6C1412" w:rsidR="00DC2EB3" w:rsidRPr="000F7A21" w:rsidRDefault="00DC2EB3" w:rsidP="00B163B6">
      <w:pPr>
        <w:pStyle w:val="Heading3"/>
        <w:rPr>
          <w:rFonts w:eastAsia="Times New Roman"/>
          <w:lang w:eastAsia="fr-FR"/>
        </w:rPr>
      </w:pPr>
      <w:bookmarkStart w:id="119" w:name="_Toc200717875"/>
      <w:bookmarkStart w:id="120" w:name="_Toc200719993"/>
      <w:bookmarkStart w:id="121" w:name="_Toc200721634"/>
      <w:r w:rsidRPr="000F7A21">
        <w:rPr>
          <w:rFonts w:eastAsia="Times New Roman"/>
          <w:lang w:eastAsia="fr-FR"/>
        </w:rPr>
        <w:t>3-</w:t>
      </w:r>
      <w:r w:rsidR="009B4ECA" w:rsidRPr="000F7A21">
        <w:t xml:space="preserve"> Motivations behind boycott:</w:t>
      </w:r>
      <w:bookmarkEnd w:id="119"/>
      <w:bookmarkEnd w:id="120"/>
      <w:bookmarkEnd w:id="121"/>
    </w:p>
    <w:p w14:paraId="45B05B8A" w14:textId="4AF3860C" w:rsidR="00DC2EB3" w:rsidRPr="000805CE" w:rsidRDefault="000805CE">
      <w:pPr>
        <w:pStyle w:val="NormalWeb"/>
        <w:spacing w:line="360" w:lineRule="auto"/>
        <w:jc w:val="both"/>
        <w:rPr>
          <w:lang w:val="en-US"/>
        </w:rPr>
      </w:pPr>
      <w:r>
        <w:rPr>
          <w:lang w:val="en-GB"/>
        </w:rPr>
        <w:t xml:space="preserve">   </w:t>
      </w:r>
      <w:r w:rsidR="00DC2EB3">
        <w:rPr>
          <w:lang w:val="en-GB"/>
        </w:rPr>
        <w:t xml:space="preserve">People join boycotts for different reasons, including wanting to create change, improve their image, or avoid personal inconvenience. </w:t>
      </w:r>
      <w:r w:rsidR="00DC2EB3" w:rsidRPr="000805CE">
        <w:rPr>
          <w:lang w:val="en-US"/>
        </w:rPr>
        <w:t>Here are the main motivations:</w:t>
      </w:r>
    </w:p>
    <w:p w14:paraId="2A96B730" w14:textId="77777777" w:rsidR="0077354A" w:rsidRPr="0077354A" w:rsidRDefault="00DC2EB3">
      <w:pPr>
        <w:pStyle w:val="NormalWeb"/>
        <w:numPr>
          <w:ilvl w:val="0"/>
          <w:numId w:val="16"/>
        </w:numPr>
        <w:spacing w:line="360" w:lineRule="auto"/>
        <w:jc w:val="both"/>
        <w:rPr>
          <w:rStyle w:val="Strong"/>
          <w:b w:val="0"/>
          <w:bCs w:val="0"/>
          <w:lang w:val="en-GB"/>
        </w:rPr>
      </w:pPr>
      <w:r>
        <w:rPr>
          <w:rStyle w:val="Strong"/>
          <w:lang w:val="en-GB"/>
        </w:rPr>
        <w:t>The Desire to Make a Difference</w:t>
      </w:r>
    </w:p>
    <w:p w14:paraId="19B4873D" w14:textId="7B985DE3" w:rsidR="00DC2EB3" w:rsidRDefault="000805CE" w:rsidP="0077354A">
      <w:pPr>
        <w:pStyle w:val="NormalWeb"/>
        <w:tabs>
          <w:tab w:val="left" w:pos="720"/>
        </w:tabs>
        <w:spacing w:line="360" w:lineRule="auto"/>
        <w:jc w:val="both"/>
        <w:rPr>
          <w:lang w:val="en-GB"/>
        </w:rPr>
      </w:pPr>
      <w:r>
        <w:rPr>
          <w:lang w:val="en-GB"/>
        </w:rPr>
        <w:t xml:space="preserve">   </w:t>
      </w:r>
      <w:r w:rsidR="00DC2EB3">
        <w:rPr>
          <w:lang w:val="en-GB"/>
        </w:rPr>
        <w:t>Some people boycott because they believe their actions can push companies or industries to change. They want to send a message that certain practices, like unfair labor conditions or environmental harm, are unacceptable.</w:t>
      </w:r>
    </w:p>
    <w:p w14:paraId="0F60D622" w14:textId="77777777" w:rsidR="0077354A" w:rsidRPr="0077354A" w:rsidRDefault="00DC2EB3">
      <w:pPr>
        <w:pStyle w:val="NormalWeb"/>
        <w:numPr>
          <w:ilvl w:val="0"/>
          <w:numId w:val="16"/>
        </w:numPr>
        <w:spacing w:line="360" w:lineRule="auto"/>
        <w:jc w:val="both"/>
        <w:rPr>
          <w:rStyle w:val="Strong"/>
          <w:b w:val="0"/>
          <w:bCs w:val="0"/>
          <w:lang w:val="en-GB"/>
        </w:rPr>
      </w:pPr>
      <w:r>
        <w:rPr>
          <w:rStyle w:val="Strong"/>
          <w:lang w:val="en-GB"/>
        </w:rPr>
        <w:t>The Need for Self-Enhancement</w:t>
      </w:r>
    </w:p>
    <w:p w14:paraId="3DB4FB4A" w14:textId="36F6E389" w:rsidR="00DC2EB3" w:rsidRDefault="000805CE" w:rsidP="0077354A">
      <w:pPr>
        <w:pStyle w:val="NormalWeb"/>
        <w:tabs>
          <w:tab w:val="left" w:pos="720"/>
        </w:tabs>
        <w:spacing w:line="360" w:lineRule="auto"/>
        <w:jc w:val="both"/>
        <w:rPr>
          <w:lang w:val="en-GB"/>
        </w:rPr>
      </w:pPr>
      <w:r>
        <w:rPr>
          <w:lang w:val="en-GB"/>
        </w:rPr>
        <w:t xml:space="preserve">   </w:t>
      </w:r>
      <w:r w:rsidR="00DC2EB3">
        <w:rPr>
          <w:lang w:val="en-GB"/>
        </w:rPr>
        <w:t>Others participate in boycotts because it makes them feel good or look responsible. They want to be seen as ethical consumers or part of a larger movement advocating for social change.</w:t>
      </w:r>
    </w:p>
    <w:p w14:paraId="3E17047E" w14:textId="77777777" w:rsidR="0077354A" w:rsidRPr="0077354A" w:rsidRDefault="00DC2EB3">
      <w:pPr>
        <w:pStyle w:val="NormalWeb"/>
        <w:numPr>
          <w:ilvl w:val="0"/>
          <w:numId w:val="16"/>
        </w:numPr>
        <w:spacing w:line="360" w:lineRule="auto"/>
        <w:jc w:val="both"/>
        <w:rPr>
          <w:rStyle w:val="Strong"/>
          <w:b w:val="0"/>
          <w:bCs w:val="0"/>
          <w:lang w:val="en-GB"/>
        </w:rPr>
      </w:pPr>
      <w:r>
        <w:rPr>
          <w:rStyle w:val="Strong"/>
          <w:lang w:val="en-GB"/>
        </w:rPr>
        <w:t>Concerns About Negative Consequences</w:t>
      </w:r>
    </w:p>
    <w:p w14:paraId="63190E56" w14:textId="4C7464FB" w:rsidR="00DC2EB3" w:rsidRDefault="000805CE" w:rsidP="0077354A">
      <w:pPr>
        <w:pStyle w:val="NormalWeb"/>
        <w:tabs>
          <w:tab w:val="left" w:pos="720"/>
        </w:tabs>
        <w:spacing w:line="360" w:lineRule="auto"/>
        <w:jc w:val="both"/>
        <w:rPr>
          <w:lang w:val="en-GB"/>
        </w:rPr>
      </w:pPr>
      <w:r>
        <w:rPr>
          <w:lang w:val="en-GB"/>
        </w:rPr>
        <w:t xml:space="preserve">   </w:t>
      </w:r>
      <w:r w:rsidR="00DC2EB3">
        <w:rPr>
          <w:lang w:val="en-GB"/>
        </w:rPr>
        <w:t>Some people hesitate to boycott because they worry about the impact on workers, businesses, or the economy. They might believe that a boycott could do more harm than good.</w:t>
      </w:r>
    </w:p>
    <w:p w14:paraId="065D5F25" w14:textId="77777777" w:rsidR="0077354A" w:rsidRPr="0077354A" w:rsidRDefault="00DC2EB3">
      <w:pPr>
        <w:pStyle w:val="NormalWeb"/>
        <w:numPr>
          <w:ilvl w:val="0"/>
          <w:numId w:val="16"/>
        </w:numPr>
        <w:spacing w:line="360" w:lineRule="auto"/>
        <w:jc w:val="both"/>
        <w:rPr>
          <w:rStyle w:val="Strong"/>
          <w:b w:val="0"/>
          <w:bCs w:val="0"/>
          <w:lang w:val="en-GB"/>
        </w:rPr>
      </w:pPr>
      <w:r>
        <w:rPr>
          <w:rStyle w:val="Strong"/>
          <w:lang w:val="en-GB"/>
        </w:rPr>
        <w:t>The Personal Cost of Boycotting</w:t>
      </w:r>
    </w:p>
    <w:p w14:paraId="7904D1BD" w14:textId="77777777" w:rsidR="009B4ECA" w:rsidRDefault="000805CE" w:rsidP="009B4ECA">
      <w:pPr>
        <w:pStyle w:val="NormalWeb"/>
        <w:tabs>
          <w:tab w:val="left" w:pos="720"/>
        </w:tabs>
        <w:spacing w:line="360" w:lineRule="auto"/>
        <w:jc w:val="both"/>
        <w:rPr>
          <w:lang w:val="en-GB"/>
        </w:rPr>
      </w:pPr>
      <w:r>
        <w:rPr>
          <w:lang w:val="en-GB"/>
        </w:rPr>
        <w:t xml:space="preserve">   </w:t>
      </w:r>
      <w:r w:rsidR="00DC2EB3">
        <w:rPr>
          <w:lang w:val="en-GB"/>
        </w:rPr>
        <w:t>Many consumers choose not to boycott simply because they don’t want to give up the products or services they enjoy, especially if there are no good alternatives.</w:t>
      </w:r>
    </w:p>
    <w:p w14:paraId="0931137F" w14:textId="25CC4B1B" w:rsidR="00DC2EB3" w:rsidRPr="009B4ECA" w:rsidRDefault="00DC2EB3" w:rsidP="003B547F">
      <w:pPr>
        <w:pStyle w:val="NormalWeb"/>
        <w:numPr>
          <w:ilvl w:val="0"/>
          <w:numId w:val="16"/>
        </w:numPr>
        <w:spacing w:line="360" w:lineRule="auto"/>
        <w:jc w:val="both"/>
        <w:rPr>
          <w:lang w:val="en-GB"/>
        </w:rPr>
      </w:pPr>
      <w:r w:rsidRPr="00C16403">
        <w:rPr>
          <w:rStyle w:val="Strong"/>
          <w:lang w:val="en-GB"/>
        </w:rPr>
        <w:t>Consumer Power and Public Policy</w:t>
      </w:r>
    </w:p>
    <w:p w14:paraId="3AC5B32C" w14:textId="0938CCD0" w:rsidR="00DC2EB3" w:rsidRDefault="000805CE">
      <w:pPr>
        <w:pStyle w:val="NormalWeb"/>
        <w:spacing w:line="360" w:lineRule="auto"/>
        <w:jc w:val="both"/>
        <w:rPr>
          <w:lang w:val="en-GB"/>
        </w:rPr>
      </w:pPr>
      <w:r>
        <w:rPr>
          <w:lang w:val="en-GB"/>
        </w:rPr>
        <w:t xml:space="preserve">   </w:t>
      </w:r>
      <w:r w:rsidR="00DC2EB3">
        <w:rPr>
          <w:lang w:val="en-GB"/>
        </w:rPr>
        <w:t>Boycotts are a way for consumers to use their purchasing choices to support companies that align with their values. This idea follows the principles of capitalism, where consumers "vote" with their wallets. However, there is still little research on what truly motivates people to join or avoid boycotts, despite its importance for businesses, policymakers, and advocacy groups.</w:t>
      </w:r>
    </w:p>
    <w:p w14:paraId="4D777620" w14:textId="1846489B" w:rsidR="00DC2EB3" w:rsidRDefault="000805CE">
      <w:pPr>
        <w:pStyle w:val="NormalWeb"/>
        <w:spacing w:line="360" w:lineRule="auto"/>
        <w:jc w:val="both"/>
        <w:rPr>
          <w:lang w:val="en-GB"/>
        </w:rPr>
      </w:pPr>
      <w:r>
        <w:rPr>
          <w:lang w:val="en-GB"/>
        </w:rPr>
        <w:t xml:space="preserve">   </w:t>
      </w:r>
      <w:r w:rsidR="00DC2EB3">
        <w:rPr>
          <w:lang w:val="en-GB"/>
        </w:rPr>
        <w:t>According to Friedman (1985), a boycott is an organized effort to pressure companies by encouraging people to stop buying certain products. Many boycotts are led by NGOs protesting corporate actions, often focusing on ethical and social issues like environmental protection and human rights</w:t>
      </w:r>
      <w:r w:rsidR="00DC2EB3">
        <w:rPr>
          <w:rStyle w:val="FootnoteReference"/>
        </w:rPr>
        <w:footnoteReference w:id="19"/>
      </w:r>
      <w:r>
        <w:rPr>
          <w:lang w:val="en-GB"/>
        </w:rPr>
        <w:t>.</w:t>
      </w:r>
    </w:p>
    <w:p w14:paraId="413BEB68" w14:textId="3E5B53F1" w:rsidR="00D313EB" w:rsidRPr="00D313EB" w:rsidRDefault="00D313EB">
      <w:pPr>
        <w:pStyle w:val="NormalWeb"/>
        <w:spacing w:line="360" w:lineRule="auto"/>
        <w:jc w:val="both"/>
        <w:rPr>
          <w:lang w:val="en-GB"/>
        </w:rPr>
      </w:pPr>
      <w:r w:rsidRPr="00D313EB">
        <w:rPr>
          <w:lang w:val="en-GB"/>
        </w:rPr>
        <w:t>Understanding these basics helps us see how boycotts can influence consumer behavior and create shifts in the market.</w:t>
      </w:r>
    </w:p>
    <w:p w14:paraId="7AFB8CFA" w14:textId="77777777" w:rsidR="00DC2EB3" w:rsidRPr="000805CE" w:rsidRDefault="00DC2EB3">
      <w:pPr>
        <w:spacing w:line="360" w:lineRule="auto"/>
        <w:jc w:val="both"/>
        <w:rPr>
          <w:rFonts w:asciiTheme="majorBidi" w:hAnsiTheme="majorBidi" w:cstheme="majorBidi"/>
          <w:b/>
          <w:bCs/>
          <w:sz w:val="24"/>
          <w:szCs w:val="24"/>
          <w:lang w:val="en-GB"/>
        </w:rPr>
      </w:pPr>
    </w:p>
    <w:p w14:paraId="5173901E" w14:textId="77777777" w:rsidR="00DE00F9" w:rsidRDefault="00DE00F9">
      <w:pPr>
        <w:spacing w:line="360" w:lineRule="auto"/>
        <w:jc w:val="both"/>
        <w:rPr>
          <w:rFonts w:asciiTheme="majorBidi" w:hAnsiTheme="majorBidi" w:cstheme="majorBidi"/>
          <w:b/>
          <w:bCs/>
          <w:sz w:val="24"/>
          <w:szCs w:val="24"/>
          <w:lang w:val="en-US"/>
        </w:rPr>
      </w:pPr>
    </w:p>
    <w:p w14:paraId="3783F87D" w14:textId="77777777" w:rsidR="00DE00F9" w:rsidRDefault="00DE00F9">
      <w:pPr>
        <w:spacing w:line="360" w:lineRule="auto"/>
        <w:jc w:val="both"/>
        <w:rPr>
          <w:rFonts w:asciiTheme="majorBidi" w:hAnsiTheme="majorBidi" w:cstheme="majorBidi"/>
          <w:b/>
          <w:bCs/>
          <w:sz w:val="24"/>
          <w:szCs w:val="24"/>
          <w:lang w:val="en-US"/>
        </w:rPr>
      </w:pPr>
    </w:p>
    <w:p w14:paraId="5307A78C" w14:textId="77777777" w:rsidR="009B1217" w:rsidRDefault="009B1217">
      <w:pPr>
        <w:spacing w:line="360" w:lineRule="auto"/>
        <w:jc w:val="both"/>
        <w:rPr>
          <w:rFonts w:asciiTheme="majorBidi" w:hAnsiTheme="majorBidi" w:cstheme="majorBidi"/>
          <w:b/>
          <w:bCs/>
          <w:sz w:val="24"/>
          <w:szCs w:val="24"/>
          <w:lang w:val="en-US"/>
        </w:rPr>
      </w:pPr>
    </w:p>
    <w:p w14:paraId="6CE06011" w14:textId="77777777" w:rsidR="009B1217" w:rsidRDefault="009B1217">
      <w:pPr>
        <w:spacing w:line="360" w:lineRule="auto"/>
        <w:jc w:val="both"/>
        <w:rPr>
          <w:rFonts w:asciiTheme="majorBidi" w:hAnsiTheme="majorBidi" w:cstheme="majorBidi"/>
          <w:b/>
          <w:bCs/>
          <w:sz w:val="24"/>
          <w:szCs w:val="24"/>
          <w:lang w:val="en-US"/>
        </w:rPr>
      </w:pPr>
    </w:p>
    <w:p w14:paraId="7F920E0E" w14:textId="77777777" w:rsidR="009B1217" w:rsidRDefault="009B1217">
      <w:pPr>
        <w:spacing w:line="360" w:lineRule="auto"/>
        <w:jc w:val="both"/>
        <w:rPr>
          <w:rFonts w:asciiTheme="majorBidi" w:hAnsiTheme="majorBidi" w:cstheme="majorBidi"/>
          <w:b/>
          <w:bCs/>
          <w:sz w:val="24"/>
          <w:szCs w:val="24"/>
          <w:lang w:val="en-US"/>
        </w:rPr>
      </w:pPr>
    </w:p>
    <w:p w14:paraId="1E8EED26" w14:textId="77777777" w:rsidR="009B1217" w:rsidRDefault="009B1217">
      <w:pPr>
        <w:spacing w:line="360" w:lineRule="auto"/>
        <w:jc w:val="both"/>
        <w:rPr>
          <w:rFonts w:asciiTheme="majorBidi" w:hAnsiTheme="majorBidi" w:cstheme="majorBidi"/>
          <w:b/>
          <w:bCs/>
          <w:sz w:val="24"/>
          <w:szCs w:val="24"/>
          <w:lang w:val="en-US"/>
        </w:rPr>
      </w:pPr>
    </w:p>
    <w:p w14:paraId="32E1BC3C" w14:textId="77777777" w:rsidR="00DE00F9" w:rsidRDefault="00DE00F9">
      <w:pPr>
        <w:spacing w:line="360" w:lineRule="auto"/>
        <w:jc w:val="both"/>
        <w:rPr>
          <w:rFonts w:asciiTheme="majorBidi" w:hAnsiTheme="majorBidi" w:cstheme="majorBidi"/>
          <w:b/>
          <w:bCs/>
          <w:sz w:val="24"/>
          <w:szCs w:val="24"/>
          <w:lang w:val="en-US"/>
        </w:rPr>
      </w:pPr>
    </w:p>
    <w:p w14:paraId="02C178A6" w14:textId="77777777" w:rsidR="009B1217" w:rsidRDefault="009B1217" w:rsidP="00B163B6">
      <w:pPr>
        <w:pStyle w:val="Heading2"/>
      </w:pPr>
      <w:bookmarkStart w:id="122" w:name="_Toc200719994"/>
      <w:bookmarkStart w:id="123" w:name="_Toc200721635"/>
    </w:p>
    <w:p w14:paraId="22CC1857" w14:textId="77777777" w:rsidR="006B1405" w:rsidRDefault="006B1405" w:rsidP="00B163B6">
      <w:pPr>
        <w:pStyle w:val="Heading2"/>
      </w:pPr>
    </w:p>
    <w:p w14:paraId="1F5C4D7B" w14:textId="2CDFDA72" w:rsidR="00DC2EB3" w:rsidRPr="003B547F" w:rsidRDefault="00DC2EB3" w:rsidP="00B163B6">
      <w:pPr>
        <w:pStyle w:val="Heading2"/>
      </w:pPr>
      <w:r w:rsidRPr="003B547F">
        <w:t>Section 02: Economic and social impacts of boycotts</w:t>
      </w:r>
      <w:bookmarkEnd w:id="122"/>
      <w:bookmarkEnd w:id="123"/>
    </w:p>
    <w:p w14:paraId="25EA5CDE" w14:textId="71864DA9" w:rsidR="00DE00F9" w:rsidRDefault="000805CE" w:rsidP="00DE00F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DC2EB3">
        <w:rPr>
          <w:rFonts w:asciiTheme="majorBidi" w:hAnsiTheme="majorBidi" w:cstheme="majorBidi"/>
          <w:sz w:val="24"/>
          <w:szCs w:val="24"/>
          <w:lang w:val="en-US"/>
        </w:rPr>
        <w:t>Boycotts constitute a powerful form of collective action, capable of shaping economic systems and influencing social dynamics through deliberate consumer and labor resistance. Throughout history, such movements have acted as tools to contest perceived injustices, using economic leverage to unsettle markets and social mobilization to alter public opinion. Their effects range from immediate disruptions to long-term transformations, impacting actors from corporations to entire nations. This section delves into the diverse outcomes of boycotts, examining their short- and long-term effects, notable instances of success, and the crucial role of modern communication technologies in broadening their reach and effectiveness. Through this exploration, a clearer picture is formed of how boycotts operate as catalysts for change within both economic and societal frameworks.</w:t>
      </w:r>
    </w:p>
    <w:p w14:paraId="4DBF6E8C" w14:textId="46AAEA46" w:rsidR="00DC2EB3" w:rsidRPr="00DE00F9" w:rsidRDefault="00DC2EB3" w:rsidP="00B163B6">
      <w:pPr>
        <w:pStyle w:val="Heading3"/>
      </w:pPr>
      <w:bookmarkStart w:id="124" w:name="_Toc200719995"/>
      <w:bookmarkStart w:id="125" w:name="_Toc200721636"/>
      <w:r>
        <w:rPr>
          <w:lang w:eastAsia="fr-FR"/>
        </w:rPr>
        <w:t>1. Short-Term and Long-Term Effects of Boycotts</w:t>
      </w:r>
      <w:bookmarkEnd w:id="124"/>
      <w:bookmarkEnd w:id="125"/>
    </w:p>
    <w:p w14:paraId="4400C59A" w14:textId="77777777" w:rsidR="00DC2EB3" w:rsidRDefault="00DC2EB3">
      <w:pPr>
        <w:spacing w:after="0"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Boycotts initiate a series of economic and social consequences that manifest across distinct temporal phases, affecting individuals, corporations, and nation-states. These impacts have the potential to disrupt established market structures and create opportunities for alternative suppliers, providing a framework for analyzing how Algerian products might penetrate the European market, drawing parallels with Turkey’s strategic adaptations.</w:t>
      </w:r>
    </w:p>
    <w:p w14:paraId="6CA98F7E" w14:textId="77777777" w:rsidR="00DC2EB3" w:rsidRDefault="00DC2EB3" w:rsidP="00B163B6">
      <w:pPr>
        <w:pStyle w:val="Heading4"/>
        <w:rPr>
          <w:lang w:eastAsia="fr-FR"/>
        </w:rPr>
      </w:pPr>
      <w:bookmarkStart w:id="126" w:name="_Toc200719996"/>
      <w:bookmarkStart w:id="127" w:name="_Toc200721637"/>
      <w:r>
        <w:rPr>
          <w:lang w:eastAsia="fr-FR"/>
        </w:rPr>
        <w:t>1.1. Short-Term Effects:</w:t>
      </w:r>
      <w:bookmarkEnd w:id="126"/>
      <w:bookmarkEnd w:id="127"/>
    </w:p>
    <w:p w14:paraId="3FF2B9DA"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Boycotts immediately enhance the agency of individuals by enabling collective resistance against organizations, fostering a sense of empowerment among participants. Successful campaigns in the initial stages may generate enthusiasm or a sense of retribution among supporters. However, those compelled to participate due to social pressures may experience dissatisfaction or alienation in the near term. Economically, corporations encounter immediate pressure, often necessitating prompt policy adjustments to mitigate consumer backlash</w:t>
      </w:r>
      <w:r>
        <w:rPr>
          <w:rStyle w:val="FootnoteReference"/>
          <w:rFonts w:asciiTheme="majorBidi" w:eastAsia="Times New Roman" w:hAnsiTheme="majorBidi" w:cstheme="majorBidi"/>
          <w:kern w:val="0"/>
          <w:sz w:val="24"/>
          <w:szCs w:val="24"/>
          <w:lang w:val="en-US" w:eastAsia="fr-FR"/>
          <w14:ligatures w14:val="none"/>
        </w:rPr>
        <w:footnoteReference w:id="20"/>
      </w:r>
      <w:r>
        <w:rPr>
          <w:rFonts w:asciiTheme="majorBidi" w:eastAsia="Times New Roman" w:hAnsiTheme="majorBidi" w:cstheme="majorBidi"/>
          <w:kern w:val="0"/>
          <w:sz w:val="24"/>
          <w:szCs w:val="24"/>
          <w:lang w:val="en-US" w:eastAsia="fr-FR"/>
          <w14:ligatures w14:val="none"/>
        </w:rPr>
        <w:t>.</w:t>
      </w:r>
    </w:p>
    <w:p w14:paraId="5DD0BB62"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Boycotts exert significant economic and political influence in the immediate term, compelling individuals, firms, or governments to implement rapid behavioral or policy changes</w:t>
      </w:r>
      <w:r>
        <w:rPr>
          <w:rStyle w:val="FootnoteReference"/>
          <w:rFonts w:asciiTheme="majorBidi" w:eastAsia="Times New Roman" w:hAnsiTheme="majorBidi" w:cstheme="majorBidi"/>
          <w:kern w:val="0"/>
          <w:sz w:val="24"/>
          <w:szCs w:val="24"/>
          <w:lang w:val="en-US" w:eastAsia="fr-FR"/>
          <w14:ligatures w14:val="none"/>
        </w:rPr>
        <w:footnoteReference w:id="21"/>
      </w:r>
      <w:r>
        <w:rPr>
          <w:rFonts w:asciiTheme="majorBidi" w:eastAsia="Times New Roman" w:hAnsiTheme="majorBidi" w:cstheme="majorBidi"/>
          <w:kern w:val="0"/>
          <w:sz w:val="24"/>
          <w:szCs w:val="24"/>
          <w:lang w:val="en-US" w:eastAsia="fr-FR"/>
          <w14:ligatures w14:val="none"/>
        </w:rPr>
        <w:t>.</w:t>
      </w:r>
    </w:p>
    <w:p w14:paraId="2BB17A9D"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Upon identifying unethical corporate practices, boycotts can swiftly impose financial penalties and reputational setbacks on firms, creating immediate market turbulence</w:t>
      </w:r>
      <w:r>
        <w:rPr>
          <w:rStyle w:val="FootnoteReference"/>
          <w:rFonts w:asciiTheme="majorBidi" w:eastAsia="Times New Roman" w:hAnsiTheme="majorBidi" w:cstheme="majorBidi"/>
          <w:kern w:val="0"/>
          <w:sz w:val="24"/>
          <w:szCs w:val="24"/>
          <w:lang w:val="en-US" w:eastAsia="fr-FR"/>
          <w14:ligatures w14:val="none"/>
        </w:rPr>
        <w:footnoteReference w:id="22"/>
      </w:r>
      <w:r>
        <w:rPr>
          <w:rFonts w:asciiTheme="majorBidi" w:eastAsia="Times New Roman" w:hAnsiTheme="majorBidi" w:cstheme="majorBidi"/>
          <w:kern w:val="0"/>
          <w:sz w:val="24"/>
          <w:szCs w:val="24"/>
          <w:lang w:val="en-US" w:eastAsia="fr-FR"/>
          <w14:ligatures w14:val="none"/>
        </w:rPr>
        <w:t>.</w:t>
      </w:r>
    </w:p>
    <w:p w14:paraId="52B9B4F9"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The Gaza-related boycotts inflicted immediate economic setrain on companies such as Starbucks and McDonald’s, evidenced by sharp reductions in customer traffic and sales in regions like Egypt and Jordan following actions perceived as supportive of Israel. Starbucks experienced a prompt decline in stock value amid a union dispute, while McDonald’s recorded significant sales losses in specific markets</w:t>
      </w:r>
      <w:r>
        <w:rPr>
          <w:rStyle w:val="FootnoteReference"/>
          <w:rFonts w:asciiTheme="majorBidi" w:eastAsia="Times New Roman" w:hAnsiTheme="majorBidi" w:cstheme="majorBidi"/>
          <w:kern w:val="0"/>
          <w:sz w:val="24"/>
          <w:szCs w:val="24"/>
          <w:lang w:val="en-US" w:eastAsia="fr-FR"/>
          <w14:ligatures w14:val="none"/>
        </w:rPr>
        <w:footnoteReference w:id="23"/>
      </w:r>
      <w:r>
        <w:rPr>
          <w:rFonts w:asciiTheme="majorBidi" w:eastAsia="Times New Roman" w:hAnsiTheme="majorBidi" w:cstheme="majorBidi"/>
          <w:kern w:val="0"/>
          <w:sz w:val="24"/>
          <w:szCs w:val="24"/>
          <w:lang w:val="en-US" w:eastAsia="fr-FR"/>
          <w14:ligatures w14:val="none"/>
        </w:rPr>
        <w:t>.</w:t>
      </w:r>
    </w:p>
    <w:p w14:paraId="3960896D"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Boycotts precipitate immediate declines in stock prices following their announcement, accompanied by substantial sales reductions—such as a 40% drop in U.S. exports to Saudi Arabia in 2002 and a 45%–65% decrease for fast-food outlets in the Middle East</w:t>
      </w:r>
      <w:r>
        <w:rPr>
          <w:rStyle w:val="FootnoteReference"/>
          <w:rFonts w:asciiTheme="majorBidi" w:eastAsia="Times New Roman" w:hAnsiTheme="majorBidi" w:cstheme="majorBidi"/>
          <w:kern w:val="0"/>
          <w:sz w:val="24"/>
          <w:szCs w:val="24"/>
          <w:lang w:val="en-US" w:eastAsia="fr-FR"/>
          <w14:ligatures w14:val="none"/>
        </w:rPr>
        <w:footnoteReference w:id="24"/>
      </w:r>
      <w:r>
        <w:rPr>
          <w:rFonts w:asciiTheme="majorBidi" w:eastAsia="Times New Roman" w:hAnsiTheme="majorBidi" w:cstheme="majorBidi"/>
          <w:kern w:val="0"/>
          <w:sz w:val="24"/>
          <w:szCs w:val="24"/>
          <w:lang w:val="en-US" w:eastAsia="fr-FR"/>
          <w14:ligatures w14:val="none"/>
        </w:rPr>
        <w:t>.</w:t>
      </w:r>
    </w:p>
    <w:p w14:paraId="4784F3B0"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Boycotts induce immediate financial setbacks, with examples including 26% earnings decline for Bud Light, an $11 billion market value loss for Starbucks, and McDonald’s first sales miss in four years in 2023. Employment instability also emerges swiftly, as observed in Egypt, where workers faced adverse effects</w:t>
      </w:r>
      <w:r>
        <w:rPr>
          <w:rStyle w:val="FootnoteReference"/>
          <w:rFonts w:asciiTheme="majorBidi" w:eastAsia="Times New Roman" w:hAnsiTheme="majorBidi" w:cstheme="majorBidi"/>
          <w:kern w:val="0"/>
          <w:sz w:val="24"/>
          <w:szCs w:val="24"/>
          <w:lang w:val="en-US" w:eastAsia="fr-FR"/>
          <w14:ligatures w14:val="none"/>
        </w:rPr>
        <w:footnoteReference w:id="25"/>
      </w:r>
      <w:r>
        <w:rPr>
          <w:rFonts w:asciiTheme="majorBidi" w:eastAsia="Times New Roman" w:hAnsiTheme="majorBidi" w:cstheme="majorBidi"/>
          <w:kern w:val="0"/>
          <w:sz w:val="24"/>
          <w:szCs w:val="24"/>
          <w:lang w:val="en-US" w:eastAsia="fr-FR"/>
          <w14:ligatures w14:val="none"/>
        </w:rPr>
        <w:t>.</w:t>
      </w:r>
    </w:p>
    <w:p w14:paraId="52857FA7" w14:textId="77777777" w:rsidR="00DC2EB3" w:rsidRDefault="00DC2EB3">
      <w:pPr>
        <w:pStyle w:val="ListParagraph"/>
        <w:numPr>
          <w:ilvl w:val="0"/>
          <w:numId w:val="17"/>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The Arab League boycott imposed modest immediate costs, such as an additional $20,000 annually in transportation expenses for one firm, alongside operational delays due to compliance requirements</w:t>
      </w:r>
      <w:r>
        <w:rPr>
          <w:rStyle w:val="FootnoteReference"/>
          <w:rFonts w:asciiTheme="majorBidi" w:eastAsia="Times New Roman" w:hAnsiTheme="majorBidi" w:cstheme="majorBidi"/>
          <w:kern w:val="0"/>
          <w:sz w:val="24"/>
          <w:szCs w:val="24"/>
          <w:lang w:val="en-US" w:eastAsia="fr-FR"/>
          <w14:ligatures w14:val="none"/>
        </w:rPr>
        <w:footnoteReference w:id="26"/>
      </w:r>
      <w:r>
        <w:rPr>
          <w:rFonts w:asciiTheme="majorBidi" w:eastAsia="Times New Roman" w:hAnsiTheme="majorBidi" w:cstheme="majorBidi"/>
          <w:kern w:val="0"/>
          <w:sz w:val="24"/>
          <w:szCs w:val="24"/>
          <w:lang w:val="en-US" w:eastAsia="fr-FR"/>
          <w14:ligatures w14:val="none"/>
        </w:rPr>
        <w:t>.</w:t>
      </w:r>
    </w:p>
    <w:p w14:paraId="32125FC3" w14:textId="77777777" w:rsidR="00DC2EB3" w:rsidRDefault="00DC2EB3">
      <w:pPr>
        <w:spacing w:after="0" w:line="360" w:lineRule="auto"/>
        <w:jc w:val="both"/>
        <w:rPr>
          <w:rFonts w:asciiTheme="majorBidi" w:eastAsia="Times New Roman" w:hAnsiTheme="majorBidi" w:cstheme="majorBidi"/>
          <w:b/>
          <w:bCs/>
          <w:sz w:val="24"/>
          <w:szCs w:val="24"/>
          <w:lang w:val="en-US" w:eastAsia="fr-FR"/>
        </w:rPr>
      </w:pPr>
    </w:p>
    <w:p w14:paraId="05F08473" w14:textId="77777777" w:rsidR="00DC2EB3" w:rsidRDefault="00DC2EB3" w:rsidP="00B163B6">
      <w:pPr>
        <w:pStyle w:val="Heading4"/>
        <w:rPr>
          <w:lang w:eastAsia="fr-FR"/>
        </w:rPr>
      </w:pPr>
      <w:bookmarkStart w:id="128" w:name="_Toc200719997"/>
      <w:bookmarkStart w:id="129" w:name="_Toc200721638"/>
      <w:r>
        <w:rPr>
          <w:lang w:eastAsia="fr-FR"/>
        </w:rPr>
        <w:t>1.2. Long-Term Effects:</w:t>
      </w:r>
      <w:bookmarkEnd w:id="128"/>
      <w:bookmarkEnd w:id="129"/>
    </w:p>
    <w:p w14:paraId="7715E3A0" w14:textId="77777777" w:rsidR="00DC2EB3" w:rsidRDefault="00DC2EB3">
      <w:pPr>
        <w:pStyle w:val="ListParagraph"/>
        <w:numPr>
          <w:ilvl w:val="0"/>
          <w:numId w:val="18"/>
        </w:numPr>
        <w:spacing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In the longer term, the boycott exerted minimal impact on corporate profits, with only a small fraction of firms reporting effects in 1992–1993</w:t>
      </w:r>
      <w:r>
        <w:rPr>
          <w:rStyle w:val="FootnoteReference"/>
          <w:rFonts w:asciiTheme="majorBidi" w:eastAsia="Times New Roman" w:hAnsiTheme="majorBidi" w:cstheme="majorBidi"/>
          <w:kern w:val="0"/>
          <w:sz w:val="24"/>
          <w:szCs w:val="24"/>
          <w:lang w:val="en-US" w:eastAsia="fr-FR"/>
          <w14:ligatures w14:val="none"/>
        </w:rPr>
        <w:footnoteReference w:id="27"/>
      </w:r>
      <w:r>
        <w:rPr>
          <w:rFonts w:asciiTheme="majorBidi" w:eastAsia="Times New Roman" w:hAnsiTheme="majorBidi" w:cstheme="majorBidi"/>
          <w:kern w:val="0"/>
          <w:sz w:val="24"/>
          <w:szCs w:val="24"/>
          <w:lang w:val="en-US" w:eastAsia="fr-FR"/>
          <w14:ligatures w14:val="none"/>
        </w:rPr>
        <w:t>.</w:t>
      </w:r>
    </w:p>
    <w:p w14:paraId="1DCA65A4"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Over time, reputational damage proves more enduring, as evidenced by Bud Light’s loss of market leadership and the rise of local brands in regions like Malaysia</w:t>
      </w:r>
      <w:r>
        <w:rPr>
          <w:rStyle w:val="FootnoteReference"/>
          <w:rFonts w:asciiTheme="majorBidi" w:eastAsia="Times New Roman" w:hAnsiTheme="majorBidi" w:cstheme="majorBidi"/>
          <w:kern w:val="0"/>
          <w:sz w:val="24"/>
          <w:szCs w:val="24"/>
          <w:lang w:val="en-US" w:eastAsia="fr-FR"/>
          <w14:ligatures w14:val="none"/>
        </w:rPr>
        <w:footnoteReference w:id="28"/>
      </w:r>
      <w:r>
        <w:rPr>
          <w:rFonts w:asciiTheme="majorBidi" w:eastAsia="Times New Roman" w:hAnsiTheme="majorBidi" w:cstheme="majorBidi"/>
          <w:kern w:val="0"/>
          <w:sz w:val="24"/>
          <w:szCs w:val="24"/>
          <w:lang w:val="en-US" w:eastAsia="fr-FR"/>
          <w14:ligatures w14:val="none"/>
        </w:rPr>
        <w:t>.</w:t>
      </w:r>
    </w:p>
    <w:p w14:paraId="78AA096F"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In the long term, some firms adapt their practices or recover financially, while others experience negligible sustained losses. Consumers may encounter elevated prices and reduced product variety, fostering demand for local alternatives</w:t>
      </w:r>
      <w:r>
        <w:rPr>
          <w:rStyle w:val="FootnoteReference"/>
          <w:rFonts w:asciiTheme="majorBidi" w:eastAsia="Times New Roman" w:hAnsiTheme="majorBidi" w:cstheme="majorBidi"/>
          <w:kern w:val="0"/>
          <w:sz w:val="24"/>
          <w:szCs w:val="24"/>
          <w:lang w:val="en-US" w:eastAsia="fr-FR"/>
          <w14:ligatures w14:val="none"/>
        </w:rPr>
        <w:footnoteReference w:id="29"/>
      </w:r>
      <w:r>
        <w:rPr>
          <w:rFonts w:asciiTheme="majorBidi" w:eastAsia="Times New Roman" w:hAnsiTheme="majorBidi" w:cstheme="majorBidi"/>
          <w:kern w:val="0"/>
          <w:sz w:val="24"/>
          <w:szCs w:val="24"/>
          <w:lang w:val="en-US" w:eastAsia="fr-FR"/>
          <w14:ligatures w14:val="none"/>
        </w:rPr>
        <w:t>.</w:t>
      </w:r>
    </w:p>
    <w:p w14:paraId="2E38E4C1"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Over an extended timeframe, these boycotts, propelled by the BDS movement, may alter consumer preferences, although the financial consequences remain ambiguous due to external variables</w:t>
      </w:r>
      <w:r>
        <w:rPr>
          <w:rStyle w:val="FootnoteReference"/>
          <w:rFonts w:asciiTheme="majorBidi" w:eastAsia="Times New Roman" w:hAnsiTheme="majorBidi" w:cstheme="majorBidi"/>
          <w:kern w:val="0"/>
          <w:sz w:val="24"/>
          <w:szCs w:val="24"/>
          <w:lang w:val="en-US" w:eastAsia="fr-FR"/>
          <w14:ligatures w14:val="none"/>
        </w:rPr>
        <w:footnoteReference w:id="30"/>
      </w:r>
      <w:r>
        <w:rPr>
          <w:rFonts w:asciiTheme="majorBidi" w:eastAsia="Times New Roman" w:hAnsiTheme="majorBidi" w:cstheme="majorBidi"/>
          <w:kern w:val="0"/>
          <w:sz w:val="24"/>
          <w:szCs w:val="24"/>
          <w:lang w:val="en-US" w:eastAsia="fr-FR"/>
          <w14:ligatures w14:val="none"/>
        </w:rPr>
        <w:t>.</w:t>
      </w:r>
    </w:p>
    <w:p w14:paraId="57AC9CA6"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Over time, sustained consumer pressure encourages corporations to prioritize social and environmental accountability, fundamentally altering global operational practices</w:t>
      </w:r>
      <w:r>
        <w:rPr>
          <w:rStyle w:val="FootnoteReference"/>
          <w:rFonts w:asciiTheme="majorBidi" w:eastAsia="Times New Roman" w:hAnsiTheme="majorBidi" w:cstheme="majorBidi"/>
          <w:kern w:val="0"/>
          <w:sz w:val="24"/>
          <w:szCs w:val="24"/>
          <w:lang w:val="en-US" w:eastAsia="fr-FR"/>
          <w14:ligatures w14:val="none"/>
        </w:rPr>
        <w:footnoteReference w:id="31"/>
      </w:r>
      <w:r>
        <w:rPr>
          <w:rFonts w:asciiTheme="majorBidi" w:eastAsia="Times New Roman" w:hAnsiTheme="majorBidi" w:cstheme="majorBidi"/>
          <w:kern w:val="0"/>
          <w:sz w:val="24"/>
          <w:szCs w:val="24"/>
          <w:lang w:val="en-US" w:eastAsia="fr-FR"/>
          <w14:ligatures w14:val="none"/>
        </w:rPr>
        <w:t>.</w:t>
      </w:r>
    </w:p>
    <w:p w14:paraId="140272A9"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In the longer term, boycotts heighten public awareness of critical issues and may reshape societal norms and collective action, though their economic toll often diminishes over time. The most persistent impact is frequently observed in reputational damage to targeted entities, altering market perceptions and facilitating opportunities for substitutes</w:t>
      </w:r>
      <w:r>
        <w:rPr>
          <w:rStyle w:val="FootnoteReference"/>
          <w:rFonts w:asciiTheme="majorBidi" w:eastAsia="Times New Roman" w:hAnsiTheme="majorBidi" w:cstheme="majorBidi"/>
          <w:kern w:val="0"/>
          <w:sz w:val="24"/>
          <w:szCs w:val="24"/>
          <w:lang w:val="en-US" w:eastAsia="fr-FR"/>
          <w14:ligatures w14:val="none"/>
        </w:rPr>
        <w:footnoteReference w:id="32"/>
      </w:r>
      <w:r>
        <w:rPr>
          <w:rFonts w:asciiTheme="majorBidi" w:eastAsia="Times New Roman" w:hAnsiTheme="majorBidi" w:cstheme="majorBidi"/>
          <w:kern w:val="0"/>
          <w:sz w:val="24"/>
          <w:szCs w:val="24"/>
          <w:lang w:val="en-US" w:eastAsia="fr-FR"/>
          <w14:ligatures w14:val="none"/>
        </w:rPr>
        <w:t>.</w:t>
      </w:r>
    </w:p>
    <w:p w14:paraId="3CF57584" w14:textId="77777777" w:rsidR="00DC2EB3" w:rsidRDefault="00DC2EB3">
      <w:pPr>
        <w:pStyle w:val="ListParagraph"/>
        <w:numPr>
          <w:ilvl w:val="0"/>
          <w:numId w:val="18"/>
        </w:numPr>
        <w:spacing w:after="0" w:line="360" w:lineRule="auto"/>
        <w:jc w:val="both"/>
        <w:rPr>
          <w:rFonts w:asciiTheme="majorBidi" w:eastAsia="Times New Roman" w:hAnsiTheme="majorBidi" w:cstheme="majorBidi"/>
          <w:kern w:val="0"/>
          <w:sz w:val="24"/>
          <w:szCs w:val="24"/>
          <w:lang w:val="en-US" w:eastAsia="fr-FR"/>
          <w14:ligatures w14:val="none"/>
        </w:rPr>
      </w:pPr>
      <w:r>
        <w:rPr>
          <w:rFonts w:asciiTheme="majorBidi" w:eastAsia="Times New Roman" w:hAnsiTheme="majorBidi" w:cstheme="majorBidi"/>
          <w:kern w:val="0"/>
          <w:sz w:val="24"/>
          <w:szCs w:val="24"/>
          <w:lang w:val="en-US" w:eastAsia="fr-FR"/>
          <w14:ligatures w14:val="none"/>
        </w:rPr>
        <w:t>Over an extended period, boycotts can erode corporate performance through sustained declines in sales, damage to brand reputation, and weakened stakeholder relationships. For nations, prolonged pressure may precipitate shifts in governmental policy or stance</w:t>
      </w:r>
      <w:r>
        <w:rPr>
          <w:rStyle w:val="FootnoteReference"/>
          <w:rFonts w:asciiTheme="majorBidi" w:eastAsia="Times New Roman" w:hAnsiTheme="majorBidi" w:cstheme="majorBidi"/>
          <w:kern w:val="0"/>
          <w:sz w:val="24"/>
          <w:szCs w:val="24"/>
          <w:lang w:val="en-US" w:eastAsia="fr-FR"/>
          <w14:ligatures w14:val="none"/>
        </w:rPr>
        <w:footnoteReference w:id="33"/>
      </w:r>
      <w:r>
        <w:rPr>
          <w:rFonts w:asciiTheme="majorBidi" w:eastAsia="Times New Roman" w:hAnsiTheme="majorBidi" w:cstheme="majorBidi"/>
          <w:kern w:val="0"/>
          <w:sz w:val="24"/>
          <w:szCs w:val="24"/>
          <w:lang w:val="en-US" w:eastAsia="fr-FR"/>
          <w14:ligatures w14:val="none"/>
        </w:rPr>
        <w:t>.</w:t>
      </w:r>
    </w:p>
    <w:p w14:paraId="495C94F8" w14:textId="77777777" w:rsidR="00D06CBA" w:rsidRDefault="00DC2EB3" w:rsidP="00D06CBA">
      <w:pPr>
        <w:spacing w:after="0"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rtl/>
          <w:lang w:val="en-US" w:eastAsia="fr-FR"/>
        </w:rPr>
        <w:t xml:space="preserve">   </w:t>
      </w:r>
      <w:r>
        <w:rPr>
          <w:rFonts w:asciiTheme="majorBidi" w:eastAsia="Times New Roman" w:hAnsiTheme="majorBidi" w:cstheme="majorBidi"/>
          <w:sz w:val="24"/>
          <w:szCs w:val="24"/>
          <w:lang w:val="en-US" w:eastAsia="fr-FR"/>
        </w:rPr>
        <w:t>Boycotts produce immediate economic disruptions, including declines in sales and stock values, alongside social effects such as empowerment or discontent among participants. In the long term, their influence shifts toward reputational degradation and potential transformations in consumer behavior and market structures, with varying degrees of financial persistence depending on contextual factors.</w:t>
      </w:r>
    </w:p>
    <w:p w14:paraId="4754B269" w14:textId="77777777" w:rsidR="00D06CBA" w:rsidRDefault="00D06CBA" w:rsidP="00D06CBA">
      <w:pPr>
        <w:spacing w:after="0" w:line="360" w:lineRule="auto"/>
        <w:jc w:val="both"/>
        <w:rPr>
          <w:rFonts w:asciiTheme="majorBidi" w:eastAsia="Times New Roman" w:hAnsiTheme="majorBidi" w:cstheme="majorBidi"/>
          <w:sz w:val="24"/>
          <w:szCs w:val="24"/>
          <w:lang w:val="en-US" w:eastAsia="fr-FR"/>
        </w:rPr>
      </w:pPr>
    </w:p>
    <w:p w14:paraId="0F6F1488" w14:textId="0F1BBC7E" w:rsidR="00DC2EB3" w:rsidRPr="00D06CBA" w:rsidRDefault="00DC2EB3" w:rsidP="00B163B6">
      <w:pPr>
        <w:pStyle w:val="Heading3"/>
        <w:rPr>
          <w:lang w:eastAsia="fr-FR"/>
        </w:rPr>
      </w:pPr>
      <w:bookmarkStart w:id="130" w:name="_Toc200719998"/>
      <w:bookmarkStart w:id="131" w:name="_Toc200721639"/>
      <w:r>
        <w:rPr>
          <w:lang w:eastAsia="fr-FR"/>
        </w:rPr>
        <w:t>2. Examples of Successful Boycotts and Their Outcomes</w:t>
      </w:r>
      <w:r w:rsidR="000F7A21">
        <w:rPr>
          <w:lang w:eastAsia="fr-FR"/>
        </w:rPr>
        <w:t>:</w:t>
      </w:r>
      <w:bookmarkEnd w:id="130"/>
      <w:bookmarkEnd w:id="131"/>
    </w:p>
    <w:p w14:paraId="337356A3" w14:textId="6D634E00" w:rsidR="00DC2EB3" w:rsidRDefault="000805CE">
      <w:pPr>
        <w:spacing w:before="100" w:beforeAutospacing="1" w:after="100" w:afterAutospacing="1"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Boycotts have proven to be effective mechanisms for instigating change by harnessing collective consumer and labor power against targeted entities, yielding significant economic and social consequences. The following examples elaborate on instances where boycotts achieved tangible success, altering market landscapes and societal perceptions through sustained action.</w:t>
      </w:r>
    </w:p>
    <w:p w14:paraId="6ACF6BA7" w14:textId="361AF3FB" w:rsidR="00DC2EB3" w:rsidRDefault="00DC2EB3" w:rsidP="00B163B6">
      <w:pPr>
        <w:pStyle w:val="Heading4"/>
        <w:rPr>
          <w:lang w:eastAsia="fr-FR"/>
        </w:rPr>
      </w:pPr>
      <w:bookmarkStart w:id="132" w:name="_Toc200719999"/>
      <w:bookmarkStart w:id="133" w:name="_Toc200721640"/>
      <w:r>
        <w:rPr>
          <w:lang w:eastAsia="fr-FR"/>
        </w:rPr>
        <w:t>2.1. The Russian Trade Boycott of 1980-1981</w:t>
      </w:r>
      <w:bookmarkEnd w:id="132"/>
      <w:bookmarkEnd w:id="133"/>
    </w:p>
    <w:p w14:paraId="6C332201" w14:textId="7A51036C" w:rsidR="00DC2EB3" w:rsidRPr="00D06CBA" w:rsidRDefault="000805CE" w:rsidP="00D06CBA">
      <w:pPr>
        <w:spacing w:line="360" w:lineRule="auto"/>
        <w:jc w:val="both"/>
        <w:rPr>
          <w:rFonts w:asciiTheme="majorBidi" w:eastAsia="Times New Roman" w:hAnsiTheme="majorBidi" w:cstheme="majorBidi"/>
          <w:b/>
          <w:bCs/>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The Soviet invasion of Afghanistan in December 1979 prompted a multifaceted boycott response in the United States. President Jimmy Carter, leveraging the Export Administration Act of 1979, instituted an embargo in January 1980 that curtailed grain and high-technology exports to the Soviet Union, though it spared imports and the remaining 3.5 million metric tons of grain committed under a 1975 bilateral agreement. Concurrently, the International Longshoremen’s Association (ILA), led by Thomas Gleason, escalated the effort on January 9</w:t>
      </w:r>
      <w:r w:rsidR="00DC2EB3">
        <w:rPr>
          <w:rFonts w:asciiTheme="majorBidi" w:eastAsia="Times New Roman" w:hAnsiTheme="majorBidi" w:cstheme="majorBidi"/>
          <w:sz w:val="24"/>
          <w:szCs w:val="24"/>
          <w:vertAlign w:val="superscript"/>
          <w:lang w:val="en-US" w:eastAsia="fr-FR"/>
        </w:rPr>
        <w:t>th</w:t>
      </w:r>
      <w:r w:rsidR="00DC2EB3">
        <w:rPr>
          <w:rFonts w:asciiTheme="majorBidi" w:eastAsia="Times New Roman" w:hAnsiTheme="majorBidi" w:cstheme="majorBidi"/>
          <w:sz w:val="24"/>
          <w:szCs w:val="24"/>
          <w:lang w:val="en-US" w:eastAsia="fr-FR"/>
        </w:rPr>
        <w:t>, 1980, by directing its members to refuse handling any cargo to or from the Soviet Union and to deny services to Soviet vessels in U.S. ports. This directive, broader than the governmental embargo, stemmed from union members’ outrage over Soviet actions, framed as a political protest rather than a policy-setting endeavor. The ILA’s actions disrupted not only the agreed grain shipments but also other exempted commodities, causing severe port congestion due to excessive grain accumulation and inadequate storage facilities along the Great Lakes, Atlantic, and Gulf Coast ports. Economically, this boycott amplified the embargo’s impact, halting Soviet trade flows and imposing immediate logistical challenges. Socially, it underscored the potency of labor solidarity in amplifying governmental measures, though it provoked contention, with the Carter administration criticizing the union for overstepping foreign policy bounds. Legal challenges ensued, with the National Labor Relations Board (NLRB) deeming the boycott an illegal secondary action, yet judicial outcomes varied</w:t>
      </w:r>
      <w:r w:rsidR="000F7A21">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courts in Texas and Massachusetts denied injunctions, while Georgia granted one, reflecting the complex interplay of labor rights and commerce. Ultimately, the boycott’s success lay in its disruption of Soviet trade and its demonstration of collective labor influence, despite its eventual cessation following legal and negotiation pressures</w:t>
      </w:r>
      <w:r w:rsidR="00DC2EB3">
        <w:rPr>
          <w:rStyle w:val="FootnoteReference"/>
          <w:rFonts w:asciiTheme="majorBidi" w:eastAsia="Times New Roman" w:hAnsiTheme="majorBidi" w:cstheme="majorBidi"/>
          <w:sz w:val="24"/>
          <w:szCs w:val="24"/>
          <w:lang w:val="en-US" w:eastAsia="fr-FR"/>
        </w:rPr>
        <w:footnoteReference w:id="34"/>
      </w:r>
      <w:r w:rsidR="00DC2EB3">
        <w:rPr>
          <w:rFonts w:asciiTheme="majorBidi" w:eastAsia="Times New Roman" w:hAnsiTheme="majorBidi" w:cstheme="majorBidi"/>
          <w:sz w:val="24"/>
          <w:szCs w:val="24"/>
          <w:lang w:val="en-US" w:eastAsia="fr-FR"/>
        </w:rPr>
        <w:t>.</w:t>
      </w:r>
    </w:p>
    <w:p w14:paraId="00AC7003" w14:textId="430EC597" w:rsidR="00DC2EB3" w:rsidRDefault="00DC2EB3" w:rsidP="00B163B6">
      <w:pPr>
        <w:pStyle w:val="Heading4"/>
        <w:rPr>
          <w:lang w:eastAsia="fr-FR"/>
        </w:rPr>
      </w:pPr>
      <w:bookmarkStart w:id="135" w:name="_Toc200720000"/>
      <w:bookmarkStart w:id="136" w:name="_Toc200721641"/>
      <w:r>
        <w:rPr>
          <w:lang w:eastAsia="fr-FR"/>
        </w:rPr>
        <w:t>2.2. Gandhi’s Salt Boycott (Salt Satyagraha)</w:t>
      </w:r>
      <w:bookmarkEnd w:id="135"/>
      <w:bookmarkEnd w:id="136"/>
    </w:p>
    <w:p w14:paraId="469BE1A1" w14:textId="468C3E51" w:rsidR="00DC2EB3" w:rsidRPr="000805CE"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Initiated in March 1930, the Salt Satyagraha emerged as a cornerstone of India’s nonviolent resistance against British colonial rule, targeting the oppressive salt monopoly and tax imposed since Britain’s occupation. Mahatma Gandhi, advocating Satyagraha—peaceful civil disobedience—launched the Salt March on March 12, 1930, leading 78 followers from his Sabarmati ashram on a 240-mile trek to Dandi, where they illegally produced salt from seawater on April 6, 1930. This act defied British laws prohibiting independent salt production, igniting a nationwide boycott of British salt and goods. As millions joined, producing salt along coastal regions, the movement disrupted British economic control, significantly reducing salt revenue and weakening the monopoly’s grip. The British response involved mass arrests, including Gandhi’s detention on May 5, 1930, yet the boycott persisted, drawing extensive global press coverage that spotlighted India’s independence struggle. Economically, it inflicted measurable losses on British authorities, undermining their fiscal stability in India. Socially, it mobilized unprecedented Indian participation across classes, fostering a unified resistance that heightened national consciousness and international solidarity. The Salt Satyagraha’s success lay in its dual impact: it economically pressured the colonial regime while socially galvanizing a movement that amplified global calls for Indian self-rule, marking a pivotal step toward independence</w:t>
      </w:r>
      <w:r w:rsidR="00DC2EB3">
        <w:rPr>
          <w:rStyle w:val="FootnoteReference"/>
          <w:rFonts w:asciiTheme="majorBidi" w:eastAsia="Times New Roman" w:hAnsiTheme="majorBidi" w:cstheme="majorBidi"/>
          <w:sz w:val="24"/>
          <w:szCs w:val="24"/>
          <w:lang w:val="en-US" w:eastAsia="fr-FR"/>
        </w:rPr>
        <w:footnoteReference w:id="35"/>
      </w:r>
      <w:r w:rsidR="00DC2EB3">
        <w:rPr>
          <w:rFonts w:asciiTheme="majorBidi" w:eastAsia="Times New Roman" w:hAnsiTheme="majorBidi" w:cstheme="majorBidi"/>
          <w:sz w:val="24"/>
          <w:szCs w:val="24"/>
          <w:lang w:val="en-US" w:eastAsia="fr-FR"/>
        </w:rPr>
        <w:t>.</w:t>
      </w:r>
    </w:p>
    <w:p w14:paraId="652BA8F0" w14:textId="77777777" w:rsidR="00DC2EB3" w:rsidRDefault="00DC2EB3" w:rsidP="00B163B6">
      <w:pPr>
        <w:pStyle w:val="Heading4"/>
        <w:rPr>
          <w:lang w:eastAsia="fr-FR"/>
        </w:rPr>
      </w:pPr>
      <w:bookmarkStart w:id="137" w:name="_Toc200720001"/>
      <w:bookmarkStart w:id="138" w:name="_Toc200721642"/>
      <w:r>
        <w:rPr>
          <w:lang w:eastAsia="fr-FR"/>
        </w:rPr>
        <w:t>2.3. The WAVAW Boycotts</w:t>
      </w:r>
      <w:bookmarkEnd w:id="137"/>
      <w:bookmarkEnd w:id="138"/>
    </w:p>
    <w:p w14:paraId="425D16D2" w14:textId="664ABF04" w:rsidR="00DC2EB3" w:rsidRPr="000805CE"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 xml:space="preserve">In 1976, Women Against Violence Against Women (WAVAW), a California-based group, launched a boycott against Warner Communications for album covers depicting violence against women, catalyzed by the Rolling Stones’ 1976 </w:t>
      </w:r>
      <w:r w:rsidR="00DC2EB3">
        <w:rPr>
          <w:rFonts w:asciiTheme="majorBidi" w:eastAsia="Times New Roman" w:hAnsiTheme="majorBidi" w:cstheme="majorBidi"/>
          <w:i/>
          <w:iCs/>
          <w:sz w:val="24"/>
          <w:szCs w:val="24"/>
          <w:lang w:val="en-US" w:eastAsia="fr-FR"/>
        </w:rPr>
        <w:t>Black and Blue</w:t>
      </w:r>
      <w:r w:rsidR="00DC2EB3">
        <w:rPr>
          <w:rFonts w:asciiTheme="majorBidi" w:eastAsia="Times New Roman" w:hAnsiTheme="majorBidi" w:cstheme="majorBidi"/>
          <w:sz w:val="24"/>
          <w:szCs w:val="24"/>
          <w:lang w:val="en-US" w:eastAsia="fr-FR"/>
        </w:rPr>
        <w:t xml:space="preserve"> campaign featuring a bound and gagged woman with the caption, “I’m black and blue all over from the Rolling Stones, and I love it.” WAVAW, constrained by limited resources, focused on the music industry after identifying numerous offensive covers across Warner subsidiaries (Electra, Warner, and Atlantic Records). At the 1976 California NOW convention, WAVAW’s slide show of these images spurred a boycott call, endorsed by attendees, targeting Warner as the industry’s largest player. The campaign employed slide show presentations at various gatherings, followed by immediate letter-writing drives with supplied materials, a tactic inspired by the United Farm Workers. This strategy spurred a robust letter campaign and expanded WAVAW’s reach, growing from a single group to over 20 chapters by 1978. High-profile media coverage, including televised events on Los Angeles’ Sunset Strip, intensified pressure, culminating in Warner’s 1979 capitulation. The company pledged to eliminate violent imagery from its advertising and funded a WAVAW-led sensitivity training day for its executives. Economically, the boycott compelled Warner to alter its marketing practices, reflecting consumer influence over corporate behavior. Socially, it advanced feminist discourse on media portrayals, enhancing awareness and organizational capacity to combat gender-based violence representations</w:t>
      </w:r>
      <w:r w:rsidR="00DC2EB3">
        <w:rPr>
          <w:rStyle w:val="FootnoteReference"/>
          <w:rFonts w:asciiTheme="majorBidi" w:eastAsia="Times New Roman" w:hAnsiTheme="majorBidi" w:cstheme="majorBidi"/>
          <w:sz w:val="24"/>
          <w:szCs w:val="24"/>
          <w:lang w:val="en-US" w:eastAsia="fr-FR"/>
        </w:rPr>
        <w:footnoteReference w:id="36"/>
      </w:r>
      <w:r w:rsidR="00DC2EB3">
        <w:rPr>
          <w:rFonts w:asciiTheme="majorBidi" w:eastAsia="Times New Roman" w:hAnsiTheme="majorBidi" w:cstheme="majorBidi"/>
          <w:sz w:val="24"/>
          <w:szCs w:val="24"/>
          <w:lang w:val="en-US" w:eastAsia="fr-FR"/>
        </w:rPr>
        <w:t>.</w:t>
      </w:r>
    </w:p>
    <w:p w14:paraId="08414950" w14:textId="77777777" w:rsidR="00DC2EB3" w:rsidRDefault="00DC2EB3" w:rsidP="00B163B6">
      <w:pPr>
        <w:pStyle w:val="Heading4"/>
        <w:rPr>
          <w:lang w:eastAsia="fr-FR"/>
        </w:rPr>
      </w:pPr>
      <w:bookmarkStart w:id="140" w:name="_Toc200720002"/>
      <w:bookmarkStart w:id="141" w:name="_Toc200721643"/>
      <w:r>
        <w:rPr>
          <w:lang w:eastAsia="fr-FR"/>
        </w:rPr>
        <w:t>2.4. The Danish Brands Boycott</w:t>
      </w:r>
      <w:bookmarkEnd w:id="140"/>
      <w:bookmarkEnd w:id="141"/>
    </w:p>
    <w:p w14:paraId="43DC2FBC" w14:textId="35F669E9" w:rsidR="00DC2EB3" w:rsidRPr="000805CE"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 xml:space="preserve">Triggered in January 2006 by </w:t>
      </w:r>
      <w:r w:rsidR="00DC2EB3">
        <w:rPr>
          <w:rFonts w:asciiTheme="majorBidi" w:eastAsia="Times New Roman" w:hAnsiTheme="majorBidi" w:cstheme="majorBidi"/>
          <w:i/>
          <w:iCs/>
          <w:sz w:val="24"/>
          <w:szCs w:val="24"/>
          <w:lang w:val="en-US" w:eastAsia="fr-FR"/>
        </w:rPr>
        <w:t>Jyllands-Posten</w:t>
      </w:r>
      <w:r w:rsidR="00DC2EB3">
        <w:rPr>
          <w:rFonts w:asciiTheme="majorBidi" w:eastAsia="Times New Roman" w:hAnsiTheme="majorBidi" w:cstheme="majorBidi"/>
          <w:sz w:val="24"/>
          <w:szCs w:val="24"/>
          <w:lang w:val="en-US" w:eastAsia="fr-FR"/>
        </w:rPr>
        <w:t>’s 2005 republication of 12 Prophet Mohammed cartoons, including one with a bomb-laden turban, this boycott was propelled by Muslim clerics like Yusuf Al Qaradawi, who urged a rejection of Danish goods from mosque platforms across Arab states. The newspaper’s refusal to apologize, citing freedom of speech, intensified the backlash. Danish exporters faced immediate repercussions, with market share dropping from 17% in January 2006 to below 1% by February, particularly affecting firms like Arla Foods, a dairy giant with decades of regional presence. Arla reported daily losses of £1 million, furloughing 170 employees in Denmark and 800 at its Riyadh facility due to plummeting sales. Lasting until August 2006, when Al Qaradawi called it off, the boycott inflicted a year-long economic toll, costing Danish firms dearly and exposing the fragility of country-of-origin branding in politically charged contexts. Economically, it slashed Danish export revenues and disrupted operations, while socially, it underscored the mobilizing power of religious sentiment, shifting consumer loyalty and reinforcing negative stereotyping’s impact on purchasing decisions. Its success lay in its rapid, widespread execution and sustained financial damage to a targeted nation’s commerce</w:t>
      </w:r>
      <w:r w:rsidR="00DC2EB3">
        <w:rPr>
          <w:rStyle w:val="FootnoteReference"/>
          <w:rFonts w:asciiTheme="majorBidi" w:eastAsia="Times New Roman" w:hAnsiTheme="majorBidi" w:cstheme="majorBidi"/>
          <w:sz w:val="24"/>
          <w:szCs w:val="24"/>
          <w:lang w:val="en-US" w:eastAsia="fr-FR"/>
        </w:rPr>
        <w:footnoteReference w:id="37"/>
      </w:r>
      <w:r w:rsidR="00DC2EB3">
        <w:rPr>
          <w:rFonts w:asciiTheme="majorBidi" w:eastAsia="Times New Roman" w:hAnsiTheme="majorBidi" w:cstheme="majorBidi"/>
          <w:sz w:val="24"/>
          <w:szCs w:val="24"/>
          <w:lang w:val="en-US" w:eastAsia="fr-FR"/>
        </w:rPr>
        <w:t>.</w:t>
      </w:r>
    </w:p>
    <w:p w14:paraId="712011CA" w14:textId="77777777" w:rsidR="00DC2EB3" w:rsidRDefault="00DC2EB3" w:rsidP="00B163B6">
      <w:pPr>
        <w:pStyle w:val="Heading4"/>
        <w:rPr>
          <w:lang w:eastAsia="fr-FR"/>
        </w:rPr>
      </w:pPr>
      <w:bookmarkStart w:id="143" w:name="_Toc200720003"/>
      <w:bookmarkStart w:id="144" w:name="_Toc200721644"/>
      <w:r>
        <w:rPr>
          <w:lang w:eastAsia="fr-FR"/>
        </w:rPr>
        <w:t>2.5. The Apartheid Boycott</w:t>
      </w:r>
      <w:bookmarkEnd w:id="143"/>
      <w:bookmarkEnd w:id="144"/>
    </w:p>
    <w:p w14:paraId="13BF9713" w14:textId="3F06D3DD" w:rsidR="00DC2EB3" w:rsidRPr="000805CE"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Spanning from the 1960s to the early 1990s, the international boycott against South Africa’s apartheid regime aimed to dismantle racial segregation through economic, cultural, and political isolation. Economic sanctions targeted exports like gold, diamonds, and agricultural goods, with nations and organizations imposing trade restrictions. Divestment campaigns in the U.S. and Europe pressured universities, governments, and banks to withdraw investments and loans from South Africa, exacerbating financial strain. Culturally, South Africa’s exclusion from the Olympics, FIFA World Cup, and cricket and rugby events</w:t>
      </w:r>
      <w:r w:rsidR="000F7A21">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sports integral to its identity</w:t>
      </w:r>
      <w:r w:rsidR="000F7A21">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deepened isolation, while artists and academics shunned collaboration. United Nations resolutions furthered diplomatic downgrades. Economically, these measures contributed to a 1980s recession, with sanctions and internal resistance eroding fiscal stability. Socially, the boycott elevated global awareness of apartheid’s injustices, bolstering anti-apartheid solidarity and pressuring the government. Its success materialized in 1990 when President F.W. de Klerk initiated reforms, releasing Nelson Mandela and enabling 1994’s democratic elections, ending apartheid. Despite critiques of uneven participation and harm to ordinary citizens, the boycott’s sustained pressure was instrumental in achieving systemic political and social change</w:t>
      </w:r>
      <w:r w:rsidR="00DC2EB3">
        <w:rPr>
          <w:rStyle w:val="FootnoteReference"/>
          <w:rFonts w:asciiTheme="majorBidi" w:eastAsia="Times New Roman" w:hAnsiTheme="majorBidi" w:cstheme="majorBidi"/>
          <w:sz w:val="24"/>
          <w:szCs w:val="24"/>
          <w:lang w:val="en-US" w:eastAsia="fr-FR"/>
        </w:rPr>
        <w:footnoteReference w:id="38"/>
      </w:r>
      <w:r w:rsidR="00DC2EB3">
        <w:rPr>
          <w:rFonts w:asciiTheme="majorBidi" w:eastAsia="Times New Roman" w:hAnsiTheme="majorBidi" w:cstheme="majorBidi"/>
          <w:sz w:val="24"/>
          <w:szCs w:val="24"/>
          <w:lang w:val="en-US" w:eastAsia="fr-FR"/>
        </w:rPr>
        <w:t>.</w:t>
      </w:r>
    </w:p>
    <w:p w14:paraId="38135D7D" w14:textId="77777777" w:rsidR="00DC2EB3" w:rsidRDefault="00DC2EB3" w:rsidP="00B163B6">
      <w:pPr>
        <w:pStyle w:val="Heading4"/>
        <w:rPr>
          <w:lang w:eastAsia="fr-FR"/>
        </w:rPr>
      </w:pPr>
      <w:bookmarkStart w:id="145" w:name="_Toc200720004"/>
      <w:bookmarkStart w:id="146" w:name="_Toc200721645"/>
      <w:r>
        <w:rPr>
          <w:lang w:eastAsia="fr-FR"/>
        </w:rPr>
        <w:t>2.6. The France-Turkey Boycott (2020)</w:t>
      </w:r>
      <w:bookmarkEnd w:id="145"/>
      <w:bookmarkEnd w:id="146"/>
    </w:p>
    <w:p w14:paraId="59F656FB" w14:textId="75195735" w:rsidR="00DC2EB3"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In October 2020, Turkish President Recep Tayyip Erdogan called for a boycott of French goods amid escalating tensions over French President Emmanuel Macron’s defense of Prophet Mohammed cartoons, deemed offensive by many Muslims. With a €14 billion annual trade volume, the boycott targeted France’s role as Turkey’s sixth-largest export market and Turkey’s as France’s 12th-largest supplier. French automotive brands like Renault and PSA, with significant production in Turkey (e.g., Renault’s Bursa plant producing 400,000 cars yearly), faced consumer backlash, while luxury firms like Louis Vuitton encountered resistance. Parallel campaigns in Qatar, Kuwait, and Saudi Arabia saw supermarkets remove French products like yogurt and water, amplifying the economic ripple. The boycott’s immediate success was evident in its contribution to the Turkish lira’s drop past 8 per dollar, raising French import costs and curbing sales, though France refrained from retaliation. Socially, it heightened political friction, reinforcing Muslim solidarity against perceived cultural insensitivity. While not fully severing trade—given local production’s employment stakes—its impact underscored the leverage of state-led consumer action in bilateral economic relations</w:t>
      </w:r>
      <w:r w:rsidR="00DC2EB3">
        <w:rPr>
          <w:rStyle w:val="FootnoteReference"/>
          <w:rFonts w:asciiTheme="majorBidi" w:eastAsia="Times New Roman" w:hAnsiTheme="majorBidi" w:cstheme="majorBidi"/>
          <w:sz w:val="24"/>
          <w:szCs w:val="24"/>
          <w:lang w:val="en-US" w:eastAsia="fr-FR"/>
        </w:rPr>
        <w:footnoteReference w:id="39"/>
      </w:r>
      <w:r w:rsidR="00DC2EB3">
        <w:rPr>
          <w:rFonts w:asciiTheme="majorBidi" w:eastAsia="Times New Roman" w:hAnsiTheme="majorBidi" w:cstheme="majorBidi"/>
          <w:sz w:val="24"/>
          <w:szCs w:val="24"/>
          <w:lang w:val="en-US" w:eastAsia="fr-FR"/>
        </w:rPr>
        <w:t>.</w:t>
      </w:r>
    </w:p>
    <w:p w14:paraId="716A91E1" w14:textId="45BE87B2" w:rsidR="00D06CBA" w:rsidRDefault="000805CE" w:rsidP="00D06CBA">
      <w:pPr>
        <w:spacing w:after="0" w:line="360" w:lineRule="auto"/>
        <w:jc w:val="both"/>
        <w:rPr>
          <w:rFonts w:asciiTheme="majorBidi" w:eastAsia="Times New Roman" w:hAnsiTheme="majorBidi" w:cstheme="majorBidi"/>
          <w:sz w:val="24"/>
          <w:szCs w:val="24"/>
          <w:lang w:val="en-US" w:eastAsia="fr-FR"/>
        </w:rPr>
      </w:pPr>
      <w:r>
        <w:rPr>
          <w:rFonts w:asciiTheme="majorBidi" w:hAnsiTheme="majorBidi" w:cstheme="majorBidi"/>
          <w:sz w:val="24"/>
          <w:szCs w:val="24"/>
          <w:lang w:val="en-US"/>
        </w:rPr>
        <w:t xml:space="preserve">   </w:t>
      </w:r>
      <w:r w:rsidR="00DC2EB3">
        <w:rPr>
          <w:rFonts w:asciiTheme="majorBidi" w:eastAsia="Times New Roman" w:hAnsiTheme="majorBidi" w:cstheme="majorBidi"/>
          <w:sz w:val="24"/>
          <w:szCs w:val="24"/>
          <w:lang w:val="en-US" w:eastAsia="fr-FR"/>
        </w:rPr>
        <w:t>Successful boycotts consistently disrupt economic stability by targeting trade and revenue streams, as seen in immediate losses across these cases. Over time, they catalyze social shifts, amplifying awareness and altering norms or policies. Their outcomes highlight the interplay of collective action and market influence in achieving tangible change.</w:t>
      </w:r>
    </w:p>
    <w:p w14:paraId="0074AF30" w14:textId="03FAAE1D" w:rsidR="00DC2EB3" w:rsidRPr="00D06CBA" w:rsidRDefault="00DC2EB3" w:rsidP="00B163B6">
      <w:pPr>
        <w:pStyle w:val="Heading3"/>
        <w:rPr>
          <w:lang w:eastAsia="fr-FR"/>
        </w:rPr>
      </w:pPr>
      <w:bookmarkStart w:id="148" w:name="_Toc200720005"/>
      <w:bookmarkStart w:id="149" w:name="_Toc200721646"/>
      <w:r>
        <w:rPr>
          <w:lang w:eastAsia="fr-FR"/>
        </w:rPr>
        <w:t>3. The Role of social media in amplifying boycott Movements</w:t>
      </w:r>
      <w:r w:rsidR="000F7A21">
        <w:rPr>
          <w:lang w:eastAsia="fr-FR"/>
        </w:rPr>
        <w:t>:</w:t>
      </w:r>
      <w:bookmarkEnd w:id="148"/>
      <w:bookmarkEnd w:id="149"/>
    </w:p>
    <w:p w14:paraId="17716628" w14:textId="68B03FC5" w:rsidR="00DC2EB3" w:rsidRDefault="000805CE">
      <w:pPr>
        <w:spacing w:before="100" w:beforeAutospacing="1" w:after="100" w:afterAutospacing="1"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Social media has emerged as a transformative tool in the facilitation and expansion of boycott movements, enabling rapid dissemination of information and mobilization of participants across diverse demographics. By providing platforms for expression, organization, and influence, it amplifies the reach and impact of consumer-driven campaigns, reshaping the dynamics of collective action</w:t>
      </w:r>
    </w:p>
    <w:p w14:paraId="7468DC54" w14:textId="77777777" w:rsidR="00DC2EB3" w:rsidRDefault="00DC2EB3" w:rsidP="00B163B6">
      <w:pPr>
        <w:pStyle w:val="Heading4"/>
        <w:rPr>
          <w:lang w:eastAsia="fr-FR"/>
        </w:rPr>
      </w:pPr>
      <w:bookmarkStart w:id="150" w:name="_Toc200720006"/>
      <w:bookmarkStart w:id="151" w:name="_Toc200721647"/>
      <w:r>
        <w:rPr>
          <w:lang w:eastAsia="fr-FR"/>
        </w:rPr>
        <w:t>3.1. Social Media as a Catalyst for Boycott Participation</w:t>
      </w:r>
      <w:bookmarkEnd w:id="150"/>
      <w:bookmarkEnd w:id="151"/>
    </w:p>
    <w:p w14:paraId="75D97903" w14:textId="4A35FF6B" w:rsidR="00DC2EB3" w:rsidRDefault="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The advent of social media has significantly enhanced the capacity of consumers to engage in boycott movements by offering an accessible and expansive platform for communication and coordination. Consumers leverage these networks to broadcast their grievances and rally support, reaching vast audiences with minimal cost and effort. Research highlights that the increased prevalence of internet usage has fueled a global surge in boycott campaigns, providing an efficient conduit for sharing boycott-related content and galvanizing collective action. For instance, the 2018 backlash against H&amp;M, sparked by an advertisement featuring a black male model in a hoodie labeled “coolest monkey in the forest,” exemplifies this phenomenon. The controversy erupted on social media, where outrage spread rapidly, prompting worldwide protests and compelling company officials to issue a public apology in response to the intense criticism. Beyond mere dissemination, social media fosters two-way communication, enabling organizers to motivate participation through direct engagement. Studies indicate that social ties influence individual decisions to join product boycotts, while national-level social networks amplify collective intent. Furthermore, the pressure to conform within online communities drives users to share boycott content, reinforcing participation through social validation. The perceived efficacy of these actions further encourages engagement, as individuals are more likely to contribute when they believe their efforts will yield results, a belief often reinforced by visible online momentum.</w:t>
      </w:r>
      <w:r w:rsidR="00DC2EB3">
        <w:rPr>
          <w:rFonts w:asciiTheme="majorBidi" w:eastAsia="Times New Roman" w:hAnsiTheme="majorBidi" w:cstheme="majorBidi"/>
          <w:sz w:val="24"/>
          <w:szCs w:val="24"/>
          <w:rtl/>
          <w:lang w:val="en-US" w:eastAsia="fr-FR"/>
        </w:rPr>
        <w:t xml:space="preserve"> </w:t>
      </w:r>
      <w:r w:rsidR="00DC2EB3">
        <w:rPr>
          <w:rFonts w:asciiTheme="majorBidi" w:eastAsia="Times New Roman" w:hAnsiTheme="majorBidi" w:cstheme="majorBidi"/>
          <w:sz w:val="24"/>
          <w:szCs w:val="24"/>
          <w:lang w:val="en-US" w:eastAsia="fr-FR"/>
        </w:rPr>
        <w:t>This interconnectedness underscores social media’s role in not only initiating but also sustaining boycott campaigns, transforming individual dissent into a potent collective force</w:t>
      </w:r>
      <w:r w:rsidR="00DC2EB3">
        <w:rPr>
          <w:rStyle w:val="FootnoteReference"/>
          <w:rFonts w:asciiTheme="majorBidi" w:eastAsia="Times New Roman" w:hAnsiTheme="majorBidi" w:cstheme="majorBidi"/>
          <w:sz w:val="24"/>
          <w:szCs w:val="24"/>
          <w:lang w:val="en-US" w:eastAsia="fr-FR"/>
        </w:rPr>
        <w:footnoteReference w:id="40"/>
      </w:r>
      <w:r w:rsidR="00DC2EB3">
        <w:rPr>
          <w:rFonts w:asciiTheme="majorBidi" w:eastAsia="Times New Roman" w:hAnsiTheme="majorBidi" w:cstheme="majorBidi"/>
          <w:sz w:val="24"/>
          <w:szCs w:val="24"/>
          <w:lang w:val="en-US" w:eastAsia="fr-FR"/>
        </w:rPr>
        <w:t>.</w:t>
      </w:r>
    </w:p>
    <w:p w14:paraId="33045F4D" w14:textId="77777777" w:rsidR="00DC2EB3" w:rsidRDefault="00DC2EB3">
      <w:pPr>
        <w:spacing w:after="0" w:line="360" w:lineRule="auto"/>
        <w:jc w:val="both"/>
        <w:rPr>
          <w:rFonts w:asciiTheme="majorBidi" w:eastAsia="Times New Roman" w:hAnsiTheme="majorBidi" w:cstheme="majorBidi"/>
          <w:sz w:val="24"/>
          <w:szCs w:val="24"/>
          <w:lang w:val="en-US" w:eastAsia="fr-FR"/>
        </w:rPr>
      </w:pPr>
    </w:p>
    <w:p w14:paraId="49C8E683" w14:textId="77777777" w:rsidR="00DC2EB3" w:rsidRDefault="00DC2EB3" w:rsidP="00B163B6">
      <w:pPr>
        <w:pStyle w:val="Heading4"/>
        <w:rPr>
          <w:lang w:eastAsia="fr-FR"/>
        </w:rPr>
      </w:pPr>
      <w:bookmarkStart w:id="153" w:name="_Toc200720007"/>
      <w:bookmarkStart w:id="154" w:name="_Toc200721648"/>
      <w:r>
        <w:rPr>
          <w:lang w:eastAsia="fr-FR"/>
        </w:rPr>
        <w:t>3.2. The 2018 Boycott Campaign in Morocco</w:t>
      </w:r>
      <w:bookmarkEnd w:id="153"/>
      <w:bookmarkEnd w:id="154"/>
    </w:p>
    <w:p w14:paraId="3B400BC1" w14:textId="579E599F" w:rsidR="00DC2EB3" w:rsidRDefault="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Launched on April 20, 2018, the Moroccan boycott campaign, encapsulated by the hashtag “Khelih Irib” (“let it spoil”), illustrates social media’s pivotal role in amplifying consumer resistance against economic grievances. Targeting three dominant firms</w:t>
      </w:r>
      <w:r w:rsidR="000F7A21">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Sidi Ali (mineral water), Centrale Danone (milk), and Afriquia (gasoline)</w:t>
      </w:r>
      <w:r w:rsidR="000F7A21">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 xml:space="preserve">the campaign protested exorbitant prices and market monopolization, notably linked to Afriquia’s owner, Aziz Akhannouch, Morocco’s Minister of Agriculture and Fisheries. Social media platforms, particularly Facebook and Twitter, became the primary arenas for mobilization, with users posting comparative images and videos highlighting the disparity between Moroccan prices and those in countries with higher wages yet lower costs. A survey by </w:t>
      </w:r>
      <w:r w:rsidR="00DC2EB3">
        <w:rPr>
          <w:rFonts w:asciiTheme="majorBidi" w:eastAsia="Times New Roman" w:hAnsiTheme="majorBidi" w:cstheme="majorBidi"/>
          <w:i/>
          <w:iCs/>
          <w:sz w:val="24"/>
          <w:szCs w:val="24"/>
          <w:lang w:val="en-US" w:eastAsia="fr-FR"/>
        </w:rPr>
        <w:t>L’Economiste</w:t>
      </w:r>
      <w:r w:rsidR="00DC2EB3">
        <w:rPr>
          <w:rFonts w:asciiTheme="majorBidi" w:eastAsia="Times New Roman" w:hAnsiTheme="majorBidi" w:cstheme="majorBidi"/>
          <w:sz w:val="24"/>
          <w:szCs w:val="24"/>
          <w:lang w:val="en-US" w:eastAsia="fr-FR"/>
        </w:rPr>
        <w:t xml:space="preserve"> revealed that 57% of 3,575 predominantly middle-class Moroccans participated, bolstered by Facebook pages with over 2 million followers endorsing the effort. The campaign transcended mere product rejection, aiming to unite citizens against broader issues like poverty, unemployment, corruption, and the intertwining of political power and business interests. Facebook emerged as the dominant platform in Morocco, where corporate pages often outshine official websites, overshadowing Twitter’s supplementary role. This digital activism heightened public awareness and sustained pressure, with boycotters exploiting social media’s immediacy to demand systemic change. The campaign’s success in engaging a significant portion of the population and amplifying dissent underscores how social media can transform localized frustrations into a nationwide movement, leveraging its reach to challenge entrenched economic structures</w:t>
      </w:r>
      <w:r w:rsidR="00DC2EB3">
        <w:rPr>
          <w:rStyle w:val="FootnoteReference"/>
          <w:rFonts w:asciiTheme="majorBidi" w:eastAsia="Times New Roman" w:hAnsiTheme="majorBidi" w:cstheme="majorBidi"/>
          <w:sz w:val="24"/>
          <w:szCs w:val="24"/>
          <w:lang w:val="en-US" w:eastAsia="fr-FR"/>
        </w:rPr>
        <w:footnoteReference w:id="41"/>
      </w:r>
      <w:r w:rsidR="00DC2EB3">
        <w:rPr>
          <w:rFonts w:asciiTheme="majorBidi" w:eastAsia="Times New Roman" w:hAnsiTheme="majorBidi" w:cstheme="majorBidi"/>
          <w:sz w:val="24"/>
          <w:szCs w:val="24"/>
          <w:lang w:val="en-US" w:eastAsia="fr-FR"/>
        </w:rPr>
        <w:t>.</w:t>
      </w:r>
    </w:p>
    <w:p w14:paraId="2BAAFCDA" w14:textId="0840CBD1" w:rsidR="00DC2EB3" w:rsidRDefault="000805CE"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w:t>
      </w:r>
      <w:r w:rsidR="00DC2EB3">
        <w:rPr>
          <w:rFonts w:asciiTheme="majorBidi" w:eastAsia="Times New Roman" w:hAnsiTheme="majorBidi" w:cstheme="majorBidi"/>
          <w:sz w:val="24"/>
          <w:szCs w:val="24"/>
          <w:lang w:val="en-US" w:eastAsia="fr-FR"/>
        </w:rPr>
        <w:t>Social media amplifies boycott movements by enabling rapid information sharing and broad mobilization, as evidenced by its role in sparking and sustaining campaigns. It enhances participation through social pressure and perceived efficacy, transforming individual actions into collective impact. This dynamic underscore its significance as a modern tool for economic and social influence.</w:t>
      </w:r>
    </w:p>
    <w:p w14:paraId="28D531D5" w14:textId="332013AD" w:rsidR="004A38BD" w:rsidRDefault="000805CE" w:rsidP="004A38BD">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DC2EB3">
        <w:rPr>
          <w:rFonts w:asciiTheme="majorBidi" w:hAnsiTheme="majorBidi" w:cstheme="majorBidi"/>
          <w:sz w:val="24"/>
          <w:szCs w:val="24"/>
          <w:lang w:val="en-US"/>
        </w:rPr>
        <w:t>Boycotts generate both short-term economic disturbances and lasting changes in market dynamics and reputational standing, as evidenced by their historical achievements and time-based impacts. Prominent cases highlight their ability to influence economic stability and reshape societal values through focused collective efforts. The role of social media significantly strengthens these initiatives, expanding their visibility and participation, thereby reinforcing boycotts as effective tools for driving change.</w:t>
      </w:r>
    </w:p>
    <w:p w14:paraId="52FB0413"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384204FB"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FF2C10D"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2F8D833A"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2EB6D752"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413E3E1C"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6743D36A"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165265C"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712ED26"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DCBC36B"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26CA706"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04BE471C"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1CDE7B96"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61A056B1"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05A7A737"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5AA4263F"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79CAFF99" w14:textId="77777777" w:rsidR="00D06CBA" w:rsidRDefault="00D06CBA" w:rsidP="004A38BD">
      <w:pPr>
        <w:spacing w:line="360" w:lineRule="auto"/>
        <w:jc w:val="both"/>
        <w:rPr>
          <w:rFonts w:ascii="Times New Roman" w:eastAsia="Times New Roman" w:hAnsi="Times New Roman" w:cs="Times New Roman"/>
          <w:b/>
          <w:bCs/>
          <w:sz w:val="24"/>
          <w:szCs w:val="24"/>
          <w:lang w:val="en-US" w:eastAsia="fr-FR"/>
        </w:rPr>
      </w:pPr>
    </w:p>
    <w:p w14:paraId="45C35669" w14:textId="4E360BF3" w:rsidR="00DC2EB3" w:rsidRPr="004E4A53" w:rsidRDefault="00DC2EB3" w:rsidP="00B163B6">
      <w:pPr>
        <w:pStyle w:val="Heading2"/>
        <w:rPr>
          <w:rFonts w:asciiTheme="majorBidi" w:hAnsiTheme="majorBidi" w:cstheme="majorBidi"/>
        </w:rPr>
      </w:pPr>
      <w:bookmarkStart w:id="156" w:name="_Toc200720008"/>
      <w:bookmarkStart w:id="157" w:name="_Toc200721649"/>
      <w:r w:rsidRPr="004E4A53">
        <w:t>Section 03: Exploring the dynamics of consumer boycotts</w:t>
      </w:r>
      <w:bookmarkEnd w:id="156"/>
      <w:bookmarkEnd w:id="157"/>
    </w:p>
    <w:p w14:paraId="71D6E1FE"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Consumer boycotts represent a significant phenomenon in contemporary society, intertwining economic action with social and ethical expression. As global connectivity and digital platforms amplify their reach, boycotts have transcended traditional boundaries to become powerful mechanisms for influencing corporate behavior and raising awareness of pressing issues. This chapter, Exploring the dynamics of consumer boycotts, delves into the multifaceted nature of these movements, examining their importance, the factors that determine their success, and the strategies that render them effective. By synthesizing insights from recent research, it seeks to unpack the interplay between consumer motivations, corporate responses, and digital ecosystems, offering a holistic understanding of how boycotts shape and are shaped by the modern marketplace. In doing so, it highlights both the opportunities they present for activism and the challenges they pose in terms of ethics and efficacy.</w:t>
      </w:r>
    </w:p>
    <w:p w14:paraId="5BA8C409" w14:textId="77777777" w:rsidR="00DC2EB3" w:rsidRDefault="00DC2EB3" w:rsidP="00413B73">
      <w:pPr>
        <w:pStyle w:val="Heading3"/>
        <w:numPr>
          <w:ilvl w:val="0"/>
          <w:numId w:val="97"/>
        </w:numPr>
        <w:rPr>
          <w:lang w:eastAsia="fr-FR"/>
        </w:rPr>
      </w:pPr>
      <w:bookmarkStart w:id="158" w:name="_Toc200720009"/>
      <w:bookmarkStart w:id="159" w:name="_Toc200721650"/>
      <w:r>
        <w:rPr>
          <w:lang w:eastAsia="fr-FR"/>
        </w:rPr>
        <w:t>The importance of boycotts</w:t>
      </w:r>
      <w:bookmarkEnd w:id="158"/>
      <w:bookmarkEnd w:id="159"/>
    </w:p>
    <w:p w14:paraId="7475635C" w14:textId="77777777" w:rsidR="00DC2EB3" w:rsidRDefault="00DC2EB3">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Boycotts hold significant importance as mechanisms for influencing corporate behavior and societal norms, extending their impact across economic, social, and ethical domains. Beyond their immediate effects on target firms, boycotts serve as tools for raising awareness, mobilizing collective action, and pressuring entities to align with consumer expectations, thereby contributing to broader structural change. Their relevance has grown amidst evolving technological landscapes, legal frameworks, and shifting consumer ethics, positioning them as dynamic instruments within market and social systems. This section explores the multifaceted significance of boycotts, emphasizing their capacity to reshape corporate strategies, enhance public consciousness, and drive ethical accountability.</w:t>
      </w:r>
    </w:p>
    <w:p w14:paraId="5671B54F" w14:textId="77777777" w:rsidR="00DC2EB3" w:rsidRPr="00B163B6" w:rsidRDefault="00DC2EB3">
      <w:pPr>
        <w:pStyle w:val="ListParagraph"/>
        <w:numPr>
          <w:ilvl w:val="1"/>
          <w:numId w:val="19"/>
        </w:numPr>
        <w:spacing w:line="360" w:lineRule="auto"/>
        <w:jc w:val="both"/>
        <w:rPr>
          <w:rStyle w:val="Heading4Char"/>
        </w:rPr>
      </w:pPr>
      <w:r>
        <w:rPr>
          <w:rFonts w:ascii="Times New Roman" w:eastAsia="Times New Roman" w:hAnsi="Times New Roman" w:cs="Times New Roman"/>
          <w:b/>
          <w:bCs/>
          <w:kern w:val="0"/>
          <w:sz w:val="24"/>
          <w:szCs w:val="24"/>
          <w:lang w:val="en-US" w:eastAsia="fr-FR"/>
          <w14:ligatures w14:val="none"/>
        </w:rPr>
        <w:t xml:space="preserve"> </w:t>
      </w:r>
      <w:bookmarkStart w:id="160" w:name="_Toc200720010"/>
      <w:bookmarkStart w:id="161" w:name="_Toc200721651"/>
      <w:r w:rsidRPr="00AE36DE">
        <w:rPr>
          <w:rStyle w:val="Heading4Char"/>
        </w:rPr>
        <w:t>Economic influence and corporate respons</w:t>
      </w:r>
      <w:r w:rsidRPr="00B163B6">
        <w:rPr>
          <w:rStyle w:val="Heading4Char"/>
        </w:rPr>
        <w:t>e</w:t>
      </w:r>
      <w:bookmarkEnd w:id="160"/>
      <w:bookmarkEnd w:id="161"/>
    </w:p>
    <w:p w14:paraId="63457F53" w14:textId="77777777" w:rsidR="00DC2EB3" w:rsidRDefault="00DC2EB3">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Boycotts exert considerable economic pressure on target firms, compelling them to reconsider policies and practices in response to consumer dissent. Their increasing frequency and sophistication, driven by technological advancements, amplify their potential to disrupt market dynamics, a trend Garrett identifies as a key factor in their rising prominence. Marketing strategists have historically overlooked these movements, yet recent legal validations of boycotts as legitimate protests underscore their growing influence on corporate strategy. Pruitt and Friedman’s time-series analysis of 21 boycott announcements revealed a statistically significant decline in stock prices, with an average market value loss exceeding $120 million, demonstrating their capacity to erode shareholder wealth. Similarly, the Bremmer boycott highlighted by Klein, Smith, and John resulted in lost sales and damaged brand image as consumers switched to competitors’ products, illustrating how boycotts threaten competitive advantage</w:t>
      </w:r>
      <w:r>
        <w:rPr>
          <w:rStyle w:val="FootnoteReference"/>
          <w:rFonts w:ascii="Times New Roman" w:eastAsia="Times New Roman" w:hAnsi="Times New Roman" w:cs="Times New Roman"/>
          <w:sz w:val="24"/>
          <w:szCs w:val="24"/>
          <w:lang w:val="en-US" w:eastAsia="fr-FR"/>
        </w:rPr>
        <w:footnoteReference w:id="42"/>
      </w:r>
      <w:r>
        <w:rPr>
          <w:rFonts w:ascii="Times New Roman" w:eastAsia="Times New Roman" w:hAnsi="Times New Roman" w:cs="Times New Roman"/>
          <w:sz w:val="24"/>
          <w:szCs w:val="24"/>
          <w:lang w:val="en-US" w:eastAsia="fr-FR"/>
        </w:rPr>
        <w:t>. Beyond financial impact, boycotts like the Namyang Dairy case in South Korea not only reduced sales but also imprinted a lasting negative reputation, signaling to firms the need to address consumer demands as part of broader social responsibility rather than mere dissatisfaction</w:t>
      </w:r>
      <w:r>
        <w:rPr>
          <w:rStyle w:val="FootnoteReference"/>
          <w:rFonts w:ascii="Times New Roman" w:eastAsia="Times New Roman" w:hAnsi="Times New Roman" w:cs="Times New Roman"/>
          <w:sz w:val="24"/>
          <w:szCs w:val="24"/>
          <w:lang w:val="en-US" w:eastAsia="fr-FR"/>
        </w:rPr>
        <w:footnoteReference w:id="43"/>
      </w:r>
      <w:r>
        <w:rPr>
          <w:rFonts w:ascii="Times New Roman" w:eastAsia="Times New Roman" w:hAnsi="Times New Roman" w:cs="Times New Roman"/>
          <w:sz w:val="24"/>
          <w:szCs w:val="24"/>
          <w:lang w:val="en-US" w:eastAsia="fr-FR"/>
        </w:rPr>
        <w:t>. This economic leverage underscores boycotts importance as catalysts for corporate accountability and strategic realignment.</w:t>
      </w:r>
    </w:p>
    <w:p w14:paraId="7C327501" w14:textId="77777777" w:rsidR="00DC2EB3" w:rsidRDefault="00DC2EB3">
      <w:pPr>
        <w:pStyle w:val="ListParagraph"/>
        <w:numPr>
          <w:ilvl w:val="1"/>
          <w:numId w:val="19"/>
        </w:numPr>
        <w:spacing w:line="360" w:lineRule="auto"/>
        <w:jc w:val="both"/>
        <w:rPr>
          <w:rFonts w:ascii="Times New Roman" w:eastAsia="Times New Roman" w:hAnsi="Times New Roman" w:cs="Times New Roman"/>
          <w:b/>
          <w:bCs/>
          <w:kern w:val="0"/>
          <w:sz w:val="24"/>
          <w:szCs w:val="24"/>
          <w:lang w:val="en-US" w:eastAsia="fr-FR"/>
          <w14:ligatures w14:val="none"/>
        </w:rPr>
      </w:pPr>
      <w:r>
        <w:rPr>
          <w:rFonts w:ascii="Times New Roman" w:eastAsia="Times New Roman" w:hAnsi="Times New Roman" w:cs="Times New Roman"/>
          <w:b/>
          <w:bCs/>
          <w:kern w:val="0"/>
          <w:sz w:val="24"/>
          <w:szCs w:val="24"/>
          <w:lang w:val="en-US" w:eastAsia="fr-FR"/>
          <w14:ligatures w14:val="none"/>
        </w:rPr>
        <w:t xml:space="preserve"> </w:t>
      </w:r>
      <w:bookmarkStart w:id="162" w:name="_Toc200720011"/>
      <w:bookmarkStart w:id="163" w:name="_Toc200721652"/>
      <w:r w:rsidRPr="00B163B6">
        <w:rPr>
          <w:rStyle w:val="Heading4Char"/>
        </w:rPr>
        <w:t>Social awareness and ethical transformatio</w:t>
      </w:r>
      <w:bookmarkEnd w:id="162"/>
      <w:bookmarkEnd w:id="163"/>
      <w:r>
        <w:rPr>
          <w:rFonts w:ascii="Times New Roman" w:eastAsia="Times New Roman" w:hAnsi="Times New Roman" w:cs="Times New Roman"/>
          <w:b/>
          <w:bCs/>
          <w:kern w:val="0"/>
          <w:sz w:val="24"/>
          <w:szCs w:val="24"/>
          <w:lang w:val="en-US" w:eastAsia="fr-FR"/>
          <w14:ligatures w14:val="none"/>
        </w:rPr>
        <w:t>n</w:t>
      </w:r>
    </w:p>
    <w:p w14:paraId="36BFB01C" w14:textId="493BE2B4" w:rsidR="00DC2EB3" w:rsidRDefault="00DC2EB3">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Boycotts play a pivotal role in elevating public awareness and fostering ethical transformation, bridging individual consumer actions with collective societal goals. Smith’s analysis suggests that consumer pressure through boycotts has been instrumental in pushing corporations toward corporate social responsibility (CSR) practices, contributing to societal improvement by exposing and addressing misconduct. This shift reflects a broader perception of boycotts as ethical acts, evolving from tools for resolving personal economic grievances such as price or safety issues to mechanisms confronting corporate immorality on a comprehensive scale</w:t>
      </w:r>
      <w:r>
        <w:rPr>
          <w:rStyle w:val="FootnoteReference"/>
          <w:rFonts w:ascii="Times New Roman" w:eastAsia="Times New Roman" w:hAnsi="Times New Roman" w:cs="Times New Roman"/>
          <w:sz w:val="24"/>
          <w:szCs w:val="24"/>
          <w:lang w:val="en-US" w:eastAsia="fr-FR"/>
        </w:rPr>
        <w:footnoteReference w:id="44"/>
      </w:r>
      <w:r>
        <w:rPr>
          <w:rFonts w:ascii="Times New Roman" w:eastAsia="Times New Roman" w:hAnsi="Times New Roman" w:cs="Times New Roman"/>
          <w:sz w:val="24"/>
          <w:szCs w:val="24"/>
          <w:lang w:val="en-US" w:eastAsia="fr-FR"/>
        </w:rPr>
        <w:t>. Research by Allam et al. reinforces this, showing boycotts effectively highlight contemporary issues, engaging diverse groups like workers and students motivated by ethical concerns, though their ethical legitimacy depends on substantiated negative societal impacts. While not universally deemed the most potent protest form</w:t>
      </w:r>
      <w:r w:rsidR="009D3FFF">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lang w:val="en-US" w:eastAsia="fr-FR"/>
        </w:rPr>
        <w:t>often rivaled by demonstrations or direct brand engagement</w:t>
      </w:r>
      <w:r w:rsidR="009D3FFF">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lang w:val="en-US" w:eastAsia="fr-FR"/>
        </w:rPr>
        <w:t>their moderate influence via social media amplifies awareness, encouraging consumers to reject implicated brands and driving actionable change</w:t>
      </w:r>
      <w:r>
        <w:rPr>
          <w:rStyle w:val="FootnoteReference"/>
          <w:rFonts w:ascii="Times New Roman" w:eastAsia="Times New Roman" w:hAnsi="Times New Roman" w:cs="Times New Roman"/>
          <w:sz w:val="24"/>
          <w:szCs w:val="24"/>
          <w:lang w:val="en-US" w:eastAsia="fr-FR"/>
        </w:rPr>
        <w:footnoteReference w:id="45"/>
      </w:r>
      <w:r>
        <w:rPr>
          <w:rFonts w:ascii="Times New Roman" w:eastAsia="Times New Roman" w:hAnsi="Times New Roman" w:cs="Times New Roman"/>
          <w:sz w:val="24"/>
          <w:szCs w:val="24"/>
          <w:lang w:val="en-US" w:eastAsia="fr-FR"/>
        </w:rPr>
        <w:t>. This dual role in awareness and ethics highlights boycotts’ significance as instruments of social progress.</w:t>
      </w:r>
    </w:p>
    <w:p w14:paraId="72D3E8AD" w14:textId="77777777" w:rsidR="00DC2EB3" w:rsidRDefault="00DC2EB3">
      <w:pPr>
        <w:pStyle w:val="ListParagraph"/>
        <w:numPr>
          <w:ilvl w:val="1"/>
          <w:numId w:val="19"/>
        </w:numPr>
        <w:spacing w:line="360" w:lineRule="auto"/>
        <w:jc w:val="both"/>
        <w:rPr>
          <w:rFonts w:ascii="Times New Roman" w:eastAsia="Times New Roman" w:hAnsi="Times New Roman" w:cs="Times New Roman"/>
          <w:b/>
          <w:bCs/>
          <w:kern w:val="0"/>
          <w:sz w:val="24"/>
          <w:szCs w:val="24"/>
          <w:lang w:val="en-US" w:eastAsia="fr-FR"/>
          <w14:ligatures w14:val="none"/>
        </w:rPr>
      </w:pPr>
      <w:r>
        <w:rPr>
          <w:rFonts w:ascii="Times New Roman" w:eastAsia="Times New Roman" w:hAnsi="Times New Roman" w:cs="Times New Roman"/>
          <w:b/>
          <w:bCs/>
          <w:kern w:val="0"/>
          <w:sz w:val="24"/>
          <w:szCs w:val="24"/>
          <w:lang w:val="en-US" w:eastAsia="fr-FR"/>
          <w14:ligatures w14:val="none"/>
        </w:rPr>
        <w:t xml:space="preserve"> </w:t>
      </w:r>
      <w:bookmarkStart w:id="165" w:name="_Toc200720012"/>
      <w:bookmarkStart w:id="166" w:name="_Toc200721653"/>
      <w:r w:rsidRPr="00AE36DE">
        <w:rPr>
          <w:rStyle w:val="Heading4Char"/>
        </w:rPr>
        <w:t>Mobilization and collective actio</w:t>
      </w:r>
      <w:bookmarkEnd w:id="165"/>
      <w:bookmarkEnd w:id="166"/>
      <w:r>
        <w:rPr>
          <w:rFonts w:ascii="Times New Roman" w:eastAsia="Times New Roman" w:hAnsi="Times New Roman" w:cs="Times New Roman"/>
          <w:b/>
          <w:bCs/>
          <w:kern w:val="0"/>
          <w:sz w:val="24"/>
          <w:szCs w:val="24"/>
          <w:lang w:val="en-US" w:eastAsia="fr-FR"/>
          <w14:ligatures w14:val="none"/>
        </w:rPr>
        <w:t>n</w:t>
      </w:r>
    </w:p>
    <w:p w14:paraId="2BF1484C" w14:textId="77777777" w:rsidR="009D3FFF" w:rsidRDefault="00DC2EB3" w:rsidP="009D3FFF">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The importance of boycotts is further evident in their capacity to mobilize collective action, harnessing consumer involvement to influence both corporate and societal outcomes. The advent of ethical consumerism and heightened interest in consumption ethics have repositioned boycotts as voluntary acts of citizen responsibility, addressing structural societal issues rather than mere economic rationality. This evolution, rooted in the efforts of civic groups and pioneering consumers, now encompasses a wide range of unethical corporate behaviors, fostering a proactive consumer base</w:t>
      </w:r>
      <w:r>
        <w:rPr>
          <w:rStyle w:val="FootnoteReference"/>
          <w:rFonts w:ascii="Times New Roman" w:eastAsia="Times New Roman" w:hAnsi="Times New Roman" w:cs="Times New Roman"/>
          <w:sz w:val="24"/>
          <w:szCs w:val="24"/>
          <w:lang w:val="en-US" w:eastAsia="fr-FR"/>
        </w:rPr>
        <w:footnoteReference w:id="46"/>
      </w:r>
      <w:r>
        <w:rPr>
          <w:rFonts w:ascii="Times New Roman" w:eastAsia="Times New Roman" w:hAnsi="Times New Roman" w:cs="Times New Roman"/>
          <w:sz w:val="24"/>
          <w:szCs w:val="24"/>
          <w:lang w:val="en-US" w:eastAsia="fr-FR"/>
        </w:rPr>
        <w:t>. Allam et al. emphasize the synergy between social media, workers, and students, noting that effective digital strategies enhance mobilization, raise awareness, and pressure companies to respond, with success contingent on thorough research and strategic tactics. This interconnectedness strengthens boycott messages, linking consumer participation to diverse societal concerns, thereby amplifying their collective impact</w:t>
      </w:r>
      <w:r>
        <w:rPr>
          <w:rStyle w:val="FootnoteReference"/>
          <w:rFonts w:ascii="Times New Roman" w:eastAsia="Times New Roman" w:hAnsi="Times New Roman" w:cs="Times New Roman"/>
          <w:sz w:val="24"/>
          <w:szCs w:val="24"/>
          <w:lang w:val="en-US" w:eastAsia="fr-FR"/>
        </w:rPr>
        <w:footnoteReference w:id="47"/>
      </w:r>
      <w:r>
        <w:rPr>
          <w:rFonts w:ascii="Times New Roman" w:eastAsia="Times New Roman" w:hAnsi="Times New Roman" w:cs="Times New Roman"/>
          <w:sz w:val="24"/>
          <w:szCs w:val="24"/>
          <w:lang w:val="en-US" w:eastAsia="fr-FR"/>
        </w:rPr>
        <w:t>. By galvanizing communities, boycotts affirm their critical role in driving coordinated efforts for change, reinforcing their strategic and social relevance.</w:t>
      </w:r>
    </w:p>
    <w:p w14:paraId="7199EA6F" w14:textId="5CD94918" w:rsidR="00DC2EB3" w:rsidRPr="009D3FFF" w:rsidRDefault="00DC2EB3" w:rsidP="009D3FFF">
      <w:pPr>
        <w:pStyle w:val="ListParagraph"/>
        <w:numPr>
          <w:ilvl w:val="0"/>
          <w:numId w:val="19"/>
        </w:numPr>
        <w:spacing w:line="360" w:lineRule="auto"/>
        <w:jc w:val="both"/>
        <w:rPr>
          <w:rFonts w:ascii="Times New Roman" w:eastAsia="Times New Roman" w:hAnsi="Times New Roman" w:cs="Times New Roman"/>
          <w:sz w:val="24"/>
          <w:szCs w:val="24"/>
          <w:lang w:val="en-US" w:eastAsia="fr-FR"/>
        </w:rPr>
      </w:pPr>
      <w:bookmarkStart w:id="167" w:name="_Toc200720013"/>
      <w:bookmarkStart w:id="168" w:name="_Toc200721654"/>
      <w:r w:rsidRPr="00AE36DE">
        <w:rPr>
          <w:rStyle w:val="Heading3Char"/>
        </w:rPr>
        <w:t>Factors influencing boycott succes</w:t>
      </w:r>
      <w:bookmarkEnd w:id="167"/>
      <w:bookmarkEnd w:id="168"/>
      <w:r w:rsidRPr="009D3FFF">
        <w:rPr>
          <w:rFonts w:asciiTheme="majorBidi" w:eastAsia="Times New Roman" w:hAnsiTheme="majorBidi" w:cstheme="majorBidi"/>
          <w:b/>
          <w:bCs/>
          <w:sz w:val="24"/>
          <w:szCs w:val="24"/>
          <w:lang w:val="en-US" w:eastAsia="fr-FR"/>
        </w:rPr>
        <w:t>s</w:t>
      </w:r>
    </w:p>
    <w:p w14:paraId="38C3AB59" w14:textId="77777777" w:rsidR="00DC2EB3" w:rsidRDefault="00DC2EB3" w:rsidP="000805CE">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The success of boycott campaigns is determined by an intricate blend of factors that extend beyond conventional economic assessments, integrating behavioral, organizational, and strategic elements essential to their effectiveness. While traditional research has often prioritized economic indicators and a restricted set of boycott categories, a more holistic perspective embraces the variety of boycott types and underscores the importance of behavioral science in analyzing the actions of organizers, participants, and targets. Instrumentality theory, rooted in organizational psychology, provides a systematic framework for this inquiry by distinguishing the effort required to implement a boycott (execution criterion), the anticipated outcomes of that effort (consequence criterion), and the perceived value or valence of those outcomes. This theory suggests that boycott success relies on participants’ dedication to the cause, the practicality of execution strategies, and the likelihood of achieving defined objectives, offering a particularly relevant lens for instrumental boycotts focused on concrete achievements rather than mere protest.</w:t>
      </w:r>
    </w:p>
    <w:p w14:paraId="45913519" w14:textId="77777777" w:rsidR="00DC2EB3" w:rsidRDefault="00DC2EB3">
      <w:pPr>
        <w:pStyle w:val="ListParagraph"/>
        <w:numPr>
          <w:ilvl w:val="1"/>
          <w:numId w:val="19"/>
        </w:numPr>
        <w:spacing w:after="0" w:line="360" w:lineRule="auto"/>
        <w:jc w:val="both"/>
        <w:rPr>
          <w:rFonts w:ascii="Times New Roman" w:eastAsia="Times New Roman" w:hAnsi="Times New Roman" w:cs="Times New Roman"/>
          <w:b/>
          <w:bCs/>
          <w:kern w:val="0"/>
          <w:sz w:val="24"/>
          <w:szCs w:val="24"/>
          <w:lang w:val="en-US" w:eastAsia="fr-FR"/>
          <w14:ligatures w14:val="none"/>
        </w:rPr>
      </w:pPr>
      <w:r w:rsidRPr="00AE36DE">
        <w:rPr>
          <w:rStyle w:val="Heading4Char"/>
        </w:rPr>
        <w:t xml:space="preserve"> </w:t>
      </w:r>
      <w:bookmarkStart w:id="169" w:name="_Toc200720014"/>
      <w:bookmarkStart w:id="170" w:name="_Toc200721655"/>
      <w:r w:rsidRPr="00AE36DE">
        <w:rPr>
          <w:rStyle w:val="Heading4Char"/>
        </w:rPr>
        <w:t>Execution factors for Media-Oriented boycott</w:t>
      </w:r>
      <w:bookmarkEnd w:id="169"/>
      <w:bookmarkEnd w:id="170"/>
      <w:r>
        <w:rPr>
          <w:rFonts w:ascii="Times New Roman" w:eastAsia="Times New Roman" w:hAnsi="Times New Roman" w:cs="Times New Roman"/>
          <w:b/>
          <w:bCs/>
          <w:kern w:val="0"/>
          <w:sz w:val="24"/>
          <w:szCs w:val="24"/>
          <w:lang w:val="en-US" w:eastAsia="fr-FR"/>
          <w14:ligatures w14:val="none"/>
        </w:rPr>
        <w:t>s</w:t>
      </w:r>
    </w:p>
    <w:p w14:paraId="753F151F" w14:textId="101A3CCD" w:rsidR="000805CE" w:rsidRDefault="00DC2EB3" w:rsidP="000805CE">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Media-oriented boycotts, designed to influence targets through publicity rather than direct market intervention, depend on execution strategies that optimize news coverage to damage reputations. Success requires announcements from credible, well-known entities — Jesse Jackson’s PUSH boycott calls and Cesar Chavez’s United Farm Workers campaigns in the 1970s and 1980s leveraged their public recognition to ensure media attention. Targeting prominent firms amplifies this impact; the late 1970s Ohio tomato pickers’ boycott shifted focus to Campbell Soup Company due to its national stature, and Nestlé’s prominence drove its selection in the infant formula boycott despite broader industry culpability. Legitimate, uncomplicated grievances enhance media appeal — environmental causes often outshine self-interested labor disputes, while simplicity aligns with journalistic constraints. Dramatic tactics, such as Chavez’s 1988 hunger strike for the grape boycott, supported by celebrity fasts, or the Campbell boycott’s 1983 march from Toledo to Camden, provide compelling media hooks. These factors enable media-oriented boycotts to exert pressure with minimal resources, a critical advantage given the frequent lack of organizational capacity for sustained marketplace efforts, making this type prevalent among modern campaigns</w:t>
      </w:r>
      <w:r>
        <w:rPr>
          <w:rStyle w:val="FootnoteReference"/>
          <w:rFonts w:ascii="Times New Roman" w:eastAsia="Times New Roman" w:hAnsi="Times New Roman" w:cs="Times New Roman"/>
          <w:sz w:val="24"/>
          <w:szCs w:val="24"/>
          <w:lang w:val="en-US" w:eastAsia="fr-FR"/>
        </w:rPr>
        <w:footnoteReference w:id="48"/>
      </w:r>
      <w:r>
        <w:rPr>
          <w:rFonts w:ascii="Times New Roman" w:eastAsia="Times New Roman" w:hAnsi="Times New Roman" w:cs="Times New Roman"/>
          <w:sz w:val="24"/>
          <w:szCs w:val="24"/>
          <w:lang w:val="en-US" w:eastAsia="fr-FR"/>
        </w:rPr>
        <w:t>.</w:t>
      </w:r>
    </w:p>
    <w:p w14:paraId="0D6520FA" w14:textId="77777777" w:rsidR="00DC2EB3" w:rsidRDefault="00DC2EB3">
      <w:pPr>
        <w:pStyle w:val="ListParagraph"/>
        <w:numPr>
          <w:ilvl w:val="1"/>
          <w:numId w:val="19"/>
        </w:numPr>
        <w:spacing w:after="0" w:line="360" w:lineRule="auto"/>
        <w:jc w:val="both"/>
        <w:rPr>
          <w:rFonts w:ascii="Times New Roman" w:eastAsia="Times New Roman" w:hAnsi="Times New Roman" w:cs="Times New Roman"/>
          <w:b/>
          <w:bCs/>
          <w:kern w:val="0"/>
          <w:sz w:val="24"/>
          <w:szCs w:val="24"/>
          <w:lang w:val="en-US" w:eastAsia="fr-FR"/>
          <w14:ligatures w14:val="none"/>
        </w:rPr>
      </w:pPr>
      <w:r w:rsidRPr="00AE36DE">
        <w:rPr>
          <w:rStyle w:val="Heading4Char"/>
        </w:rPr>
        <w:t xml:space="preserve"> </w:t>
      </w:r>
      <w:bookmarkStart w:id="172" w:name="_Toc200720015"/>
      <w:bookmarkStart w:id="173" w:name="_Toc200721656"/>
      <w:r w:rsidRPr="00AE36DE">
        <w:rPr>
          <w:rStyle w:val="Heading4Char"/>
        </w:rPr>
        <w:t>Consequence factors for Media-Oriented boycott</w:t>
      </w:r>
      <w:bookmarkEnd w:id="172"/>
      <w:bookmarkEnd w:id="173"/>
      <w:r>
        <w:rPr>
          <w:rFonts w:ascii="Times New Roman" w:eastAsia="Times New Roman" w:hAnsi="Times New Roman" w:cs="Times New Roman"/>
          <w:b/>
          <w:bCs/>
          <w:kern w:val="0"/>
          <w:sz w:val="24"/>
          <w:szCs w:val="24"/>
          <w:lang w:val="en-US" w:eastAsia="fr-FR"/>
          <w14:ligatures w14:val="none"/>
        </w:rPr>
        <w:t>s</w:t>
      </w:r>
    </w:p>
    <w:p w14:paraId="7A32072F" w14:textId="4CF8EC42" w:rsidR="00DC2EB3" w:rsidRDefault="00DC2EB3" w:rsidP="000805CE">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The ability of media-oriented boycotts to achieve their goals hinges on how targets respond to media exposure, governed by several key variables. Widespread, prominent coverage increases compliance likelihood, as sustained negative publicity threatens reputational standing. Image-conscious firms, especially in retail, are more likely to yield due to their reliance on consumer perception. The perceived threat of escalation into a marketplace boycott heightens this effect, a 1966 Denver supermarket boycott’s rapid expansion to 100 communities exemplifies this potential. Inflexible target policies can impede success, as seen in the 1970s Farah and Coors boycotts, where leadership resistance delayed concessions. Realistic demands improve outcomes; the cosmetics industry’s $4 million investment in alternative testing by 1989 followed feasible requests, unlike unviable test bans. A target’s counteraction capacity, such as Peugeot’s 1988 rebuttal to crash-worthiness claims, can reduce efficacy</w:t>
      </w:r>
      <w:r>
        <w:rPr>
          <w:rStyle w:val="FootnoteReference"/>
          <w:rFonts w:ascii="Times New Roman" w:eastAsia="Times New Roman" w:hAnsi="Times New Roman" w:cs="Times New Roman"/>
          <w:sz w:val="24"/>
          <w:szCs w:val="24"/>
          <w:lang w:val="en-US" w:eastAsia="fr-FR"/>
        </w:rPr>
        <w:footnoteReference w:id="49"/>
      </w:r>
      <w:r>
        <w:rPr>
          <w:rFonts w:ascii="Times New Roman" w:eastAsia="Times New Roman" w:hAnsi="Times New Roman" w:cs="Times New Roman"/>
          <w:sz w:val="24"/>
          <w:szCs w:val="24"/>
          <w:lang w:val="en-US" w:eastAsia="fr-FR"/>
        </w:rPr>
        <w:t>. Garrett’s framework identifies high image pressure, when coverage tarnishes perception, and low policy commitment as key facilitators of success, complementing instrumentality’s focus on achievable consequences</w:t>
      </w:r>
      <w:r>
        <w:rPr>
          <w:rStyle w:val="FootnoteReference"/>
          <w:rFonts w:ascii="Times New Roman" w:eastAsia="Times New Roman" w:hAnsi="Times New Roman" w:cs="Times New Roman"/>
          <w:sz w:val="24"/>
          <w:szCs w:val="24"/>
          <w:lang w:val="en-US" w:eastAsia="fr-FR"/>
        </w:rPr>
        <w:footnoteReference w:id="50"/>
      </w:r>
      <w:r>
        <w:rPr>
          <w:rFonts w:ascii="Times New Roman" w:eastAsia="Times New Roman" w:hAnsi="Times New Roman" w:cs="Times New Roman"/>
          <w:sz w:val="24"/>
          <w:szCs w:val="24"/>
          <w:lang w:val="en-US" w:eastAsia="fr-FR"/>
        </w:rPr>
        <w:t>.</w:t>
      </w:r>
    </w:p>
    <w:p w14:paraId="6C4A9E11" w14:textId="77777777" w:rsidR="00DC2EB3" w:rsidRDefault="00DC2EB3" w:rsidP="000805CE">
      <w:pPr>
        <w:pStyle w:val="ListParagraph"/>
        <w:numPr>
          <w:ilvl w:val="1"/>
          <w:numId w:val="19"/>
        </w:numPr>
        <w:spacing w:line="360" w:lineRule="auto"/>
        <w:jc w:val="both"/>
        <w:rPr>
          <w:rFonts w:ascii="Times New Roman" w:eastAsia="Times New Roman" w:hAnsi="Times New Roman" w:cs="Times New Roman"/>
          <w:b/>
          <w:bCs/>
          <w:kern w:val="0"/>
          <w:sz w:val="24"/>
          <w:szCs w:val="24"/>
          <w:lang w:val="en-US" w:eastAsia="fr-FR"/>
          <w14:ligatures w14:val="none"/>
        </w:rPr>
      </w:pPr>
      <w:r w:rsidRPr="00AE36DE">
        <w:rPr>
          <w:rStyle w:val="Heading4Char"/>
        </w:rPr>
        <w:t xml:space="preserve"> </w:t>
      </w:r>
      <w:bookmarkStart w:id="174" w:name="_Toc200720016"/>
      <w:bookmarkStart w:id="175" w:name="_Toc200721657"/>
      <w:r w:rsidRPr="00AE36DE">
        <w:rPr>
          <w:rStyle w:val="Heading4Char"/>
        </w:rPr>
        <w:t>Execution factors for Marketplace-Oriented boycott</w:t>
      </w:r>
      <w:bookmarkEnd w:id="174"/>
      <w:bookmarkEnd w:id="175"/>
      <w:r>
        <w:rPr>
          <w:rFonts w:ascii="Times New Roman" w:eastAsia="Times New Roman" w:hAnsi="Times New Roman" w:cs="Times New Roman"/>
          <w:b/>
          <w:bCs/>
          <w:kern w:val="0"/>
          <w:sz w:val="24"/>
          <w:szCs w:val="24"/>
          <w:lang w:val="en-US" w:eastAsia="fr-FR"/>
          <w14:ligatures w14:val="none"/>
        </w:rPr>
        <w:t>s</w:t>
      </w:r>
    </w:p>
    <w:p w14:paraId="3BEDDA32" w14:textId="77777777" w:rsidR="00DC2EB3" w:rsidRDefault="00DC2EB3">
      <w:pPr>
        <w:spacing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Marketplace-oriented boycotts, which target consumer purchasing behavior directly, require execution strategies that facilitate widespread participation and sustained economic impact. Products must be easily identifiable—United Farm Workers’ lettuce boycotts faced challenges distinguishing union from non-union produce. Limiting brand targets simplifies compliance; the 1988 infant formula boycott’s dozens of Nestlé and American Home Products brands (e.g., Nescafé, Advil) overwhelmed participants. Timing avoids competing campaigns to prevent cognitive overload, as peace activists targeting weapons and toys concurrently illustrate. Acceptable substitutes, accessible, affordable, and palatable, are vital; gasoline boycotts benefit from alternatives, unlike coffee or meat boycotts resisted by taste preferences. Public visibility of non-compliance, as in the mid-1980s Dearborn boycott, leverages social stigma, unlike discreet mail-order purchases</w:t>
      </w:r>
      <w:r>
        <w:rPr>
          <w:rStyle w:val="FootnoteReference"/>
          <w:rFonts w:ascii="Times New Roman" w:eastAsia="Times New Roman" w:hAnsi="Times New Roman" w:cs="Times New Roman"/>
          <w:sz w:val="24"/>
          <w:szCs w:val="24"/>
          <w:lang w:val="en-US" w:eastAsia="fr-FR"/>
        </w:rPr>
        <w:footnoteReference w:id="51"/>
      </w:r>
      <w:r>
        <w:rPr>
          <w:rFonts w:ascii="Times New Roman" w:eastAsia="Times New Roman" w:hAnsi="Times New Roman" w:cs="Times New Roman"/>
          <w:sz w:val="24"/>
          <w:szCs w:val="24"/>
          <w:lang w:val="en-US" w:eastAsia="fr-FR"/>
        </w:rPr>
        <w:t>. McCune emphasizes substitute availability as critical lack thereof hinders participation while a broad consumer base amplifies reach, aligning with instrumentality’s focus on executable strategies</w:t>
      </w:r>
      <w:r>
        <w:rPr>
          <w:rStyle w:val="FootnoteReference"/>
          <w:rFonts w:ascii="Times New Roman" w:eastAsia="Times New Roman" w:hAnsi="Times New Roman" w:cs="Times New Roman"/>
          <w:sz w:val="24"/>
          <w:szCs w:val="24"/>
          <w:lang w:val="en-US" w:eastAsia="fr-FR"/>
        </w:rPr>
        <w:footnoteReference w:id="52"/>
      </w:r>
      <w:r>
        <w:rPr>
          <w:rFonts w:ascii="Times New Roman" w:eastAsia="Times New Roman" w:hAnsi="Times New Roman" w:cs="Times New Roman"/>
          <w:sz w:val="24"/>
          <w:szCs w:val="24"/>
          <w:lang w:val="en-US" w:eastAsia="fr-FR"/>
        </w:rPr>
        <w:t>.</w:t>
      </w:r>
    </w:p>
    <w:p w14:paraId="2ED881D6" w14:textId="77777777" w:rsidR="00DC2EB3" w:rsidRDefault="00DC2EB3">
      <w:pPr>
        <w:pStyle w:val="ListParagraph"/>
        <w:numPr>
          <w:ilvl w:val="1"/>
          <w:numId w:val="19"/>
        </w:numPr>
        <w:spacing w:line="360" w:lineRule="auto"/>
        <w:jc w:val="both"/>
        <w:rPr>
          <w:rFonts w:ascii="Times New Roman" w:eastAsia="Times New Roman" w:hAnsi="Times New Roman" w:cs="Times New Roman"/>
          <w:b/>
          <w:bCs/>
          <w:kern w:val="0"/>
          <w:sz w:val="24"/>
          <w:szCs w:val="24"/>
          <w:lang w:val="en-US" w:eastAsia="fr-FR"/>
          <w14:ligatures w14:val="none"/>
        </w:rPr>
      </w:pPr>
      <w:r w:rsidRPr="00AE36DE">
        <w:rPr>
          <w:rStyle w:val="Heading4Char"/>
        </w:rPr>
        <w:t xml:space="preserve"> </w:t>
      </w:r>
      <w:bookmarkStart w:id="176" w:name="_Toc200720017"/>
      <w:bookmarkStart w:id="177" w:name="_Toc200721658"/>
      <w:r w:rsidRPr="00AE36DE">
        <w:rPr>
          <w:rStyle w:val="Heading4Char"/>
        </w:rPr>
        <w:t>Consequence factors for Marketplace-Oriented boycott</w:t>
      </w:r>
      <w:bookmarkEnd w:id="176"/>
      <w:bookmarkEnd w:id="177"/>
      <w:r>
        <w:rPr>
          <w:rFonts w:ascii="Times New Roman" w:eastAsia="Times New Roman" w:hAnsi="Times New Roman" w:cs="Times New Roman"/>
          <w:b/>
          <w:bCs/>
          <w:kern w:val="0"/>
          <w:sz w:val="24"/>
          <w:szCs w:val="24"/>
          <w:lang w:val="en-US" w:eastAsia="fr-FR"/>
          <w14:ligatures w14:val="none"/>
        </w:rPr>
        <w:t>s</w:t>
      </w:r>
    </w:p>
    <w:p w14:paraId="42F9C822" w14:textId="307F1296" w:rsidR="00DC2EB3" w:rsidRDefault="000805CE">
      <w:pPr>
        <w:spacing w:line="360" w:lineRule="auto"/>
        <w:jc w:val="both"/>
        <w:rPr>
          <w:rFonts w:ascii="Times New Roman" w:eastAsia="Times New Roman" w:hAnsi="Times New Roman" w:cs="Times New Roman"/>
          <w:b/>
          <w:bCs/>
          <w:sz w:val="24"/>
          <w:szCs w:val="24"/>
          <w:lang w:val="en-US" w:eastAsia="fr-FR"/>
        </w:rPr>
      </w:pPr>
      <w:r>
        <w:rPr>
          <w:rFonts w:ascii="Times New Roman" w:eastAsia="Times New Roman" w:hAnsi="Times New Roman" w:cs="Times New Roman"/>
          <w:sz w:val="24"/>
          <w:szCs w:val="24"/>
          <w:lang w:val="en-US" w:eastAsia="fr-FR"/>
        </w:rPr>
        <w:t xml:space="preserve">   </w:t>
      </w:r>
      <w:r w:rsidR="00DC2EB3">
        <w:rPr>
          <w:rFonts w:ascii="Times New Roman" w:eastAsia="Times New Roman" w:hAnsi="Times New Roman" w:cs="Times New Roman"/>
          <w:sz w:val="24"/>
          <w:szCs w:val="24"/>
          <w:lang w:val="en-US" w:eastAsia="fr-FR"/>
        </w:rPr>
        <w:t xml:space="preserve">Marketplace boycott outcomes depend on economic disruption and target responsiveness, building on media-oriented factors with sales, specific considerations. Significant reductions in buyers, units sold, revenue, or profits drive concessions, with greater impact increasing compliance likelihood. Large firms with diverse portfolios may endure losses, while smaller entities with limited products are more vulnerable. Long time horizons, such as a sports team boycott at season’s start, exert more pressure than late-season efforts </w:t>
      </w:r>
      <w:r w:rsidR="00DC2EB3">
        <w:rPr>
          <w:rStyle w:val="FootnoteReference"/>
          <w:rFonts w:ascii="Times New Roman" w:eastAsia="Times New Roman" w:hAnsi="Times New Roman" w:cs="Times New Roman"/>
          <w:sz w:val="24"/>
          <w:szCs w:val="24"/>
          <w:lang w:val="en-US" w:eastAsia="fr-FR"/>
        </w:rPr>
        <w:footnoteReference w:id="53"/>
      </w:r>
      <w:r w:rsidR="00DC2EB3">
        <w:rPr>
          <w:rFonts w:ascii="Times New Roman" w:eastAsia="Times New Roman" w:hAnsi="Times New Roman" w:cs="Times New Roman"/>
          <w:sz w:val="24"/>
          <w:szCs w:val="24"/>
          <w:lang w:val="en-US" w:eastAsia="fr-FR"/>
        </w:rPr>
        <w:t xml:space="preserve">. Pruitt and Friedman note stock price drops post-announcement as evidence of economic impact. Garrett’s framework highlights high economic pressure when sales decline and low policy commitment as facilitators, while high commitment entrenches resistance. These factors, alongside image sensitivity and counteraction capacity, define success beyond financial damage, requiring policy change, a complexity Pruitt and Friedman describe as uniquely tied to each target’s behavior </w:t>
      </w:r>
      <w:r w:rsidR="00DC2EB3">
        <w:rPr>
          <w:rStyle w:val="FootnoteReference"/>
          <w:rFonts w:ascii="Times New Roman" w:eastAsia="Times New Roman" w:hAnsi="Times New Roman" w:cs="Times New Roman"/>
          <w:sz w:val="24"/>
          <w:szCs w:val="24"/>
          <w:lang w:val="en-US" w:eastAsia="fr-FR"/>
        </w:rPr>
        <w:footnoteReference w:id="54"/>
      </w:r>
      <w:r w:rsidR="00DC2EB3">
        <w:rPr>
          <w:rFonts w:ascii="Times New Roman" w:eastAsia="Times New Roman" w:hAnsi="Times New Roman" w:cs="Times New Roman"/>
          <w:sz w:val="24"/>
          <w:szCs w:val="24"/>
          <w:lang w:val="en-US" w:eastAsia="fr-FR"/>
        </w:rPr>
        <w:t>.</w:t>
      </w:r>
    </w:p>
    <w:p w14:paraId="037F8E95" w14:textId="77777777" w:rsidR="00DC2EB3" w:rsidRDefault="00DC2EB3">
      <w:pPr>
        <w:pStyle w:val="ListParagraph"/>
        <w:numPr>
          <w:ilvl w:val="0"/>
          <w:numId w:val="19"/>
        </w:numPr>
        <w:spacing w:after="0" w:line="360" w:lineRule="auto"/>
        <w:jc w:val="both"/>
        <w:rPr>
          <w:rFonts w:ascii="Times New Roman" w:eastAsia="Times New Roman" w:hAnsi="Times New Roman" w:cs="Times New Roman"/>
          <w:b/>
          <w:bCs/>
          <w:kern w:val="0"/>
          <w:sz w:val="24"/>
          <w:szCs w:val="24"/>
          <w:lang w:val="en-US" w:eastAsia="fr-FR"/>
          <w14:ligatures w14:val="none"/>
        </w:rPr>
      </w:pPr>
      <w:bookmarkStart w:id="178" w:name="_Toc200720018"/>
      <w:bookmarkStart w:id="179" w:name="_Toc200721659"/>
      <w:r w:rsidRPr="00AE36DE">
        <w:rPr>
          <w:rStyle w:val="Heading3Char"/>
        </w:rPr>
        <w:t>Strategies for effective boycott campaign</w:t>
      </w:r>
      <w:bookmarkEnd w:id="178"/>
      <w:bookmarkEnd w:id="179"/>
      <w:r>
        <w:rPr>
          <w:rFonts w:ascii="Times New Roman" w:eastAsia="Times New Roman" w:hAnsi="Times New Roman" w:cs="Times New Roman"/>
          <w:b/>
          <w:bCs/>
          <w:kern w:val="0"/>
          <w:sz w:val="24"/>
          <w:szCs w:val="24"/>
          <w:lang w:val="en-US" w:eastAsia="fr-FR"/>
          <w14:ligatures w14:val="none"/>
        </w:rPr>
        <w:t>s</w:t>
      </w:r>
    </w:p>
    <w:p w14:paraId="4F8D8F84" w14:textId="77777777" w:rsidR="00DC2EB3" w:rsidRDefault="00DC2EB3" w:rsidP="000805CE">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Consumer boycott campaigns have emerged as a potent tool for expressing dissent and driving social change in the digital era, leveraging social media to achieve rapid dissemination and widespread mobilization. To be effective, these campaigns must employ deliberate strategies that capitalize on digital platform dynamics, target corporate vulnerabilities, and anchor participation in shared ethical values. These strategies are informed by analyses of boycott impacts and corporate responses documented in recent literature.</w:t>
      </w:r>
    </w:p>
    <w:p w14:paraId="7B4FF720" w14:textId="77777777" w:rsidR="00DC2EB3" w:rsidRDefault="00DC2EB3">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First, amplifying digital reach through social media is a cornerstone of successful boycott campaigns. Research shows that hashtag-driven campaigns, such as #BoycottIsrael or #FreePalestine, can reach millions of consumers within hours, generating significant sales impacts</w:t>
      </w:r>
      <w:r>
        <w:rPr>
          <w:rStyle w:val="FootnoteReference"/>
          <w:rFonts w:asciiTheme="majorBidi" w:eastAsia="Times New Roman" w:hAnsiTheme="majorBidi" w:cstheme="majorBidi"/>
          <w:sz w:val="24"/>
          <w:szCs w:val="24"/>
          <w:lang w:val="en-US" w:eastAsia="fr-FR"/>
        </w:rPr>
        <w:footnoteReference w:id="55"/>
      </w:r>
      <w:r>
        <w:rPr>
          <w:rFonts w:asciiTheme="majorBidi" w:eastAsia="Times New Roman" w:hAnsiTheme="majorBidi" w:cstheme="majorBidi"/>
          <w:sz w:val="24"/>
          <w:szCs w:val="24"/>
          <w:lang w:val="en-US" w:eastAsia="fr-FR"/>
        </w:rPr>
        <w:t>. For instance, the BDS movement has effectively utilized social media to propagate boycott messages against Israel-affiliated companies, intensifying public pressure and enhancing campaign reach</w:t>
      </w:r>
      <w:r>
        <w:rPr>
          <w:rStyle w:val="FootnoteReference"/>
          <w:rFonts w:asciiTheme="majorBidi" w:eastAsia="Times New Roman" w:hAnsiTheme="majorBidi" w:cstheme="majorBidi"/>
          <w:sz w:val="24"/>
          <w:szCs w:val="24"/>
          <w:lang w:val="en-US" w:eastAsia="fr-FR"/>
        </w:rPr>
        <w:footnoteReference w:id="56"/>
      </w:r>
      <w:r>
        <w:rPr>
          <w:rFonts w:asciiTheme="majorBidi" w:eastAsia="Times New Roman" w:hAnsiTheme="majorBidi" w:cstheme="majorBidi"/>
          <w:sz w:val="24"/>
          <w:szCs w:val="24"/>
          <w:lang w:val="en-US" w:eastAsia="fr-FR"/>
        </w:rPr>
        <w:t xml:space="preserve">. Studies also highlight that visual platform accelerate participation among younger demographics, while text-based platforms enable coordination </w:t>
      </w:r>
      <w:r>
        <w:rPr>
          <w:rStyle w:val="FootnoteReference"/>
          <w:rFonts w:asciiTheme="majorBidi" w:eastAsia="Times New Roman" w:hAnsiTheme="majorBidi" w:cstheme="majorBidi"/>
          <w:sz w:val="24"/>
          <w:szCs w:val="24"/>
          <w:lang w:val="en-US" w:eastAsia="fr-FR"/>
        </w:rPr>
        <w:footnoteReference w:id="57"/>
      </w:r>
      <w:r>
        <w:rPr>
          <w:rFonts w:asciiTheme="majorBidi" w:eastAsia="Times New Roman" w:hAnsiTheme="majorBidi" w:cstheme="majorBidi"/>
          <w:sz w:val="24"/>
          <w:szCs w:val="24"/>
          <w:lang w:val="en-US" w:eastAsia="fr-FR"/>
        </w:rPr>
        <w:t>.</w:t>
      </w:r>
    </w:p>
    <w:p w14:paraId="45C88182" w14:textId="77777777" w:rsidR="00DC2EB3" w:rsidRDefault="00DC2EB3">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Second, targeting corporate financial and reputational vulnerabilities enhances boycott effectiveness. Evidence indicates that politically motivated boycotts can reduce sales and affect stock values</w:t>
      </w:r>
      <w:r>
        <w:rPr>
          <w:rStyle w:val="FootnoteReference"/>
          <w:rFonts w:asciiTheme="majorBidi" w:eastAsia="Times New Roman" w:hAnsiTheme="majorBidi" w:cstheme="majorBidi"/>
          <w:sz w:val="24"/>
          <w:szCs w:val="24"/>
          <w:lang w:val="en-US" w:eastAsia="fr-FR"/>
        </w:rPr>
        <w:footnoteReference w:id="58"/>
      </w:r>
      <w:r>
        <w:rPr>
          <w:rFonts w:asciiTheme="majorBidi" w:eastAsia="Times New Roman" w:hAnsiTheme="majorBidi" w:cstheme="majorBidi"/>
          <w:sz w:val="24"/>
          <w:szCs w:val="24"/>
          <w:lang w:val="en-US" w:eastAsia="fr-FR"/>
        </w:rPr>
        <w:t>. In Indonesia, boycotts led to a notable decline in Unilever’s stock value, underscoring reputation as a critical pressure point</w:t>
      </w:r>
      <w:r>
        <w:rPr>
          <w:rStyle w:val="FootnoteReference"/>
          <w:rFonts w:asciiTheme="majorBidi" w:eastAsia="Times New Roman" w:hAnsiTheme="majorBidi" w:cstheme="majorBidi"/>
          <w:sz w:val="24"/>
          <w:szCs w:val="24"/>
          <w:lang w:val="en-US" w:eastAsia="fr-FR"/>
        </w:rPr>
        <w:footnoteReference w:id="59"/>
      </w:r>
      <w:r>
        <w:rPr>
          <w:rFonts w:asciiTheme="majorBidi" w:eastAsia="Times New Roman" w:hAnsiTheme="majorBidi" w:cstheme="majorBidi"/>
          <w:sz w:val="24"/>
          <w:szCs w:val="24"/>
          <w:lang w:val="en-US" w:eastAsia="fr-FR"/>
        </w:rPr>
        <w:t>. Effective campaigns can thus prioritize    companies with fragile reputations, amplifying their leverage.</w:t>
      </w:r>
    </w:p>
    <w:p w14:paraId="381D2DDF" w14:textId="77777777" w:rsidR="00DC2EB3" w:rsidRDefault="00DC2EB3">
      <w:pPr>
        <w:spacing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   Third, mobilizing participation through ethical and social values sustains campaign momentum. Research reveals that boycotts tied to broader social values achieve higher engagement </w:t>
      </w:r>
      <w:r>
        <w:rPr>
          <w:rStyle w:val="FootnoteReference"/>
          <w:rFonts w:asciiTheme="majorBidi" w:eastAsia="Times New Roman" w:hAnsiTheme="majorBidi" w:cstheme="majorBidi"/>
          <w:sz w:val="24"/>
          <w:szCs w:val="24"/>
          <w:lang w:val="en-US" w:eastAsia="fr-FR"/>
        </w:rPr>
        <w:footnoteReference w:id="60"/>
      </w:r>
      <w:r>
        <w:rPr>
          <w:rFonts w:asciiTheme="majorBidi" w:eastAsia="Times New Roman" w:hAnsiTheme="majorBidi" w:cstheme="majorBidi"/>
          <w:sz w:val="24"/>
          <w:szCs w:val="24"/>
          <w:lang w:val="en-US" w:eastAsia="fr-FR"/>
        </w:rPr>
        <w:t xml:space="preserve">. In the Philippines, students and workers become powerful forces when driven by ethical concerns </w:t>
      </w:r>
      <w:r>
        <w:rPr>
          <w:rStyle w:val="FootnoteReference"/>
          <w:rFonts w:asciiTheme="majorBidi" w:eastAsia="Times New Roman" w:hAnsiTheme="majorBidi" w:cstheme="majorBidi"/>
          <w:sz w:val="24"/>
          <w:szCs w:val="24"/>
          <w:lang w:val="en-US" w:eastAsia="fr-FR"/>
        </w:rPr>
        <w:footnoteReference w:id="61"/>
      </w:r>
      <w:r>
        <w:rPr>
          <w:rFonts w:asciiTheme="majorBidi" w:eastAsia="Times New Roman" w:hAnsiTheme="majorBidi" w:cstheme="majorBidi"/>
          <w:sz w:val="24"/>
          <w:szCs w:val="24"/>
          <w:lang w:val="en-US" w:eastAsia="fr-FR"/>
        </w:rPr>
        <w:t>Digital influencers can further increase participation due to their perceived authenticity</w:t>
      </w:r>
      <w:r>
        <w:rPr>
          <w:rStyle w:val="FootnoteReference"/>
          <w:rFonts w:asciiTheme="majorBidi" w:eastAsia="Times New Roman" w:hAnsiTheme="majorBidi" w:cstheme="majorBidi"/>
          <w:sz w:val="24"/>
          <w:szCs w:val="24"/>
          <w:lang w:val="en-US" w:eastAsia="fr-FR"/>
        </w:rPr>
        <w:footnoteReference w:id="62"/>
      </w:r>
      <w:r>
        <w:rPr>
          <w:rFonts w:asciiTheme="majorBidi" w:eastAsia="Times New Roman" w:hAnsiTheme="majorBidi" w:cstheme="majorBidi"/>
          <w:sz w:val="24"/>
          <w:szCs w:val="24"/>
          <w:lang w:val="en-US" w:eastAsia="fr-FR"/>
        </w:rPr>
        <w:t>.</w:t>
      </w:r>
    </w:p>
    <w:p w14:paraId="02FF3F59" w14:textId="07792BC1" w:rsidR="00DC2EB3" w:rsidRPr="000805CE" w:rsidRDefault="00DC2EB3" w:rsidP="000805CE">
      <w:pPr>
        <w:spacing w:line="360" w:lineRule="auto"/>
        <w:jc w:val="both"/>
        <w:rPr>
          <w:rFonts w:asciiTheme="majorBidi" w:eastAsia="Times New Roman" w:hAnsiTheme="majorBidi" w:cstheme="majorBidi"/>
          <w:sz w:val="24"/>
          <w:szCs w:val="24"/>
          <w:lang w:val="en-US" w:eastAsia="fr-FR" w:bidi="ar-DZ"/>
        </w:rPr>
      </w:pPr>
      <w:r>
        <w:rPr>
          <w:rFonts w:asciiTheme="majorBidi" w:eastAsia="Times New Roman" w:hAnsiTheme="majorBidi" w:cstheme="majorBidi"/>
          <w:sz w:val="24"/>
          <w:szCs w:val="24"/>
          <w:lang w:val="en-US" w:eastAsia="fr-FR"/>
        </w:rPr>
        <w:t xml:space="preserve">   However, these strategies must be underpinned by ethical clarity and rigorous research, as boycotts may falter without substantiation </w:t>
      </w:r>
      <w:r>
        <w:rPr>
          <w:rStyle w:val="FootnoteReference"/>
          <w:rFonts w:asciiTheme="majorBidi" w:eastAsia="Times New Roman" w:hAnsiTheme="majorBidi" w:cstheme="majorBidi"/>
          <w:sz w:val="24"/>
          <w:szCs w:val="24"/>
          <w:lang w:val="en-US" w:eastAsia="fr-FR"/>
        </w:rPr>
        <w:footnoteReference w:id="63"/>
      </w:r>
      <w:r>
        <w:rPr>
          <w:rFonts w:asciiTheme="majorBidi" w:eastAsia="Times New Roman" w:hAnsiTheme="majorBidi" w:cstheme="majorBidi"/>
          <w:sz w:val="24"/>
          <w:szCs w:val="24"/>
          <w:lang w:val="en-US" w:eastAsia="fr-FR"/>
        </w:rPr>
        <w:t>.</w:t>
      </w:r>
    </w:p>
    <w:p w14:paraId="152DF295" w14:textId="77777777" w:rsidR="00DC2EB3" w:rsidRDefault="00DC2EB3">
      <w:pPr>
        <w:pStyle w:val="break-words"/>
        <w:spacing w:line="360" w:lineRule="auto"/>
        <w:jc w:val="both"/>
        <w:rPr>
          <w:lang w:val="en-US"/>
        </w:rPr>
      </w:pPr>
      <w:r>
        <w:rPr>
          <w:lang w:val="en-US"/>
        </w:rPr>
        <w:t xml:space="preserve">   The exploration of consumer boycotts reveals a dynamic landscape where digital tools, ethical convictions, and strategic execution converge to challenge corporate power and drive societal change. This chapter has demonstrated that boycotts are not merely acts of refusal but complex movements that amplify voices, expose vulnerabilities, and demand accountability. Their importance lies in their capacity to bridge individual action with collective impact, while their success hinges on factors such as cultural resonance, digital amplification, and targeted pressure. Effective strategies, rooted in robust research and ethical grounding, further enhance their potential to achieve tangible outcomes. Yet, the evidence also underscores the need for balance between leveraging rapid mobilization and ensuring credibility, between pressuring corporations and navigating unintended consequences. Ultimately, consumer boycotts reflect an evolving dialogue between consumers and corporations, mediated by technology and values, with implications that extend far beyond the marketplace.</w:t>
      </w:r>
    </w:p>
    <w:p w14:paraId="0895E89A" w14:textId="77777777" w:rsidR="00D06CBA" w:rsidRDefault="00D06CBA">
      <w:pPr>
        <w:spacing w:before="100" w:beforeAutospacing="1" w:after="100" w:afterAutospacing="1" w:line="360" w:lineRule="auto"/>
        <w:jc w:val="both"/>
        <w:rPr>
          <w:rFonts w:ascii="Times New Roman" w:eastAsia="Times New Roman" w:hAnsi="Times New Roman" w:cs="Times New Roman"/>
          <w:b/>
          <w:bCs/>
          <w:sz w:val="24"/>
          <w:szCs w:val="24"/>
          <w:lang w:val="en-US" w:eastAsia="fr-FR"/>
        </w:rPr>
      </w:pPr>
    </w:p>
    <w:p w14:paraId="4A1CE2D6" w14:textId="77777777" w:rsidR="00D06CBA" w:rsidRDefault="00D06CBA">
      <w:pPr>
        <w:spacing w:before="100" w:beforeAutospacing="1" w:after="100" w:afterAutospacing="1" w:line="360" w:lineRule="auto"/>
        <w:jc w:val="both"/>
        <w:rPr>
          <w:rFonts w:ascii="Times New Roman" w:eastAsia="Times New Roman" w:hAnsi="Times New Roman" w:cs="Times New Roman"/>
          <w:b/>
          <w:bCs/>
          <w:sz w:val="24"/>
          <w:szCs w:val="24"/>
          <w:lang w:val="en-US" w:eastAsia="fr-FR"/>
        </w:rPr>
      </w:pPr>
    </w:p>
    <w:p w14:paraId="45CA0337" w14:textId="77777777" w:rsidR="00D06CBA" w:rsidRDefault="00D06CBA">
      <w:pPr>
        <w:spacing w:before="100" w:beforeAutospacing="1" w:after="100" w:afterAutospacing="1" w:line="360" w:lineRule="auto"/>
        <w:jc w:val="both"/>
        <w:rPr>
          <w:rFonts w:ascii="Times New Roman" w:eastAsia="Times New Roman" w:hAnsi="Times New Roman" w:cs="Times New Roman"/>
          <w:b/>
          <w:bCs/>
          <w:sz w:val="24"/>
          <w:szCs w:val="24"/>
          <w:lang w:val="en-US" w:eastAsia="fr-FR"/>
        </w:rPr>
      </w:pPr>
    </w:p>
    <w:p w14:paraId="41CDAC0C" w14:textId="77777777" w:rsidR="00D06CBA" w:rsidRDefault="00D06CBA">
      <w:pPr>
        <w:spacing w:before="100" w:beforeAutospacing="1" w:after="100" w:afterAutospacing="1" w:line="360" w:lineRule="auto"/>
        <w:jc w:val="both"/>
        <w:rPr>
          <w:rFonts w:ascii="Times New Roman" w:eastAsia="Times New Roman" w:hAnsi="Times New Roman" w:cs="Times New Roman"/>
          <w:b/>
          <w:bCs/>
          <w:sz w:val="24"/>
          <w:szCs w:val="24"/>
          <w:lang w:val="en-US" w:eastAsia="fr-FR"/>
        </w:rPr>
      </w:pPr>
    </w:p>
    <w:p w14:paraId="166C1352" w14:textId="77777777" w:rsidR="000805CE" w:rsidRDefault="000805CE">
      <w:pPr>
        <w:spacing w:before="100" w:beforeAutospacing="1" w:after="100" w:afterAutospacing="1" w:line="360" w:lineRule="auto"/>
        <w:jc w:val="both"/>
        <w:rPr>
          <w:rFonts w:ascii="Times New Roman" w:eastAsia="Times New Roman" w:hAnsi="Times New Roman" w:cs="Times New Roman"/>
          <w:b/>
          <w:bCs/>
          <w:sz w:val="24"/>
          <w:szCs w:val="24"/>
          <w:lang w:val="en-US" w:eastAsia="fr-FR"/>
        </w:rPr>
      </w:pPr>
    </w:p>
    <w:p w14:paraId="05182B8F" w14:textId="4B2DE996" w:rsidR="00DC2EB3" w:rsidRDefault="00DC2EB3" w:rsidP="00AE36DE">
      <w:pPr>
        <w:pStyle w:val="Heading2"/>
      </w:pPr>
      <w:bookmarkStart w:id="180" w:name="_Toc200720019"/>
      <w:bookmarkStart w:id="181" w:name="_Toc200721660"/>
      <w:r>
        <w:t>Conclusion:</w:t>
      </w:r>
      <w:bookmarkEnd w:id="180"/>
      <w:bookmarkEnd w:id="181"/>
    </w:p>
    <w:p w14:paraId="0B4BB08B" w14:textId="58BEC17C" w:rsidR="00DC2EB3" w:rsidRDefault="000805CE">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w:t>
      </w:r>
      <w:r w:rsidR="00DC2EB3">
        <w:rPr>
          <w:rFonts w:ascii="Times New Roman" w:eastAsia="Times New Roman" w:hAnsi="Times New Roman" w:cs="Times New Roman"/>
          <w:sz w:val="24"/>
          <w:szCs w:val="24"/>
          <w:lang w:val="en-US" w:eastAsia="fr-FR"/>
        </w:rPr>
        <w:t>Boycotts serve as a powerful tool for consumers to express their values and drive change. They are motivated by ethical, political, or social concerns and can have significant impacts. The success of a boycott depends on factors like timing, strategy, and public support. Social media has amplified these movements, enabling quick global mobilization. Understanding the dynamics of boycotts reveals their potential for both social and economic influence. Effective boycotts not only protest but can also reshape markets. Overall, boycotts remain an important form of consumer activism.</w:t>
      </w:r>
    </w:p>
    <w:p w14:paraId="52850B90" w14:textId="77777777" w:rsidR="002E5550" w:rsidRDefault="002E5550">
      <w:pPr>
        <w:spacing w:before="100" w:beforeAutospacing="1" w:after="100" w:afterAutospacing="1" w:line="360" w:lineRule="auto"/>
        <w:rPr>
          <w:rFonts w:ascii="Times New Roman" w:eastAsia="Times New Roman" w:hAnsi="Times New Roman" w:cs="Times New Roman"/>
          <w:sz w:val="24"/>
          <w:szCs w:val="24"/>
          <w:lang w:val="en-GB" w:eastAsia="fr-FR"/>
        </w:rPr>
        <w:sectPr w:rsidR="002E5550">
          <w:headerReference w:type="default" r:id="rId19"/>
          <w:footerReference w:type="default" r:id="rId20"/>
          <w:pgSz w:w="11906" w:h="16838"/>
          <w:pgMar w:top="1417" w:right="1417" w:bottom="1417" w:left="1417" w:header="708" w:footer="708" w:gutter="0"/>
          <w:cols w:space="708"/>
          <w:docGrid w:linePitch="360"/>
        </w:sectPr>
      </w:pPr>
    </w:p>
    <w:p w14:paraId="71C082AF" w14:textId="47E90C2E" w:rsidR="00DC2EB3" w:rsidRPr="0053256C" w:rsidRDefault="00DC2EB3">
      <w:pPr>
        <w:spacing w:before="100" w:beforeAutospacing="1" w:after="100" w:afterAutospacing="1" w:line="360" w:lineRule="auto"/>
        <w:rPr>
          <w:rFonts w:ascii="Times New Roman" w:eastAsia="Times New Roman" w:hAnsi="Times New Roman" w:cs="Times New Roman"/>
          <w:sz w:val="24"/>
          <w:szCs w:val="24"/>
          <w:lang w:val="en-GB" w:eastAsia="fr-FR"/>
        </w:rPr>
      </w:pPr>
    </w:p>
    <w:p w14:paraId="230ABC61" w14:textId="77777777" w:rsidR="00DC2EB3" w:rsidRDefault="00DC2EB3" w:rsidP="00DC2EB3">
      <w:pPr>
        <w:spacing w:line="360" w:lineRule="auto"/>
        <w:jc w:val="both"/>
        <w:rPr>
          <w:rFonts w:asciiTheme="majorBidi" w:hAnsiTheme="majorBidi" w:cstheme="majorBidi"/>
          <w:sz w:val="24"/>
          <w:szCs w:val="24"/>
          <w:lang w:val="en-GB"/>
        </w:rPr>
      </w:pPr>
    </w:p>
    <w:p w14:paraId="05E6114F" w14:textId="77777777" w:rsidR="00DC2EB3" w:rsidRDefault="00DC2EB3" w:rsidP="00DC2EB3">
      <w:pPr>
        <w:spacing w:line="360" w:lineRule="auto"/>
        <w:jc w:val="both"/>
        <w:rPr>
          <w:rFonts w:asciiTheme="majorBidi" w:hAnsiTheme="majorBidi" w:cstheme="majorBidi"/>
          <w:sz w:val="24"/>
          <w:szCs w:val="24"/>
          <w:lang w:val="en-GB"/>
        </w:rPr>
      </w:pPr>
    </w:p>
    <w:p w14:paraId="4405DB5F" w14:textId="77777777" w:rsidR="00DC2EB3" w:rsidRDefault="00DC2EB3" w:rsidP="00DC2EB3">
      <w:pPr>
        <w:spacing w:line="360" w:lineRule="auto"/>
        <w:jc w:val="both"/>
        <w:rPr>
          <w:rFonts w:asciiTheme="majorBidi" w:hAnsiTheme="majorBidi" w:cstheme="majorBidi"/>
          <w:sz w:val="24"/>
          <w:szCs w:val="24"/>
          <w:lang w:val="en-GB"/>
        </w:rPr>
      </w:pPr>
    </w:p>
    <w:p w14:paraId="196EE004" w14:textId="77777777" w:rsidR="00DC2EB3" w:rsidRDefault="00DC2EB3" w:rsidP="00DC2EB3">
      <w:pPr>
        <w:spacing w:line="360" w:lineRule="auto"/>
        <w:jc w:val="both"/>
        <w:rPr>
          <w:rFonts w:asciiTheme="majorBidi" w:hAnsiTheme="majorBidi" w:cstheme="majorBidi"/>
          <w:sz w:val="24"/>
          <w:szCs w:val="24"/>
          <w:lang w:val="en-GB"/>
        </w:rPr>
      </w:pPr>
    </w:p>
    <w:p w14:paraId="5EC03558" w14:textId="77777777" w:rsidR="00DC2EB3" w:rsidRDefault="00DC2EB3" w:rsidP="00DC2EB3">
      <w:pPr>
        <w:spacing w:line="360" w:lineRule="auto"/>
        <w:jc w:val="both"/>
        <w:rPr>
          <w:rFonts w:asciiTheme="majorBidi" w:hAnsiTheme="majorBidi" w:cstheme="majorBidi"/>
          <w:sz w:val="24"/>
          <w:szCs w:val="24"/>
          <w:lang w:val="en-GB"/>
        </w:rPr>
      </w:pPr>
    </w:p>
    <w:p w14:paraId="2888D2CB" w14:textId="77777777" w:rsidR="00DC2EB3" w:rsidRDefault="00DC2EB3" w:rsidP="00DC2EB3">
      <w:pPr>
        <w:spacing w:line="360" w:lineRule="auto"/>
        <w:jc w:val="both"/>
        <w:rPr>
          <w:rFonts w:asciiTheme="majorBidi" w:hAnsiTheme="majorBidi" w:cstheme="majorBidi"/>
          <w:sz w:val="24"/>
          <w:szCs w:val="24"/>
          <w:lang w:val="en-GB"/>
        </w:rPr>
      </w:pPr>
    </w:p>
    <w:p w14:paraId="6A37232C" w14:textId="77777777" w:rsidR="00DC2EB3" w:rsidRDefault="00DC2EB3" w:rsidP="00DC2EB3">
      <w:pPr>
        <w:spacing w:line="360" w:lineRule="auto"/>
        <w:jc w:val="both"/>
        <w:rPr>
          <w:rFonts w:asciiTheme="majorBidi" w:hAnsiTheme="majorBidi" w:cstheme="majorBidi"/>
          <w:sz w:val="24"/>
          <w:szCs w:val="24"/>
          <w:lang w:val="en-GB"/>
        </w:rPr>
      </w:pPr>
    </w:p>
    <w:p w14:paraId="0F58BE2F" w14:textId="77777777" w:rsidR="00DC2EB3" w:rsidRDefault="00DC2EB3" w:rsidP="00DC2EB3">
      <w:pPr>
        <w:spacing w:line="360" w:lineRule="auto"/>
        <w:jc w:val="both"/>
        <w:rPr>
          <w:rFonts w:asciiTheme="majorBidi" w:hAnsiTheme="majorBidi" w:cstheme="majorBidi"/>
          <w:sz w:val="24"/>
          <w:szCs w:val="24"/>
          <w:lang w:val="en-GB"/>
        </w:rPr>
      </w:pPr>
    </w:p>
    <w:p w14:paraId="33406C3A" w14:textId="38D43763" w:rsidR="00DC2EB3" w:rsidRDefault="00DC2EB3" w:rsidP="00AE36DE">
      <w:pPr>
        <w:pStyle w:val="Heading1"/>
      </w:pPr>
      <w:bookmarkStart w:id="182" w:name="_Toc200720020"/>
      <w:bookmarkStart w:id="183" w:name="_Toc200721661"/>
      <w:r w:rsidRPr="00DC2EB3">
        <w:t xml:space="preserve">Chapter </w:t>
      </w:r>
      <w:r w:rsidR="00D36F5B">
        <w:t>0</w:t>
      </w:r>
      <w:r w:rsidRPr="00DC2EB3">
        <w:t>2</w:t>
      </w:r>
      <w:bookmarkEnd w:id="182"/>
      <w:bookmarkEnd w:id="183"/>
      <w:r w:rsidR="00D36F5B">
        <w:t xml:space="preserve">: </w:t>
      </w:r>
      <w:r w:rsidR="00D36F5B" w:rsidRPr="00D36F5B">
        <w:rPr>
          <w:b w:val="0"/>
          <w:bCs w:val="0"/>
        </w:rPr>
        <w:t>Exportation-process, strategies and challenges</w:t>
      </w:r>
    </w:p>
    <w:p w14:paraId="0A03F391" w14:textId="77777777" w:rsidR="00D06CBA" w:rsidRDefault="00D06CBA" w:rsidP="00483AF1">
      <w:pPr>
        <w:spacing w:line="360" w:lineRule="auto"/>
        <w:jc w:val="both"/>
        <w:rPr>
          <w:rFonts w:asciiTheme="majorBidi" w:hAnsiTheme="majorBidi" w:cstheme="majorBidi"/>
          <w:b/>
          <w:bCs/>
          <w:sz w:val="96"/>
          <w:szCs w:val="96"/>
          <w:lang w:val="en-GB"/>
        </w:rPr>
      </w:pPr>
      <w:bookmarkStart w:id="184" w:name="_Hlk198567756"/>
      <w:bookmarkEnd w:id="184"/>
    </w:p>
    <w:p w14:paraId="5286A9EF" w14:textId="77777777" w:rsidR="00D06CBA" w:rsidRDefault="00D06CBA" w:rsidP="00483AF1">
      <w:pPr>
        <w:spacing w:line="360" w:lineRule="auto"/>
        <w:jc w:val="both"/>
        <w:rPr>
          <w:rFonts w:asciiTheme="majorBidi" w:hAnsiTheme="majorBidi" w:cstheme="majorBidi"/>
          <w:b/>
          <w:bCs/>
          <w:sz w:val="24"/>
          <w:szCs w:val="24"/>
          <w:lang w:val="en-GB"/>
        </w:rPr>
      </w:pPr>
    </w:p>
    <w:p w14:paraId="19BE21C0" w14:textId="77777777" w:rsidR="00D06CBA" w:rsidRPr="00D06CBA" w:rsidRDefault="00D06CBA" w:rsidP="00483AF1">
      <w:pPr>
        <w:spacing w:line="360" w:lineRule="auto"/>
        <w:jc w:val="both"/>
        <w:rPr>
          <w:rFonts w:asciiTheme="majorBidi" w:hAnsiTheme="majorBidi" w:cstheme="majorBidi"/>
          <w:b/>
          <w:bCs/>
          <w:sz w:val="24"/>
          <w:szCs w:val="24"/>
          <w:lang w:val="en-GB"/>
        </w:rPr>
      </w:pPr>
    </w:p>
    <w:p w14:paraId="2BCA791E" w14:textId="77777777" w:rsidR="007D54BC" w:rsidRDefault="007D54BC" w:rsidP="00483AF1">
      <w:pPr>
        <w:spacing w:line="360" w:lineRule="auto"/>
        <w:jc w:val="both"/>
        <w:rPr>
          <w:rFonts w:asciiTheme="majorBidi" w:hAnsiTheme="majorBidi" w:cstheme="majorBidi"/>
          <w:b/>
          <w:bCs/>
          <w:sz w:val="24"/>
          <w:szCs w:val="24"/>
          <w:lang w:val="en-GB"/>
        </w:rPr>
        <w:sectPr w:rsidR="007D54BC">
          <w:headerReference w:type="default" r:id="rId21"/>
          <w:footerReference w:type="default" r:id="rId22"/>
          <w:pgSz w:w="11906" w:h="16838"/>
          <w:pgMar w:top="1417" w:right="1417" w:bottom="1417" w:left="1417" w:header="708" w:footer="708" w:gutter="0"/>
          <w:cols w:space="708"/>
          <w:docGrid w:linePitch="360"/>
        </w:sectPr>
      </w:pPr>
    </w:p>
    <w:p w14:paraId="30385950" w14:textId="0A77AA3C" w:rsidR="0077354A" w:rsidRPr="00D04FDF" w:rsidRDefault="0077354A" w:rsidP="00AE36DE">
      <w:pPr>
        <w:pStyle w:val="Heading2"/>
      </w:pPr>
      <w:bookmarkStart w:id="185" w:name="_Toc200720021"/>
      <w:bookmarkStart w:id="186" w:name="_Toc200721662"/>
      <w:r w:rsidRPr="00D04FDF">
        <w:t>Introduction:</w:t>
      </w:r>
      <w:bookmarkEnd w:id="185"/>
      <w:bookmarkEnd w:id="186"/>
    </w:p>
    <w:p w14:paraId="7CC72275" w14:textId="08CA28BB" w:rsidR="0077354A" w:rsidRPr="00D04FDF" w:rsidRDefault="000805CE" w:rsidP="00483AF1">
      <w:pPr>
        <w:spacing w:line="360" w:lineRule="auto"/>
        <w:jc w:val="both"/>
        <w:rPr>
          <w:rFonts w:asciiTheme="majorBidi" w:hAnsiTheme="majorBidi" w:cstheme="majorBidi"/>
          <w:b/>
          <w:bCs/>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In an increasingly globalized economy, the ability of domestic producers to access foreign markets is both a strategic necessity and a significant growth opportunity. Exportation serves as a vital engine for economic development, enabling businesses to diversify their markets, increase competitiveness, and benefit from economies of scale. This chapter delves into the essential mechanisms and strategic considerations involved in exporting products across borders. The first section presents a general overview of exportation within the context of international trade, exploring its role, main actors, and the regulatory frameworks that shape trade flows. The second section outlines the practical steps involved in the export process, including legal, regulatory, and procedural aspects. Finally, the chapter concludes with an in-depth analysis of the challenges encountered when entering a foreign market, such as cultural differences, competitive pressures, and financial constraints. Understanding these elements is crucial for evaluating how global events, such as consumer-driven boycotts, can open new pathways for local products to thrive in alternative markets.</w:t>
      </w:r>
    </w:p>
    <w:p w14:paraId="7E81DEE2"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57507205"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443315A3"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76D1F6A9"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6FF0B989"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010ABEA0"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143FAB5D"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699DBAD8"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6315CE51"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5698D37D"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3FF648FD"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665ADEEF"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47276C89"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2FF92A5A" w14:textId="77777777" w:rsidR="0077354A" w:rsidRDefault="0077354A" w:rsidP="00AE36DE">
      <w:pPr>
        <w:pStyle w:val="Heading2"/>
      </w:pPr>
      <w:bookmarkStart w:id="187" w:name="_Toc200720022"/>
      <w:bookmarkStart w:id="188" w:name="_Toc200721663"/>
      <w:bookmarkStart w:id="189" w:name="_Hlk198556842"/>
      <w:r w:rsidRPr="009451ED">
        <w:t>Section01: overview of international trade exportation</w:t>
      </w:r>
      <w:bookmarkEnd w:id="187"/>
      <w:bookmarkEnd w:id="188"/>
      <w:r w:rsidRPr="009451ED">
        <w:t xml:space="preserve"> </w:t>
      </w:r>
    </w:p>
    <w:p w14:paraId="1A072305" w14:textId="7C8E0959" w:rsidR="004E4A53" w:rsidRPr="004E4A53" w:rsidRDefault="004E4A53" w:rsidP="00483AF1">
      <w:pPr>
        <w:spacing w:line="360" w:lineRule="auto"/>
        <w:jc w:val="both"/>
        <w:rPr>
          <w:rFonts w:asciiTheme="majorBidi" w:hAnsiTheme="majorBidi" w:cstheme="majorBidi"/>
          <w:b/>
          <w:bCs/>
          <w:sz w:val="28"/>
          <w:szCs w:val="28"/>
          <w:lang w:val="en-GB"/>
        </w:rPr>
      </w:pPr>
      <w:r w:rsidRPr="004E4A53">
        <w:rPr>
          <w:rFonts w:asciiTheme="majorBidi" w:hAnsiTheme="majorBidi" w:cstheme="majorBidi"/>
          <w:sz w:val="24"/>
          <w:szCs w:val="24"/>
          <w:lang w:val="en-GB"/>
        </w:rPr>
        <w:t>This section provides a general overview of international trade with a focus on exportation. It defines the concept, highlights its importance in the global economy, identifies the key actors involved, and examines trade agreements and policies shaping Algeria–Turkey export relations.</w:t>
      </w:r>
    </w:p>
    <w:p w14:paraId="04DA84C2" w14:textId="5C1C86E7" w:rsidR="0077354A" w:rsidRPr="007C3AF7" w:rsidRDefault="0077354A" w:rsidP="007C3AF7">
      <w:pPr>
        <w:pStyle w:val="ListParagraph"/>
        <w:numPr>
          <w:ilvl w:val="1"/>
          <w:numId w:val="16"/>
        </w:numPr>
        <w:spacing w:line="360" w:lineRule="auto"/>
        <w:jc w:val="both"/>
        <w:rPr>
          <w:rStyle w:val="16"/>
          <w:rFonts w:asciiTheme="majorBidi" w:eastAsia="Calibri" w:hAnsiTheme="majorBidi" w:cstheme="majorBidi"/>
          <w:sz w:val="24"/>
          <w:szCs w:val="24"/>
          <w:lang w:val="en-GB"/>
        </w:rPr>
      </w:pPr>
      <w:bookmarkStart w:id="190" w:name="_Hlk198556888"/>
      <w:bookmarkEnd w:id="189"/>
      <w:r w:rsidRPr="00AE36DE">
        <w:rPr>
          <w:rStyle w:val="Heading3Char"/>
        </w:rPr>
        <w:t xml:space="preserve"> </w:t>
      </w:r>
      <w:bookmarkStart w:id="191" w:name="_Toc200720023"/>
      <w:bookmarkStart w:id="192" w:name="_Toc200721664"/>
      <w:r w:rsidRPr="00AE36DE">
        <w:rPr>
          <w:rStyle w:val="Heading3Char"/>
        </w:rPr>
        <w:t>Definition and importance of exportation in global trad</w:t>
      </w:r>
      <w:bookmarkEnd w:id="191"/>
      <w:bookmarkEnd w:id="192"/>
      <w:r w:rsidRPr="007C3AF7">
        <w:rPr>
          <w:rStyle w:val="16"/>
          <w:rFonts w:asciiTheme="majorBidi" w:eastAsia="Calibri" w:hAnsiTheme="majorBidi" w:cstheme="majorBidi"/>
          <w:sz w:val="24"/>
          <w:szCs w:val="24"/>
          <w:lang w:val="en-GB"/>
        </w:rPr>
        <w:t>e</w:t>
      </w:r>
    </w:p>
    <w:bookmarkEnd w:id="190"/>
    <w:p w14:paraId="4E23B395" w14:textId="522DBFA0" w:rsidR="0077354A" w:rsidRPr="007C3AF7" w:rsidRDefault="007C3AF7" w:rsidP="00413B73">
      <w:pPr>
        <w:pStyle w:val="ListParagraph"/>
        <w:numPr>
          <w:ilvl w:val="1"/>
          <w:numId w:val="93"/>
        </w:numPr>
        <w:spacing w:line="360" w:lineRule="auto"/>
        <w:jc w:val="both"/>
        <w:rPr>
          <w:rStyle w:val="16"/>
          <w:rFonts w:asciiTheme="majorBidi" w:eastAsia="Calibri" w:hAnsiTheme="majorBidi" w:cstheme="majorBidi"/>
          <w:sz w:val="24"/>
          <w:szCs w:val="24"/>
          <w:lang w:val="en-GB"/>
        </w:rPr>
      </w:pPr>
      <w:r>
        <w:rPr>
          <w:rStyle w:val="16"/>
          <w:rFonts w:asciiTheme="majorBidi" w:eastAsia="Calibri" w:hAnsiTheme="majorBidi" w:cstheme="majorBidi"/>
          <w:sz w:val="24"/>
          <w:szCs w:val="24"/>
          <w:lang w:val="en-GB"/>
        </w:rPr>
        <w:t xml:space="preserve"> </w:t>
      </w:r>
      <w:bookmarkStart w:id="193" w:name="_Toc200720024"/>
      <w:bookmarkStart w:id="194" w:name="_Toc200721665"/>
      <w:r w:rsidR="0077354A" w:rsidRPr="00AE36DE">
        <w:rPr>
          <w:rStyle w:val="Heading4Char"/>
        </w:rPr>
        <w:t>Definition of exportatio</w:t>
      </w:r>
      <w:bookmarkEnd w:id="193"/>
      <w:bookmarkEnd w:id="194"/>
      <w:r w:rsidR="0077354A" w:rsidRPr="007C3AF7">
        <w:rPr>
          <w:rStyle w:val="16"/>
          <w:rFonts w:asciiTheme="majorBidi" w:eastAsia="Calibri" w:hAnsiTheme="majorBidi" w:cstheme="majorBidi"/>
          <w:sz w:val="24"/>
          <w:szCs w:val="24"/>
          <w:lang w:val="en-GB"/>
        </w:rPr>
        <w:t xml:space="preserve">n </w:t>
      </w:r>
    </w:p>
    <w:p w14:paraId="4AAD424E" w14:textId="77777777" w:rsidR="0077354A" w:rsidRPr="00D04FDF" w:rsidRDefault="0077354A" w:rsidP="00483AF1">
      <w:pPr>
        <w:spacing w:line="360" w:lineRule="auto"/>
        <w:jc w:val="both"/>
        <w:rPr>
          <w:rStyle w:val="16"/>
          <w:rFonts w:asciiTheme="majorBidi" w:eastAsia="Calibri" w:hAnsiTheme="majorBidi" w:cstheme="majorBidi"/>
          <w:sz w:val="24"/>
          <w:szCs w:val="24"/>
          <w:lang w:val="en-GB"/>
        </w:rPr>
      </w:pPr>
      <w:r w:rsidRPr="00D04FDF">
        <w:rPr>
          <w:rStyle w:val="16"/>
          <w:rFonts w:asciiTheme="majorBidi" w:eastAsia="Calibri" w:hAnsiTheme="majorBidi" w:cstheme="majorBidi"/>
          <w:sz w:val="24"/>
          <w:szCs w:val="24"/>
          <w:lang w:val="en-GB"/>
        </w:rPr>
        <w:t>Merriam-Webster Dictionary</w:t>
      </w:r>
    </w:p>
    <w:p w14:paraId="73D588BE" w14:textId="77777777" w:rsidR="0077354A" w:rsidRPr="00D04FDF" w:rsidRDefault="0077354A" w:rsidP="00483AF1">
      <w:pPr>
        <w:spacing w:line="360" w:lineRule="auto"/>
        <w:jc w:val="both"/>
        <w:rPr>
          <w:rStyle w:val="16"/>
          <w:rFonts w:asciiTheme="majorBidi" w:eastAsia="Calibri" w:hAnsiTheme="majorBidi" w:cstheme="majorBidi"/>
          <w:b w:val="0"/>
          <w:bCs w:val="0"/>
          <w:sz w:val="24"/>
          <w:szCs w:val="24"/>
          <w:lang w:val="en-GB"/>
        </w:rPr>
      </w:pPr>
      <w:r w:rsidRPr="00D04FDF">
        <w:rPr>
          <w:rStyle w:val="16"/>
          <w:rFonts w:asciiTheme="majorBidi" w:eastAsia="Calibri" w:hAnsiTheme="majorBidi" w:cstheme="majorBidi"/>
          <w:sz w:val="24"/>
          <w:szCs w:val="24"/>
          <w:lang w:val="en-GB"/>
        </w:rPr>
        <w:t>Exportation (noun):</w:t>
      </w:r>
    </w:p>
    <w:p w14:paraId="61EBDC21" w14:textId="77777777"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of exporting;»</w:t>
      </w:r>
    </w:p>
    <w:p w14:paraId="3068C89D" w14:textId="77777777"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«Something exported.»</w:t>
      </w:r>
    </w:p>
    <w:p w14:paraId="3EE4F4B8" w14:textId="79719714"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of sending goods or services to another country for sale.»</w:t>
      </w:r>
      <w:r w:rsidRPr="003E5389">
        <w:rPr>
          <w:rStyle w:val="FootnoteReference"/>
          <w:rFonts w:asciiTheme="majorBidi" w:eastAsia="Calibri" w:hAnsiTheme="majorBidi" w:cstheme="majorBidi"/>
          <w:b/>
          <w:bCs/>
          <w:sz w:val="24"/>
          <w:szCs w:val="24"/>
          <w:lang w:val="en-GB"/>
        </w:rPr>
        <w:footnoteReference w:id="64"/>
      </w:r>
      <w:r w:rsidR="00BB5D76">
        <w:rPr>
          <w:rStyle w:val="16"/>
          <w:rFonts w:asciiTheme="majorBidi" w:eastAsia="Calibri" w:hAnsiTheme="majorBidi" w:cstheme="majorBidi"/>
          <w:b w:val="0"/>
          <w:bCs w:val="0"/>
          <w:sz w:val="24"/>
          <w:szCs w:val="24"/>
          <w:lang w:val="en-GB"/>
        </w:rPr>
        <w:t>.</w:t>
      </w:r>
    </w:p>
    <w:p w14:paraId="708D0DD5" w14:textId="77777777" w:rsidR="0077354A" w:rsidRPr="00D04FDF" w:rsidRDefault="0077354A" w:rsidP="00483AF1">
      <w:pPr>
        <w:spacing w:line="360" w:lineRule="auto"/>
        <w:jc w:val="both"/>
        <w:rPr>
          <w:rStyle w:val="16"/>
          <w:rFonts w:asciiTheme="majorBidi" w:eastAsia="Calibri" w:hAnsiTheme="majorBidi" w:cstheme="majorBidi"/>
          <w:sz w:val="24"/>
          <w:szCs w:val="24"/>
          <w:lang w:val="en-GB"/>
        </w:rPr>
      </w:pPr>
      <w:r w:rsidRPr="00D04FDF">
        <w:rPr>
          <w:rStyle w:val="16"/>
          <w:rFonts w:asciiTheme="majorBidi" w:eastAsia="Calibri" w:hAnsiTheme="majorBidi" w:cstheme="majorBidi"/>
          <w:sz w:val="24"/>
          <w:szCs w:val="24"/>
          <w:lang w:val="en-GB"/>
        </w:rPr>
        <w:t>Cambridge Dictionary</w:t>
      </w:r>
    </w:p>
    <w:p w14:paraId="6E58A028" w14:textId="77777777" w:rsidR="0077354A" w:rsidRPr="00D04FDF" w:rsidRDefault="0077354A" w:rsidP="00483AF1">
      <w:pPr>
        <w:spacing w:line="360" w:lineRule="auto"/>
        <w:jc w:val="both"/>
        <w:rPr>
          <w:rStyle w:val="16"/>
          <w:rFonts w:asciiTheme="majorBidi" w:eastAsia="Calibri" w:hAnsiTheme="majorBidi" w:cstheme="majorBidi"/>
          <w:b w:val="0"/>
          <w:bCs w:val="0"/>
          <w:sz w:val="24"/>
          <w:szCs w:val="24"/>
          <w:lang w:val="en-GB"/>
        </w:rPr>
      </w:pPr>
      <w:r w:rsidRPr="00D04FDF">
        <w:rPr>
          <w:rStyle w:val="16"/>
          <w:rFonts w:asciiTheme="majorBidi" w:eastAsia="Calibri" w:hAnsiTheme="majorBidi" w:cstheme="majorBidi"/>
          <w:sz w:val="24"/>
          <w:szCs w:val="24"/>
          <w:lang w:val="en-GB"/>
        </w:rPr>
        <w:t>Exportation (noun):</w:t>
      </w:r>
    </w:p>
    <w:p w14:paraId="5905216E" w14:textId="2F23F4AE"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of sending goods to another country for sale.</w:t>
      </w:r>
      <w:r w:rsidR="00BB5D76">
        <w:rPr>
          <w:rStyle w:val="16"/>
          <w:rFonts w:asciiTheme="majorBidi" w:eastAsia="Calibri" w:hAnsiTheme="majorBidi" w:cstheme="majorBidi"/>
          <w:b w:val="0"/>
          <w:bCs w:val="0"/>
          <w:sz w:val="24"/>
          <w:szCs w:val="24"/>
          <w:lang w:val="en-GB"/>
        </w:rPr>
        <w:t xml:space="preserve"> </w:t>
      </w:r>
      <w:r w:rsidRPr="003E5389">
        <w:rPr>
          <w:rStyle w:val="16"/>
          <w:rFonts w:asciiTheme="majorBidi" w:eastAsia="Calibri" w:hAnsiTheme="majorBidi" w:cstheme="majorBidi"/>
          <w:b w:val="0"/>
          <w:bCs w:val="0"/>
          <w:sz w:val="24"/>
          <w:szCs w:val="24"/>
          <w:lang w:val="en-GB"/>
        </w:rPr>
        <w:t>»</w:t>
      </w:r>
    </w:p>
    <w:p w14:paraId="34E05F64" w14:textId="56611831"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«Exportation of rice has increased this year.</w:t>
      </w:r>
      <w:r w:rsidR="00BB5D76">
        <w:rPr>
          <w:rStyle w:val="16"/>
          <w:rFonts w:asciiTheme="majorBidi" w:eastAsia="Calibri" w:hAnsiTheme="majorBidi" w:cstheme="majorBidi"/>
          <w:b w:val="0"/>
          <w:bCs w:val="0"/>
          <w:sz w:val="24"/>
          <w:szCs w:val="24"/>
          <w:lang w:val="en-GB"/>
        </w:rPr>
        <w:t xml:space="preserve"> </w:t>
      </w:r>
      <w:r w:rsidRPr="003E5389">
        <w:rPr>
          <w:rStyle w:val="16"/>
          <w:rFonts w:asciiTheme="majorBidi" w:eastAsia="Calibri" w:hAnsiTheme="majorBidi" w:cstheme="majorBidi"/>
          <w:b w:val="0"/>
          <w:bCs w:val="0"/>
          <w:sz w:val="24"/>
          <w:szCs w:val="24"/>
          <w:lang w:val="en-GB"/>
        </w:rPr>
        <w:t>»</w:t>
      </w:r>
      <w:r w:rsidRPr="003E5389">
        <w:rPr>
          <w:rStyle w:val="FootnoteReference"/>
          <w:rFonts w:asciiTheme="majorBidi" w:eastAsia="Calibri" w:hAnsiTheme="majorBidi" w:cstheme="majorBidi"/>
          <w:b/>
          <w:bCs/>
          <w:sz w:val="24"/>
          <w:szCs w:val="24"/>
          <w:lang w:val="en-GB"/>
        </w:rPr>
        <w:footnoteReference w:id="65"/>
      </w:r>
      <w:r w:rsidR="00BB5D76">
        <w:rPr>
          <w:rStyle w:val="16"/>
          <w:rFonts w:asciiTheme="majorBidi" w:eastAsia="Calibri" w:hAnsiTheme="majorBidi" w:cstheme="majorBidi"/>
          <w:b w:val="0"/>
          <w:bCs w:val="0"/>
          <w:sz w:val="24"/>
          <w:szCs w:val="24"/>
          <w:lang w:val="en-GB"/>
        </w:rPr>
        <w:t>.</w:t>
      </w:r>
    </w:p>
    <w:p w14:paraId="1EB83E6C" w14:textId="77777777" w:rsidR="0077354A" w:rsidRPr="00D04FDF" w:rsidRDefault="0077354A" w:rsidP="00483AF1">
      <w:pPr>
        <w:spacing w:line="360" w:lineRule="auto"/>
        <w:jc w:val="both"/>
        <w:rPr>
          <w:rStyle w:val="16"/>
          <w:rFonts w:asciiTheme="majorBidi" w:eastAsia="Calibri" w:hAnsiTheme="majorBidi" w:cstheme="majorBidi"/>
          <w:sz w:val="24"/>
          <w:szCs w:val="24"/>
          <w:lang w:val="en-GB"/>
        </w:rPr>
      </w:pPr>
      <w:r w:rsidRPr="00D04FDF">
        <w:rPr>
          <w:rStyle w:val="16"/>
          <w:rFonts w:asciiTheme="majorBidi" w:eastAsia="Calibri" w:hAnsiTheme="majorBidi" w:cstheme="majorBidi"/>
          <w:sz w:val="24"/>
          <w:szCs w:val="24"/>
          <w:lang w:val="en-GB"/>
        </w:rPr>
        <w:t>Oxford Learner’s Dictionary</w:t>
      </w:r>
    </w:p>
    <w:p w14:paraId="1D3F6677" w14:textId="77777777" w:rsidR="0077354A" w:rsidRPr="00D04FDF" w:rsidRDefault="0077354A" w:rsidP="00483AF1">
      <w:pPr>
        <w:spacing w:line="360" w:lineRule="auto"/>
        <w:jc w:val="both"/>
        <w:rPr>
          <w:rStyle w:val="16"/>
          <w:rFonts w:asciiTheme="majorBidi" w:eastAsia="Calibri" w:hAnsiTheme="majorBidi" w:cstheme="majorBidi"/>
          <w:b w:val="0"/>
          <w:bCs w:val="0"/>
          <w:sz w:val="24"/>
          <w:szCs w:val="24"/>
          <w:lang w:val="en-GB"/>
        </w:rPr>
      </w:pPr>
      <w:r w:rsidRPr="00D04FDF">
        <w:rPr>
          <w:rStyle w:val="16"/>
          <w:rFonts w:asciiTheme="majorBidi" w:eastAsia="Calibri" w:hAnsiTheme="majorBidi" w:cstheme="majorBidi"/>
          <w:sz w:val="24"/>
          <w:szCs w:val="24"/>
          <w:lang w:val="en-GB"/>
        </w:rPr>
        <w:t>Exportation (noun):</w:t>
      </w:r>
    </w:p>
    <w:p w14:paraId="244AA3AC" w14:textId="3D4EE032"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of selling and sending goods to another country</w:t>
      </w:r>
      <w:r w:rsidR="00BB5D76">
        <w:rPr>
          <w:rStyle w:val="16"/>
          <w:rFonts w:asciiTheme="majorBidi" w:eastAsia="Calibri" w:hAnsiTheme="majorBidi" w:cstheme="majorBidi"/>
          <w:b w:val="0"/>
          <w:bCs w:val="0"/>
          <w:sz w:val="24"/>
          <w:szCs w:val="24"/>
          <w:lang w:val="en-GB"/>
        </w:rPr>
        <w:t xml:space="preserve">. </w:t>
      </w:r>
      <w:r w:rsidRPr="003E5389">
        <w:rPr>
          <w:rStyle w:val="16"/>
          <w:rFonts w:asciiTheme="majorBidi" w:eastAsia="Calibri" w:hAnsiTheme="majorBidi" w:cstheme="majorBidi"/>
          <w:b w:val="0"/>
          <w:bCs w:val="0"/>
          <w:sz w:val="24"/>
          <w:szCs w:val="24"/>
          <w:lang w:val="en-GB"/>
        </w:rPr>
        <w:t>»</w:t>
      </w:r>
    </w:p>
    <w:p w14:paraId="5E75B90D" w14:textId="15FBBD7A"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government encourages the exportation of agricultural products.</w:t>
      </w:r>
      <w:r w:rsidR="00BB5D76">
        <w:rPr>
          <w:rStyle w:val="16"/>
          <w:rFonts w:asciiTheme="majorBidi" w:eastAsia="Calibri" w:hAnsiTheme="majorBidi" w:cstheme="majorBidi"/>
          <w:b w:val="0"/>
          <w:bCs w:val="0"/>
          <w:sz w:val="24"/>
          <w:szCs w:val="24"/>
          <w:lang w:val="en-GB"/>
        </w:rPr>
        <w:t xml:space="preserve"> </w:t>
      </w:r>
      <w:r w:rsidRPr="003E5389">
        <w:rPr>
          <w:rStyle w:val="16"/>
          <w:rFonts w:asciiTheme="majorBidi" w:eastAsia="Calibri" w:hAnsiTheme="majorBidi" w:cstheme="majorBidi"/>
          <w:b w:val="0"/>
          <w:bCs w:val="0"/>
          <w:sz w:val="24"/>
          <w:szCs w:val="24"/>
          <w:lang w:val="en-GB"/>
        </w:rPr>
        <w:t>»</w:t>
      </w:r>
      <w:r w:rsidRPr="003E5389">
        <w:rPr>
          <w:rStyle w:val="FootnoteReference"/>
          <w:rFonts w:asciiTheme="majorBidi" w:eastAsia="Calibri" w:hAnsiTheme="majorBidi" w:cstheme="majorBidi"/>
          <w:b/>
          <w:bCs/>
          <w:sz w:val="24"/>
          <w:szCs w:val="24"/>
          <w:lang w:val="en-GB"/>
        </w:rPr>
        <w:footnoteReference w:id="66"/>
      </w:r>
      <w:r w:rsidR="00BB5D76">
        <w:rPr>
          <w:rStyle w:val="16"/>
          <w:rFonts w:asciiTheme="majorBidi" w:eastAsia="Calibri" w:hAnsiTheme="majorBidi" w:cstheme="majorBidi"/>
          <w:b w:val="0"/>
          <w:bCs w:val="0"/>
          <w:sz w:val="24"/>
          <w:szCs w:val="24"/>
          <w:lang w:val="en-GB"/>
        </w:rPr>
        <w:t>.</w:t>
      </w:r>
    </w:p>
    <w:p w14:paraId="65491112" w14:textId="77777777" w:rsidR="0077354A" w:rsidRPr="00D04FDF" w:rsidRDefault="0077354A" w:rsidP="00483AF1">
      <w:pPr>
        <w:spacing w:line="360" w:lineRule="auto"/>
        <w:jc w:val="both"/>
        <w:rPr>
          <w:rStyle w:val="16"/>
          <w:rFonts w:asciiTheme="majorBidi" w:eastAsia="Calibri" w:hAnsiTheme="majorBidi" w:cstheme="majorBidi"/>
          <w:sz w:val="24"/>
          <w:szCs w:val="24"/>
          <w:lang w:val="en-GB"/>
        </w:rPr>
      </w:pPr>
      <w:r w:rsidRPr="00D04FDF">
        <w:rPr>
          <w:rStyle w:val="16"/>
          <w:rFonts w:asciiTheme="majorBidi" w:eastAsia="Calibri" w:hAnsiTheme="majorBidi" w:cstheme="majorBidi"/>
          <w:sz w:val="24"/>
          <w:szCs w:val="24"/>
          <w:lang w:val="en-GB"/>
        </w:rPr>
        <w:t>Collins English Dictionary</w:t>
      </w:r>
    </w:p>
    <w:p w14:paraId="3F20C837" w14:textId="77777777" w:rsidR="0077354A" w:rsidRPr="00D04FDF" w:rsidRDefault="0077354A" w:rsidP="00483AF1">
      <w:pPr>
        <w:spacing w:line="360" w:lineRule="auto"/>
        <w:jc w:val="both"/>
        <w:rPr>
          <w:rStyle w:val="16"/>
          <w:rFonts w:asciiTheme="majorBidi" w:eastAsia="Calibri" w:hAnsiTheme="majorBidi" w:cstheme="majorBidi"/>
          <w:b w:val="0"/>
          <w:bCs w:val="0"/>
          <w:sz w:val="24"/>
          <w:szCs w:val="24"/>
          <w:lang w:val="en-GB"/>
        </w:rPr>
      </w:pPr>
      <w:r w:rsidRPr="00D04FDF">
        <w:rPr>
          <w:rStyle w:val="16"/>
          <w:rFonts w:asciiTheme="majorBidi" w:eastAsia="Calibri" w:hAnsiTheme="majorBidi" w:cstheme="majorBidi"/>
          <w:sz w:val="24"/>
          <w:szCs w:val="24"/>
          <w:lang w:val="en-GB"/>
        </w:rPr>
        <w:t>Exportation (noun):</w:t>
      </w:r>
    </w:p>
    <w:p w14:paraId="67ADB64D" w14:textId="77777777"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or process of exporting goods or services to another country.»</w:t>
      </w:r>
    </w:p>
    <w:p w14:paraId="0E379D63" w14:textId="65E9F1E1"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«Exportation of minerals is key to the country’s economy.»</w:t>
      </w:r>
      <w:r w:rsidRPr="003E5389">
        <w:rPr>
          <w:rStyle w:val="FootnoteReference"/>
          <w:rFonts w:asciiTheme="majorBidi" w:eastAsia="Calibri" w:hAnsiTheme="majorBidi" w:cstheme="majorBidi"/>
          <w:b/>
          <w:bCs/>
          <w:sz w:val="24"/>
          <w:szCs w:val="24"/>
          <w:lang w:val="en-GB"/>
        </w:rPr>
        <w:footnoteReference w:id="67"/>
      </w:r>
      <w:r w:rsidR="00BB5D76">
        <w:rPr>
          <w:rStyle w:val="16"/>
          <w:rFonts w:asciiTheme="majorBidi" w:eastAsia="Calibri" w:hAnsiTheme="majorBidi" w:cstheme="majorBidi"/>
          <w:b w:val="0"/>
          <w:bCs w:val="0"/>
          <w:sz w:val="24"/>
          <w:szCs w:val="24"/>
          <w:lang w:val="en-GB"/>
        </w:rPr>
        <w:t>.</w:t>
      </w:r>
    </w:p>
    <w:p w14:paraId="069DAAA5" w14:textId="77777777" w:rsidR="0077354A" w:rsidRPr="00D04FDF" w:rsidRDefault="0077354A" w:rsidP="00483AF1">
      <w:pPr>
        <w:spacing w:line="360" w:lineRule="auto"/>
        <w:jc w:val="both"/>
        <w:rPr>
          <w:rStyle w:val="16"/>
          <w:rFonts w:asciiTheme="majorBidi" w:eastAsia="Calibri" w:hAnsiTheme="majorBidi" w:cstheme="majorBidi"/>
          <w:sz w:val="24"/>
          <w:szCs w:val="24"/>
          <w:lang w:val="en-GB"/>
        </w:rPr>
      </w:pPr>
      <w:r w:rsidRPr="00D04FDF">
        <w:rPr>
          <w:rStyle w:val="16"/>
          <w:rFonts w:asciiTheme="majorBidi" w:eastAsia="Calibri" w:hAnsiTheme="majorBidi" w:cstheme="majorBidi"/>
          <w:sz w:val="24"/>
          <w:szCs w:val="24"/>
          <w:lang w:val="en-GB"/>
        </w:rPr>
        <w:t>Dictionary.com</w:t>
      </w:r>
    </w:p>
    <w:p w14:paraId="69A840F3" w14:textId="77777777" w:rsidR="0077354A" w:rsidRPr="00D04FDF" w:rsidRDefault="0077354A" w:rsidP="00483AF1">
      <w:pPr>
        <w:spacing w:line="360" w:lineRule="auto"/>
        <w:jc w:val="both"/>
        <w:rPr>
          <w:rStyle w:val="16"/>
          <w:rFonts w:asciiTheme="majorBidi" w:eastAsia="Calibri" w:hAnsiTheme="majorBidi" w:cstheme="majorBidi"/>
          <w:b w:val="0"/>
          <w:bCs w:val="0"/>
          <w:sz w:val="24"/>
          <w:szCs w:val="24"/>
          <w:lang w:val="en-GB"/>
        </w:rPr>
      </w:pPr>
      <w:r w:rsidRPr="00D04FDF">
        <w:rPr>
          <w:rStyle w:val="16"/>
          <w:rFonts w:asciiTheme="majorBidi" w:eastAsia="Calibri" w:hAnsiTheme="majorBidi" w:cstheme="majorBidi"/>
          <w:sz w:val="24"/>
          <w:szCs w:val="24"/>
          <w:lang w:val="en-GB"/>
        </w:rPr>
        <w:t>Exportation (noun):</w:t>
      </w:r>
    </w:p>
    <w:p w14:paraId="76D08F47" w14:textId="77777777"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act of exporting; the sending of commodities out of a country, typically for trade or sale.»</w:t>
      </w:r>
    </w:p>
    <w:p w14:paraId="3A15914D" w14:textId="5AF13C06" w:rsidR="0077354A" w:rsidRPr="003E5389" w:rsidRDefault="0077354A" w:rsidP="00483AF1">
      <w:pPr>
        <w:spacing w:line="360" w:lineRule="auto"/>
        <w:jc w:val="both"/>
        <w:rPr>
          <w:rStyle w:val="16"/>
          <w:rFonts w:asciiTheme="majorBidi" w:eastAsia="Calibri" w:hAnsiTheme="majorBidi" w:cstheme="majorBidi"/>
          <w:b w:val="0"/>
          <w:bCs w:val="0"/>
          <w:sz w:val="24"/>
          <w:szCs w:val="24"/>
          <w:lang w:val="en-GB"/>
        </w:rPr>
      </w:pPr>
      <w:r w:rsidRPr="003E5389">
        <w:rPr>
          <w:rStyle w:val="16"/>
          <w:rFonts w:asciiTheme="majorBidi" w:eastAsia="Calibri" w:hAnsiTheme="majorBidi" w:cstheme="majorBidi"/>
          <w:b w:val="0"/>
          <w:bCs w:val="0"/>
          <w:sz w:val="24"/>
          <w:szCs w:val="24"/>
          <w:lang w:val="en-GB"/>
        </w:rPr>
        <w:t>«The country relies heavily on the exportation of oil.»</w:t>
      </w:r>
      <w:r w:rsidRPr="003E5389">
        <w:rPr>
          <w:rStyle w:val="FootnoteReference"/>
          <w:rFonts w:asciiTheme="majorBidi" w:eastAsia="Calibri" w:hAnsiTheme="majorBidi" w:cstheme="majorBidi"/>
          <w:b/>
          <w:bCs/>
          <w:sz w:val="24"/>
          <w:szCs w:val="24"/>
          <w:lang w:val="en-GB"/>
        </w:rPr>
        <w:footnoteReference w:id="68"/>
      </w:r>
      <w:r w:rsidR="00BB5D76">
        <w:rPr>
          <w:rStyle w:val="16"/>
          <w:rFonts w:asciiTheme="majorBidi" w:eastAsia="Calibri" w:hAnsiTheme="majorBidi" w:cstheme="majorBidi"/>
          <w:b w:val="0"/>
          <w:bCs w:val="0"/>
          <w:sz w:val="24"/>
          <w:szCs w:val="24"/>
          <w:lang w:val="en-GB"/>
        </w:rPr>
        <w:t>.</w:t>
      </w:r>
    </w:p>
    <w:p w14:paraId="68741036" w14:textId="491CC562"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Exports refer to the goods and services manufactured within a country and then sold to consumers or businesses located abroad. Together with imports, they form the foundation of international trade. Rather than limiting economic activities to domestic boundaries, nations actively pursue global markets to expand their commercial reach, increase income, and take advantage of broader trade opportunities</w:t>
      </w:r>
      <w:r w:rsidR="0077354A" w:rsidRPr="00D04FDF">
        <w:rPr>
          <w:rStyle w:val="FootnoteReference"/>
          <w:rFonts w:asciiTheme="majorBidi" w:hAnsiTheme="majorBidi" w:cstheme="majorBidi"/>
          <w:sz w:val="24"/>
          <w:szCs w:val="24"/>
          <w:lang w:val="en-GB"/>
        </w:rPr>
        <w:footnoteReference w:id="69"/>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This general explanation introduces the concept of exports and highlights their role in the global economy.</w:t>
      </w:r>
    </w:p>
    <w:p w14:paraId="479ECE45" w14:textId="3C2FBB72"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To illustrate the scale of global export activity, in 2022, countries around the world exported about $31.34 trillion in goods, with China contributing $3.7 trillion, making it the top exporter</w:t>
      </w:r>
      <w:r w:rsidR="0077354A" w:rsidRPr="00D04FDF">
        <w:rPr>
          <w:rStyle w:val="FootnoteReference"/>
          <w:rFonts w:asciiTheme="majorBidi" w:hAnsiTheme="majorBidi" w:cstheme="majorBidi"/>
          <w:sz w:val="24"/>
          <w:szCs w:val="24"/>
          <w:lang w:val="en-GB"/>
        </w:rPr>
        <w:footnoteReference w:id="70"/>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This statistical context emphasizes the significance of exports in the current global economic landscape.</w:t>
      </w:r>
    </w:p>
    <w:p w14:paraId="325C0110" w14:textId="77777777" w:rsidR="0077354A" w:rsidRPr="00D04FDF" w:rsidRDefault="0077354A" w:rsidP="00483AF1">
      <w:pPr>
        <w:spacing w:line="360" w:lineRule="auto"/>
        <w:jc w:val="both"/>
        <w:rPr>
          <w:rFonts w:asciiTheme="majorBidi" w:hAnsiTheme="majorBidi" w:cstheme="majorBidi"/>
          <w:b/>
          <w:bCs/>
          <w:sz w:val="24"/>
          <w:szCs w:val="24"/>
          <w:lang w:val="en-GB"/>
        </w:rPr>
      </w:pPr>
    </w:p>
    <w:p w14:paraId="0EA18E0B" w14:textId="77777777" w:rsidR="0077354A" w:rsidRDefault="0077354A" w:rsidP="003F0D54">
      <w:pPr>
        <w:spacing w:line="360" w:lineRule="auto"/>
        <w:jc w:val="center"/>
        <w:rPr>
          <w:rFonts w:asciiTheme="majorBidi" w:hAnsiTheme="majorBidi" w:cstheme="majorBidi"/>
          <w:b/>
          <w:bCs/>
          <w:sz w:val="24"/>
          <w:szCs w:val="24"/>
          <w:lang w:val="en-GB"/>
        </w:rPr>
      </w:pPr>
    </w:p>
    <w:p w14:paraId="55CC105C" w14:textId="77777777" w:rsidR="00985712" w:rsidRDefault="00985712" w:rsidP="00C418C3">
      <w:pPr>
        <w:spacing w:line="360" w:lineRule="auto"/>
        <w:rPr>
          <w:rFonts w:asciiTheme="majorBidi" w:hAnsiTheme="majorBidi" w:cstheme="majorBidi"/>
          <w:b/>
          <w:bCs/>
          <w:sz w:val="24"/>
          <w:szCs w:val="24"/>
          <w:lang w:val="en-GB"/>
        </w:rPr>
      </w:pPr>
    </w:p>
    <w:p w14:paraId="1C285716" w14:textId="77777777" w:rsidR="0077354A" w:rsidRPr="00D04FDF" w:rsidRDefault="0077354A" w:rsidP="003F0D54">
      <w:pPr>
        <w:spacing w:line="360" w:lineRule="auto"/>
        <w:jc w:val="center"/>
        <w:rPr>
          <w:rFonts w:asciiTheme="majorBidi" w:hAnsiTheme="majorBidi" w:cstheme="majorBidi"/>
          <w:b/>
          <w:bCs/>
          <w:i/>
          <w:iCs/>
          <w:color w:val="000000" w:themeColor="text1"/>
          <w:sz w:val="24"/>
          <w:szCs w:val="24"/>
          <w:lang w:val="en-GB"/>
        </w:rPr>
      </w:pPr>
      <w:r w:rsidRPr="00D04FDF">
        <w:rPr>
          <w:rFonts w:asciiTheme="majorBidi" w:hAnsiTheme="majorBidi" w:cstheme="majorBidi"/>
          <w:b/>
          <w:bCs/>
          <w:sz w:val="24"/>
          <w:szCs w:val="24"/>
          <w:lang w:val="en-GB"/>
        </w:rPr>
        <w:t>Figure2:</w:t>
      </w:r>
      <w:r w:rsidRPr="00D04FDF">
        <w:rPr>
          <w:rStyle w:val="c"/>
          <w:rFonts w:asciiTheme="majorBidi" w:hAnsiTheme="majorBidi" w:cstheme="majorBidi"/>
          <w:bCs/>
          <w:color w:val="FF0000"/>
          <w:sz w:val="24"/>
          <w:szCs w:val="24"/>
          <w:lang w:val="en-GB"/>
        </w:rPr>
        <w:t xml:space="preserve"> </w:t>
      </w:r>
      <w:r w:rsidRPr="00D04FDF">
        <w:rPr>
          <w:rStyle w:val="c"/>
          <w:rFonts w:asciiTheme="majorBidi" w:hAnsiTheme="majorBidi" w:cstheme="majorBidi"/>
          <w:bCs/>
          <w:color w:val="000000" w:themeColor="text1"/>
          <w:sz w:val="24"/>
          <w:szCs w:val="24"/>
          <w:lang w:val="en-GB"/>
        </w:rPr>
        <w:t>Exports of goods and services (current US$)</w:t>
      </w:r>
    </w:p>
    <w:p w14:paraId="52A1A8DA" w14:textId="77777777" w:rsidR="0077354A" w:rsidRPr="00D04FDF" w:rsidRDefault="0077354A" w:rsidP="003F0D54">
      <w:pPr>
        <w:spacing w:line="360" w:lineRule="auto"/>
        <w:jc w:val="center"/>
        <w:rPr>
          <w:rFonts w:asciiTheme="majorBidi" w:hAnsiTheme="majorBidi" w:cstheme="majorBidi"/>
          <w:sz w:val="24"/>
          <w:szCs w:val="24"/>
          <w:lang w:val="en-GB"/>
        </w:rPr>
      </w:pPr>
      <w:r w:rsidRPr="00D04FDF">
        <w:rPr>
          <w:rFonts w:asciiTheme="majorBidi" w:hAnsiTheme="majorBidi" w:cstheme="majorBidi"/>
          <w:noProof/>
          <w:sz w:val="24"/>
          <w:szCs w:val="24"/>
          <w:lang w:val="en-GB"/>
        </w:rPr>
        <w:drawing>
          <wp:inline distT="0" distB="0" distL="0" distR="0" wp14:anchorId="4B913328" wp14:editId="1C645841">
            <wp:extent cx="3970020" cy="2762250"/>
            <wp:effectExtent l="133350" t="114300" r="144780" b="1714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013353" cy="2792359"/>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D7A670" w14:textId="428EE1CE" w:rsidR="0077354A" w:rsidRPr="00D04FDF" w:rsidRDefault="0077354A" w:rsidP="00BB5D76">
      <w:pPr>
        <w:spacing w:line="360" w:lineRule="auto"/>
        <w:jc w:val="center"/>
        <w:rPr>
          <w:rFonts w:asciiTheme="majorBidi" w:hAnsiTheme="majorBidi" w:cstheme="majorBidi"/>
          <w:color w:val="000000" w:themeColor="text1"/>
          <w:sz w:val="24"/>
          <w:szCs w:val="24"/>
          <w:lang w:val="en-GB"/>
        </w:rPr>
      </w:pPr>
      <w:r w:rsidRPr="00D04FDF">
        <w:rPr>
          <w:rFonts w:asciiTheme="majorBidi" w:hAnsiTheme="majorBidi" w:cstheme="majorBidi"/>
          <w:color w:val="000000" w:themeColor="text1"/>
          <w:sz w:val="24"/>
          <w:szCs w:val="24"/>
          <w:lang w:val="en-GB"/>
        </w:rPr>
        <w:t xml:space="preserve">Source: World Bank. (2025). </w:t>
      </w:r>
      <w:r w:rsidRPr="00D04FDF">
        <w:rPr>
          <w:rStyle w:val="c"/>
          <w:rFonts w:asciiTheme="majorBidi" w:hAnsiTheme="majorBidi" w:cstheme="majorBidi"/>
          <w:color w:val="000000" w:themeColor="text1"/>
          <w:sz w:val="24"/>
          <w:szCs w:val="24"/>
          <w:lang w:val="en-GB"/>
        </w:rPr>
        <w:t>Exports of goods and services (current US$)</w:t>
      </w:r>
      <w:r w:rsidRPr="00D04FDF">
        <w:rPr>
          <w:rFonts w:asciiTheme="majorBidi" w:hAnsiTheme="majorBidi" w:cstheme="majorBidi"/>
          <w:color w:val="000000" w:themeColor="text1"/>
          <w:sz w:val="24"/>
          <w:szCs w:val="24"/>
          <w:lang w:val="en-GB"/>
        </w:rPr>
        <w:t xml:space="preserve"> [Data set].</w:t>
      </w:r>
      <w:r w:rsidR="00BB5D76">
        <w:rPr>
          <w:rFonts w:asciiTheme="majorBidi" w:hAnsiTheme="majorBidi" w:cstheme="majorBidi"/>
          <w:color w:val="000000" w:themeColor="text1"/>
          <w:sz w:val="24"/>
          <w:szCs w:val="24"/>
          <w:lang w:val="en-GB"/>
        </w:rPr>
        <w:t xml:space="preserve"> </w:t>
      </w:r>
      <w:r w:rsidRPr="00D04FDF">
        <w:rPr>
          <w:rFonts w:asciiTheme="majorBidi" w:hAnsiTheme="majorBidi" w:cstheme="majorBidi"/>
          <w:color w:val="000000" w:themeColor="text1"/>
          <w:sz w:val="24"/>
          <w:szCs w:val="24"/>
          <w:lang w:val="en-GB"/>
        </w:rPr>
        <w:t>World Development</w:t>
      </w:r>
      <w:r w:rsidR="00BB5D76">
        <w:rPr>
          <w:rFonts w:asciiTheme="majorBidi" w:hAnsiTheme="majorBidi" w:cstheme="majorBidi"/>
          <w:color w:val="000000" w:themeColor="text1"/>
          <w:sz w:val="24"/>
          <w:szCs w:val="24"/>
          <w:lang w:val="en-GB"/>
        </w:rPr>
        <w:t xml:space="preserve"> </w:t>
      </w:r>
      <w:r w:rsidRPr="00D04FDF">
        <w:rPr>
          <w:rFonts w:asciiTheme="majorBidi" w:hAnsiTheme="majorBidi" w:cstheme="majorBidi"/>
          <w:color w:val="000000" w:themeColor="text1"/>
          <w:sz w:val="24"/>
          <w:szCs w:val="24"/>
          <w:lang w:val="en-GB"/>
        </w:rPr>
        <w:t>Indicators.https://data.worldbank.org/indicator/NE.EXP.GNFS.CD?end=2023&amp;most_recent_value_desc=true&amp;start=1960&amp;view=chart consulted on 15/04/2025 at 14:33</w:t>
      </w:r>
    </w:p>
    <w:p w14:paraId="5218D819" w14:textId="77777777" w:rsidR="0077354A" w:rsidRPr="00D04FDF" w:rsidRDefault="0077354A" w:rsidP="00483AF1">
      <w:pPr>
        <w:spacing w:line="360" w:lineRule="auto"/>
        <w:jc w:val="both"/>
        <w:rPr>
          <w:rFonts w:asciiTheme="majorBidi" w:hAnsiTheme="majorBidi" w:cstheme="majorBidi"/>
          <w:color w:val="000000" w:themeColor="text1"/>
          <w:sz w:val="24"/>
          <w:szCs w:val="24"/>
          <w:lang w:val="en-GB"/>
        </w:rPr>
      </w:pPr>
    </w:p>
    <w:p w14:paraId="1E2726E1" w14:textId="1639CF87"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 xml:space="preserve">Another definition provides a concise explanation: </w:t>
      </w:r>
      <w:r w:rsidR="0077354A" w:rsidRPr="00D04FDF">
        <w:rPr>
          <w:rStyle w:val="16"/>
          <w:rFonts w:asciiTheme="majorBidi" w:eastAsia="Calibri" w:hAnsiTheme="majorBidi" w:cstheme="majorBidi"/>
          <w:sz w:val="24"/>
          <w:szCs w:val="24"/>
          <w:lang w:val="en-GB"/>
        </w:rPr>
        <w:t>«</w:t>
      </w:r>
      <w:r w:rsidR="0077354A" w:rsidRPr="00D04FDF">
        <w:rPr>
          <w:rFonts w:asciiTheme="majorBidi" w:hAnsiTheme="majorBidi" w:cstheme="majorBidi"/>
          <w:sz w:val="24"/>
          <w:szCs w:val="24"/>
          <w:lang w:val="en-GB"/>
        </w:rPr>
        <w:t>Exports are domestically produced goods and services sold abroad. They represent a major source of national income and are central to understanding the dynamics of international trade flows</w:t>
      </w:r>
      <w:r w:rsidR="0077354A" w:rsidRPr="00D04FDF">
        <w:rPr>
          <w:rStyle w:val="16"/>
          <w:rFonts w:asciiTheme="majorBidi" w:eastAsia="Calibri" w:hAnsiTheme="majorBidi" w:cstheme="majorBidi"/>
          <w:sz w:val="24"/>
          <w:szCs w:val="24"/>
          <w:lang w:val="en-GB"/>
        </w:rPr>
        <w:t>»</w:t>
      </w:r>
      <w:r w:rsidR="0077354A" w:rsidRPr="00D04FDF">
        <w:rPr>
          <w:rStyle w:val="FootnoteReference"/>
          <w:rFonts w:asciiTheme="majorBidi" w:hAnsiTheme="majorBidi" w:cstheme="majorBidi"/>
          <w:sz w:val="24"/>
          <w:szCs w:val="24"/>
          <w:lang w:val="en-GB"/>
        </w:rPr>
        <w:footnoteReference w:id="71"/>
      </w:r>
      <w:r w:rsidR="0077354A" w:rsidRPr="00D04FDF">
        <w:rPr>
          <w:rFonts w:asciiTheme="majorBidi" w:hAnsiTheme="majorBidi" w:cstheme="majorBidi"/>
          <w:sz w:val="24"/>
          <w:szCs w:val="24"/>
          <w:lang w:val="en-GB"/>
        </w:rPr>
        <w:t>This definition highlights both the economic importance of exports and their relevance in analyzing trade patterns.</w:t>
      </w:r>
    </w:p>
    <w:p w14:paraId="5F0B3983" w14:textId="1B45BE62"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Further elaborating on the process, one definition states: Exports refer to goods and services delivered to individuals or entities outside the country. These transactions involve the transfer of economic ownership from a resident to a non-resident party</w:t>
      </w:r>
      <w:r w:rsidR="0077354A" w:rsidRPr="00D04FDF">
        <w:rPr>
          <w:rStyle w:val="FootnoteReference"/>
          <w:rFonts w:asciiTheme="majorBidi" w:hAnsiTheme="majorBidi" w:cstheme="majorBidi"/>
          <w:sz w:val="24"/>
          <w:szCs w:val="24"/>
          <w:lang w:val="en-GB"/>
        </w:rPr>
        <w:footnoteReference w:id="72"/>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This version focuses on the legal and economic framework of export transactions, underlining the ownership shift as a key criterion.</w:t>
      </w:r>
    </w:p>
    <w:p w14:paraId="4CAA4422" w14:textId="133945D8" w:rsidR="0077354A" w:rsidRPr="00D04FDF" w:rsidRDefault="000805CE" w:rsidP="00483AF1">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 xml:space="preserve">Finally, another precise explanation affirms that: </w:t>
      </w:r>
      <w:r w:rsidR="0077354A" w:rsidRPr="00D04FDF">
        <w:rPr>
          <w:rFonts w:asciiTheme="majorBidi" w:eastAsia="Times New Roman" w:hAnsiTheme="majorBidi" w:cstheme="majorBidi"/>
          <w:sz w:val="24"/>
          <w:szCs w:val="24"/>
          <w:lang w:val="en-GB" w:eastAsia="fr-FR"/>
        </w:rPr>
        <w:t>Exports refer to the exchange of goods and services from individuals or entities within a country to those located abroad. These transactions are officially recorded when the ownership of the goods or services shifts from the resident to the non-resident party.</w:t>
      </w:r>
      <w:r w:rsidR="0077354A" w:rsidRPr="00D04FDF">
        <w:rPr>
          <w:rStyle w:val="FootnoteReference"/>
          <w:rFonts w:asciiTheme="majorBidi" w:eastAsia="Times New Roman" w:hAnsiTheme="majorBidi" w:cstheme="majorBidi"/>
          <w:sz w:val="24"/>
          <w:szCs w:val="24"/>
          <w:lang w:val="en-GB" w:eastAsia="fr-FR"/>
        </w:rPr>
        <w:footnoteReference w:id="73"/>
      </w:r>
      <w:r w:rsidR="0077354A" w:rsidRPr="00D04FDF">
        <w:rPr>
          <w:rFonts w:asciiTheme="majorBidi" w:hAnsiTheme="majorBidi" w:cstheme="majorBidi"/>
          <w:sz w:val="24"/>
          <w:szCs w:val="24"/>
          <w:lang w:val="en-GB"/>
        </w:rPr>
        <w:t xml:space="preserve"> This definition builds upon the previous one by emphasizing the moment of official recording in economic data.</w:t>
      </w:r>
    </w:p>
    <w:p w14:paraId="3B04BB9F" w14:textId="77777777" w:rsidR="0077354A" w:rsidRPr="00D04FDF" w:rsidRDefault="0077354A" w:rsidP="00483AF1">
      <w:pPr>
        <w:spacing w:line="360" w:lineRule="auto"/>
        <w:jc w:val="both"/>
        <w:rPr>
          <w:rStyle w:val="c"/>
          <w:rFonts w:asciiTheme="majorBidi" w:eastAsia="Calibri" w:hAnsiTheme="majorBidi" w:cstheme="majorBidi"/>
          <w:i/>
          <w:iCs w:val="0"/>
          <w:sz w:val="24"/>
          <w:szCs w:val="24"/>
          <w:lang w:val="en-GB"/>
        </w:rPr>
      </w:pPr>
      <w:r w:rsidRPr="00D04FDF">
        <w:rPr>
          <w:rFonts w:asciiTheme="majorBidi" w:eastAsia="Calibri" w:hAnsiTheme="majorBidi" w:cstheme="majorBidi"/>
          <w:b/>
          <w:bCs/>
          <w:sz w:val="24"/>
          <w:szCs w:val="24"/>
          <w:lang w:val="en-GB"/>
        </w:rPr>
        <w:t>From the totality of these definitions, we can conclude that:</w:t>
      </w:r>
    </w:p>
    <w:p w14:paraId="3F9E927C" w14:textId="28097719" w:rsidR="0077354A" w:rsidRPr="00D04FDF" w:rsidRDefault="000805CE" w:rsidP="00483AF1">
      <w:pPr>
        <w:spacing w:line="360" w:lineRule="auto"/>
        <w:jc w:val="both"/>
        <w:rPr>
          <w:rFonts w:asciiTheme="majorBidi" w:hAnsiTheme="majorBidi" w:cstheme="majorBidi"/>
          <w:sz w:val="24"/>
          <w:szCs w:val="24"/>
          <w:lang w:val="en-GB"/>
        </w:rPr>
      </w:pPr>
      <w:r>
        <w:rPr>
          <w:rStyle w:val="c"/>
          <w:rFonts w:asciiTheme="majorBidi" w:eastAsia="Calibri" w:hAnsiTheme="majorBidi" w:cstheme="majorBidi"/>
          <w:b w:val="0"/>
          <w:bCs/>
          <w:sz w:val="24"/>
          <w:szCs w:val="24"/>
          <w:lang w:val="en-GB"/>
        </w:rPr>
        <w:t xml:space="preserve">   </w:t>
      </w:r>
      <w:r w:rsidR="0077354A" w:rsidRPr="00D06CBA">
        <w:rPr>
          <w:rStyle w:val="c"/>
          <w:rFonts w:asciiTheme="majorBidi" w:eastAsia="Calibri" w:hAnsiTheme="majorBidi" w:cstheme="majorBidi"/>
          <w:b w:val="0"/>
          <w:bCs/>
          <w:sz w:val="24"/>
          <w:szCs w:val="24"/>
          <w:lang w:val="en-GB"/>
        </w:rPr>
        <w:t>Exportation</w:t>
      </w:r>
      <w:r w:rsidR="0077354A" w:rsidRPr="00D04FDF">
        <w:rPr>
          <w:rFonts w:asciiTheme="majorBidi" w:eastAsia="Calibri" w:hAnsiTheme="majorBidi" w:cstheme="majorBidi"/>
          <w:sz w:val="24"/>
          <w:szCs w:val="24"/>
          <w:lang w:val="en-GB"/>
        </w:rPr>
        <w:t xml:space="preserve"> refers to the formal process through which goods or services produced within the domestic territory of a country are transferred to a foreign market, typically in exchange for economic value. This process encompasses not only the physical movement of products across international borders but also the regulatory, financial, and legal frameworks that govern international trade. Exportation is a critical component of a nation’s balance of payments and serves as a key indicator of economic performance, international competitiveness, and integration into the global economy.</w:t>
      </w:r>
    </w:p>
    <w:p w14:paraId="41668314" w14:textId="7FA61286" w:rsidR="0077354A" w:rsidRPr="007C3AF7" w:rsidRDefault="007C3AF7" w:rsidP="00413B73">
      <w:pPr>
        <w:pStyle w:val="ListParagraph"/>
        <w:numPr>
          <w:ilvl w:val="1"/>
          <w:numId w:val="93"/>
        </w:numPr>
        <w:spacing w:line="360" w:lineRule="auto"/>
        <w:jc w:val="both"/>
        <w:rPr>
          <w:rStyle w:val="c"/>
          <w:rFonts w:asciiTheme="majorBidi" w:eastAsia="Calibri" w:hAnsiTheme="majorBidi" w:cstheme="majorBidi"/>
          <w:b w:val="0"/>
          <w:bCs/>
          <w:i/>
          <w:iCs w:val="0"/>
          <w:sz w:val="24"/>
          <w:szCs w:val="24"/>
          <w:lang w:val="en-GB"/>
        </w:rPr>
      </w:pPr>
      <w:r w:rsidRPr="00AE36DE">
        <w:rPr>
          <w:rStyle w:val="Heading4Char"/>
        </w:rPr>
        <w:t xml:space="preserve"> </w:t>
      </w:r>
      <w:bookmarkStart w:id="195" w:name="_Toc200720025"/>
      <w:bookmarkStart w:id="196" w:name="_Toc200721666"/>
      <w:r w:rsidR="0077354A" w:rsidRPr="00AE36DE">
        <w:rPr>
          <w:rStyle w:val="Heading4Char"/>
        </w:rPr>
        <w:t xml:space="preserve">Importance of </w:t>
      </w:r>
      <w:r w:rsidR="000805CE" w:rsidRPr="00AE36DE">
        <w:rPr>
          <w:rStyle w:val="Heading4Char"/>
        </w:rPr>
        <w:t>exportation</w:t>
      </w:r>
      <w:bookmarkEnd w:id="195"/>
      <w:bookmarkEnd w:id="196"/>
      <w:r w:rsidR="000805CE" w:rsidRPr="007C3AF7">
        <w:rPr>
          <w:rStyle w:val="c"/>
          <w:rFonts w:asciiTheme="majorBidi" w:eastAsia="Calibri" w:hAnsiTheme="majorBidi" w:cstheme="majorBidi"/>
          <w:bCs/>
          <w:sz w:val="24"/>
          <w:szCs w:val="24"/>
          <w:lang w:val="en-GB"/>
        </w:rPr>
        <w:t>:</w:t>
      </w:r>
    </w:p>
    <w:p w14:paraId="14BF5C8D" w14:textId="3854727F" w:rsidR="0077354A" w:rsidRPr="00D04FDF" w:rsidRDefault="0077354A" w:rsidP="00483AF1">
      <w:pPr>
        <w:spacing w:line="360" w:lineRule="auto"/>
        <w:jc w:val="both"/>
        <w:rPr>
          <w:rStyle w:val="c"/>
          <w:rFonts w:asciiTheme="majorBidi" w:eastAsia="Calibri" w:hAnsiTheme="majorBidi" w:cstheme="majorBidi"/>
          <w:b w:val="0"/>
          <w:bCs/>
          <w:i/>
          <w:iCs w:val="0"/>
          <w:sz w:val="24"/>
          <w:szCs w:val="24"/>
          <w:lang w:val="en-GB"/>
        </w:rPr>
      </w:pPr>
      <w:r w:rsidRPr="00D04FDF">
        <w:rPr>
          <w:rStyle w:val="c"/>
          <w:rFonts w:asciiTheme="majorBidi" w:eastAsia="Calibri" w:hAnsiTheme="majorBidi" w:cstheme="majorBidi"/>
          <w:bCs/>
          <w:sz w:val="24"/>
          <w:szCs w:val="24"/>
          <w:lang w:val="en-GB"/>
        </w:rPr>
        <w:t xml:space="preserve">Economic </w:t>
      </w:r>
      <w:r w:rsidR="000805CE" w:rsidRPr="00D04FDF">
        <w:rPr>
          <w:rStyle w:val="c"/>
          <w:rFonts w:asciiTheme="majorBidi" w:eastAsia="Calibri" w:hAnsiTheme="majorBidi" w:cstheme="majorBidi"/>
          <w:bCs/>
          <w:sz w:val="24"/>
          <w:szCs w:val="24"/>
          <w:lang w:val="en-GB"/>
        </w:rPr>
        <w:t>Growth:</w:t>
      </w:r>
    </w:p>
    <w:p w14:paraId="0C4E4F3D" w14:textId="72F7184A"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When countries engage in international trade, they open up opportunities to boost their revenues and overall economic growth. Companies that export their products tend to grow more rapidly and generate more employment compared to those that operate only within their local markets.</w:t>
      </w:r>
      <w:r w:rsidR="0077354A" w:rsidRPr="00D04FDF">
        <w:rPr>
          <w:rStyle w:val="FootnoteReference"/>
          <w:rFonts w:asciiTheme="majorBidi" w:hAnsiTheme="majorBidi" w:cstheme="majorBidi"/>
          <w:sz w:val="24"/>
          <w:szCs w:val="24"/>
          <w:lang w:val="en-GB"/>
        </w:rPr>
        <w:footnoteReference w:id="74"/>
      </w:r>
      <w:r w:rsidR="0077354A" w:rsidRPr="00D04FDF">
        <w:rPr>
          <w:rFonts w:asciiTheme="majorBidi" w:hAnsiTheme="majorBidi" w:cstheme="majorBidi"/>
          <w:sz w:val="24"/>
          <w:szCs w:val="24"/>
          <w:lang w:val="en-GB"/>
        </w:rPr>
        <w:t>Building on this, one key indicator of strong export activity is a trade surplus.</w:t>
      </w:r>
      <w:r w:rsidR="0077354A" w:rsidRPr="00D04FDF">
        <w:rPr>
          <w:rFonts w:asciiTheme="majorBidi" w:eastAsia="Calibri" w:hAnsiTheme="majorBidi" w:cstheme="majorBidi"/>
          <w:b/>
          <w:bCs/>
          <w:sz w:val="24"/>
          <w:szCs w:val="24"/>
          <w:lang w:val="en-GB" w:eastAsia="fr-FR"/>
        </w:rPr>
        <w:t xml:space="preserve"> </w:t>
      </w:r>
      <w:r w:rsidR="0077354A" w:rsidRPr="00D04FDF">
        <w:rPr>
          <w:rFonts w:asciiTheme="majorBidi" w:hAnsiTheme="majorBidi" w:cstheme="majorBidi"/>
          <w:sz w:val="24"/>
          <w:szCs w:val="24"/>
          <w:lang w:val="en-GB"/>
        </w:rPr>
        <w:t>A trade surplus occurs when a country exports more than it imports, often indicating that domestic industries are performing well. This positive trade balance typically contributes to job creation and economic stability.</w:t>
      </w:r>
      <w:r w:rsidR="0077354A" w:rsidRPr="00D04FDF">
        <w:rPr>
          <w:rStyle w:val="FootnoteReference"/>
          <w:rFonts w:asciiTheme="majorBidi" w:hAnsiTheme="majorBidi" w:cstheme="majorBidi"/>
          <w:sz w:val="24"/>
          <w:szCs w:val="24"/>
          <w:lang w:val="en-GB"/>
        </w:rPr>
        <w:footnoteReference w:id="75"/>
      </w:r>
      <w:r w:rsidR="0077354A" w:rsidRPr="00D04FDF">
        <w:rPr>
          <w:rStyle w:val="FootnoteReference"/>
          <w:rFonts w:asciiTheme="majorBidi" w:hAnsiTheme="majorBidi" w:cstheme="majorBidi"/>
          <w:sz w:val="24"/>
          <w:szCs w:val="24"/>
          <w:lang w:val="en-GB"/>
        </w:rPr>
        <w:t xml:space="preserve"> </w:t>
      </w:r>
      <w:r w:rsidR="0077354A" w:rsidRPr="00D06CBA">
        <w:rPr>
          <w:rStyle w:val="Emphasis"/>
          <w:rFonts w:asciiTheme="majorBidi" w:hAnsiTheme="majorBidi" w:cstheme="majorBidi"/>
          <w:i w:val="0"/>
          <w:iCs w:val="0"/>
          <w:sz w:val="24"/>
          <w:szCs w:val="24"/>
          <w:lang w:val="en-GB"/>
        </w:rPr>
        <w:t>In order to understand the broader implications of export-led development, it is important to examine how such outcomes are influenced by national</w:t>
      </w:r>
      <w:r w:rsidR="0077354A" w:rsidRPr="00D04FDF">
        <w:rPr>
          <w:rStyle w:val="Emphasis"/>
          <w:rFonts w:asciiTheme="majorBidi" w:hAnsiTheme="majorBidi" w:cstheme="majorBidi"/>
          <w:sz w:val="24"/>
          <w:szCs w:val="24"/>
          <w:lang w:val="en-GB"/>
        </w:rPr>
        <w:t xml:space="preserve"> </w:t>
      </w:r>
      <w:r w:rsidR="0077354A" w:rsidRPr="00D06CBA">
        <w:rPr>
          <w:rStyle w:val="Emphasis"/>
          <w:rFonts w:asciiTheme="majorBidi" w:hAnsiTheme="majorBidi" w:cstheme="majorBidi"/>
          <w:i w:val="0"/>
          <w:iCs w:val="0"/>
          <w:sz w:val="24"/>
          <w:szCs w:val="24"/>
          <w:lang w:val="en-GB"/>
        </w:rPr>
        <w:t>policies.</w:t>
      </w:r>
      <w:r w:rsidR="00D06CBA">
        <w:rPr>
          <w:rStyle w:val="Emphasis"/>
          <w:rFonts w:asciiTheme="majorBidi" w:hAnsiTheme="majorBidi" w:cstheme="majorBidi"/>
          <w:i w:val="0"/>
          <w:iCs w:val="0"/>
          <w:sz w:val="24"/>
          <w:szCs w:val="24"/>
          <w:lang w:val="en-GB"/>
        </w:rPr>
        <w:t xml:space="preserve">      </w:t>
      </w:r>
      <w:r>
        <w:rPr>
          <w:rStyle w:val="Emphasis"/>
          <w:rFonts w:asciiTheme="majorBidi" w:hAnsiTheme="majorBidi" w:cstheme="majorBidi"/>
          <w:i w:val="0"/>
          <w:iCs w:val="0"/>
          <w:sz w:val="24"/>
          <w:szCs w:val="24"/>
          <w:lang w:val="en-GB"/>
        </w:rPr>
        <w:t xml:space="preserve">   </w:t>
      </w:r>
      <w:r w:rsidR="0077354A" w:rsidRPr="00D04FDF">
        <w:rPr>
          <w:rFonts w:asciiTheme="majorBidi" w:hAnsiTheme="majorBidi" w:cstheme="majorBidi"/>
          <w:sz w:val="24"/>
          <w:szCs w:val="24"/>
          <w:lang w:val="en-GB"/>
        </w:rPr>
        <w:t>To assess how exports influence economic growth in countries with an established industrial sector, this study explores the hypothesis that policies promoting exports yield stronger growth outcomes compared to those focused on import substitution. The rationale is that export-oriented strategies</w:t>
      </w:r>
      <w:r w:rsidR="00D06CBA">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by offering comparable incentives for both domestic and international sales</w:t>
      </w:r>
      <w:r w:rsidR="00D06CBA">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encourage the efficient use of resources based on comparative advantage. These policies also support better capacity utilization, enable firms to benefit from economies of scale, drive technological progress through global competition, and in labor-abundant countries, help boost employment levels.</w:t>
      </w:r>
      <w:r w:rsidR="0077354A" w:rsidRPr="00D04FDF">
        <w:rPr>
          <w:rStyle w:val="FootnoteReference"/>
          <w:rFonts w:asciiTheme="majorBidi" w:hAnsiTheme="majorBidi" w:cstheme="majorBidi"/>
          <w:sz w:val="24"/>
          <w:szCs w:val="24"/>
          <w:lang w:val="en-GB"/>
        </w:rPr>
        <w:footnoteReference w:id="76"/>
      </w:r>
      <w:r w:rsidR="0077354A" w:rsidRPr="00D04FDF">
        <w:rPr>
          <w:rFonts w:asciiTheme="majorBidi" w:hAnsiTheme="majorBidi" w:cstheme="majorBidi"/>
          <w:sz w:val="24"/>
          <w:szCs w:val="24"/>
          <w:lang w:val="en-GB"/>
        </w:rPr>
        <w:t xml:space="preserve"> Considering these mechanisms, the broader role of exports in economic development becomes even more apparent.</w:t>
      </w:r>
      <w:r w:rsidR="00D06CBA">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Export growth plays a significant role in driving a country’s overall economic development. It enables the generation of foreign exchange, which can help reinforce the national economy. Additionally, expanding exports allows businesses to increase their sales and revenues. Beyond the economic benefits, exports also serve as a means to foster stronger international economic ties</w:t>
      </w:r>
      <w:r w:rsidR="0077354A" w:rsidRPr="00D04FDF">
        <w:rPr>
          <w:rStyle w:val="FootnoteReference"/>
          <w:rFonts w:asciiTheme="majorBidi" w:hAnsiTheme="majorBidi" w:cstheme="majorBidi"/>
          <w:sz w:val="24"/>
          <w:szCs w:val="24"/>
          <w:lang w:val="en-GB"/>
        </w:rPr>
        <w:footnoteReference w:id="77"/>
      </w:r>
      <w:r>
        <w:rPr>
          <w:rFonts w:asciiTheme="majorBidi" w:hAnsiTheme="majorBidi" w:cstheme="majorBidi"/>
          <w:sz w:val="24"/>
          <w:szCs w:val="24"/>
          <w:lang w:val="en-GB"/>
        </w:rPr>
        <w:t>.</w:t>
      </w:r>
    </w:p>
    <w:p w14:paraId="33428B9C" w14:textId="77777777" w:rsidR="0077354A" w:rsidRPr="00D04FDF" w:rsidRDefault="0077354A" w:rsidP="00483AF1">
      <w:pPr>
        <w:spacing w:line="360" w:lineRule="auto"/>
        <w:jc w:val="both"/>
        <w:rPr>
          <w:rFonts w:asciiTheme="majorBidi" w:eastAsia="Calibri" w:hAnsiTheme="majorBidi" w:cstheme="majorBidi"/>
          <w:b/>
          <w:bCs/>
          <w:i/>
          <w:iCs/>
          <w:sz w:val="24"/>
          <w:szCs w:val="24"/>
          <w:lang w:val="en-GB" w:eastAsia="fr-FR"/>
        </w:rPr>
      </w:pPr>
      <w:r w:rsidRPr="00D04FDF">
        <w:rPr>
          <w:rStyle w:val="c"/>
          <w:rFonts w:asciiTheme="majorBidi" w:eastAsia="Calibri" w:hAnsiTheme="majorBidi" w:cstheme="majorBidi"/>
          <w:bCs/>
          <w:sz w:val="24"/>
          <w:szCs w:val="24"/>
          <w:lang w:val="en-GB"/>
        </w:rPr>
        <w:t>Diversification</w:t>
      </w:r>
      <w:r w:rsidRPr="00D04FDF">
        <w:rPr>
          <w:rFonts w:asciiTheme="majorBidi" w:eastAsia="Calibri" w:hAnsiTheme="majorBidi" w:cstheme="majorBidi"/>
          <w:b/>
          <w:bCs/>
          <w:i/>
          <w:iCs/>
          <w:sz w:val="24"/>
          <w:szCs w:val="24"/>
          <w:lang w:val="en-GB"/>
        </w:rPr>
        <w:t xml:space="preserve">: </w:t>
      </w:r>
    </w:p>
    <w:p w14:paraId="1AF2BF35" w14:textId="608A6468"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By participating in export activities, countries and businesses can reach multiple markets, which helps minimize reliance on the local market and lowers the risk associated with economic fluctuations</w:t>
      </w:r>
      <w:r w:rsidR="0077354A" w:rsidRPr="00D04FDF">
        <w:rPr>
          <w:rStyle w:val="FootnoteReference"/>
          <w:rFonts w:asciiTheme="majorBidi" w:hAnsiTheme="majorBidi" w:cstheme="majorBidi"/>
          <w:sz w:val="24"/>
          <w:szCs w:val="24"/>
          <w:lang w:val="en-GB"/>
        </w:rPr>
        <w:footnoteReference w:id="78"/>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This diversification not only strengthens economic resilience but also lays the groundwork for more strategic forms of growth. Structural economic development models suggest that for long-term, sustainable growth, countries need to shift from relying mainly on primary goods exports to expanding their production and export of manufactured products.</w:t>
      </w:r>
      <w:r w:rsidR="0077354A" w:rsidRPr="00D04FDF">
        <w:rPr>
          <w:rStyle w:val="FootnoteReference"/>
          <w:rFonts w:asciiTheme="majorBidi" w:hAnsiTheme="majorBidi" w:cstheme="majorBidi"/>
          <w:sz w:val="24"/>
          <w:szCs w:val="24"/>
          <w:lang w:val="en-GB"/>
        </w:rPr>
        <w:footnoteReference w:id="79"/>
      </w:r>
    </w:p>
    <w:p w14:paraId="6D9E1E6E" w14:textId="77777777" w:rsidR="0077354A" w:rsidRPr="00D04FDF" w:rsidRDefault="0077354A" w:rsidP="00483AF1">
      <w:pPr>
        <w:spacing w:line="360" w:lineRule="auto"/>
        <w:jc w:val="both"/>
        <w:rPr>
          <w:rFonts w:asciiTheme="majorBidi" w:eastAsia="Calibri" w:hAnsiTheme="majorBidi" w:cstheme="majorBidi"/>
          <w:b/>
          <w:bCs/>
          <w:sz w:val="24"/>
          <w:szCs w:val="24"/>
          <w:lang w:val="en-GB"/>
        </w:rPr>
      </w:pPr>
      <w:r w:rsidRPr="00D04FDF">
        <w:rPr>
          <w:rStyle w:val="c"/>
          <w:rFonts w:asciiTheme="majorBidi" w:eastAsia="Calibri" w:hAnsiTheme="majorBidi" w:cstheme="majorBidi"/>
          <w:bCs/>
          <w:sz w:val="24"/>
          <w:szCs w:val="24"/>
          <w:lang w:val="en-GB"/>
        </w:rPr>
        <w:t>Enhanced Competitiveness</w:t>
      </w:r>
      <w:r w:rsidRPr="00D04FDF">
        <w:rPr>
          <w:rFonts w:asciiTheme="majorBidi" w:eastAsia="Calibri" w:hAnsiTheme="majorBidi" w:cstheme="majorBidi"/>
          <w:b/>
          <w:bCs/>
          <w:sz w:val="24"/>
          <w:szCs w:val="24"/>
          <w:lang w:val="en-GB"/>
        </w:rPr>
        <w:t>:</w:t>
      </w:r>
    </w:p>
    <w:p w14:paraId="66025B6B" w14:textId="7883A82E" w:rsidR="0077354A" w:rsidRPr="00D04FDF" w:rsidRDefault="000805CE" w:rsidP="00483AF1">
      <w:pPr>
        <w:spacing w:line="360" w:lineRule="auto"/>
        <w:jc w:val="both"/>
        <w:rPr>
          <w:rFonts w:asciiTheme="majorBidi" w:eastAsia="Calibri" w:hAnsiTheme="majorBidi" w:cstheme="majorBidi"/>
          <w:b/>
          <w:bCs/>
          <w:i/>
          <w:iCs/>
          <w:sz w:val="24"/>
          <w:szCs w:val="24"/>
          <w:lang w:val="en-GB" w:eastAsia="fr-FR"/>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Access to international markets pushes companies to raise the quality of their products and improve their efficiency in order to meet global requirements, which in turn strengthens their overall competitiveness</w:t>
      </w:r>
      <w:r w:rsidR="0077354A" w:rsidRPr="00D04FDF">
        <w:rPr>
          <w:rStyle w:val="FootnoteReference"/>
          <w:rFonts w:asciiTheme="majorBidi" w:hAnsiTheme="majorBidi" w:cstheme="majorBidi"/>
          <w:sz w:val="24"/>
          <w:szCs w:val="24"/>
          <w:lang w:val="en-GB"/>
        </w:rPr>
        <w:footnoteReference w:id="80"/>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This improvement in competitiveness not only benefits individual firms but also contributes to broader economic gains.</w:t>
      </w:r>
    </w:p>
    <w:p w14:paraId="037A02A6" w14:textId="10F32FF6"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Export activities create opportunities for economies to increase production levels, generate more jobs, lower production costs per unit, and raise overall income. These higher earnings support investments in human capital, infrastructure, and technology, which are essential for strengthening and improving a country's comparative advantage in the long run</w:t>
      </w:r>
      <w:r w:rsidR="0077354A" w:rsidRPr="00D04FDF">
        <w:rPr>
          <w:rStyle w:val="FootnoteReference"/>
          <w:rFonts w:asciiTheme="majorBidi" w:hAnsiTheme="majorBidi" w:cstheme="majorBidi"/>
          <w:sz w:val="24"/>
          <w:szCs w:val="24"/>
          <w:lang w:val="en-GB"/>
        </w:rPr>
        <w:footnoteReference w:id="81"/>
      </w:r>
      <w:r>
        <w:rPr>
          <w:rFonts w:asciiTheme="majorBidi" w:hAnsiTheme="majorBidi" w:cstheme="majorBidi"/>
          <w:sz w:val="24"/>
          <w:szCs w:val="24"/>
          <w:lang w:val="en-GB"/>
        </w:rPr>
        <w:t>.</w:t>
      </w:r>
    </w:p>
    <w:p w14:paraId="7AC4478F" w14:textId="77777777" w:rsidR="0077354A" w:rsidRPr="00D04FDF" w:rsidRDefault="0077354A" w:rsidP="003F0D54">
      <w:pPr>
        <w:spacing w:line="360" w:lineRule="auto"/>
        <w:jc w:val="center"/>
        <w:rPr>
          <w:rFonts w:asciiTheme="majorBidi" w:hAnsiTheme="majorBidi" w:cstheme="majorBidi"/>
          <w:b/>
          <w:bCs/>
          <w:color w:val="000000"/>
          <w:sz w:val="24"/>
          <w:szCs w:val="24"/>
          <w:lang w:val="en-GB"/>
        </w:rPr>
      </w:pPr>
      <w:r w:rsidRPr="00D04FDF">
        <w:rPr>
          <w:rFonts w:asciiTheme="majorBidi" w:hAnsiTheme="majorBidi" w:cstheme="majorBidi"/>
          <w:b/>
          <w:bCs/>
          <w:color w:val="000000"/>
          <w:sz w:val="24"/>
          <w:szCs w:val="24"/>
          <w:lang w:val="en-GB"/>
        </w:rPr>
        <w:t>Figure3: Export competitiveness scores by country</w:t>
      </w:r>
    </w:p>
    <w:p w14:paraId="56FA2E10" w14:textId="77777777" w:rsidR="0077354A" w:rsidRPr="00D04FDF" w:rsidRDefault="0077354A" w:rsidP="003F0D54">
      <w:pPr>
        <w:spacing w:line="360" w:lineRule="auto"/>
        <w:jc w:val="center"/>
        <w:rPr>
          <w:rFonts w:asciiTheme="majorBidi" w:hAnsiTheme="majorBidi" w:cstheme="majorBidi"/>
          <w:b/>
          <w:bCs/>
          <w:color w:val="000000"/>
          <w:sz w:val="24"/>
          <w:szCs w:val="24"/>
          <w:lang w:val="en-GB" w:eastAsia="fr-FR"/>
        </w:rPr>
      </w:pPr>
      <w:r w:rsidRPr="00D04FDF">
        <w:rPr>
          <w:rFonts w:asciiTheme="majorBidi" w:hAnsiTheme="majorBidi" w:cstheme="majorBidi"/>
          <w:b/>
          <w:bCs/>
          <w:noProof/>
          <w:color w:val="000000"/>
          <w:sz w:val="24"/>
          <w:szCs w:val="24"/>
          <w:lang w:val="en-GB" w:eastAsia="fr-FR"/>
        </w:rPr>
        <w:drawing>
          <wp:inline distT="0" distB="0" distL="0" distR="0" wp14:anchorId="509A7D78" wp14:editId="51CC45DA">
            <wp:extent cx="2997200" cy="3879850"/>
            <wp:effectExtent l="0" t="0" r="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24">
                      <a:extLst>
                        <a:ext uri="{28A0092B-C50C-407E-A947-70E740481C1C}">
                          <a14:useLocalDpi xmlns:a14="http://schemas.microsoft.com/office/drawing/2010/main" val="0"/>
                        </a:ext>
                      </a:extLst>
                    </a:blip>
                    <a:srcRect t="4833"/>
                    <a:stretch/>
                  </pic:blipFill>
                  <pic:spPr bwMode="auto">
                    <a:xfrm>
                      <a:off x="0" y="0"/>
                      <a:ext cx="2997368" cy="3880067"/>
                    </a:xfrm>
                    <a:prstGeom prst="rect">
                      <a:avLst/>
                    </a:prstGeom>
                    <a:ln>
                      <a:noFill/>
                    </a:ln>
                    <a:extLst>
                      <a:ext uri="{53640926-AAD7-44D8-BBD7-CCE9431645EC}">
                        <a14:shadowObscured xmlns:a14="http://schemas.microsoft.com/office/drawing/2010/main"/>
                      </a:ext>
                    </a:extLst>
                  </pic:spPr>
                </pic:pic>
              </a:graphicData>
            </a:graphic>
          </wp:inline>
        </w:drawing>
      </w:r>
    </w:p>
    <w:p w14:paraId="56C5F20E" w14:textId="77777777" w:rsidR="0077354A" w:rsidRPr="00D04FDF" w:rsidRDefault="0077354A" w:rsidP="00D06CBA">
      <w:pPr>
        <w:spacing w:line="360" w:lineRule="auto"/>
        <w:jc w:val="center"/>
        <w:rPr>
          <w:rFonts w:asciiTheme="majorBidi" w:hAnsiTheme="majorBidi" w:cstheme="majorBidi"/>
          <w:color w:val="FF0000"/>
          <w:sz w:val="24"/>
          <w:szCs w:val="24"/>
          <w:lang w:val="en-GB" w:eastAsia="fr-FR"/>
        </w:rPr>
      </w:pPr>
      <w:r w:rsidRPr="00D04FDF">
        <w:rPr>
          <w:rFonts w:asciiTheme="majorBidi" w:hAnsiTheme="majorBidi" w:cstheme="majorBidi"/>
          <w:b/>
          <w:bCs/>
          <w:color w:val="000000"/>
          <w:sz w:val="24"/>
          <w:szCs w:val="24"/>
          <w:lang w:val="en-GB" w:eastAsia="fr-FR"/>
        </w:rPr>
        <w:t>Source:</w:t>
      </w:r>
      <w:r w:rsidRPr="00D04FDF">
        <w:rPr>
          <w:rFonts w:asciiTheme="majorBidi" w:hAnsiTheme="majorBidi" w:cstheme="majorBidi"/>
          <w:color w:val="FF0000"/>
          <w:sz w:val="24"/>
          <w:szCs w:val="24"/>
          <w:lang w:val="en-GB"/>
        </w:rPr>
        <w:t xml:space="preserve"> </w:t>
      </w:r>
      <w:r w:rsidRPr="00D04FDF">
        <w:rPr>
          <w:rFonts w:asciiTheme="majorBidi" w:hAnsiTheme="majorBidi" w:cstheme="majorBidi"/>
          <w:color w:val="000000" w:themeColor="text1"/>
          <w:sz w:val="24"/>
          <w:szCs w:val="24"/>
          <w:lang w:val="en-GB"/>
        </w:rPr>
        <w:t>African Center for Economic Transformation. (2023). African Transformation Index 2023: Export competitiveness. ACET page01.</w:t>
      </w:r>
    </w:p>
    <w:p w14:paraId="02E3DF8D" w14:textId="505BF260" w:rsidR="0077354A" w:rsidRPr="007C3AF7" w:rsidRDefault="0077354A" w:rsidP="00413B73">
      <w:pPr>
        <w:pStyle w:val="ListParagraph"/>
        <w:numPr>
          <w:ilvl w:val="0"/>
          <w:numId w:val="93"/>
        </w:numPr>
        <w:spacing w:line="360" w:lineRule="auto"/>
        <w:jc w:val="both"/>
        <w:rPr>
          <w:rFonts w:asciiTheme="majorBidi" w:hAnsiTheme="majorBidi" w:cstheme="majorBidi"/>
          <w:b/>
          <w:bCs/>
          <w:color w:val="000000"/>
          <w:sz w:val="24"/>
          <w:szCs w:val="24"/>
          <w:lang w:val="en-GB"/>
        </w:rPr>
      </w:pPr>
      <w:bookmarkStart w:id="197" w:name="_Toc200720026"/>
      <w:bookmarkStart w:id="198" w:name="_Toc200721667"/>
      <w:bookmarkStart w:id="199" w:name="_Hlk198557755"/>
      <w:r w:rsidRPr="00AE36DE">
        <w:rPr>
          <w:rStyle w:val="Heading3Char"/>
        </w:rPr>
        <w:t>Key players in the export process</w:t>
      </w:r>
      <w:bookmarkEnd w:id="197"/>
      <w:bookmarkEnd w:id="198"/>
      <w:r w:rsidRPr="007C3AF7">
        <w:rPr>
          <w:rFonts w:asciiTheme="majorBidi" w:hAnsiTheme="majorBidi" w:cstheme="majorBidi"/>
          <w:b/>
          <w:bCs/>
          <w:color w:val="000000"/>
          <w:sz w:val="24"/>
          <w:szCs w:val="24"/>
          <w:lang w:val="en-GB"/>
        </w:rPr>
        <w:t>:</w:t>
      </w:r>
    </w:p>
    <w:bookmarkEnd w:id="199"/>
    <w:p w14:paraId="7B03DD3D" w14:textId="3B68CB81" w:rsidR="0077354A" w:rsidRPr="00740E8D" w:rsidRDefault="0077354A" w:rsidP="00413B73">
      <w:pPr>
        <w:pStyle w:val="ListParagraph"/>
        <w:numPr>
          <w:ilvl w:val="0"/>
          <w:numId w:val="92"/>
        </w:numPr>
        <w:spacing w:line="360" w:lineRule="auto"/>
        <w:jc w:val="both"/>
        <w:rPr>
          <w:rFonts w:asciiTheme="majorBidi" w:hAnsiTheme="majorBidi" w:cstheme="majorBidi"/>
          <w:sz w:val="24"/>
          <w:szCs w:val="24"/>
          <w:lang w:val="en-GB" w:eastAsia="fr-FR"/>
        </w:rPr>
      </w:pPr>
      <w:r w:rsidRPr="00740E8D">
        <w:rPr>
          <w:rFonts w:asciiTheme="majorBidi" w:hAnsiTheme="majorBidi" w:cstheme="majorBidi"/>
          <w:b/>
          <w:bCs/>
          <w:color w:val="000000"/>
          <w:sz w:val="24"/>
          <w:szCs w:val="24"/>
          <w:lang w:val="en-GB"/>
        </w:rPr>
        <w:t>Exporter:</w:t>
      </w:r>
    </w:p>
    <w:p w14:paraId="5E4B7621" w14:textId="45B8FA0B" w:rsidR="0077354A" w:rsidRPr="00D04FDF" w:rsidRDefault="000805CE"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The Exporter of Record is the legally recognized party responsible for managing the export of goods from a country. In many situations, this role is fulfilled by the shipper, who may also be the owner of the goods. The exporter can vary depending on the context—for instance, it could be a customer sending products back to a manufacturer for replacement or upgrade, such as outdated technological equipment. Alternatively, it may be a supplier shipping new goods to a client. In cases where the Exporter of Record is not the actual owner of the goods, the role may be carried out by an authorized third-party service provider with expertise in export procedures</w:t>
      </w:r>
      <w:r w:rsidR="0077354A" w:rsidRPr="00D04FDF">
        <w:rPr>
          <w:rStyle w:val="FootnoteReference"/>
          <w:rFonts w:asciiTheme="majorBidi" w:hAnsiTheme="majorBidi" w:cstheme="majorBidi"/>
          <w:sz w:val="24"/>
          <w:szCs w:val="24"/>
          <w:lang w:val="en-GB"/>
        </w:rPr>
        <w:footnoteReference w:id="82"/>
      </w:r>
      <w:r>
        <w:rPr>
          <w:rFonts w:asciiTheme="majorBidi" w:hAnsiTheme="majorBidi" w:cstheme="majorBidi"/>
          <w:sz w:val="24"/>
          <w:szCs w:val="24"/>
          <w:lang w:val="en-GB"/>
        </w:rPr>
        <w:t>.</w:t>
      </w:r>
    </w:p>
    <w:p w14:paraId="0FFFC268" w14:textId="77777777" w:rsidR="0077354A" w:rsidRPr="00D04FDF" w:rsidRDefault="0077354A" w:rsidP="00483AF1">
      <w:pPr>
        <w:spacing w:line="360" w:lineRule="auto"/>
        <w:jc w:val="both"/>
        <w:rPr>
          <w:rFonts w:asciiTheme="majorBidi" w:hAnsiTheme="majorBidi" w:cstheme="majorBidi"/>
          <w:b/>
          <w:bCs/>
          <w:sz w:val="24"/>
          <w:szCs w:val="24"/>
          <w:lang w:val="en-GB"/>
        </w:rPr>
      </w:pPr>
      <w:r w:rsidRPr="00D04FDF">
        <w:rPr>
          <w:rFonts w:asciiTheme="majorBidi" w:hAnsiTheme="majorBidi" w:cstheme="majorBidi"/>
          <w:b/>
          <w:bCs/>
          <w:sz w:val="24"/>
          <w:szCs w:val="24"/>
          <w:lang w:val="en-GB"/>
        </w:rPr>
        <w:t>Exporter of Record's responsibilities :</w:t>
      </w:r>
    </w:p>
    <w:p w14:paraId="61D1D144" w14:textId="144C4621" w:rsidR="0077354A" w:rsidRPr="00D04FDF" w:rsidRDefault="000805CE" w:rsidP="00483AF1">
      <w:pPr>
        <w:spacing w:line="360" w:lineRule="auto"/>
        <w:jc w:val="both"/>
        <w:rPr>
          <w:rFonts w:asciiTheme="majorBidi" w:hAnsiTheme="majorBidi" w:cstheme="majorBidi"/>
          <w:b/>
          <w:bCs/>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The responsibilities of the Exporter of Record are crucial to ensuring a smooth, legal, and compliant export process:</w:t>
      </w:r>
      <w:r w:rsidR="0077354A" w:rsidRPr="00D04FDF">
        <w:rPr>
          <w:rStyle w:val="FootnoteReference"/>
          <w:rFonts w:asciiTheme="majorBidi" w:hAnsiTheme="majorBidi" w:cstheme="majorBidi"/>
          <w:sz w:val="24"/>
          <w:szCs w:val="24"/>
          <w:lang w:val="en-GB"/>
        </w:rPr>
        <w:footnoteReference w:id="83"/>
      </w:r>
    </w:p>
    <w:p w14:paraId="49561477" w14:textId="77777777" w:rsidR="0077354A" w:rsidRPr="00D04FDF" w:rsidRDefault="0077354A" w:rsidP="0077354A">
      <w:pPr>
        <w:pStyle w:val="ListParagraph"/>
        <w:numPr>
          <w:ilvl w:val="0"/>
          <w:numId w:val="23"/>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The Exporter of Record is legally responsible for complying with all customs procedures required for exporting goods from a country.</w:t>
      </w:r>
    </w:p>
    <w:p w14:paraId="065BEF41" w14:textId="77777777" w:rsidR="0077354A" w:rsidRPr="00D04FDF" w:rsidRDefault="0077354A" w:rsidP="0077354A">
      <w:pPr>
        <w:pStyle w:val="ListParagraph"/>
        <w:numPr>
          <w:ilvl w:val="0"/>
          <w:numId w:val="23"/>
        </w:numPr>
        <w:spacing w:before="100" w:beforeAutospacing="1" w:after="100" w:afterAutospacing="1" w:line="360" w:lineRule="auto"/>
        <w:jc w:val="both"/>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This includes:</w:t>
      </w:r>
    </w:p>
    <w:p w14:paraId="0FF631CF" w14:textId="77777777" w:rsidR="0077354A" w:rsidRPr="00D04FDF" w:rsidRDefault="0077354A" w:rsidP="0077354A">
      <w:pPr>
        <w:numPr>
          <w:ilvl w:val="0"/>
          <w:numId w:val="20"/>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Obtaining necessary documentation (e.g., export licenses and permits).</w:t>
      </w:r>
    </w:p>
    <w:p w14:paraId="72E19794" w14:textId="77777777" w:rsidR="0077354A" w:rsidRPr="00D04FDF" w:rsidRDefault="0077354A" w:rsidP="0077354A">
      <w:pPr>
        <w:numPr>
          <w:ilvl w:val="0"/>
          <w:numId w:val="20"/>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Providing accurate and detailed descriptions and declared values of the goods being exported.</w:t>
      </w:r>
    </w:p>
    <w:p w14:paraId="5381109C" w14:textId="77777777" w:rsidR="0077354A" w:rsidRPr="00D04FDF" w:rsidRDefault="0077354A" w:rsidP="0077354A">
      <w:pPr>
        <w:pStyle w:val="ListParagraph"/>
        <w:numPr>
          <w:ilvl w:val="0"/>
          <w:numId w:val="2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If there is a breach of compliance—whether due to negligence or deliberate violation—the Exporter of Record may face:</w:t>
      </w:r>
    </w:p>
    <w:p w14:paraId="196716A7" w14:textId="77777777" w:rsidR="0077354A" w:rsidRPr="00D04FDF" w:rsidRDefault="0077354A" w:rsidP="0077354A">
      <w:pPr>
        <w:numPr>
          <w:ilvl w:val="0"/>
          <w:numId w:val="21"/>
        </w:numPr>
        <w:spacing w:before="100" w:beforeAutospacing="1" w:after="100" w:afterAutospacing="1" w:line="360" w:lineRule="auto"/>
        <w:jc w:val="both"/>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Financial penalties</w:t>
      </w:r>
    </w:p>
    <w:p w14:paraId="22DCC050" w14:textId="77777777" w:rsidR="0077354A" w:rsidRPr="00D04FDF" w:rsidRDefault="0077354A" w:rsidP="0077354A">
      <w:pPr>
        <w:numPr>
          <w:ilvl w:val="0"/>
          <w:numId w:val="21"/>
        </w:numPr>
        <w:spacing w:before="100" w:beforeAutospacing="1" w:after="100" w:afterAutospacing="1" w:line="360" w:lineRule="auto"/>
        <w:jc w:val="both"/>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Criminal liability</w:t>
      </w:r>
    </w:p>
    <w:p w14:paraId="09CA8705" w14:textId="77777777" w:rsidR="0077354A" w:rsidRPr="00D04FDF" w:rsidRDefault="0077354A" w:rsidP="0077354A">
      <w:pPr>
        <w:numPr>
          <w:ilvl w:val="0"/>
          <w:numId w:val="21"/>
        </w:numPr>
        <w:spacing w:before="100" w:beforeAutospacing="1" w:after="100" w:afterAutospacing="1" w:line="360" w:lineRule="auto"/>
        <w:jc w:val="both"/>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Or both</w:t>
      </w:r>
    </w:p>
    <w:p w14:paraId="39AA8902" w14:textId="77777777" w:rsidR="0077354A" w:rsidRPr="00D04FDF" w:rsidRDefault="0077354A" w:rsidP="0077354A">
      <w:pPr>
        <w:pStyle w:val="ListParagraph"/>
        <w:numPr>
          <w:ilvl w:val="0"/>
          <w:numId w:val="2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Even if the Exporter of Record is aware of a violation and does not act to resolve or report it, they are held equally responsible.</w:t>
      </w:r>
    </w:p>
    <w:p w14:paraId="5E56E26C" w14:textId="77777777" w:rsidR="0077354A" w:rsidRPr="00D04FDF" w:rsidRDefault="0077354A" w:rsidP="0077354A">
      <w:pPr>
        <w:pStyle w:val="ListParagraph"/>
        <w:numPr>
          <w:ilvl w:val="0"/>
          <w:numId w:val="2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The Exporter of Record is also accountable if:</w:t>
      </w:r>
    </w:p>
    <w:p w14:paraId="46393B20" w14:textId="77777777" w:rsidR="0077354A" w:rsidRPr="00D04FDF" w:rsidRDefault="0077354A" w:rsidP="0077354A">
      <w:pPr>
        <w:numPr>
          <w:ilvl w:val="0"/>
          <w:numId w:val="22"/>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The goods do not arrive at the intended destination.</w:t>
      </w:r>
    </w:p>
    <w:p w14:paraId="1C9E1810" w14:textId="77777777" w:rsidR="0077354A" w:rsidRPr="00D04FDF" w:rsidRDefault="0077354A" w:rsidP="0077354A">
      <w:pPr>
        <w:numPr>
          <w:ilvl w:val="0"/>
          <w:numId w:val="22"/>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Delivery is delayed or fails, resulting in financial consequences for the recipient.</w:t>
      </w:r>
    </w:p>
    <w:p w14:paraId="780DE4B1" w14:textId="77777777" w:rsidR="0077354A" w:rsidRPr="00D04FDF" w:rsidRDefault="0077354A" w:rsidP="0077354A">
      <w:pPr>
        <w:pStyle w:val="ListParagraph"/>
        <w:numPr>
          <w:ilvl w:val="0"/>
          <w:numId w:val="25"/>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When a forwarding agent is involved, the Exporter of Record must provide all necessary shipment information to that agent.</w:t>
      </w:r>
    </w:p>
    <w:p w14:paraId="480B540F" w14:textId="423032DF" w:rsidR="0077354A" w:rsidRPr="00740E8D" w:rsidRDefault="0077354A" w:rsidP="00740E8D">
      <w:pPr>
        <w:pStyle w:val="ListParagraph"/>
        <w:numPr>
          <w:ilvl w:val="2"/>
          <w:numId w:val="22"/>
        </w:numPr>
        <w:spacing w:before="100" w:beforeAutospacing="1" w:after="100" w:afterAutospacing="1" w:line="360" w:lineRule="auto"/>
        <w:jc w:val="both"/>
        <w:rPr>
          <w:rFonts w:asciiTheme="majorBidi" w:hAnsiTheme="majorBidi" w:cstheme="majorBidi"/>
          <w:b/>
          <w:bCs/>
          <w:color w:val="000000"/>
          <w:sz w:val="24"/>
          <w:szCs w:val="24"/>
          <w:lang w:val="en-GB"/>
        </w:rPr>
      </w:pPr>
      <w:r w:rsidRPr="00740E8D">
        <w:rPr>
          <w:rFonts w:asciiTheme="majorBidi" w:hAnsiTheme="majorBidi" w:cstheme="majorBidi"/>
          <w:b/>
          <w:bCs/>
          <w:color w:val="000000"/>
          <w:sz w:val="24"/>
          <w:szCs w:val="24"/>
          <w:lang w:val="en-GB"/>
        </w:rPr>
        <w:t>Freight forwarder:</w:t>
      </w:r>
    </w:p>
    <w:p w14:paraId="75A4A3BB" w14:textId="5484F72F" w:rsidR="0077354A" w:rsidRPr="00D04FDF" w:rsidRDefault="000805CE" w:rsidP="00483AF1">
      <w:pPr>
        <w:spacing w:before="100" w:beforeAutospacing="1" w:after="100" w:afterAutospacing="1" w:line="360" w:lineRule="auto"/>
        <w:jc w:val="both"/>
        <w:rPr>
          <w:rFonts w:asciiTheme="majorBidi" w:hAnsiTheme="majorBidi" w:cstheme="majorBidi"/>
          <w:b/>
          <w:bCs/>
          <w:color w:val="000000"/>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A freight forwarder traditionally serves as a key intermediary between the shipper or importer and the transportation carrier. Broadly speaking, a freight forwarder—also known as a forwarding agent or a non-vessel operating common carrier (NVOCC)—is an individual or company that facilitates the logistics of moving goods from the manufacturer or producer to the end user, market, or final distribution point. This service is provided on behalf of individuals or corporations. Freight forwarders typically coordinate with one or more carriers to ensure that shipments reach their destination efficiently. Their role essentially bridges the gap between the shipper or importer and the airline or maritime transport operator</w:t>
      </w:r>
      <w:r w:rsidR="0077354A" w:rsidRPr="00D04FDF">
        <w:rPr>
          <w:rStyle w:val="FootnoteReference"/>
          <w:rFonts w:asciiTheme="majorBidi" w:hAnsiTheme="majorBidi" w:cstheme="majorBidi"/>
          <w:sz w:val="24"/>
          <w:szCs w:val="24"/>
          <w:lang w:val="en-GB"/>
        </w:rPr>
        <w:footnoteReference w:id="84"/>
      </w:r>
      <w:r>
        <w:rPr>
          <w:rFonts w:asciiTheme="majorBidi" w:hAnsiTheme="majorBidi" w:cstheme="majorBidi"/>
          <w:sz w:val="24"/>
          <w:szCs w:val="24"/>
          <w:lang w:val="en-GB"/>
        </w:rPr>
        <w:t>.</w:t>
      </w:r>
    </w:p>
    <w:p w14:paraId="482A266F" w14:textId="77777777" w:rsidR="0077354A" w:rsidRPr="00D04FDF" w:rsidRDefault="0077354A" w:rsidP="00FA7668">
      <w:pPr>
        <w:spacing w:before="100" w:beforeAutospacing="1" w:after="100" w:afterAutospacing="1" w:line="360" w:lineRule="auto"/>
        <w:jc w:val="both"/>
        <w:rPr>
          <w:rFonts w:asciiTheme="majorBidi" w:eastAsia="Times New Roman" w:hAnsiTheme="majorBidi" w:cstheme="majorBidi"/>
          <w:b/>
          <w:bCs/>
          <w:sz w:val="24"/>
          <w:szCs w:val="24"/>
          <w:lang w:val="en-GB" w:eastAsia="fr-FR"/>
        </w:rPr>
      </w:pPr>
      <w:r w:rsidRPr="00D04FDF">
        <w:rPr>
          <w:rFonts w:asciiTheme="majorBidi" w:eastAsia="Times New Roman" w:hAnsiTheme="majorBidi" w:cstheme="majorBidi"/>
          <w:b/>
          <w:bCs/>
          <w:sz w:val="24"/>
          <w:szCs w:val="24"/>
          <w:lang w:val="en-GB" w:eastAsia="fr-FR"/>
        </w:rPr>
        <w:t>Services Offered by a Freight Forwarder:</w:t>
      </w:r>
    </w:p>
    <w:p w14:paraId="3A99939D" w14:textId="77777777" w:rsidR="00FD7333" w:rsidRDefault="0077354A" w:rsidP="00FD7333">
      <w:p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A freight forwarder delivers a variety of services to its clients:</w:t>
      </w:r>
      <w:r w:rsidR="00FD7333">
        <w:rPr>
          <w:rFonts w:asciiTheme="majorBidi" w:eastAsia="Times New Roman" w:hAnsiTheme="majorBidi" w:cstheme="majorBidi"/>
          <w:sz w:val="24"/>
          <w:szCs w:val="24"/>
          <w:lang w:val="en-GB" w:eastAsia="fr-FR"/>
        </w:rPr>
        <w:t xml:space="preserve"> </w:t>
      </w:r>
    </w:p>
    <w:p w14:paraId="587D5D18" w14:textId="3EC22F33" w:rsidR="00FD7333" w:rsidRPr="00D04FDF" w:rsidRDefault="00FD7333" w:rsidP="00FD7333">
      <w:pPr>
        <w:numPr>
          <w:ilvl w:val="0"/>
          <w:numId w:val="26"/>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Air and sea freight export handling</w:t>
      </w:r>
    </w:p>
    <w:p w14:paraId="5C693650" w14:textId="77777777" w:rsidR="00FD7333" w:rsidRPr="00D04FDF" w:rsidRDefault="00FD7333" w:rsidP="00740E8D">
      <w:pPr>
        <w:numPr>
          <w:ilvl w:val="0"/>
          <w:numId w:val="26"/>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Air and sea freight import coordination</w:t>
      </w:r>
    </w:p>
    <w:p w14:paraId="5DB5E52A" w14:textId="509F9131" w:rsidR="00740E8D" w:rsidRPr="00740E8D" w:rsidRDefault="00FD7333" w:rsidP="00740E8D">
      <w:pPr>
        <w:numPr>
          <w:ilvl w:val="0"/>
          <w:numId w:val="26"/>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Reliable, professional service with door-to-door delivery solutions</w:t>
      </w:r>
      <w:r w:rsidR="0077354A" w:rsidRPr="00D04FDF">
        <w:rPr>
          <w:rStyle w:val="FootnoteReference"/>
          <w:rFonts w:asciiTheme="majorBidi" w:eastAsia="Times New Roman" w:hAnsiTheme="majorBidi" w:cstheme="majorBidi"/>
          <w:sz w:val="24"/>
          <w:szCs w:val="24"/>
          <w:lang w:val="en-GB" w:eastAsia="fr-FR"/>
        </w:rPr>
        <w:footnoteReference w:id="85"/>
      </w:r>
      <w:r>
        <w:rPr>
          <w:rFonts w:asciiTheme="majorBidi" w:eastAsia="Times New Roman" w:hAnsiTheme="majorBidi" w:cstheme="majorBidi"/>
          <w:sz w:val="24"/>
          <w:szCs w:val="24"/>
          <w:lang w:val="en-GB" w:eastAsia="fr-FR"/>
        </w:rPr>
        <w:t>.</w:t>
      </w:r>
    </w:p>
    <w:p w14:paraId="711FF1A0" w14:textId="33C3ADA3" w:rsidR="0077354A" w:rsidRPr="00740E8D" w:rsidRDefault="0077354A" w:rsidP="00740E8D">
      <w:pPr>
        <w:pStyle w:val="ListParagraph"/>
        <w:numPr>
          <w:ilvl w:val="1"/>
          <w:numId w:val="26"/>
        </w:numPr>
        <w:spacing w:before="100" w:beforeAutospacing="1" w:after="100" w:afterAutospacing="1" w:line="360" w:lineRule="auto"/>
        <w:jc w:val="both"/>
        <w:rPr>
          <w:rFonts w:asciiTheme="majorBidi" w:eastAsia="Calibri" w:hAnsiTheme="majorBidi" w:cstheme="majorBidi"/>
          <w:b/>
          <w:bCs/>
          <w:sz w:val="24"/>
          <w:szCs w:val="24"/>
          <w:lang w:val="en-GB"/>
        </w:rPr>
      </w:pPr>
      <w:r w:rsidRPr="00740E8D">
        <w:rPr>
          <w:rFonts w:asciiTheme="majorBidi" w:eastAsia="Calibri" w:hAnsiTheme="majorBidi" w:cstheme="majorBidi"/>
          <w:b/>
          <w:bCs/>
          <w:sz w:val="24"/>
          <w:szCs w:val="24"/>
          <w:lang w:val="en-GB"/>
        </w:rPr>
        <w:t>Customs and Regulatory Agencies:</w:t>
      </w:r>
    </w:p>
    <w:p w14:paraId="71856BC0" w14:textId="7E75E8E9" w:rsidR="0077354A" w:rsidRPr="00D04FDF" w:rsidRDefault="00FD7333" w:rsidP="00483AF1">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Governments establish laws and regulations to oversee international trade, and it is the responsibility of businesses to adhere to them. These legal frameworks also define the roles, powers, and resources granted to authorities in order to support and enforce compliance. From these laws, specific regulatory procedures are developed, which guide the daily operations of trade and the duties of officials. These procedures can be viewed as structured interactions between government authorities and businesses, where each party is expected to carry out its designated responsibilities</w:t>
      </w:r>
      <w:r w:rsidR="0077354A" w:rsidRPr="00D04FDF">
        <w:rPr>
          <w:rStyle w:val="FootnoteReference"/>
          <w:rFonts w:asciiTheme="majorBidi" w:hAnsiTheme="majorBidi" w:cstheme="majorBidi"/>
          <w:sz w:val="24"/>
          <w:szCs w:val="24"/>
          <w:lang w:val="en-GB"/>
        </w:rPr>
        <w:footnoteReference w:id="86"/>
      </w:r>
      <w:r>
        <w:rPr>
          <w:rFonts w:asciiTheme="majorBidi" w:hAnsiTheme="majorBidi" w:cstheme="majorBidi"/>
          <w:sz w:val="24"/>
          <w:szCs w:val="24"/>
          <w:lang w:val="en-GB"/>
        </w:rPr>
        <w:t>.</w:t>
      </w:r>
      <w:r w:rsidR="0077354A" w:rsidRPr="00D04FDF">
        <w:rPr>
          <w:rFonts w:asciiTheme="majorBidi" w:hAnsiTheme="majorBidi" w:cstheme="majorBidi"/>
          <w:sz w:val="24"/>
          <w:szCs w:val="24"/>
          <w:lang w:val="en-GB"/>
        </w:rPr>
        <w:t xml:space="preserve"> </w:t>
      </w:r>
    </w:p>
    <w:p w14:paraId="2683A2DB" w14:textId="6B000BCE" w:rsidR="0077354A" w:rsidRPr="00D04FDF" w:rsidRDefault="00FD7333" w:rsidP="00483AF1">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As part of these procedures, customs authorities and other cross-border regulatory agencies (CBRAs) closely monitor the supply chain from a regulatory perspective.Customs authorities and other cross-border regulatory agencies (CBRAs) monitor the supply chain from a regulatory perspective. They require the submission of specific data mainly to ensure compliance with legal and reporting obligations during the processes of export, import, and transit.</w:t>
      </w:r>
      <w:r w:rsidR="0077354A" w:rsidRPr="00D04FDF">
        <w:rPr>
          <w:rStyle w:val="FootnoteReference"/>
          <w:rFonts w:asciiTheme="majorBidi" w:hAnsiTheme="majorBidi" w:cstheme="majorBidi"/>
          <w:sz w:val="24"/>
          <w:szCs w:val="24"/>
          <w:lang w:val="en-GB"/>
        </w:rPr>
        <w:footnoteReference w:id="87"/>
      </w:r>
    </w:p>
    <w:p w14:paraId="230B7A03" w14:textId="0D45EDA4" w:rsidR="0077354A" w:rsidRPr="00740E8D" w:rsidRDefault="0077354A" w:rsidP="00740E8D">
      <w:pPr>
        <w:pStyle w:val="ListParagraph"/>
        <w:numPr>
          <w:ilvl w:val="1"/>
          <w:numId w:val="26"/>
        </w:numPr>
        <w:spacing w:line="360" w:lineRule="auto"/>
        <w:jc w:val="both"/>
        <w:rPr>
          <w:rFonts w:asciiTheme="majorBidi" w:hAnsiTheme="majorBidi" w:cstheme="majorBidi"/>
          <w:sz w:val="24"/>
          <w:szCs w:val="24"/>
          <w:lang w:val="en-GB" w:eastAsia="fr-FR"/>
        </w:rPr>
      </w:pPr>
      <w:r w:rsidRPr="00740E8D">
        <w:rPr>
          <w:rFonts w:asciiTheme="majorBidi" w:eastAsia="Calibri" w:hAnsiTheme="majorBidi" w:cstheme="majorBidi"/>
          <w:b/>
          <w:bCs/>
          <w:sz w:val="24"/>
          <w:szCs w:val="24"/>
          <w:lang w:val="en-GB"/>
        </w:rPr>
        <w:t>Importer of Record</w:t>
      </w:r>
    </w:p>
    <w:p w14:paraId="0A547F63" w14:textId="6536AA74" w:rsidR="0077354A" w:rsidRPr="00D04FDF" w:rsidRDefault="00FD7333" w:rsidP="00483AF1">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In simple terms, the Importer of Record is the individual or entity legally responsible for bringing goods into a country. This role is usually filled by the owner of the goods, although other parties involved in the shipment can also assume the responsibility of being the Importer of Record</w:t>
      </w:r>
      <w:r w:rsidR="0077354A" w:rsidRPr="00D04FDF">
        <w:rPr>
          <w:rStyle w:val="FootnoteReference"/>
          <w:rFonts w:asciiTheme="majorBidi" w:hAnsiTheme="majorBidi" w:cstheme="majorBidi"/>
          <w:sz w:val="24"/>
          <w:szCs w:val="24"/>
          <w:lang w:val="en-GB"/>
        </w:rPr>
        <w:footnoteReference w:id="88"/>
      </w:r>
      <w:r>
        <w:rPr>
          <w:rFonts w:asciiTheme="majorBidi" w:hAnsiTheme="majorBidi" w:cstheme="majorBidi"/>
          <w:sz w:val="24"/>
          <w:szCs w:val="24"/>
          <w:lang w:val="en-GB"/>
        </w:rPr>
        <w:t>.</w:t>
      </w:r>
    </w:p>
    <w:p w14:paraId="66A7B894" w14:textId="77777777" w:rsidR="0077354A" w:rsidRPr="00D04FDF" w:rsidRDefault="0077354A" w:rsidP="00483AF1">
      <w:pPr>
        <w:spacing w:line="360" w:lineRule="auto"/>
        <w:jc w:val="both"/>
        <w:rPr>
          <w:rFonts w:asciiTheme="majorBidi" w:hAnsiTheme="majorBidi" w:cstheme="majorBidi"/>
          <w:sz w:val="24"/>
          <w:szCs w:val="24"/>
          <w:lang w:val="en-GB" w:eastAsia="fr-FR"/>
        </w:rPr>
      </w:pPr>
      <w:r w:rsidRPr="00D04FDF">
        <w:rPr>
          <w:rFonts w:asciiTheme="majorBidi" w:hAnsiTheme="majorBidi" w:cstheme="majorBidi"/>
          <w:b/>
          <w:bCs/>
          <w:color w:val="000000"/>
          <w:sz w:val="24"/>
          <w:szCs w:val="24"/>
          <w:lang w:val="en-GB"/>
        </w:rPr>
        <w:t>Responsibilities of an Importer of Record</w:t>
      </w:r>
    </w:p>
    <w:p w14:paraId="508540C2" w14:textId="77777777" w:rsidR="00FD7333" w:rsidRDefault="00FD7333"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GB" w:eastAsia="fr-FR"/>
        </w:rPr>
        <w:t xml:space="preserve">   </w:t>
      </w:r>
      <w:r w:rsidR="0077354A" w:rsidRPr="00D04FDF">
        <w:rPr>
          <w:rFonts w:asciiTheme="majorBidi" w:eastAsia="Times New Roman" w:hAnsiTheme="majorBidi" w:cstheme="majorBidi"/>
          <w:sz w:val="24"/>
          <w:szCs w:val="24"/>
          <w:lang w:val="en-GB" w:eastAsia="fr-FR"/>
        </w:rPr>
        <w:t xml:space="preserve">The Importer of Record is primarily responsible for ensuring that all legal, customs, and compliance requirements are met for the products being imported, as well as for the destination country. </w:t>
      </w:r>
      <w:r w:rsidR="0077354A" w:rsidRPr="00FD7333">
        <w:rPr>
          <w:rFonts w:asciiTheme="majorBidi" w:eastAsia="Times New Roman" w:hAnsiTheme="majorBidi" w:cstheme="majorBidi"/>
          <w:sz w:val="24"/>
          <w:szCs w:val="24"/>
          <w:lang w:val="en-US" w:eastAsia="fr-FR"/>
        </w:rPr>
        <w:t>Their duties also include:</w:t>
      </w:r>
    </w:p>
    <w:p w14:paraId="23122473" w14:textId="77777777" w:rsidR="00FD7333" w:rsidRPr="00D04FDF" w:rsidRDefault="00FD7333" w:rsidP="00FD7333">
      <w:pPr>
        <w:numPr>
          <w:ilvl w:val="0"/>
          <w:numId w:val="27"/>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Determining the value of the shipment</w:t>
      </w:r>
    </w:p>
    <w:p w14:paraId="0A0D1EAE" w14:textId="77777777" w:rsidR="00FD7333" w:rsidRPr="00D04FDF" w:rsidRDefault="00FD7333" w:rsidP="00FD7333">
      <w:pPr>
        <w:numPr>
          <w:ilvl w:val="0"/>
          <w:numId w:val="27"/>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Classifying the product under the correct category</w:t>
      </w:r>
    </w:p>
    <w:p w14:paraId="345EB6F4" w14:textId="77777777" w:rsidR="00FD7333" w:rsidRPr="00D04FDF" w:rsidRDefault="00FD7333" w:rsidP="00FD7333">
      <w:pPr>
        <w:numPr>
          <w:ilvl w:val="0"/>
          <w:numId w:val="27"/>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Paying any import duties and additional taxes that may apply</w:t>
      </w:r>
    </w:p>
    <w:p w14:paraId="309D7BE5" w14:textId="77777777" w:rsidR="00FD7333" w:rsidRPr="00D04FDF" w:rsidRDefault="00FD7333" w:rsidP="00FD7333">
      <w:pPr>
        <w:numPr>
          <w:ilvl w:val="0"/>
          <w:numId w:val="27"/>
        </w:numPr>
        <w:spacing w:before="100" w:beforeAutospacing="1" w:after="100" w:afterAutospacing="1" w:line="360" w:lineRule="auto"/>
        <w:jc w:val="both"/>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Filing all necessary documentation</w:t>
      </w:r>
    </w:p>
    <w:p w14:paraId="4B60E7C5" w14:textId="58C5F508" w:rsidR="0077354A" w:rsidRPr="00FD7333" w:rsidRDefault="00FD7333" w:rsidP="00FD7333">
      <w:pPr>
        <w:numPr>
          <w:ilvl w:val="0"/>
          <w:numId w:val="27"/>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Ensuring that compliance regulations are met for the imported goods</w:t>
      </w:r>
      <w:r w:rsidR="0077354A" w:rsidRPr="00D04FDF">
        <w:rPr>
          <w:rStyle w:val="FootnoteReference"/>
          <w:rFonts w:asciiTheme="majorBidi" w:eastAsia="Times New Roman" w:hAnsiTheme="majorBidi" w:cstheme="majorBidi"/>
          <w:sz w:val="24"/>
          <w:szCs w:val="24"/>
          <w:lang w:eastAsia="fr-FR"/>
        </w:rPr>
        <w:footnoteReference w:id="89"/>
      </w:r>
      <w:r>
        <w:rPr>
          <w:rFonts w:asciiTheme="majorBidi" w:eastAsia="Times New Roman" w:hAnsiTheme="majorBidi" w:cstheme="majorBidi"/>
          <w:sz w:val="24"/>
          <w:szCs w:val="24"/>
          <w:lang w:val="en-GB" w:eastAsia="fr-FR"/>
        </w:rPr>
        <w:t>.</w:t>
      </w:r>
    </w:p>
    <w:p w14:paraId="55539F38" w14:textId="415E3A2A" w:rsidR="0077354A" w:rsidRPr="00D04FDF" w:rsidRDefault="00FD7333" w:rsidP="00483AF1">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77354A" w:rsidRPr="00D04FDF">
        <w:rPr>
          <w:rFonts w:asciiTheme="majorBidi" w:eastAsia="Times New Roman" w:hAnsiTheme="majorBidi" w:cstheme="majorBidi"/>
          <w:sz w:val="24"/>
          <w:szCs w:val="24"/>
          <w:lang w:val="en-GB" w:eastAsia="fr-FR"/>
        </w:rPr>
        <w:t>Additionally, the Importer of Record serves as the main point of contact with customs authorities and must be ready to communicate with them as needed.</w:t>
      </w:r>
    </w:p>
    <w:p w14:paraId="040FFAE5" w14:textId="5D29C488" w:rsidR="0077354A" w:rsidRPr="00740E8D" w:rsidRDefault="0077354A" w:rsidP="00740E8D">
      <w:pPr>
        <w:pStyle w:val="ListParagraph"/>
        <w:numPr>
          <w:ilvl w:val="1"/>
          <w:numId w:val="26"/>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740E8D">
        <w:rPr>
          <w:rFonts w:asciiTheme="majorBidi" w:hAnsiTheme="majorBidi" w:cstheme="majorBidi"/>
          <w:b/>
          <w:bCs/>
          <w:sz w:val="24"/>
          <w:szCs w:val="24"/>
          <w:lang w:val="en-GB"/>
        </w:rPr>
        <w:t>Distributor:</w:t>
      </w:r>
    </w:p>
    <w:p w14:paraId="7418C49B" w14:textId="77777777" w:rsidR="0077354A" w:rsidRPr="00D04FDF" w:rsidRDefault="0077354A" w:rsidP="003F0D54">
      <w:pPr>
        <w:spacing w:line="360" w:lineRule="auto"/>
        <w:jc w:val="both"/>
        <w:rPr>
          <w:rFonts w:asciiTheme="majorBidi" w:hAnsiTheme="majorBidi" w:cstheme="majorBidi"/>
          <w:sz w:val="24"/>
          <w:szCs w:val="24"/>
          <w:lang w:val="en-GB"/>
        </w:rPr>
      </w:pPr>
      <w:r w:rsidRPr="00D04FDF">
        <w:rPr>
          <w:rFonts w:asciiTheme="majorBidi" w:hAnsiTheme="majorBidi" w:cstheme="majorBidi"/>
          <w:sz w:val="24"/>
          <w:szCs w:val="24"/>
          <w:lang w:val="en-GB"/>
        </w:rPr>
        <w:t>The distributor plays a key role in the trading relationship, as they often represent multiple manufacturers. Through their experience, overseas distributors develop a clear understanding of what is expected from them, as well as what they can expect from manufacturers. These mutual expectations make the task of exporters more complex, as they must work to ensure high performance from their overseas distributors.</w:t>
      </w:r>
      <w:r w:rsidRPr="00D04FDF">
        <w:rPr>
          <w:rStyle w:val="FootnoteReference"/>
          <w:rFonts w:asciiTheme="majorBidi" w:hAnsiTheme="majorBidi" w:cstheme="majorBidi"/>
          <w:sz w:val="24"/>
          <w:szCs w:val="24"/>
          <w:lang w:val="en-GB"/>
        </w:rPr>
        <w:footnoteReference w:id="90"/>
      </w:r>
    </w:p>
    <w:p w14:paraId="753B6EF5" w14:textId="743655E5" w:rsidR="0077354A" w:rsidRDefault="0077354A" w:rsidP="003F0D54">
      <w:pPr>
        <w:spacing w:line="360" w:lineRule="auto"/>
        <w:jc w:val="both"/>
        <w:rPr>
          <w:rFonts w:asciiTheme="majorBidi" w:hAnsiTheme="majorBidi" w:cstheme="majorBidi"/>
          <w:sz w:val="24"/>
          <w:szCs w:val="24"/>
          <w:lang w:val="en-GB"/>
        </w:rPr>
      </w:pPr>
      <w:r w:rsidRPr="00D04FDF">
        <w:rPr>
          <w:rFonts w:asciiTheme="majorBidi" w:hAnsiTheme="majorBidi" w:cstheme="majorBidi"/>
          <w:sz w:val="24"/>
          <w:szCs w:val="24"/>
          <w:lang w:val="en-GB"/>
        </w:rPr>
        <w:t>Distributors typically buy your export products and resell them at a higher price to make a profit</w:t>
      </w:r>
      <w:r w:rsidRPr="00D04FDF">
        <w:rPr>
          <w:rStyle w:val="FootnoteReference"/>
          <w:rFonts w:asciiTheme="majorBidi" w:hAnsiTheme="majorBidi" w:cstheme="majorBidi"/>
          <w:sz w:val="24"/>
          <w:szCs w:val="24"/>
          <w:lang w:val="en-GB"/>
        </w:rPr>
        <w:footnoteReference w:id="91"/>
      </w:r>
      <w:bookmarkStart w:id="202" w:name="_Hlk198557966"/>
      <w:r w:rsidR="00FD7333">
        <w:rPr>
          <w:rFonts w:asciiTheme="majorBidi" w:hAnsiTheme="majorBidi" w:cstheme="majorBidi"/>
          <w:sz w:val="24"/>
          <w:szCs w:val="24"/>
          <w:lang w:val="en-GB"/>
        </w:rPr>
        <w:t>.</w:t>
      </w:r>
    </w:p>
    <w:p w14:paraId="041CA891" w14:textId="5E3E6648" w:rsidR="0077354A" w:rsidRPr="007C3AF7" w:rsidRDefault="009451ED" w:rsidP="00413B73">
      <w:pPr>
        <w:pStyle w:val="ListParagraph"/>
        <w:numPr>
          <w:ilvl w:val="0"/>
          <w:numId w:val="93"/>
        </w:numPr>
        <w:spacing w:line="360" w:lineRule="auto"/>
        <w:jc w:val="both"/>
        <w:rPr>
          <w:rFonts w:asciiTheme="majorBidi" w:hAnsiTheme="majorBidi" w:cstheme="majorBidi"/>
          <w:b/>
          <w:bCs/>
          <w:sz w:val="24"/>
          <w:szCs w:val="24"/>
          <w:lang w:val="en-GB"/>
        </w:rPr>
      </w:pPr>
      <w:bookmarkStart w:id="203" w:name="_Toc200720027"/>
      <w:bookmarkStart w:id="204" w:name="_Toc200721668"/>
      <w:r w:rsidRPr="00161F6E">
        <w:rPr>
          <w:rStyle w:val="Heading3Char"/>
        </w:rPr>
        <w:t>T</w:t>
      </w:r>
      <w:r w:rsidR="0077354A" w:rsidRPr="00161F6E">
        <w:rPr>
          <w:rStyle w:val="Heading3Char"/>
        </w:rPr>
        <w:t>rade argements and policies affecting Algeria-Turkey trade relation</w:t>
      </w:r>
      <w:bookmarkEnd w:id="203"/>
      <w:bookmarkEnd w:id="204"/>
      <w:r w:rsidR="0077354A" w:rsidRPr="007C3AF7">
        <w:rPr>
          <w:rFonts w:asciiTheme="majorBidi" w:hAnsiTheme="majorBidi" w:cstheme="majorBidi"/>
          <w:b/>
          <w:bCs/>
          <w:color w:val="000000"/>
          <w:sz w:val="24"/>
          <w:szCs w:val="24"/>
          <w:lang w:val="en-GB"/>
        </w:rPr>
        <w:t>s</w:t>
      </w:r>
    </w:p>
    <w:p w14:paraId="5A7B6405" w14:textId="48BF3445" w:rsidR="0077354A" w:rsidRPr="00CF5489" w:rsidRDefault="00FD7333" w:rsidP="003F0D54">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CF5489">
        <w:rPr>
          <w:rFonts w:asciiTheme="majorBidi" w:hAnsiTheme="majorBidi" w:cstheme="majorBidi"/>
          <w:sz w:val="24"/>
          <w:szCs w:val="24"/>
          <w:lang w:val="en-GB"/>
        </w:rPr>
        <w:t>Turkey’s strategic interests drive it to strengthen its presence in Africa, with Algeria serving as a key gateway to the continent. Both nations are actively working to deepen their economic and political ties in pursuit of mutual benefits. For Algeria, this partnership represents an opportunity to bolster its economic standing on the international stage. Meanwhile, Turkey aims to expand its influence in North Africa and reassert its regional role. A major objective for Turkey in this cooperation is to access Algeria’s abundant natural resources, particularly its oil reserves</w:t>
      </w:r>
      <w:r w:rsidR="0077354A" w:rsidRPr="00CF5489">
        <w:rPr>
          <w:rStyle w:val="FootnoteReference"/>
          <w:rFonts w:asciiTheme="majorBidi" w:hAnsiTheme="majorBidi" w:cstheme="majorBidi"/>
          <w:sz w:val="24"/>
          <w:szCs w:val="24"/>
          <w:lang w:val="en-GB"/>
        </w:rPr>
        <w:footnoteReference w:id="92"/>
      </w:r>
      <w:r>
        <w:rPr>
          <w:rFonts w:asciiTheme="majorBidi" w:hAnsiTheme="majorBidi" w:cstheme="majorBidi"/>
          <w:sz w:val="24"/>
          <w:szCs w:val="24"/>
          <w:lang w:val="en-GB"/>
        </w:rPr>
        <w:t>.</w:t>
      </w:r>
    </w:p>
    <w:p w14:paraId="4AB8E723" w14:textId="5AC6D1D3" w:rsidR="0077354A" w:rsidRPr="00F62BDD" w:rsidRDefault="00FD7333" w:rsidP="00FD7333">
      <w:pPr>
        <w:pStyle w:val="NormalWeb"/>
        <w:spacing w:line="360" w:lineRule="auto"/>
        <w:jc w:val="both"/>
        <w:rPr>
          <w:lang w:val="en-GB"/>
        </w:rPr>
      </w:pPr>
      <w:r>
        <w:rPr>
          <w:lang w:val="en-GB"/>
        </w:rPr>
        <w:t xml:space="preserve">   </w:t>
      </w:r>
      <w:r w:rsidR="0077354A" w:rsidRPr="00F62BDD">
        <w:rPr>
          <w:lang w:val="en-GB"/>
        </w:rPr>
        <w:t xml:space="preserve">The Turkish researcher and political analyst, Rassoul Tosun, explained in an interview with </w:t>
      </w:r>
      <w:r w:rsidR="0077354A" w:rsidRPr="00F62BDD">
        <w:rPr>
          <w:rStyle w:val="Emphasis"/>
          <w:lang w:val="en-GB"/>
        </w:rPr>
        <w:t>Ultra Algeria</w:t>
      </w:r>
      <w:r w:rsidR="0077354A" w:rsidRPr="00F62BDD">
        <w:rPr>
          <w:lang w:val="en-GB"/>
        </w:rPr>
        <w:t xml:space="preserve"> the key reasons behind Turkey’s growing success in expanding its presence across Africa. According to Tosun, one of the main factors contributing to the positive reception of Turkey by African nations lies in the perception that Turkey, unlike many Western powers, does not carry a colonial legacy in the collective African memory. He emphasized that Ankara’s foreign policy is built on mutual respect and shared interests, guided by the principle of "win-win" cooperation. This approach has fostered a favorable image of Turkey among African states. Regarding Turkish-Algerian relations, Tosun pointed out that Turkey assigns particular importance to its partnership with Algeria due to deep-rooted religious, cultural, and historical connections</w:t>
      </w:r>
      <w:r w:rsidR="0077354A">
        <w:rPr>
          <w:rStyle w:val="FootnoteReference"/>
          <w:lang w:val="en-GB"/>
        </w:rPr>
        <w:footnoteReference w:id="93"/>
      </w:r>
      <w:r>
        <w:rPr>
          <w:lang w:val="en-GB"/>
        </w:rPr>
        <w:t>.</w:t>
      </w:r>
    </w:p>
    <w:p w14:paraId="328802F5" w14:textId="2752CD1B" w:rsidR="0077354A" w:rsidRPr="00F62BDD" w:rsidRDefault="00FD7333" w:rsidP="00FD7333">
      <w:pPr>
        <w:pStyle w:val="NormalWeb"/>
        <w:spacing w:line="360" w:lineRule="auto"/>
        <w:jc w:val="both"/>
        <w:rPr>
          <w:lang w:val="en-GB"/>
        </w:rPr>
      </w:pPr>
      <w:r>
        <w:rPr>
          <w:lang w:val="en-GB"/>
        </w:rPr>
        <w:t xml:space="preserve">   </w:t>
      </w:r>
      <w:r w:rsidR="0077354A" w:rsidRPr="00F62BDD">
        <w:rPr>
          <w:lang w:val="en-GB"/>
        </w:rPr>
        <w:t>The potential for developing trade and industry between the two countries is significant. Algeria holds the top position among Turkey’s economic partners in Africa. The Turkish government aims to increase the volume of trade between the two nations from $1.5 billion to $5 billion as a first step, with a long-term goal of reaching $10 billion by 2030. Algeria is currently the fourth largest supplier of natural gas to Turkey, after Iran, Russia, and Azerbaijan. Turkey, in its strategy to diversify energy sources, sees Algeria as a reliable and stable partner. In 2014, an agreement was reached to increase Algerian gas exports to Turkey by 50%, covering a ten-year period. By 2018, Turkey had imported approximately 14 billion cubic meters of natural gas from Algeria, with 8 billion cubic meters being directly consumed by the Turkish market</w:t>
      </w:r>
      <w:r w:rsidR="0077354A">
        <w:rPr>
          <w:rStyle w:val="FootnoteReference"/>
          <w:lang w:val="en-GB"/>
        </w:rPr>
        <w:footnoteReference w:id="94"/>
      </w:r>
      <w:r>
        <w:rPr>
          <w:lang w:val="en-GB"/>
        </w:rPr>
        <w:t>.</w:t>
      </w:r>
    </w:p>
    <w:p w14:paraId="26E6314B" w14:textId="4BA80B4F" w:rsidR="0077354A" w:rsidRPr="00F62BDD" w:rsidRDefault="00FD7333" w:rsidP="00FD7333">
      <w:pPr>
        <w:pStyle w:val="NormalWeb"/>
        <w:spacing w:line="360" w:lineRule="auto"/>
        <w:jc w:val="both"/>
        <w:rPr>
          <w:lang w:val="en-GB"/>
        </w:rPr>
      </w:pPr>
      <w:r>
        <w:rPr>
          <w:lang w:val="en-GB"/>
        </w:rPr>
        <w:t xml:space="preserve">   </w:t>
      </w:r>
      <w:r w:rsidR="0077354A" w:rsidRPr="00F62BDD">
        <w:rPr>
          <w:lang w:val="en-GB"/>
        </w:rPr>
        <w:t>Algeria, for its part, is working to attract more Turkish direct investment in order to reduce its trade deficit with Turkey before the ratification of a trade agreement between the two states. This includes opening six new areas for investment and raising tariffs on certain goods and services</w:t>
      </w:r>
      <w:r w:rsidR="0077354A">
        <w:rPr>
          <w:rStyle w:val="FootnoteReference"/>
          <w:lang w:val="en-GB"/>
        </w:rPr>
        <w:footnoteReference w:id="95"/>
      </w:r>
      <w:r>
        <w:rPr>
          <w:lang w:val="en-GB"/>
        </w:rPr>
        <w:t>.</w:t>
      </w:r>
    </w:p>
    <w:p w14:paraId="67FDDE3D" w14:textId="736AEDFB" w:rsidR="0077354A" w:rsidRDefault="00FD7333" w:rsidP="00FD7333">
      <w:pPr>
        <w:pStyle w:val="NormalWeb"/>
        <w:spacing w:line="360" w:lineRule="auto"/>
        <w:jc w:val="both"/>
        <w:rPr>
          <w:lang w:val="en-GB"/>
        </w:rPr>
      </w:pPr>
      <w:r>
        <w:rPr>
          <w:lang w:val="en-GB"/>
        </w:rPr>
        <w:t xml:space="preserve">   </w:t>
      </w:r>
      <w:r w:rsidR="0077354A" w:rsidRPr="00F62BDD">
        <w:rPr>
          <w:lang w:val="en-GB"/>
        </w:rPr>
        <w:t>Tourism serves as another indicator of the growing ties between the two countries. In 2017, around 200,000 Algerians visited Turkey for tourism, and this number rose to 300,000 in 2018</w:t>
      </w:r>
      <w:r w:rsidR="0077354A">
        <w:rPr>
          <w:rStyle w:val="FootnoteReference"/>
          <w:lang w:val="en-GB"/>
        </w:rPr>
        <w:footnoteReference w:id="96"/>
      </w:r>
      <w:r>
        <w:rPr>
          <w:lang w:val="en-GB"/>
        </w:rPr>
        <w:t>.</w:t>
      </w:r>
      <w:r w:rsidR="0077354A" w:rsidRPr="00F62BDD">
        <w:rPr>
          <w:lang w:val="en-GB"/>
        </w:rPr>
        <w:t xml:space="preserve"> Educational exchange has also gained momentum. Turkish scholarship programs are increasingly attracting Algerian students. In 2017, the Algerian Student Union in Turkey estimated that around 400 Algerian students were studying there a number comparable to that of German students, and even higher than the number of American students, which stood at approximately 250. This figure is particularly noteworthy considering that at the beginning of the 2000s, Turkey was largely absent from the list of preferred destinations for Algerian students, apart from a few enrolled in language programs</w:t>
      </w:r>
      <w:r w:rsidR="0077354A">
        <w:rPr>
          <w:rStyle w:val="FootnoteReference"/>
          <w:lang w:val="en-GB"/>
        </w:rPr>
        <w:footnoteReference w:id="97"/>
      </w:r>
      <w:r>
        <w:rPr>
          <w:lang w:val="en-GB"/>
        </w:rPr>
        <w:t>.</w:t>
      </w:r>
    </w:p>
    <w:p w14:paraId="1BCD3C91" w14:textId="7DAB1C1C" w:rsidR="00C418C3" w:rsidRPr="00C418C3" w:rsidRDefault="00C418C3" w:rsidP="00FD7333">
      <w:pPr>
        <w:pStyle w:val="NormalWeb"/>
        <w:spacing w:line="360" w:lineRule="auto"/>
        <w:jc w:val="both"/>
        <w:rPr>
          <w:lang w:val="en-GB"/>
        </w:rPr>
      </w:pPr>
      <w:r w:rsidRPr="00C418C3">
        <w:rPr>
          <w:lang w:val="en-GB"/>
        </w:rPr>
        <w:t>In conclusion, understanding the export process and related trade policies helps clarify the dynamics of Algeria-Turkey trade. This knowledge is key to identifying opportunities and challenges for Algerian products in international markets.</w:t>
      </w:r>
    </w:p>
    <w:p w14:paraId="1143BBC1" w14:textId="77777777" w:rsidR="0077354A" w:rsidRDefault="0077354A"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6C94BDBB"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22E9A691"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5A36E44F"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13C63DE5"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5C9E327A"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6A1C9E0F"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028FF2BA"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5763AEFA"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7E84CAD8"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499053F6"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1A62035E"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4000735B" w14:textId="77777777" w:rsidR="0024056C" w:rsidRDefault="0024056C"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54B966CA" w14:textId="77777777" w:rsidR="007C3AF7" w:rsidRDefault="007C3AF7"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63AE0D8B" w14:textId="77777777" w:rsidR="007C3AF7" w:rsidRDefault="007C3AF7" w:rsidP="00483AF1">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p>
    <w:p w14:paraId="6E869CAC" w14:textId="67C746E2" w:rsidR="0077354A" w:rsidRPr="00D04FDF" w:rsidRDefault="0077354A" w:rsidP="00161F6E">
      <w:pPr>
        <w:pStyle w:val="Heading2"/>
      </w:pPr>
      <w:bookmarkStart w:id="207" w:name="_Toc200720028"/>
      <w:bookmarkStart w:id="208" w:name="_Toc200721669"/>
      <w:r w:rsidRPr="00D04FDF">
        <w:t>Section 02: Export Process for Algerian Local Products</w:t>
      </w:r>
      <w:bookmarkEnd w:id="207"/>
      <w:bookmarkEnd w:id="208"/>
    </w:p>
    <w:p w14:paraId="3D357037"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sz w:val="24"/>
          <w:szCs w:val="24"/>
          <w:lang w:val="en-US" w:eastAsia="fr-FR"/>
        </w:rPr>
        <w:t xml:space="preserve">   Exporting local products is a strategic approach for Algeria to diversify its economy and lessen reliance on oil. This section outlines three primary components: the procedural steps for exporting, the necessary documentation and customs procedures, and the legal framework governing exports. It elucidates how Algeria facilitates exports while implementing regulations to safeguard its citizens. The outlined steps assist businesses in planning and thriving in international markets. Proper documentation and customs processes ensure seamless trade with other nations. The legal framework balances free trade with national interests, enhancing Algeria's competitiveness on the global stage.</w:t>
      </w:r>
    </w:p>
    <w:p w14:paraId="461EC007"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b/>
          <w:bCs/>
          <w:sz w:val="24"/>
          <w:szCs w:val="24"/>
          <w:lang w:val="en-US" w:eastAsia="fr-FR"/>
        </w:rPr>
        <w:t xml:space="preserve">1. </w:t>
      </w:r>
      <w:r w:rsidRPr="00161F6E">
        <w:rPr>
          <w:rStyle w:val="Heading3Char"/>
        </w:rPr>
        <w:t>Steps in the Export Proces</w:t>
      </w:r>
      <w:r w:rsidRPr="00D04FDF">
        <w:rPr>
          <w:rFonts w:asciiTheme="majorBidi" w:eastAsia="Times New Roman" w:hAnsiTheme="majorBidi" w:cstheme="majorBidi"/>
          <w:b/>
          <w:bCs/>
          <w:sz w:val="24"/>
          <w:szCs w:val="24"/>
          <w:lang w:val="en-US" w:eastAsia="fr-FR"/>
        </w:rPr>
        <w:t>s</w:t>
      </w:r>
    </w:p>
    <w:p w14:paraId="24B9A26A"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sz w:val="24"/>
          <w:szCs w:val="24"/>
          <w:lang w:val="en-US" w:eastAsia="fr-FR"/>
        </w:rPr>
        <w:t xml:space="preserve">   Exporting local products to international markets is a multifaceted endeavor that transforms domestic goods into globally traded commodities, connecting producers with distant consumers through a meticulously planned sequence of actions. This process is a deliberate and strategic progression requiring foresight, adaptability, and a comprehensive understanding of both the products offered and the targeted markets. Whether dealing with agricultural produce, manufactured goods, or artisanal items, exporters must navigate a series of interconnected steps to ensure their products succeed beyond national borders. Each phase builds upon the previous one, establishing a robust framework that mitigates risks, maximizes opportunities, and aligns operational capabilities with international expectations. This section provides an in-depth exploration of the ten critical steps in the export process, examining their complexities, practical implications, and broader significance, drawing from established trade literature to offer a comprehensive guide for producers entering the global market.</w:t>
      </w:r>
    </w:p>
    <w:p w14:paraId="00987622" w14:textId="77777777" w:rsidR="0077354A" w:rsidRPr="00D04FDF" w:rsidRDefault="0077354A" w:rsidP="00395763">
      <w:pPr>
        <w:spacing w:line="360" w:lineRule="auto"/>
        <w:jc w:val="both"/>
        <w:rPr>
          <w:rFonts w:asciiTheme="majorBidi" w:hAnsiTheme="majorBidi" w:cstheme="majorBidi"/>
          <w:sz w:val="24"/>
          <w:szCs w:val="24"/>
          <w:lang w:val="en-US"/>
        </w:rPr>
      </w:pPr>
      <w:r w:rsidRPr="00D04FDF">
        <w:rPr>
          <w:rFonts w:asciiTheme="majorBidi" w:hAnsiTheme="majorBidi" w:cstheme="majorBidi"/>
          <w:sz w:val="24"/>
          <w:szCs w:val="24"/>
          <w:lang w:val="en-US"/>
        </w:rPr>
        <w:t xml:space="preserve">   The following figure presents a thematic depiction of the essential steps in the export process, summarizing the sequence detailed in this section:</w:t>
      </w:r>
    </w:p>
    <w:p w14:paraId="6B643CAE" w14:textId="77777777" w:rsidR="0077354A" w:rsidRDefault="0077354A" w:rsidP="00483AF1">
      <w:pPr>
        <w:spacing w:line="360" w:lineRule="auto"/>
        <w:jc w:val="both"/>
        <w:rPr>
          <w:rFonts w:asciiTheme="majorBidi" w:hAnsiTheme="majorBidi" w:cstheme="majorBidi"/>
          <w:b/>
          <w:bCs/>
          <w:sz w:val="24"/>
          <w:szCs w:val="24"/>
          <w:lang w:val="en-US"/>
        </w:rPr>
      </w:pPr>
    </w:p>
    <w:p w14:paraId="17C4205E" w14:textId="77777777" w:rsidR="0024056C" w:rsidRDefault="0024056C" w:rsidP="00F62BDD">
      <w:pPr>
        <w:spacing w:line="360" w:lineRule="auto"/>
        <w:jc w:val="center"/>
        <w:rPr>
          <w:rFonts w:asciiTheme="majorBidi" w:hAnsiTheme="majorBidi" w:cstheme="majorBidi"/>
          <w:b/>
          <w:bCs/>
          <w:sz w:val="24"/>
          <w:szCs w:val="24"/>
          <w:lang w:val="en-US"/>
        </w:rPr>
      </w:pPr>
    </w:p>
    <w:p w14:paraId="41337DBB" w14:textId="77777777" w:rsidR="0024056C" w:rsidRDefault="0024056C" w:rsidP="00F62BDD">
      <w:pPr>
        <w:spacing w:line="360" w:lineRule="auto"/>
        <w:jc w:val="center"/>
        <w:rPr>
          <w:rFonts w:asciiTheme="majorBidi" w:hAnsiTheme="majorBidi" w:cstheme="majorBidi"/>
          <w:b/>
          <w:bCs/>
          <w:sz w:val="24"/>
          <w:szCs w:val="24"/>
          <w:lang w:val="en-US"/>
        </w:rPr>
      </w:pPr>
    </w:p>
    <w:p w14:paraId="0046F774" w14:textId="77777777" w:rsidR="0024056C" w:rsidRDefault="0024056C" w:rsidP="00F62BDD">
      <w:pPr>
        <w:spacing w:line="360" w:lineRule="auto"/>
        <w:jc w:val="center"/>
        <w:rPr>
          <w:rFonts w:asciiTheme="majorBidi" w:hAnsiTheme="majorBidi" w:cstheme="majorBidi"/>
          <w:b/>
          <w:bCs/>
          <w:sz w:val="24"/>
          <w:szCs w:val="24"/>
          <w:lang w:val="en-US"/>
        </w:rPr>
      </w:pPr>
    </w:p>
    <w:p w14:paraId="502F1B7D" w14:textId="77777777" w:rsidR="0024056C" w:rsidRDefault="0024056C" w:rsidP="00F62BDD">
      <w:pPr>
        <w:spacing w:line="360" w:lineRule="auto"/>
        <w:jc w:val="center"/>
        <w:rPr>
          <w:rFonts w:asciiTheme="majorBidi" w:hAnsiTheme="majorBidi" w:cstheme="majorBidi"/>
          <w:b/>
          <w:bCs/>
          <w:sz w:val="24"/>
          <w:szCs w:val="24"/>
          <w:lang w:val="en-US"/>
        </w:rPr>
      </w:pPr>
    </w:p>
    <w:p w14:paraId="7F78D3F2" w14:textId="3D8FC96C" w:rsidR="0077354A" w:rsidRPr="00D04FDF" w:rsidRDefault="0077354A" w:rsidP="00F62BDD">
      <w:pPr>
        <w:spacing w:line="360" w:lineRule="auto"/>
        <w:jc w:val="center"/>
        <w:rPr>
          <w:rFonts w:asciiTheme="majorBidi" w:hAnsiTheme="majorBidi" w:cstheme="majorBidi"/>
          <w:b/>
          <w:bCs/>
          <w:sz w:val="24"/>
          <w:szCs w:val="24"/>
          <w:lang w:val="en-US"/>
        </w:rPr>
      </w:pPr>
      <w:r w:rsidRPr="00D04FDF">
        <w:rPr>
          <w:rFonts w:asciiTheme="majorBidi" w:hAnsiTheme="majorBidi" w:cstheme="majorBidi"/>
          <w:b/>
          <w:bCs/>
          <w:sz w:val="24"/>
          <w:szCs w:val="24"/>
          <w:lang w:val="en-US"/>
        </w:rPr>
        <w:t>Figure</w:t>
      </w:r>
      <w:r w:rsidR="004A38BD">
        <w:rPr>
          <w:rFonts w:asciiTheme="majorBidi" w:hAnsiTheme="majorBidi" w:cstheme="majorBidi"/>
          <w:b/>
          <w:bCs/>
          <w:sz w:val="24"/>
          <w:szCs w:val="24"/>
          <w:lang w:val="en-US"/>
        </w:rPr>
        <w:t xml:space="preserve"> 4</w:t>
      </w:r>
      <w:r w:rsidRPr="00D04FDF">
        <w:rPr>
          <w:rFonts w:asciiTheme="majorBidi" w:hAnsiTheme="majorBidi" w:cstheme="majorBidi"/>
          <w:b/>
          <w:bCs/>
          <w:sz w:val="24"/>
          <w:szCs w:val="24"/>
          <w:lang w:val="en-US"/>
        </w:rPr>
        <w:t>: key steps for success in the export markets</w:t>
      </w:r>
    </w:p>
    <w:p w14:paraId="5967EB1D" w14:textId="77777777" w:rsidR="0077354A" w:rsidRPr="00D04FDF" w:rsidRDefault="0077354A" w:rsidP="00483AF1">
      <w:pPr>
        <w:spacing w:line="360" w:lineRule="auto"/>
        <w:jc w:val="both"/>
        <w:rPr>
          <w:rFonts w:asciiTheme="majorBidi" w:hAnsiTheme="majorBidi" w:cstheme="majorBidi"/>
          <w:sz w:val="24"/>
          <w:szCs w:val="24"/>
          <w:lang w:val="en-US"/>
        </w:rPr>
      </w:pPr>
      <w:r w:rsidRPr="00D04FDF">
        <w:rPr>
          <w:rFonts w:asciiTheme="majorBidi" w:eastAsia="Times New Roman" w:hAnsiTheme="majorBidi" w:cstheme="majorBidi"/>
          <w:noProof/>
          <w:sz w:val="24"/>
          <w:szCs w:val="24"/>
          <w:lang w:val="en-US" w:eastAsia="fr-FR"/>
        </w:rPr>
        <w:drawing>
          <wp:anchor distT="0" distB="0" distL="114300" distR="114300" simplePos="0" relativeHeight="251659264" behindDoc="1" locked="0" layoutInCell="1" allowOverlap="1" wp14:anchorId="24A08D32" wp14:editId="3E557834">
            <wp:simplePos x="0" y="0"/>
            <wp:positionH relativeFrom="margin">
              <wp:posOffset>617855</wp:posOffset>
            </wp:positionH>
            <wp:positionV relativeFrom="paragraph">
              <wp:posOffset>5715</wp:posOffset>
            </wp:positionV>
            <wp:extent cx="4497705" cy="2807970"/>
            <wp:effectExtent l="0" t="0" r="0" b="0"/>
            <wp:wrapTight wrapText="bothSides">
              <wp:wrapPolygon edited="0">
                <wp:start x="0" y="0"/>
                <wp:lineTo x="0" y="21395"/>
                <wp:lineTo x="21499" y="21395"/>
                <wp:lineTo x="21499"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5" cstate="print">
                      <a:extLst>
                        <a:ext uri="{28A0092B-C50C-407E-A947-70E740481C1C}">
                          <a14:useLocalDpi xmlns:a14="http://schemas.microsoft.com/office/drawing/2010/main" val="0"/>
                        </a:ext>
                      </a:extLst>
                    </a:blip>
                    <a:srcRect r="26864" b="9631"/>
                    <a:stretch/>
                  </pic:blipFill>
                  <pic:spPr bwMode="auto">
                    <a:xfrm>
                      <a:off x="0" y="0"/>
                      <a:ext cx="4497705" cy="280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B3AFA6" w14:textId="77777777" w:rsidR="0077354A" w:rsidRPr="00D04FDF" w:rsidRDefault="0077354A" w:rsidP="00483AF1">
      <w:pPr>
        <w:spacing w:line="360" w:lineRule="auto"/>
        <w:jc w:val="both"/>
        <w:rPr>
          <w:rFonts w:asciiTheme="majorBidi" w:eastAsia="Times New Roman" w:hAnsiTheme="majorBidi" w:cstheme="majorBidi"/>
          <w:noProof/>
          <w:sz w:val="24"/>
          <w:szCs w:val="24"/>
          <w:lang w:val="en-US" w:eastAsia="fr-FR"/>
        </w:rPr>
      </w:pPr>
    </w:p>
    <w:p w14:paraId="42662D4D" w14:textId="77777777" w:rsidR="0077354A" w:rsidRPr="00D04FDF" w:rsidRDefault="0077354A" w:rsidP="00483AF1">
      <w:pPr>
        <w:spacing w:line="360" w:lineRule="auto"/>
        <w:jc w:val="both"/>
        <w:rPr>
          <w:rFonts w:asciiTheme="majorBidi" w:hAnsiTheme="majorBidi" w:cstheme="majorBidi"/>
          <w:sz w:val="24"/>
          <w:szCs w:val="24"/>
          <w:lang w:val="en-US"/>
        </w:rPr>
      </w:pPr>
    </w:p>
    <w:p w14:paraId="64E4AD14" w14:textId="77777777" w:rsidR="0077354A" w:rsidRPr="00D04FDF" w:rsidRDefault="0077354A" w:rsidP="00483AF1">
      <w:pPr>
        <w:spacing w:line="360" w:lineRule="auto"/>
        <w:jc w:val="both"/>
        <w:rPr>
          <w:rFonts w:asciiTheme="majorBidi" w:hAnsiTheme="majorBidi" w:cstheme="majorBidi"/>
          <w:sz w:val="24"/>
          <w:szCs w:val="24"/>
          <w:lang w:val="en-US"/>
        </w:rPr>
      </w:pPr>
    </w:p>
    <w:p w14:paraId="33D0BB66" w14:textId="77777777" w:rsidR="0077354A" w:rsidRPr="00D04FDF" w:rsidRDefault="0077354A" w:rsidP="00483AF1">
      <w:pPr>
        <w:spacing w:line="360" w:lineRule="auto"/>
        <w:jc w:val="both"/>
        <w:rPr>
          <w:rFonts w:asciiTheme="majorBidi" w:hAnsiTheme="majorBidi" w:cstheme="majorBidi"/>
          <w:sz w:val="24"/>
          <w:szCs w:val="24"/>
          <w:lang w:val="en-US"/>
        </w:rPr>
      </w:pPr>
    </w:p>
    <w:p w14:paraId="69B1F771" w14:textId="77777777" w:rsidR="0077354A" w:rsidRPr="00D04FDF" w:rsidRDefault="0077354A" w:rsidP="00483AF1">
      <w:pPr>
        <w:spacing w:line="360" w:lineRule="auto"/>
        <w:jc w:val="both"/>
        <w:rPr>
          <w:rFonts w:asciiTheme="majorBidi" w:hAnsiTheme="majorBidi" w:cstheme="majorBidi"/>
          <w:sz w:val="24"/>
          <w:szCs w:val="24"/>
          <w:lang w:val="en-US"/>
        </w:rPr>
      </w:pPr>
    </w:p>
    <w:p w14:paraId="6B6E9D83" w14:textId="77777777" w:rsidR="0077354A" w:rsidRPr="00D04FDF" w:rsidRDefault="0077354A" w:rsidP="00483AF1">
      <w:pPr>
        <w:spacing w:line="360" w:lineRule="auto"/>
        <w:jc w:val="both"/>
        <w:rPr>
          <w:rFonts w:asciiTheme="majorBidi" w:hAnsiTheme="majorBidi" w:cstheme="majorBidi"/>
          <w:sz w:val="24"/>
          <w:szCs w:val="24"/>
          <w:lang w:val="en-US"/>
        </w:rPr>
      </w:pPr>
    </w:p>
    <w:p w14:paraId="0D9DA746" w14:textId="77777777" w:rsidR="0077354A" w:rsidRPr="00D04FDF" w:rsidRDefault="0077354A" w:rsidP="00483AF1">
      <w:pPr>
        <w:spacing w:line="360" w:lineRule="auto"/>
        <w:jc w:val="both"/>
        <w:rPr>
          <w:rFonts w:asciiTheme="majorBidi" w:hAnsiTheme="majorBidi" w:cstheme="majorBidi"/>
          <w:sz w:val="24"/>
          <w:szCs w:val="24"/>
          <w:lang w:val="en-US"/>
        </w:rPr>
      </w:pPr>
    </w:p>
    <w:p w14:paraId="7426E57E" w14:textId="77777777" w:rsidR="0077354A" w:rsidRPr="00D04FDF" w:rsidRDefault="0077354A" w:rsidP="0024056C">
      <w:pPr>
        <w:spacing w:before="100" w:beforeAutospacing="1" w:after="100" w:afterAutospacing="1" w:line="360" w:lineRule="auto"/>
        <w:jc w:val="center"/>
        <w:rPr>
          <w:rFonts w:asciiTheme="majorBidi" w:eastAsia="Times New Roman" w:hAnsiTheme="majorBidi" w:cstheme="majorBidi"/>
          <w:b/>
          <w:bCs/>
          <w:sz w:val="24"/>
          <w:szCs w:val="24"/>
          <w:lang w:val="en-GB" w:eastAsia="fr-FR"/>
        </w:rPr>
      </w:pPr>
      <w:r w:rsidRPr="00FD7333">
        <w:rPr>
          <w:rFonts w:asciiTheme="majorBidi" w:eastAsia="Times New Roman" w:hAnsiTheme="majorBidi" w:cstheme="majorBidi"/>
          <w:b/>
          <w:bCs/>
          <w:sz w:val="24"/>
          <w:szCs w:val="24"/>
          <w:lang w:val="en-US" w:eastAsia="fr-FR"/>
        </w:rPr>
        <w:t>Source:</w:t>
      </w:r>
      <w:r w:rsidRPr="00D04FDF">
        <w:rPr>
          <w:rFonts w:asciiTheme="majorBidi" w:hAnsiTheme="majorBidi" w:cstheme="majorBidi"/>
          <w:color w:val="000000"/>
          <w:sz w:val="24"/>
          <w:szCs w:val="24"/>
          <w:shd w:val="clear" w:color="auto" w:fill="FFFFFF"/>
          <w:lang w:val="en-GB"/>
        </w:rPr>
        <w:t xml:space="preserve"> John R. Darling, Hannu T. Seristö, “Key Steps for Success in the Export Markets: A New Paradigm for Strategic Decision Making,” European Business Review, 2004.</w:t>
      </w:r>
    </w:p>
    <w:p w14:paraId="133F1467"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b/>
          <w:bCs/>
          <w:sz w:val="24"/>
          <w:szCs w:val="24"/>
          <w:lang w:val="en-US" w:eastAsia="fr-FR"/>
        </w:rPr>
        <w:t xml:space="preserve">1.1. </w:t>
      </w:r>
      <w:r w:rsidRPr="00161F6E">
        <w:rPr>
          <w:rStyle w:val="Heading4Char"/>
        </w:rPr>
        <w:t>Analyzing Market Opportunitie</w:t>
      </w:r>
      <w:r w:rsidRPr="00D04FDF">
        <w:rPr>
          <w:rFonts w:asciiTheme="majorBidi" w:eastAsia="Times New Roman" w:hAnsiTheme="majorBidi" w:cstheme="majorBidi"/>
          <w:b/>
          <w:bCs/>
          <w:sz w:val="24"/>
          <w:szCs w:val="24"/>
          <w:lang w:val="en-US" w:eastAsia="fr-FR"/>
        </w:rPr>
        <w:t>s</w:t>
      </w:r>
    </w:p>
    <w:p w14:paraId="75FE702F"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sz w:val="24"/>
          <w:szCs w:val="24"/>
          <w:lang w:val="en-US" w:eastAsia="fr-FR"/>
        </w:rPr>
        <w:t xml:space="preserve">   The export process begins with a thorough evaluation of potential international markets. This involves examining economic indicators like GDP growth, trade balances, and inflation rates, as well as understanding legal frameworks such as import tariffs and sanitary regulations. Cultural factors, including dietary habits and aesthetic preferences, also play a crucial role. For instance, a rising demand for organic foods in certain regions may present opportunities for natural agricultural products.​</w:t>
      </w:r>
    </w:p>
    <w:p w14:paraId="3D22A0D4" w14:textId="77777777" w:rsidR="0077354A" w:rsidRPr="00D04FDF" w:rsidRDefault="0077354A" w:rsidP="00483AF1">
      <w:pPr>
        <w:spacing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sz w:val="24"/>
          <w:szCs w:val="24"/>
          <w:lang w:val="en-US" w:eastAsia="fr-FR"/>
        </w:rPr>
        <w:t xml:space="preserve">   Additionally, assessing market size, demographics, purchasing power, and growth trends is essential. Competitor analysis helps identify market gaps and areas for differentiation. By leveraging trade journals, import-export statistics, and consumer reviews, exporters can gain valuable insights to inform their strategies</w:t>
      </w:r>
      <w:r w:rsidRPr="00D04FDF">
        <w:rPr>
          <w:rStyle w:val="FootnoteReference"/>
          <w:rFonts w:asciiTheme="majorBidi" w:eastAsia="Times New Roman" w:hAnsiTheme="majorBidi" w:cstheme="majorBidi"/>
          <w:sz w:val="24"/>
          <w:szCs w:val="24"/>
          <w:lang w:val="en-US" w:eastAsia="fr-FR"/>
        </w:rPr>
        <w:footnoteReference w:id="98"/>
      </w:r>
      <w:r w:rsidRPr="00D04FDF">
        <w:rPr>
          <w:rFonts w:asciiTheme="majorBidi" w:eastAsia="Times New Roman" w:hAnsiTheme="majorBidi" w:cstheme="majorBidi"/>
          <w:sz w:val="24"/>
          <w:szCs w:val="24"/>
          <w:lang w:val="en-US" w:eastAsia="fr-FR"/>
        </w:rPr>
        <w:t>. The process is resource-intensive, often involving collaboration with market research firms, government trade agencies, or online databases, yet it’s indispensable. Missteps here overlooking a regulatory ban or underestimating competition a doom an export venture before it begins, making this step a painstaking but essential exercise in strategic foresight.</w:t>
      </w:r>
    </w:p>
    <w:p w14:paraId="7480B244"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b/>
          <w:bCs/>
          <w:sz w:val="24"/>
          <w:szCs w:val="24"/>
          <w:lang w:val="en-US" w:eastAsia="fr-FR"/>
        </w:rPr>
        <w:t xml:space="preserve">1.2. </w:t>
      </w:r>
      <w:r w:rsidRPr="00161F6E">
        <w:rPr>
          <w:rStyle w:val="Heading4Char"/>
        </w:rPr>
        <w:t>Assessing Product Potentia</w:t>
      </w:r>
      <w:r w:rsidRPr="00D04FDF">
        <w:rPr>
          <w:rFonts w:asciiTheme="majorBidi" w:eastAsia="Times New Roman" w:hAnsiTheme="majorBidi" w:cstheme="majorBidi"/>
          <w:b/>
          <w:bCs/>
          <w:sz w:val="24"/>
          <w:szCs w:val="24"/>
          <w:lang w:val="en-US" w:eastAsia="fr-FR"/>
        </w:rPr>
        <w:t>l</w:t>
      </w:r>
    </w:p>
    <w:p w14:paraId="0843BEF6" w14:textId="77777777" w:rsidR="0077354A" w:rsidRPr="00D04FDF" w:rsidRDefault="0077354A" w:rsidP="00483AF1">
      <w:pPr>
        <w:spacing w:before="100" w:beforeAutospacing="1" w:after="100" w:afterAutospacing="1" w:line="360" w:lineRule="auto"/>
        <w:jc w:val="both"/>
        <w:rPr>
          <w:rFonts w:asciiTheme="majorBidi" w:hAnsiTheme="majorBidi" w:cstheme="majorBidi"/>
          <w:sz w:val="24"/>
          <w:szCs w:val="24"/>
          <w:lang w:val="en-US"/>
        </w:rPr>
      </w:pPr>
      <w:r w:rsidRPr="00D04FDF">
        <w:rPr>
          <w:rFonts w:asciiTheme="majorBidi" w:eastAsia="Times New Roman" w:hAnsiTheme="majorBidi" w:cstheme="majorBidi"/>
          <w:sz w:val="24"/>
          <w:szCs w:val="24"/>
          <w:lang w:val="en-US" w:eastAsia="fr-FR"/>
        </w:rPr>
        <w:t xml:space="preserve">   Once markets are identified, exporters focus on evaluating which products are most likely to succeed internationally. This involves analyzing customer needs in target regions, understanding their pain points, and aligning the product to address these needs. For example, a food product may cater to demands for convenience or health, while a handcrafted item could appeal to consumers seeking authenticity or uniqueness</w:t>
      </w:r>
      <w:r w:rsidRPr="00D04FDF">
        <w:rPr>
          <w:rStyle w:val="FootnoteReference"/>
          <w:rFonts w:asciiTheme="majorBidi" w:eastAsia="Times New Roman" w:hAnsiTheme="majorBidi" w:cstheme="majorBidi"/>
          <w:sz w:val="24"/>
          <w:szCs w:val="24"/>
          <w:lang w:val="en-US" w:eastAsia="fr-FR"/>
        </w:rPr>
        <w:footnoteReference w:id="99"/>
      </w:r>
      <w:r w:rsidRPr="00D04FDF">
        <w:rPr>
          <w:rFonts w:asciiTheme="majorBidi" w:eastAsia="Times New Roman" w:hAnsiTheme="majorBidi" w:cstheme="majorBidi"/>
          <w:sz w:val="24"/>
          <w:szCs w:val="24"/>
          <w:lang w:val="en-US" w:eastAsia="fr-FR"/>
        </w:rPr>
        <w:t>.Exporters must compare market needs with current offerings, identifying gaps in quality, price, or innovation. This helps determine if the product undercuts, outshines, or complements existing options. Additionally, evaluating production feasibility is crucial. Can the supply chain handle consistent output while maintaining quality? For perishable goods, factors like shelf life and packaging are essential. Scalability is also important; small-batch products may work for niche markets, but production must scale if demand increases</w:t>
      </w:r>
      <w:r w:rsidRPr="00D04FDF">
        <w:rPr>
          <w:rStyle w:val="FootnoteReference"/>
          <w:rFonts w:asciiTheme="majorBidi" w:eastAsia="Times New Roman" w:hAnsiTheme="majorBidi" w:cstheme="majorBidi"/>
          <w:sz w:val="24"/>
          <w:szCs w:val="24"/>
          <w:lang w:val="en-US" w:eastAsia="fr-FR"/>
        </w:rPr>
        <w:footnoteReference w:id="100"/>
      </w:r>
      <w:r w:rsidRPr="00D04FDF">
        <w:rPr>
          <w:rFonts w:asciiTheme="majorBidi" w:eastAsia="Times New Roman" w:hAnsiTheme="majorBidi" w:cstheme="majorBidi"/>
          <w:sz w:val="24"/>
          <w:szCs w:val="24"/>
          <w:lang w:val="en-US" w:eastAsia="fr-FR"/>
        </w:rPr>
        <w:t>.</w:t>
      </w:r>
      <w:r w:rsidRPr="00D04FDF">
        <w:rPr>
          <w:rFonts w:asciiTheme="majorBidi" w:hAnsiTheme="majorBidi" w:cstheme="majorBidi"/>
          <w:sz w:val="24"/>
          <w:szCs w:val="24"/>
          <w:lang w:val="en-US"/>
        </w:rPr>
        <w:t xml:space="preserve"> This stage includes testing the product through samples or trade fairs to assess market reception and refine it. The goal is to highlight the product’s unique value and ensure it appeals to foreign buyers, making the investment worthwhile.</w:t>
      </w:r>
    </w:p>
    <w:p w14:paraId="2A019858"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b/>
          <w:bCs/>
          <w:sz w:val="24"/>
          <w:szCs w:val="24"/>
          <w:lang w:val="en-US" w:eastAsia="fr-FR"/>
        </w:rPr>
        <w:t xml:space="preserve">1.3. </w:t>
      </w:r>
      <w:r w:rsidRPr="00161F6E">
        <w:rPr>
          <w:rStyle w:val="Heading4Char"/>
        </w:rPr>
        <w:t>Establish Market Entry Mod</w:t>
      </w:r>
      <w:r w:rsidRPr="00D04FDF">
        <w:rPr>
          <w:rFonts w:asciiTheme="majorBidi" w:eastAsia="Times New Roman" w:hAnsiTheme="majorBidi" w:cstheme="majorBidi"/>
          <w:b/>
          <w:bCs/>
          <w:sz w:val="24"/>
          <w:szCs w:val="24"/>
          <w:lang w:val="en-US" w:eastAsia="fr-FR"/>
        </w:rPr>
        <w:t>e</w:t>
      </w:r>
    </w:p>
    <w:p w14:paraId="1A3E2B8F" w14:textId="68A3BDE6" w:rsidR="0077354A" w:rsidRPr="00D04FDF" w:rsidRDefault="0077354A" w:rsidP="00483AF1">
      <w:pPr>
        <w:spacing w:before="100" w:beforeAutospacing="1" w:after="100" w:afterAutospacing="1" w:line="360" w:lineRule="auto"/>
        <w:jc w:val="both"/>
        <w:rPr>
          <w:rFonts w:asciiTheme="majorBidi" w:hAnsiTheme="majorBidi" w:cstheme="majorBidi"/>
          <w:sz w:val="24"/>
          <w:szCs w:val="24"/>
          <w:lang w:val="en-US"/>
        </w:rPr>
      </w:pPr>
      <w:r w:rsidRPr="00D04FDF">
        <w:rPr>
          <w:rFonts w:asciiTheme="majorBidi" w:eastAsia="Times New Roman" w:hAnsiTheme="majorBidi" w:cstheme="majorBidi"/>
          <w:sz w:val="24"/>
          <w:szCs w:val="24"/>
          <w:lang w:val="en-US" w:eastAsia="fr-FR"/>
        </w:rPr>
        <w:t xml:space="preserve">   Choosing the method of delivering products internationally is a key decision. Direct export offers more control over pricing, branding, and relationships, ideal for larger firms. Indirect export uses intermediaries, reducing risk and complexity, making it suitable for smaller companies. The decision depends on factors such as product type, market proximity, and the company's resources. Alternative options include partnerships like joint ventures or licensing, which help navigate local regulations and cultures</w:t>
      </w:r>
      <w:r w:rsidRPr="00D04FDF">
        <w:rPr>
          <w:rStyle w:val="FootnoteReference"/>
          <w:rFonts w:asciiTheme="majorBidi" w:eastAsia="Times New Roman" w:hAnsiTheme="majorBidi" w:cstheme="majorBidi"/>
          <w:sz w:val="24"/>
          <w:szCs w:val="24"/>
          <w:lang w:val="en-US" w:eastAsia="fr-FR"/>
        </w:rPr>
        <w:footnoteReference w:id="101"/>
      </w:r>
      <w:r w:rsidRPr="00D04FDF">
        <w:rPr>
          <w:rFonts w:asciiTheme="majorBidi" w:eastAsia="Times New Roman" w:hAnsiTheme="majorBidi" w:cstheme="majorBidi"/>
          <w:sz w:val="24"/>
          <w:szCs w:val="24"/>
          <w:lang w:val="en-US" w:eastAsia="fr-FR"/>
        </w:rPr>
        <w:t xml:space="preserve">. </w:t>
      </w:r>
      <w:r w:rsidRPr="00D04FDF">
        <w:rPr>
          <w:rFonts w:asciiTheme="majorBidi" w:hAnsiTheme="majorBidi" w:cstheme="majorBidi"/>
          <w:sz w:val="24"/>
          <w:szCs w:val="24"/>
          <w:lang w:val="en-US"/>
        </w:rPr>
        <w:t>Exporters should consider the long-term impact of their entry mode</w:t>
      </w:r>
      <w:r w:rsidR="00740E8D">
        <w:rPr>
          <w:rFonts w:asciiTheme="majorBidi" w:hAnsiTheme="majorBidi" w:cstheme="majorBidi"/>
          <w:sz w:val="24"/>
          <w:szCs w:val="24"/>
          <w:lang w:val="en-US"/>
        </w:rPr>
        <w:t xml:space="preserve"> </w:t>
      </w:r>
      <w:r w:rsidRPr="00D04FDF">
        <w:rPr>
          <w:rFonts w:asciiTheme="majorBidi" w:hAnsiTheme="majorBidi" w:cstheme="majorBidi"/>
          <w:sz w:val="24"/>
          <w:szCs w:val="24"/>
          <w:lang w:val="en-US"/>
        </w:rPr>
        <w:t>whether it supports growth and brand development. This decision evolves with experience, requiring continuous reassessment to maximize reach and profitability in a changing global market.</w:t>
      </w:r>
    </w:p>
    <w:p w14:paraId="5E19BA48" w14:textId="77777777" w:rsidR="0077354A" w:rsidRPr="00D04FDF" w:rsidRDefault="0077354A" w:rsidP="0077354A">
      <w:pPr>
        <w:pStyle w:val="break-words"/>
        <w:numPr>
          <w:ilvl w:val="1"/>
          <w:numId w:val="29"/>
        </w:numPr>
        <w:spacing w:line="360" w:lineRule="auto"/>
        <w:jc w:val="both"/>
        <w:rPr>
          <w:rStyle w:val="Strong"/>
          <w:rFonts w:asciiTheme="majorBidi" w:hAnsiTheme="majorBidi" w:cstheme="majorBidi"/>
          <w:lang w:val="en-US"/>
        </w:rPr>
      </w:pPr>
      <w:r w:rsidRPr="00D04FDF">
        <w:rPr>
          <w:rStyle w:val="Strong"/>
          <w:rFonts w:asciiTheme="majorBidi" w:hAnsiTheme="majorBidi" w:cstheme="majorBidi"/>
          <w:lang w:val="en-US"/>
        </w:rPr>
        <w:t xml:space="preserve"> </w:t>
      </w:r>
      <w:bookmarkStart w:id="210" w:name="_Toc200720029"/>
      <w:bookmarkStart w:id="211" w:name="_Toc200721670"/>
      <w:r w:rsidRPr="00161F6E">
        <w:rPr>
          <w:rStyle w:val="Heading4Char"/>
        </w:rPr>
        <w:t>Make a firm commitmen</w:t>
      </w:r>
      <w:bookmarkEnd w:id="210"/>
      <w:bookmarkEnd w:id="211"/>
      <w:r w:rsidRPr="00D04FDF">
        <w:rPr>
          <w:rStyle w:val="Strong"/>
          <w:rFonts w:asciiTheme="majorBidi" w:hAnsiTheme="majorBidi" w:cstheme="majorBidi"/>
          <w:lang w:val="en-US"/>
        </w:rPr>
        <w:t>t</w:t>
      </w:r>
    </w:p>
    <w:p w14:paraId="1C0C31E0"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hAnsiTheme="majorBidi" w:cstheme="majorBidi"/>
          <w:sz w:val="24"/>
          <w:szCs w:val="24"/>
          <w:lang w:val="en-US"/>
        </w:rPr>
        <w:t xml:space="preserve">   Exporting requires a strong commitment from leadership, treating international markets as a core growth driver rather than an experiment. Companies must prioritize export goals with the same focus as domestic ones, viewing challenges like currency fluctuations and shipping delays as manageable obstacles. This commitment is shown through actions such as staff training, building relationships with distributors, and adjusting production to meet export needs. By doing so, companies position themselves for long-term global success.</w:t>
      </w:r>
    </w:p>
    <w:p w14:paraId="1AE2306D" w14:textId="77777777" w:rsidR="0077354A" w:rsidRPr="00D04FDF" w:rsidRDefault="0077354A" w:rsidP="0077354A">
      <w:pPr>
        <w:pStyle w:val="break-words"/>
        <w:numPr>
          <w:ilvl w:val="1"/>
          <w:numId w:val="29"/>
        </w:numPr>
        <w:spacing w:line="360" w:lineRule="auto"/>
        <w:jc w:val="both"/>
        <w:rPr>
          <w:rStyle w:val="Strong"/>
          <w:rFonts w:asciiTheme="majorBidi" w:hAnsiTheme="majorBidi" w:cstheme="majorBidi"/>
          <w:lang w:val="en-US"/>
        </w:rPr>
      </w:pPr>
      <w:r w:rsidRPr="00D04FDF">
        <w:rPr>
          <w:rStyle w:val="Strong"/>
          <w:rFonts w:asciiTheme="majorBidi" w:hAnsiTheme="majorBidi" w:cstheme="majorBidi"/>
          <w:lang w:val="en-US"/>
        </w:rPr>
        <w:t xml:space="preserve">  </w:t>
      </w:r>
      <w:bookmarkStart w:id="212" w:name="_Toc200720030"/>
      <w:bookmarkStart w:id="213" w:name="_Toc200721671"/>
      <w:r w:rsidRPr="00161F6E">
        <w:rPr>
          <w:rStyle w:val="Heading4Char"/>
        </w:rPr>
        <w:t>Allocate necessary resource</w:t>
      </w:r>
      <w:bookmarkEnd w:id="212"/>
      <w:bookmarkEnd w:id="213"/>
      <w:r w:rsidRPr="00D04FDF">
        <w:rPr>
          <w:rStyle w:val="Strong"/>
          <w:rFonts w:asciiTheme="majorBidi" w:hAnsiTheme="majorBidi" w:cstheme="majorBidi"/>
          <w:lang w:val="en-US"/>
        </w:rPr>
        <w:t>s</w:t>
      </w:r>
    </w:p>
    <w:p w14:paraId="72687519" w14:textId="77777777" w:rsidR="0077354A" w:rsidRPr="00D04FDF" w:rsidRDefault="0077354A" w:rsidP="00483AF1">
      <w:pPr>
        <w:spacing w:before="100" w:beforeAutospacing="1" w:after="100" w:afterAutospacing="1" w:line="360" w:lineRule="auto"/>
        <w:jc w:val="both"/>
        <w:rPr>
          <w:rFonts w:asciiTheme="majorBidi" w:hAnsiTheme="majorBidi" w:cstheme="majorBidi"/>
          <w:sz w:val="24"/>
          <w:szCs w:val="24"/>
          <w:lang w:val="en-US"/>
        </w:rPr>
      </w:pPr>
      <w:r w:rsidRPr="00D04FDF">
        <w:rPr>
          <w:rFonts w:asciiTheme="majorBidi" w:hAnsiTheme="majorBidi" w:cstheme="majorBidi"/>
          <w:sz w:val="24"/>
          <w:szCs w:val="24"/>
          <w:lang w:val="en-US"/>
        </w:rPr>
        <w:t xml:space="preserve">   Exporting requires careful allocation of financial, human, and logistical resources. Financially, exporters must plan for costs such as packaging upgrades, certifications, and shipping fees while ensuring a realistic return on investment. Human resources are vital, requiring skilled personnel like export managers and logistics coordinators to handle trade complexities. Logistical support, including warehouses, transport fleets, and cold storage, must align with export volumes and schedules</w:t>
      </w:r>
      <w:r w:rsidRPr="00D04FDF">
        <w:rPr>
          <w:rStyle w:val="FootnoteReference"/>
          <w:rFonts w:asciiTheme="majorBidi" w:hAnsiTheme="majorBidi" w:cstheme="majorBidi"/>
          <w:sz w:val="24"/>
          <w:szCs w:val="24"/>
          <w:lang w:val="en-US"/>
        </w:rPr>
        <w:footnoteReference w:id="102"/>
      </w:r>
      <w:r w:rsidRPr="00D04FDF">
        <w:rPr>
          <w:rFonts w:asciiTheme="majorBidi" w:hAnsiTheme="majorBidi" w:cstheme="majorBidi"/>
          <w:sz w:val="24"/>
          <w:szCs w:val="24"/>
          <w:lang w:val="en-US"/>
        </w:rPr>
        <w:t>. External resources like government grants and trade associations, along with seasonal production, can ease costs and optimize efficiency. Proper planning is vital to balance resources and avoid financial strain or delays.</w:t>
      </w:r>
    </w:p>
    <w:p w14:paraId="2C61466E" w14:textId="77777777" w:rsidR="0077354A" w:rsidRPr="00D04FDF" w:rsidRDefault="0077354A" w:rsidP="0077354A">
      <w:pPr>
        <w:pStyle w:val="ListParagraph"/>
        <w:numPr>
          <w:ilvl w:val="1"/>
          <w:numId w:val="29"/>
        </w:numPr>
        <w:spacing w:line="360" w:lineRule="auto"/>
        <w:jc w:val="both"/>
        <w:rPr>
          <w:rStyle w:val="Strong"/>
          <w:rFonts w:asciiTheme="majorBidi" w:hAnsiTheme="majorBidi" w:cstheme="majorBidi"/>
          <w:sz w:val="24"/>
          <w:szCs w:val="24"/>
          <w:lang w:val="en-US"/>
        </w:rPr>
      </w:pPr>
      <w:r w:rsidRPr="00D04FDF">
        <w:rPr>
          <w:rStyle w:val="Strong"/>
          <w:rFonts w:asciiTheme="majorBidi" w:hAnsiTheme="majorBidi" w:cstheme="majorBidi"/>
          <w:sz w:val="24"/>
          <w:szCs w:val="24"/>
          <w:lang w:val="en-US"/>
        </w:rPr>
        <w:t xml:space="preserve"> </w:t>
      </w:r>
      <w:bookmarkStart w:id="214" w:name="_Toc200720031"/>
      <w:bookmarkStart w:id="215" w:name="_Toc200721672"/>
      <w:r w:rsidRPr="00161F6E">
        <w:rPr>
          <w:rStyle w:val="Heading4Char"/>
        </w:rPr>
        <w:t>Identify technical issue</w:t>
      </w:r>
      <w:bookmarkEnd w:id="214"/>
      <w:bookmarkEnd w:id="215"/>
      <w:r w:rsidRPr="00D04FDF">
        <w:rPr>
          <w:rStyle w:val="Strong"/>
          <w:rFonts w:asciiTheme="majorBidi" w:hAnsiTheme="majorBidi" w:cstheme="majorBidi"/>
          <w:sz w:val="24"/>
          <w:szCs w:val="24"/>
          <w:lang w:val="en-US"/>
        </w:rPr>
        <w:t>s</w:t>
      </w:r>
    </w:p>
    <w:p w14:paraId="2AD7B7AA" w14:textId="77777777" w:rsidR="0077354A" w:rsidRPr="00D04FDF" w:rsidRDefault="0077354A" w:rsidP="00483AF1">
      <w:pPr>
        <w:spacing w:before="100" w:beforeAutospacing="1" w:after="100" w:afterAutospacing="1" w:line="360" w:lineRule="auto"/>
        <w:jc w:val="both"/>
        <w:rPr>
          <w:rFonts w:asciiTheme="majorBidi" w:hAnsiTheme="majorBidi" w:cstheme="majorBidi"/>
          <w:sz w:val="24"/>
          <w:szCs w:val="24"/>
          <w:lang w:val="en-US"/>
        </w:rPr>
      </w:pPr>
      <w:r w:rsidRPr="00D04FDF">
        <w:rPr>
          <w:rFonts w:asciiTheme="majorBidi" w:hAnsiTheme="majorBidi" w:cstheme="majorBidi"/>
          <w:sz w:val="24"/>
          <w:szCs w:val="24"/>
          <w:lang w:val="en-US"/>
        </w:rPr>
        <w:t xml:space="preserve">   Technical challenges, especially language barriers, can disrupt export plans. Precise trade terms across languages like French and English are crucial to avoid misunderstandings in contracts and customs filings</w:t>
      </w:r>
      <w:r w:rsidRPr="00D04FDF">
        <w:rPr>
          <w:rStyle w:val="FootnoteReference"/>
          <w:rFonts w:asciiTheme="majorBidi" w:hAnsiTheme="majorBidi" w:cstheme="majorBidi"/>
          <w:sz w:val="24"/>
          <w:szCs w:val="24"/>
          <w:lang w:val="en-US"/>
        </w:rPr>
        <w:footnoteReference w:id="103"/>
      </w:r>
      <w:r w:rsidRPr="00D04FDF">
        <w:rPr>
          <w:rFonts w:asciiTheme="majorBidi" w:hAnsiTheme="majorBidi" w:cstheme="majorBidi"/>
          <w:sz w:val="24"/>
          <w:szCs w:val="24"/>
          <w:lang w:val="en-US"/>
        </w:rPr>
        <w:t>. Logistical issues, like poor infrastructure and port congestion, can delay shipments, especially perishables, requiring reliable transport. Regulatory compliance adds further complexity, with exporters needing certifications and navigating varying customs rules by destination</w:t>
      </w:r>
      <w:r w:rsidRPr="00D04FDF">
        <w:rPr>
          <w:rStyle w:val="FootnoteReference"/>
          <w:rFonts w:asciiTheme="majorBidi" w:hAnsiTheme="majorBidi" w:cstheme="majorBidi"/>
          <w:sz w:val="24"/>
          <w:szCs w:val="24"/>
          <w:lang w:val="en-US"/>
        </w:rPr>
        <w:footnoteReference w:id="104"/>
      </w:r>
      <w:r w:rsidRPr="00D04FDF">
        <w:rPr>
          <w:rFonts w:asciiTheme="majorBidi" w:hAnsiTheme="majorBidi" w:cstheme="majorBidi"/>
          <w:sz w:val="24"/>
          <w:szCs w:val="24"/>
          <w:lang w:val="en-US"/>
        </w:rPr>
        <w:t>. Technology solutions like tracking systems and digital platforms can help, but they require investment and training. Addressing these challenges early through feasibility studies or pilot runs prevents costly disruptions and maintains trust and profitability.</w:t>
      </w:r>
    </w:p>
    <w:p w14:paraId="30ADB619" w14:textId="77777777" w:rsidR="0077354A" w:rsidRPr="00D04FDF" w:rsidRDefault="0077354A" w:rsidP="0077354A">
      <w:pPr>
        <w:pStyle w:val="break-words"/>
        <w:numPr>
          <w:ilvl w:val="1"/>
          <w:numId w:val="29"/>
        </w:numPr>
        <w:spacing w:line="360" w:lineRule="auto"/>
        <w:jc w:val="both"/>
        <w:rPr>
          <w:rFonts w:asciiTheme="majorBidi" w:hAnsiTheme="majorBidi" w:cstheme="majorBidi"/>
          <w:b/>
          <w:bCs/>
          <w:lang w:val="en-US"/>
        </w:rPr>
      </w:pPr>
      <w:r w:rsidRPr="00D04FDF">
        <w:rPr>
          <w:rFonts w:asciiTheme="majorBidi" w:hAnsiTheme="majorBidi" w:cstheme="majorBidi"/>
          <w:b/>
          <w:bCs/>
          <w:lang w:val="en-US"/>
        </w:rPr>
        <w:t xml:space="preserve"> </w:t>
      </w:r>
      <w:bookmarkStart w:id="216" w:name="_Toc200720032"/>
      <w:bookmarkStart w:id="217" w:name="_Toc200721673"/>
      <w:r w:rsidRPr="00161F6E">
        <w:rPr>
          <w:rStyle w:val="Heading4Char"/>
        </w:rPr>
        <w:t>Develop strategic marketing pla</w:t>
      </w:r>
      <w:bookmarkEnd w:id="216"/>
      <w:bookmarkEnd w:id="217"/>
      <w:r w:rsidRPr="00D04FDF">
        <w:rPr>
          <w:rFonts w:asciiTheme="majorBidi" w:hAnsiTheme="majorBidi" w:cstheme="majorBidi"/>
          <w:b/>
          <w:bCs/>
          <w:lang w:val="en-US"/>
        </w:rPr>
        <w:t>n</w:t>
      </w:r>
    </w:p>
    <w:p w14:paraId="132F9F8C" w14:textId="77777777" w:rsidR="0077354A" w:rsidRPr="00D04FDF" w:rsidRDefault="0077354A" w:rsidP="00483AF1">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D04FDF">
        <w:rPr>
          <w:rFonts w:asciiTheme="majorBidi" w:hAnsiTheme="majorBidi" w:cstheme="majorBidi"/>
          <w:sz w:val="24"/>
          <w:szCs w:val="24"/>
          <w:lang w:val="en-US"/>
        </w:rPr>
        <w:t xml:space="preserve">   A strong marketing strategy is essential for positioning products in foreign markets, requiring exporters to create a tailored plan that appeals to international consumers. This includes designing a marketing mix focused on product features, pricing, distribution, and promotion, emphasizing unique qualities like quality, heritage, or affordability</w:t>
      </w:r>
      <w:r w:rsidRPr="00D04FDF">
        <w:rPr>
          <w:rStyle w:val="FootnoteReference"/>
          <w:rFonts w:asciiTheme="majorBidi" w:hAnsiTheme="majorBidi" w:cstheme="majorBidi"/>
          <w:sz w:val="24"/>
          <w:szCs w:val="24"/>
          <w:lang w:val="en-US"/>
        </w:rPr>
        <w:footnoteReference w:id="105"/>
      </w:r>
      <w:r w:rsidRPr="00D04FDF">
        <w:rPr>
          <w:rFonts w:asciiTheme="majorBidi" w:hAnsiTheme="majorBidi" w:cstheme="majorBidi"/>
          <w:sz w:val="24"/>
          <w:szCs w:val="24"/>
          <w:lang w:val="en-US"/>
        </w:rPr>
        <w:t xml:space="preserve">. </w:t>
      </w:r>
      <w:r w:rsidRPr="00D04FDF">
        <w:rPr>
          <w:rFonts w:asciiTheme="majorBidi" w:eastAsia="Times New Roman" w:hAnsiTheme="majorBidi" w:cstheme="majorBidi"/>
          <w:sz w:val="24"/>
          <w:szCs w:val="24"/>
          <w:lang w:val="en-US" w:eastAsia="fr-FR"/>
        </w:rPr>
        <w:t>For example, highlighting eco-friendly production appeals to sustainability-focused buyers, while competitive pricing targets cost-sensitive regions.</w:t>
      </w:r>
    </w:p>
    <w:p w14:paraId="250875C2" w14:textId="4464F18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Promotional tactics include trade fairs, digital campaigns, and influencer partnerships to increase visibility</w:t>
      </w:r>
      <w:r w:rsidRPr="00D04FDF">
        <w:rPr>
          <w:rStyle w:val="FootnoteReference"/>
          <w:rFonts w:asciiTheme="majorBidi" w:hAnsiTheme="majorBidi" w:cstheme="majorBidi"/>
          <w:lang w:val="en-US"/>
        </w:rPr>
        <w:footnoteReference w:id="106"/>
      </w:r>
      <w:r w:rsidRPr="00D04FDF">
        <w:rPr>
          <w:rFonts w:asciiTheme="majorBidi" w:hAnsiTheme="majorBidi" w:cstheme="majorBidi"/>
          <w:lang w:val="en-US"/>
        </w:rPr>
        <w:t>. Distribution requires strategic planning—choosing between wholesalers, retailers, or online platforms</w:t>
      </w:r>
      <w:r w:rsidR="00740E8D">
        <w:rPr>
          <w:rFonts w:asciiTheme="majorBidi" w:hAnsiTheme="majorBidi" w:cstheme="majorBidi"/>
          <w:lang w:val="en-US"/>
        </w:rPr>
        <w:t xml:space="preserve"> </w:t>
      </w:r>
      <w:r w:rsidRPr="00D04FDF">
        <w:rPr>
          <w:rFonts w:asciiTheme="majorBidi" w:hAnsiTheme="majorBidi" w:cstheme="majorBidi"/>
          <w:lang w:val="en-US"/>
        </w:rPr>
        <w:t>while continuous research ensures adaptation to market changes</w:t>
      </w:r>
      <w:r w:rsidRPr="00D04FDF">
        <w:rPr>
          <w:rStyle w:val="FootnoteReference"/>
          <w:rFonts w:asciiTheme="majorBidi" w:hAnsiTheme="majorBidi" w:cstheme="majorBidi"/>
          <w:lang w:val="en-US"/>
        </w:rPr>
        <w:footnoteReference w:id="107"/>
      </w:r>
      <w:r w:rsidRPr="00D04FDF">
        <w:rPr>
          <w:rFonts w:asciiTheme="majorBidi" w:hAnsiTheme="majorBidi" w:cstheme="majorBidi"/>
          <w:lang w:val="en-US"/>
        </w:rPr>
        <w:t>. This step turns products into distinct brands, securing a niche in global markets through strategic creativity.</w:t>
      </w:r>
    </w:p>
    <w:p w14:paraId="509A5A48" w14:textId="77777777" w:rsidR="0077354A" w:rsidRPr="00D04FDF" w:rsidRDefault="0077354A" w:rsidP="0077354A">
      <w:pPr>
        <w:pStyle w:val="ListParagraph"/>
        <w:numPr>
          <w:ilvl w:val="1"/>
          <w:numId w:val="29"/>
        </w:numPr>
        <w:spacing w:line="360" w:lineRule="auto"/>
        <w:jc w:val="both"/>
        <w:rPr>
          <w:rStyle w:val="Strong"/>
          <w:rFonts w:asciiTheme="majorBidi" w:hAnsiTheme="majorBidi" w:cstheme="majorBidi"/>
          <w:sz w:val="24"/>
          <w:szCs w:val="24"/>
          <w:lang w:val="en-US"/>
        </w:rPr>
      </w:pPr>
      <w:r w:rsidRPr="00D04FDF">
        <w:rPr>
          <w:rStyle w:val="Strong"/>
          <w:rFonts w:asciiTheme="majorBidi" w:hAnsiTheme="majorBidi" w:cstheme="majorBidi"/>
          <w:sz w:val="24"/>
          <w:szCs w:val="24"/>
          <w:lang w:val="en-US"/>
        </w:rPr>
        <w:t xml:space="preserve"> </w:t>
      </w:r>
      <w:bookmarkStart w:id="218" w:name="_Toc200720033"/>
      <w:bookmarkStart w:id="219" w:name="_Toc200721674"/>
      <w:r w:rsidRPr="00161F6E">
        <w:rPr>
          <w:rStyle w:val="Heading4Char"/>
        </w:rPr>
        <w:t>Organize operational tea</w:t>
      </w:r>
      <w:bookmarkEnd w:id="218"/>
      <w:bookmarkEnd w:id="219"/>
      <w:r w:rsidRPr="00D04FDF">
        <w:rPr>
          <w:rStyle w:val="Strong"/>
          <w:rFonts w:asciiTheme="majorBidi" w:hAnsiTheme="majorBidi" w:cstheme="majorBidi"/>
          <w:sz w:val="24"/>
          <w:szCs w:val="24"/>
          <w:lang w:val="en-US"/>
        </w:rPr>
        <w:t>m</w:t>
      </w:r>
    </w:p>
    <w:p w14:paraId="4C866EF2" w14:textId="77777777" w:rsidR="0077354A" w:rsidRPr="00D04FDF" w:rsidRDefault="0077354A" w:rsidP="00483AF1">
      <w:pPr>
        <w:pStyle w:val="break-words"/>
        <w:spacing w:line="360" w:lineRule="auto"/>
        <w:jc w:val="both"/>
        <w:rPr>
          <w:rFonts w:asciiTheme="majorBidi" w:hAnsiTheme="majorBidi" w:cstheme="majorBidi"/>
          <w:lang w:val="en-US"/>
        </w:rPr>
      </w:pPr>
      <w:r w:rsidRPr="00D04FDF">
        <w:rPr>
          <w:rFonts w:asciiTheme="majorBidi" w:hAnsiTheme="majorBidi" w:cstheme="majorBidi"/>
          <w:lang w:val="en-US"/>
        </w:rPr>
        <w:t xml:space="preserve">   Executing an export strategy requires a well-coordinated team. Internally, production, finance, and logistics staff ensure product quality, manage budgets, and handle shipping. Externally, freight forwarders manage transport, while trade consultants ensure regulatory compliance. Clear roles and training across the team ensure smooth collaboration and alignment with international standards</w:t>
      </w:r>
      <w:r w:rsidRPr="00D04FDF">
        <w:rPr>
          <w:rStyle w:val="FootnoteReference"/>
          <w:rFonts w:asciiTheme="majorBidi" w:hAnsiTheme="majorBidi" w:cstheme="majorBidi"/>
          <w:lang w:val="en-US"/>
        </w:rPr>
        <w:footnoteReference w:id="108"/>
      </w:r>
      <w:r w:rsidRPr="00D04FDF">
        <w:rPr>
          <w:rFonts w:asciiTheme="majorBidi" w:hAnsiTheme="majorBidi" w:cstheme="majorBidi"/>
          <w:lang w:val="en-US"/>
        </w:rPr>
        <w:t>. A well-orchestrated team turns plans into action, minimizing errors and delays through synchronized effort.</w:t>
      </w:r>
    </w:p>
    <w:p w14:paraId="5C5B1E3E" w14:textId="77777777" w:rsidR="0077354A" w:rsidRPr="00D04FDF" w:rsidRDefault="0077354A" w:rsidP="0077354A">
      <w:pPr>
        <w:pStyle w:val="break-words"/>
        <w:numPr>
          <w:ilvl w:val="1"/>
          <w:numId w:val="29"/>
        </w:numPr>
        <w:spacing w:line="360" w:lineRule="auto"/>
        <w:jc w:val="both"/>
        <w:rPr>
          <w:rStyle w:val="Strong"/>
          <w:rFonts w:asciiTheme="majorBidi" w:hAnsiTheme="majorBidi" w:cstheme="majorBidi"/>
          <w:lang w:val="en-US"/>
        </w:rPr>
      </w:pPr>
      <w:r w:rsidRPr="00D04FDF">
        <w:rPr>
          <w:rStyle w:val="Strong"/>
          <w:rFonts w:asciiTheme="majorBidi" w:hAnsiTheme="majorBidi" w:cstheme="majorBidi"/>
          <w:lang w:val="en-US"/>
        </w:rPr>
        <w:t xml:space="preserve"> </w:t>
      </w:r>
      <w:bookmarkStart w:id="220" w:name="_Toc200720034"/>
      <w:bookmarkStart w:id="221" w:name="_Toc200721675"/>
      <w:r w:rsidRPr="00161F6E">
        <w:rPr>
          <w:rStyle w:val="Heading4Char"/>
        </w:rPr>
        <w:t>Implement marketing strateg</w:t>
      </w:r>
      <w:bookmarkEnd w:id="220"/>
      <w:bookmarkEnd w:id="221"/>
      <w:r w:rsidRPr="00D04FDF">
        <w:rPr>
          <w:rStyle w:val="Strong"/>
          <w:rFonts w:asciiTheme="majorBidi" w:hAnsiTheme="majorBidi" w:cstheme="majorBidi"/>
          <w:lang w:val="en-US"/>
        </w:rPr>
        <w:t>y</w:t>
      </w:r>
    </w:p>
    <w:p w14:paraId="2EA412AE"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Putting the marketing strategy into action means launching campaigns, shipping products, or attending trade shows. This step tests real-world logistics and market response, offering insights to improve pricing, promotion, or delivery. Early results—good or bad—guide necessary adjustments</w:t>
      </w:r>
      <w:r w:rsidRPr="00D04FDF">
        <w:rPr>
          <w:rStyle w:val="FootnoteReference"/>
          <w:rFonts w:asciiTheme="majorBidi" w:hAnsiTheme="majorBidi" w:cstheme="majorBidi"/>
        </w:rPr>
        <w:footnoteReference w:id="109"/>
      </w:r>
      <w:r w:rsidRPr="00D04FDF">
        <w:rPr>
          <w:rFonts w:asciiTheme="majorBidi" w:hAnsiTheme="majorBidi" w:cstheme="majorBidi"/>
          <w:lang w:val="en-US"/>
        </w:rPr>
        <w:t>. Exporters must stay agile, using feedback to adapt quickly. This builds momentum and lays the groundwork for lasting success in the market.</w:t>
      </w:r>
    </w:p>
    <w:p w14:paraId="676D751A" w14:textId="77777777" w:rsidR="0077354A" w:rsidRPr="00D04FDF" w:rsidRDefault="0077354A" w:rsidP="0077354A">
      <w:pPr>
        <w:pStyle w:val="break-words"/>
        <w:numPr>
          <w:ilvl w:val="1"/>
          <w:numId w:val="29"/>
        </w:numPr>
        <w:spacing w:line="360" w:lineRule="auto"/>
        <w:jc w:val="both"/>
        <w:rPr>
          <w:rStyle w:val="Strong"/>
          <w:rFonts w:asciiTheme="majorBidi" w:hAnsiTheme="majorBidi" w:cstheme="majorBidi"/>
          <w:lang w:val="en-US"/>
        </w:rPr>
      </w:pPr>
      <w:bookmarkStart w:id="222" w:name="_Toc200720035"/>
      <w:bookmarkStart w:id="223" w:name="_Toc200721676"/>
      <w:r w:rsidRPr="00161F6E">
        <w:rPr>
          <w:rStyle w:val="Heading4Char"/>
        </w:rPr>
        <w:t>Evaluate and control operation</w:t>
      </w:r>
      <w:bookmarkEnd w:id="222"/>
      <w:bookmarkEnd w:id="223"/>
      <w:r w:rsidRPr="00D04FDF">
        <w:rPr>
          <w:rStyle w:val="Strong"/>
          <w:rFonts w:asciiTheme="majorBidi" w:hAnsiTheme="majorBidi" w:cstheme="majorBidi"/>
          <w:lang w:val="en-US"/>
        </w:rPr>
        <w:t>s</w:t>
      </w:r>
    </w:p>
    <w:p w14:paraId="6D3242C1"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The export journey ends—and restarts—with regular evaluation. Exporters review market analysis, product results, and financial returns using key metrics like sales, profit, and customer feedback. Issues prompt adjustments, such as price changes or quality improvements. Control tools like audits, tracking, and surveys help spot problems early and keep operations on course</w:t>
      </w:r>
      <w:r w:rsidRPr="00D04FDF">
        <w:rPr>
          <w:rStyle w:val="FootnoteReference"/>
          <w:rFonts w:asciiTheme="majorBidi" w:hAnsiTheme="majorBidi" w:cstheme="majorBidi"/>
          <w:lang w:val="en-US"/>
        </w:rPr>
        <w:footnoteReference w:id="110"/>
      </w:r>
      <w:r w:rsidRPr="00D04FDF">
        <w:rPr>
          <w:rFonts w:asciiTheme="majorBidi" w:hAnsiTheme="majorBidi" w:cstheme="majorBidi"/>
          <w:lang w:val="en-US"/>
        </w:rPr>
        <w:t xml:space="preserve">. This step is ongoing, it keeps exports strong and ready for change. </w:t>
      </w:r>
    </w:p>
    <w:p w14:paraId="2AEBD946" w14:textId="77777777" w:rsidR="0024056C" w:rsidRDefault="0077354A" w:rsidP="0024056C">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The 10-step process helps producers take local products global. It combines planning, action, and teamwork to face challenges. With good marketing, smooth execution, and constant review, exporters can grow and succeed in global trade.</w:t>
      </w:r>
    </w:p>
    <w:p w14:paraId="464991A8" w14:textId="603FFD71" w:rsidR="0077354A" w:rsidRPr="0024056C" w:rsidRDefault="0077354A" w:rsidP="0024056C">
      <w:pPr>
        <w:pStyle w:val="NormalWeb"/>
        <w:spacing w:line="360" w:lineRule="auto"/>
        <w:jc w:val="both"/>
        <w:rPr>
          <w:rFonts w:asciiTheme="majorBidi" w:hAnsiTheme="majorBidi" w:cstheme="majorBidi"/>
          <w:lang w:val="en-US"/>
        </w:rPr>
      </w:pPr>
      <w:r w:rsidRPr="00D04FDF">
        <w:rPr>
          <w:rFonts w:asciiTheme="majorBidi" w:hAnsiTheme="majorBidi" w:cstheme="majorBidi"/>
          <w:b/>
          <w:bCs/>
          <w:lang w:val="en-US"/>
        </w:rPr>
        <w:t xml:space="preserve">2. </w:t>
      </w:r>
      <w:r w:rsidRPr="00161F6E">
        <w:rPr>
          <w:rStyle w:val="Heading3Char"/>
        </w:rPr>
        <w:t>Legal and regulatory requirements for exporting from Algeria</w:t>
      </w:r>
      <w:r w:rsidR="009451ED">
        <w:rPr>
          <w:rFonts w:asciiTheme="majorBidi" w:hAnsiTheme="majorBidi" w:cstheme="majorBidi"/>
          <w:b/>
          <w:bCs/>
          <w:lang w:val="en-US"/>
        </w:rPr>
        <w:t>:</w:t>
      </w:r>
    </w:p>
    <w:p w14:paraId="0F65BB97"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Exporting from Algeria follows a legal framework that balances open trade with national interests. Ordinance 03-04 of 2003 sets the main rules, helping businesses export while protecting the economy, public health, and culture. It reflects Algeria’s move toward a market-based system to grow non-oil exports. These laws aim to support exporters and ensure international standards are met.</w:t>
      </w:r>
    </w:p>
    <w:p w14:paraId="4CDA565D" w14:textId="77777777" w:rsidR="0077354A" w:rsidRPr="00D04FDF" w:rsidRDefault="0077354A" w:rsidP="00483AF1">
      <w:pPr>
        <w:pStyle w:val="break-words"/>
        <w:spacing w:line="360" w:lineRule="auto"/>
        <w:jc w:val="both"/>
        <w:rPr>
          <w:rFonts w:asciiTheme="majorBidi" w:hAnsiTheme="majorBidi" w:cstheme="majorBidi"/>
          <w:b/>
          <w:bCs/>
          <w:rtl/>
          <w:lang w:val="en-US"/>
        </w:rPr>
      </w:pPr>
      <w:r w:rsidRPr="00D04FDF">
        <w:rPr>
          <w:rFonts w:asciiTheme="majorBidi" w:hAnsiTheme="majorBidi" w:cstheme="majorBidi"/>
          <w:b/>
          <w:bCs/>
          <w:lang w:val="en-US"/>
        </w:rPr>
        <w:t xml:space="preserve">2.1. </w:t>
      </w:r>
      <w:r w:rsidRPr="00161F6E">
        <w:rPr>
          <w:rStyle w:val="Heading4Char"/>
        </w:rPr>
        <w:t>Freedom of export as a foundational principl</w:t>
      </w:r>
      <w:r w:rsidRPr="00D04FDF">
        <w:rPr>
          <w:rFonts w:asciiTheme="majorBidi" w:hAnsiTheme="majorBidi" w:cstheme="majorBidi"/>
          <w:b/>
          <w:bCs/>
          <w:lang w:val="en-US"/>
        </w:rPr>
        <w:t>e</w:t>
      </w:r>
    </w:p>
    <w:p w14:paraId="6F3004B3" w14:textId="77777777" w:rsidR="0077354A" w:rsidRPr="00D04FDF" w:rsidRDefault="0077354A" w:rsidP="00483AF1">
      <w:pPr>
        <w:pStyle w:val="NormalWeb"/>
        <w:spacing w:line="360" w:lineRule="auto"/>
        <w:jc w:val="both"/>
        <w:rPr>
          <w:rFonts w:asciiTheme="majorBidi" w:hAnsiTheme="majorBidi" w:cstheme="majorBidi"/>
          <w:lang w:val="en-GB"/>
        </w:rPr>
      </w:pPr>
      <w:r w:rsidRPr="00D04FDF">
        <w:rPr>
          <w:rFonts w:asciiTheme="majorBidi" w:hAnsiTheme="majorBidi" w:cstheme="majorBidi"/>
          <w:lang w:val="en-US"/>
        </w:rPr>
        <w:t>Algeria’s export policy is based on the principle of free trade, introduced by Ordinance 03-04, which replaced the old state-controlled system under Law 88-29. Article 2 confirms that product exports are allowed freely, a stance reinforced by Law 15-15 in 2015</w:t>
      </w:r>
      <w:r w:rsidRPr="00D04FDF">
        <w:rPr>
          <w:rStyle w:val="FootnoteReference"/>
          <w:rFonts w:asciiTheme="majorBidi" w:hAnsiTheme="majorBidi" w:cstheme="majorBidi"/>
          <w:lang w:val="en-US"/>
        </w:rPr>
        <w:footnoteReference w:id="111"/>
      </w:r>
      <w:r w:rsidRPr="00D04FDF">
        <w:rPr>
          <w:rFonts w:asciiTheme="majorBidi" w:hAnsiTheme="majorBidi" w:cstheme="majorBidi"/>
          <w:lang w:val="en-US"/>
        </w:rPr>
        <w:t>. Algeria’s export policy emphasizes free trade, a shift formalized by Ordinance 03-04, which moved away from the older state-controlled system under Law 88-29. Article 2 of the ordinance states that exports are conducted freely, a stance reinforced by Law 15-15 in 2015. Additionally, the repeal of Article 95 of the 2003 Finance Law removed capital and residency restrictions, encouraging greater private sector involvement in exports</w:t>
      </w:r>
      <w:r w:rsidRPr="00D04FDF">
        <w:rPr>
          <w:rStyle w:val="FootnoteReference"/>
          <w:rFonts w:asciiTheme="majorBidi" w:hAnsiTheme="majorBidi" w:cstheme="majorBidi"/>
          <w:lang w:val="en-US"/>
        </w:rPr>
        <w:footnoteReference w:id="112"/>
      </w:r>
      <w:r w:rsidRPr="00D04FDF">
        <w:rPr>
          <w:rFonts w:asciiTheme="majorBidi" w:hAnsiTheme="majorBidi" w:cstheme="majorBidi"/>
          <w:lang w:val="en-US"/>
        </w:rPr>
        <w:t>. These reforms aimed to give Algerian exporters more freedom and independence in global trade. However, this freedom has limits. Article 2 of Ordinance 03-04 states that exports are banned if they harm public order, national security, health, the environment, or cultural heritage</w:t>
      </w:r>
      <w:r w:rsidRPr="00D04FDF">
        <w:rPr>
          <w:rStyle w:val="FootnoteReference"/>
          <w:rFonts w:asciiTheme="majorBidi" w:hAnsiTheme="majorBidi" w:cstheme="majorBidi"/>
          <w:lang w:val="en-US"/>
        </w:rPr>
        <w:footnoteReference w:id="113"/>
      </w:r>
      <w:r w:rsidRPr="00D04FDF">
        <w:rPr>
          <w:rFonts w:asciiTheme="majorBidi" w:hAnsiTheme="majorBidi" w:cstheme="majorBidi"/>
          <w:lang w:val="en-US"/>
        </w:rPr>
        <w:t>.</w:t>
      </w:r>
      <w:r w:rsidRPr="00D04FDF">
        <w:rPr>
          <w:rFonts w:asciiTheme="majorBidi" w:hAnsiTheme="majorBidi" w:cstheme="majorBidi"/>
          <w:rtl/>
          <w:lang w:val="en-US"/>
        </w:rPr>
        <w:t xml:space="preserve"> </w:t>
      </w:r>
      <w:r w:rsidRPr="00D04FDF">
        <w:rPr>
          <w:rFonts w:asciiTheme="majorBidi" w:hAnsiTheme="majorBidi" w:cstheme="majorBidi"/>
          <w:lang w:val="en-US"/>
        </w:rPr>
        <w:t xml:space="preserve">These strict rules reflect Algeria’s aim to protect its society and resources while growing its economy. </w:t>
      </w:r>
      <w:r w:rsidRPr="00D04FDF">
        <w:rPr>
          <w:rFonts w:asciiTheme="majorBidi" w:hAnsiTheme="majorBidi" w:cstheme="majorBidi"/>
          <w:lang w:val="en-GB"/>
        </w:rPr>
        <w:t>Exporters must follow them carefully.</w:t>
      </w:r>
    </w:p>
    <w:p w14:paraId="20313BD8" w14:textId="77777777" w:rsidR="0077354A" w:rsidRPr="00D04FDF" w:rsidRDefault="0077354A" w:rsidP="00483AF1">
      <w:pPr>
        <w:pStyle w:val="NormalWeb"/>
        <w:spacing w:line="360" w:lineRule="auto"/>
        <w:jc w:val="both"/>
        <w:rPr>
          <w:rStyle w:val="Strong"/>
          <w:rFonts w:asciiTheme="majorBidi" w:hAnsiTheme="majorBidi" w:cstheme="majorBidi"/>
          <w:lang w:val="en-US"/>
        </w:rPr>
      </w:pPr>
      <w:r w:rsidRPr="00D04FDF">
        <w:rPr>
          <w:rStyle w:val="Strong"/>
          <w:rFonts w:asciiTheme="majorBidi" w:hAnsiTheme="majorBidi" w:cstheme="majorBidi"/>
          <w:lang w:val="en-US"/>
        </w:rPr>
        <w:t xml:space="preserve">2.2. </w:t>
      </w:r>
      <w:r w:rsidRPr="00161F6E">
        <w:rPr>
          <w:rStyle w:val="Heading4Char"/>
        </w:rPr>
        <w:t>Procedural requirements for structured complianc</w:t>
      </w:r>
      <w:r w:rsidRPr="00D04FDF">
        <w:rPr>
          <w:rStyle w:val="Strong"/>
          <w:rFonts w:asciiTheme="majorBidi" w:hAnsiTheme="majorBidi" w:cstheme="majorBidi"/>
          <w:lang w:val="en-US"/>
        </w:rPr>
        <w:t>e</w:t>
      </w:r>
    </w:p>
    <w:p w14:paraId="1BD187D7" w14:textId="77777777" w:rsidR="0077354A" w:rsidRPr="00D04FDF" w:rsidRDefault="0077354A" w:rsidP="00483AF1">
      <w:pPr>
        <w:pStyle w:val="NormalWeb"/>
        <w:spacing w:line="360" w:lineRule="auto"/>
        <w:jc w:val="both"/>
        <w:rPr>
          <w:rFonts w:asciiTheme="majorBidi" w:hAnsiTheme="majorBidi" w:cstheme="majorBidi"/>
          <w:rtl/>
          <w:lang w:val="en-US"/>
        </w:rPr>
      </w:pPr>
      <w:r w:rsidRPr="00D04FDF">
        <w:rPr>
          <w:rFonts w:asciiTheme="majorBidi" w:hAnsiTheme="majorBidi" w:cstheme="majorBidi"/>
          <w:lang w:val="en-US"/>
        </w:rPr>
        <w:t xml:space="preserve">   To put export freedom into practice, Algerian law requires exporters—both individuals and companies—to register in the Commercial Registry. This ensures legal oversight, combats informal trade, and boosts the credibility of Algeria’s export sector. Public institutions, however, are exempt, as their exports serve public goals, not profit. Exporters must also follow foreign exchange regulations, such as Regulations 94-11 and 91-03, which mandate using authorized banks and repatriating foreign earnings. This helps maintain currency reserves and support economic stability. Additionally, Ordinance 03-04 allows for export licenses to manage trade flows and protect the economy</w:t>
      </w:r>
      <w:r w:rsidRPr="00D04FDF">
        <w:rPr>
          <w:rStyle w:val="FootnoteReference"/>
          <w:rFonts w:asciiTheme="majorBidi" w:hAnsiTheme="majorBidi" w:cstheme="majorBidi"/>
          <w:lang w:val="en-US"/>
        </w:rPr>
        <w:footnoteReference w:id="114"/>
      </w:r>
      <w:r w:rsidRPr="00D04FDF">
        <w:rPr>
          <w:rFonts w:asciiTheme="majorBidi" w:hAnsiTheme="majorBidi" w:cstheme="majorBidi"/>
          <w:lang w:val="en-US"/>
        </w:rPr>
        <w:t>.</w:t>
      </w:r>
      <w:r w:rsidRPr="00D04FDF">
        <w:rPr>
          <w:rFonts w:asciiTheme="majorBidi" w:hAnsiTheme="majorBidi" w:cstheme="majorBidi"/>
          <w:rtl/>
          <w:lang w:val="en-US"/>
        </w:rPr>
        <w:t xml:space="preserve"> </w:t>
      </w:r>
      <w:r w:rsidRPr="00D04FDF">
        <w:rPr>
          <w:rFonts w:asciiTheme="majorBidi" w:hAnsiTheme="majorBidi" w:cstheme="majorBidi"/>
          <w:lang w:val="en-US"/>
        </w:rPr>
        <w:t>These licenses are used selectively to manage domestic supply or meet international trade obligations. They reflect the government’s role in maintaining economic stability and ensuring exports support national growth without increasing dependency on imports.</w:t>
      </w:r>
    </w:p>
    <w:p w14:paraId="505509B0" w14:textId="77777777" w:rsidR="0077354A" w:rsidRPr="00D04FDF" w:rsidRDefault="0077354A" w:rsidP="00483AF1">
      <w:pPr>
        <w:pStyle w:val="break-words"/>
        <w:spacing w:line="360" w:lineRule="auto"/>
        <w:jc w:val="both"/>
        <w:rPr>
          <w:rFonts w:asciiTheme="majorBidi" w:hAnsiTheme="majorBidi" w:cstheme="majorBidi"/>
          <w:b/>
          <w:bCs/>
          <w:lang w:val="en-US"/>
        </w:rPr>
      </w:pPr>
      <w:r w:rsidRPr="00D04FDF">
        <w:rPr>
          <w:rFonts w:asciiTheme="majorBidi" w:hAnsiTheme="majorBidi" w:cstheme="majorBidi"/>
          <w:b/>
          <w:bCs/>
          <w:lang w:val="en-US"/>
        </w:rPr>
        <w:t xml:space="preserve">2.3. </w:t>
      </w:r>
      <w:r w:rsidRPr="00161F6E">
        <w:rPr>
          <w:rStyle w:val="Heading4Char"/>
        </w:rPr>
        <w:t>Export Licenses as a Controlled Exceptio</w:t>
      </w:r>
      <w:r w:rsidRPr="00D04FDF">
        <w:rPr>
          <w:rFonts w:asciiTheme="majorBidi" w:hAnsiTheme="majorBidi" w:cstheme="majorBidi"/>
          <w:b/>
          <w:bCs/>
          <w:lang w:val="en-US"/>
        </w:rPr>
        <w:t>n</w:t>
      </w:r>
    </w:p>
    <w:p w14:paraId="696182D2" w14:textId="77777777" w:rsidR="0077354A" w:rsidRPr="00D04FDF" w:rsidRDefault="0077354A" w:rsidP="00483AF1">
      <w:pPr>
        <w:pStyle w:val="NormalWeb"/>
        <w:spacing w:line="360" w:lineRule="auto"/>
        <w:jc w:val="both"/>
        <w:rPr>
          <w:rFonts w:asciiTheme="majorBidi" w:hAnsiTheme="majorBidi" w:cstheme="majorBidi"/>
          <w:rtl/>
          <w:lang w:val="en-US"/>
        </w:rPr>
      </w:pPr>
      <w:r w:rsidRPr="00D04FDF">
        <w:rPr>
          <w:rFonts w:asciiTheme="majorBidi" w:hAnsiTheme="majorBidi" w:cstheme="majorBidi"/>
          <w:lang w:val="en-US"/>
        </w:rPr>
        <w:t xml:space="preserve">   Although export freedom is the norm, Article 6 of Ordinance 03-04 (prior to amendments) allows for export licenses to fulfill domestic measures or meet Algeria’s international commitments. This controlled exception ensures trade freedom does not compromise economic interests, enabling the state to prevent domestic shortages or comply with trade agreements</w:t>
      </w:r>
      <w:r w:rsidRPr="00D04FDF">
        <w:rPr>
          <w:rStyle w:val="FootnoteReference"/>
          <w:rFonts w:asciiTheme="majorBidi" w:hAnsiTheme="majorBidi" w:cstheme="majorBidi"/>
          <w:lang w:val="en-US"/>
        </w:rPr>
        <w:footnoteReference w:id="115"/>
      </w:r>
      <w:r w:rsidRPr="00D04FDF">
        <w:rPr>
          <w:rFonts w:asciiTheme="majorBidi" w:hAnsiTheme="majorBidi" w:cstheme="majorBidi"/>
          <w:lang w:val="en-US"/>
        </w:rPr>
        <w:t>.</w:t>
      </w:r>
      <w:r w:rsidRPr="00D04FDF">
        <w:rPr>
          <w:rFonts w:asciiTheme="majorBidi" w:hAnsiTheme="majorBidi" w:cstheme="majorBidi"/>
          <w:rtl/>
          <w:lang w:val="en-US"/>
        </w:rPr>
        <w:t xml:space="preserve"> </w:t>
      </w:r>
      <w:r w:rsidRPr="00D04FDF">
        <w:rPr>
          <w:rFonts w:asciiTheme="majorBidi" w:hAnsiTheme="majorBidi" w:cstheme="majorBidi"/>
          <w:lang w:val="en-US"/>
        </w:rPr>
        <w:t>This mechanism is vital in an economy dependent on hydrocarbons, aiming to develop non-hydrocarbon sectors. The licensing system helps regulate exports to protect local production, aligning trade flows with development goals while respecting the principle of investment freedom within legal bounds.</w:t>
      </w:r>
    </w:p>
    <w:p w14:paraId="5CE4A2FB" w14:textId="77777777" w:rsidR="0077354A" w:rsidRPr="00D04FDF" w:rsidRDefault="0077354A" w:rsidP="00483AF1">
      <w:pPr>
        <w:pStyle w:val="break-words"/>
        <w:spacing w:line="360" w:lineRule="auto"/>
        <w:jc w:val="both"/>
        <w:rPr>
          <w:rFonts w:asciiTheme="majorBidi" w:hAnsiTheme="majorBidi" w:cstheme="majorBidi"/>
          <w:b/>
          <w:bCs/>
          <w:lang w:val="en-US"/>
        </w:rPr>
      </w:pPr>
      <w:r w:rsidRPr="00D04FDF">
        <w:rPr>
          <w:rFonts w:asciiTheme="majorBidi" w:hAnsiTheme="majorBidi" w:cstheme="majorBidi"/>
          <w:b/>
          <w:bCs/>
          <w:lang w:val="en-US"/>
        </w:rPr>
        <w:t xml:space="preserve">2.4. </w:t>
      </w:r>
      <w:r w:rsidRPr="00161F6E">
        <w:rPr>
          <w:rStyle w:val="Heading4Char"/>
        </w:rPr>
        <w:t>Technical and Safety Oversight Mechanism</w:t>
      </w:r>
      <w:r w:rsidRPr="00D04FDF">
        <w:rPr>
          <w:rFonts w:asciiTheme="majorBidi" w:hAnsiTheme="majorBidi" w:cstheme="majorBidi"/>
          <w:b/>
          <w:bCs/>
          <w:lang w:val="en-US"/>
        </w:rPr>
        <w:t>s</w:t>
      </w:r>
    </w:p>
    <w:p w14:paraId="4A4D5837"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rtl/>
          <w:lang w:val="en-US"/>
        </w:rPr>
        <w:t xml:space="preserve">   </w:t>
      </w:r>
      <w:r w:rsidRPr="00D04FDF">
        <w:rPr>
          <w:rFonts w:asciiTheme="majorBidi" w:hAnsiTheme="majorBidi" w:cstheme="majorBidi"/>
          <w:lang w:val="en-US"/>
        </w:rPr>
        <w:t>Ensuring the quality and safety of exported goods is vital to both protecting international consumers and maintaining Algeria's trade reputation. Under Article 3 of Ordinance 03-04, authorities can impose special measures on products that pose risks to human, animal, or plant health, the environment, or cultural heritage. These products are subject to enhanced controls, including thorough technical inspections, to ensure compliance with destination market standards</w:t>
      </w:r>
      <w:r w:rsidRPr="00D04FDF">
        <w:rPr>
          <w:rStyle w:val="FootnoteReference"/>
          <w:rFonts w:asciiTheme="majorBidi" w:hAnsiTheme="majorBidi" w:cstheme="majorBidi"/>
          <w:lang w:val="en-US"/>
        </w:rPr>
        <w:footnoteReference w:id="116"/>
      </w:r>
      <w:r w:rsidRPr="00D04FDF">
        <w:rPr>
          <w:rFonts w:asciiTheme="majorBidi" w:hAnsiTheme="majorBidi" w:cstheme="majorBidi"/>
          <w:lang w:val="en-US"/>
        </w:rPr>
        <w:t>. Algeria’s regulatory framework ensures product compliance with international standards, reducing the risk of export rejections. This oversight helps maintain product reliability and competitiveness, key for expanding the country’s non-hydrocarbon exports.</w:t>
      </w:r>
    </w:p>
    <w:p w14:paraId="143E1870" w14:textId="77777777" w:rsidR="0077354A" w:rsidRPr="00D04FDF" w:rsidRDefault="0077354A" w:rsidP="00483AF1">
      <w:pPr>
        <w:pStyle w:val="break-words"/>
        <w:spacing w:line="360" w:lineRule="auto"/>
        <w:jc w:val="both"/>
        <w:rPr>
          <w:rStyle w:val="Strong"/>
          <w:rFonts w:asciiTheme="majorBidi" w:hAnsiTheme="majorBidi" w:cstheme="majorBidi"/>
          <w:lang w:val="en-US"/>
        </w:rPr>
      </w:pPr>
      <w:r w:rsidRPr="00D04FDF">
        <w:rPr>
          <w:rStyle w:val="Strong"/>
          <w:rFonts w:asciiTheme="majorBidi" w:hAnsiTheme="majorBidi" w:cstheme="majorBidi"/>
          <w:lang w:val="en-US"/>
        </w:rPr>
        <w:t xml:space="preserve">2.5. </w:t>
      </w:r>
      <w:r w:rsidRPr="00161F6E">
        <w:rPr>
          <w:rStyle w:val="Heading4Char"/>
        </w:rPr>
        <w:t>Incentives and Institutional Support for Export Promotio</w:t>
      </w:r>
      <w:r w:rsidRPr="00D04FDF">
        <w:rPr>
          <w:rStyle w:val="Strong"/>
          <w:rFonts w:asciiTheme="majorBidi" w:hAnsiTheme="majorBidi" w:cstheme="majorBidi"/>
          <w:lang w:val="en-US"/>
        </w:rPr>
        <w:t>n</w:t>
      </w:r>
    </w:p>
    <w:p w14:paraId="2D3C4E17" w14:textId="587DBC1A" w:rsidR="0077354A" w:rsidRPr="00D04FDF" w:rsidRDefault="00FD7333" w:rsidP="00483AF1">
      <w:pPr>
        <w:pStyle w:val="break-words"/>
        <w:spacing w:line="360" w:lineRule="auto"/>
        <w:jc w:val="both"/>
        <w:rPr>
          <w:rFonts w:asciiTheme="majorBidi" w:hAnsiTheme="majorBidi" w:cstheme="majorBidi"/>
          <w:lang w:val="en-US"/>
        </w:rPr>
      </w:pPr>
      <w:r>
        <w:rPr>
          <w:rFonts w:asciiTheme="majorBidi" w:hAnsiTheme="majorBidi" w:cstheme="majorBidi"/>
          <w:lang w:val="en-US"/>
        </w:rPr>
        <w:t xml:space="preserve">   </w:t>
      </w:r>
      <w:r w:rsidR="0077354A" w:rsidRPr="00D04FDF">
        <w:rPr>
          <w:rFonts w:asciiTheme="majorBidi" w:hAnsiTheme="majorBidi" w:cstheme="majorBidi"/>
          <w:lang w:val="en-US"/>
        </w:rPr>
        <w:t>Algeria has implemented several incentives to boost non-hydrocarbon exports, crucial for economic diversification. The 2021 Finance Law offers income tax exemptions for individuals exporting goods or services that generate foreign currency, encouraging private sector involvement. It also grants VAT exemptions for exporters of traditional silver jewelry to promote Algeria’s cultural heritage and competitiveness in global markets. Additionally, Article 117 simplifies export procedures, allowing goods to clear customs upon declaration, even amid disputes, reducing delays and costs</w:t>
      </w:r>
      <w:r w:rsidR="0077354A" w:rsidRPr="00D04FDF">
        <w:rPr>
          <w:rStyle w:val="FootnoteReference"/>
          <w:rFonts w:asciiTheme="majorBidi" w:hAnsiTheme="majorBidi" w:cstheme="majorBidi"/>
          <w:lang w:val="en-US"/>
        </w:rPr>
        <w:footnoteReference w:id="117"/>
      </w:r>
      <w:r w:rsidR="0077354A" w:rsidRPr="00D04FDF">
        <w:rPr>
          <w:rFonts w:asciiTheme="majorBidi" w:hAnsiTheme="majorBidi" w:cstheme="majorBidi"/>
          <w:lang w:val="en-US"/>
        </w:rPr>
        <w:t>. These measures collectively demonstrate Algeria’s proactive approach to removing financial and logistical barriers, fostering an environment conducive to export growth.</w:t>
      </w:r>
    </w:p>
    <w:p w14:paraId="7D8C942E" w14:textId="0A43884D" w:rsidR="0077354A" w:rsidRPr="00D04FDF" w:rsidRDefault="00FD7333" w:rsidP="00483AF1">
      <w:pPr>
        <w:pStyle w:val="NormalWeb"/>
        <w:spacing w:line="360" w:lineRule="auto"/>
        <w:jc w:val="both"/>
        <w:rPr>
          <w:rFonts w:asciiTheme="majorBidi" w:hAnsiTheme="majorBidi" w:cstheme="majorBidi"/>
          <w:lang w:val="en-US"/>
        </w:rPr>
      </w:pPr>
      <w:r>
        <w:rPr>
          <w:rFonts w:asciiTheme="majorBidi" w:hAnsiTheme="majorBidi" w:cstheme="majorBidi"/>
          <w:lang w:val="en-US"/>
        </w:rPr>
        <w:t xml:space="preserve">   </w:t>
      </w:r>
      <w:r w:rsidR="0077354A" w:rsidRPr="00D04FDF">
        <w:rPr>
          <w:rFonts w:asciiTheme="majorBidi" w:hAnsiTheme="majorBidi" w:cstheme="majorBidi"/>
          <w:lang w:val="en-US"/>
        </w:rPr>
        <w:t>Institutional support is strong, with the National Consultative Council for Export Promotion playing a key role in Algeria’s export strategy. Established by Ordinance 03-04 and formalized through Executive Decree 04-173, the Council includes top officials from key ministries and export associations. It is responsible for defining export goals, evaluating promotion programs, and suggesting measures to boost non-hydrocarbon exports</w:t>
      </w:r>
      <w:r w:rsidR="0077354A" w:rsidRPr="00D04FDF">
        <w:rPr>
          <w:rStyle w:val="FootnoteReference"/>
          <w:rFonts w:asciiTheme="majorBidi" w:hAnsiTheme="majorBidi" w:cstheme="majorBidi"/>
          <w:lang w:val="en-US"/>
        </w:rPr>
        <w:footnoteReference w:id="118"/>
      </w:r>
      <w:r w:rsidR="0077354A" w:rsidRPr="00D04FDF">
        <w:rPr>
          <w:rFonts w:asciiTheme="majorBidi" w:hAnsiTheme="majorBidi" w:cstheme="majorBidi"/>
          <w:lang w:val="en-US"/>
        </w:rPr>
        <w:t>. The Council focuses on improving market access, competitiveness, national heritage, and eliminating barriers in free zones to ensure Algeria’s export policies are strategic and adaptable.</w:t>
      </w:r>
    </w:p>
    <w:p w14:paraId="151DA206" w14:textId="6D4324DE" w:rsidR="0077354A" w:rsidRPr="00D04FDF" w:rsidRDefault="00FD7333" w:rsidP="00483AF1">
      <w:pPr>
        <w:pStyle w:val="NormalWeb"/>
        <w:spacing w:line="360" w:lineRule="auto"/>
        <w:jc w:val="both"/>
        <w:rPr>
          <w:rFonts w:asciiTheme="majorBidi" w:hAnsiTheme="majorBidi" w:cstheme="majorBidi"/>
          <w:lang w:val="en-US"/>
        </w:rPr>
      </w:pPr>
      <w:r>
        <w:rPr>
          <w:rFonts w:asciiTheme="majorBidi" w:hAnsiTheme="majorBidi" w:cstheme="majorBidi"/>
          <w:lang w:val="en-US"/>
        </w:rPr>
        <w:t xml:space="preserve">   </w:t>
      </w:r>
      <w:r w:rsidR="0077354A" w:rsidRPr="00D04FDF">
        <w:rPr>
          <w:rFonts w:asciiTheme="majorBidi" w:hAnsiTheme="majorBidi" w:cstheme="majorBidi"/>
          <w:lang w:val="en-US"/>
        </w:rPr>
        <w:t>The Algerian National Agency for the Promotion of Foreign Trade (ALGEX) supports exporters through workshops, guidance, and financial aid</w:t>
      </w:r>
      <w:r w:rsidR="0077354A" w:rsidRPr="00D04FDF">
        <w:rPr>
          <w:rStyle w:val="FootnoteReference"/>
          <w:rFonts w:asciiTheme="majorBidi" w:hAnsiTheme="majorBidi" w:cstheme="majorBidi"/>
          <w:lang w:val="en-US"/>
        </w:rPr>
        <w:footnoteReference w:id="119"/>
      </w:r>
      <w:r w:rsidR="0077354A" w:rsidRPr="00D04FDF">
        <w:rPr>
          <w:rFonts w:asciiTheme="majorBidi" w:hAnsiTheme="majorBidi" w:cstheme="majorBidi"/>
          <w:lang w:val="en-US"/>
        </w:rPr>
        <w:t>. The Special Export Promotion Fund (Account 153-302) provides subsidies for exporters, covering up to 80% of costs for trade fairs, 50% for branding, transport, and intellectual property protection, and 10% for market studies, product quality, export diagnostics, and SME support. It also funds training, research, and awards for top exporters</w:t>
      </w:r>
      <w:r w:rsidR="0077354A" w:rsidRPr="00D04FDF">
        <w:rPr>
          <w:rStyle w:val="FootnoteReference"/>
          <w:rFonts w:asciiTheme="majorBidi" w:hAnsiTheme="majorBidi" w:cstheme="majorBidi"/>
          <w:lang w:val="en-US"/>
        </w:rPr>
        <w:footnoteReference w:id="120"/>
      </w:r>
      <w:r w:rsidR="0077354A" w:rsidRPr="00D04FDF">
        <w:rPr>
          <w:rFonts w:asciiTheme="majorBidi" w:hAnsiTheme="majorBidi" w:cstheme="majorBidi"/>
          <w:lang w:val="en-US"/>
        </w:rPr>
        <w:t>. These incentives aim to reduce barriers, boost competitiveness, and foster innovation among Algerian exporters.</w:t>
      </w:r>
    </w:p>
    <w:p w14:paraId="2CDD76A7" w14:textId="6CF791B4" w:rsidR="0077354A" w:rsidRPr="00D04FDF" w:rsidRDefault="00FD7333" w:rsidP="00483AF1">
      <w:pPr>
        <w:pStyle w:val="NormalWeb"/>
        <w:spacing w:line="360" w:lineRule="auto"/>
        <w:jc w:val="both"/>
        <w:rPr>
          <w:rFonts w:asciiTheme="majorBidi" w:hAnsiTheme="majorBidi" w:cstheme="majorBidi"/>
          <w:rtl/>
          <w:lang w:val="en-US"/>
        </w:rPr>
      </w:pPr>
      <w:r>
        <w:rPr>
          <w:rFonts w:asciiTheme="majorBidi" w:hAnsiTheme="majorBidi" w:cstheme="majorBidi"/>
          <w:lang w:val="en-US"/>
        </w:rPr>
        <w:t xml:space="preserve">   </w:t>
      </w:r>
      <w:r w:rsidR="0077354A" w:rsidRPr="00D04FDF">
        <w:rPr>
          <w:rFonts w:asciiTheme="majorBidi" w:hAnsiTheme="majorBidi" w:cstheme="majorBidi"/>
          <w:lang w:val="en-US"/>
        </w:rPr>
        <w:t>Algeria’s export regulations balance trade freedom with national interests. Ordinance 03-04 promotes exports while ensuring quality and fiscal stability through oversight, tax exemptions, and subsidies. Exporters must navigate these rules to foster economic diversification and expand global presence.</w:t>
      </w:r>
    </w:p>
    <w:p w14:paraId="227403E5" w14:textId="77777777" w:rsidR="009451ED" w:rsidRDefault="0077354A" w:rsidP="009451ED">
      <w:pPr>
        <w:spacing w:line="360" w:lineRule="auto"/>
        <w:jc w:val="both"/>
        <w:rPr>
          <w:rFonts w:asciiTheme="majorBidi" w:hAnsiTheme="majorBidi" w:cstheme="majorBidi"/>
          <w:b/>
          <w:bCs/>
          <w:sz w:val="24"/>
          <w:szCs w:val="24"/>
          <w:lang w:val="en-US" w:bidi="ar-DZ"/>
        </w:rPr>
      </w:pPr>
      <w:r w:rsidRPr="00D04FDF">
        <w:rPr>
          <w:rFonts w:asciiTheme="majorBidi" w:hAnsiTheme="majorBidi" w:cstheme="majorBidi"/>
          <w:b/>
          <w:bCs/>
          <w:sz w:val="24"/>
          <w:szCs w:val="24"/>
          <w:lang w:val="en-US" w:bidi="ar-DZ"/>
        </w:rPr>
        <w:t xml:space="preserve">3. </w:t>
      </w:r>
      <w:r w:rsidRPr="00161F6E">
        <w:rPr>
          <w:rStyle w:val="Heading3Char"/>
        </w:rPr>
        <w:t>Documentation and customs procedure</w:t>
      </w:r>
      <w:r w:rsidRPr="00D04FDF">
        <w:rPr>
          <w:rFonts w:asciiTheme="majorBidi" w:hAnsiTheme="majorBidi" w:cstheme="majorBidi"/>
          <w:b/>
          <w:bCs/>
          <w:sz w:val="24"/>
          <w:szCs w:val="24"/>
          <w:lang w:val="en-US" w:bidi="ar-DZ"/>
        </w:rPr>
        <w:t>s</w:t>
      </w:r>
    </w:p>
    <w:p w14:paraId="5B6FEF68" w14:textId="57259973" w:rsidR="0077354A" w:rsidRPr="009451ED" w:rsidRDefault="009451ED" w:rsidP="009451ED">
      <w:pPr>
        <w:spacing w:line="360" w:lineRule="auto"/>
        <w:jc w:val="both"/>
        <w:rPr>
          <w:rFonts w:asciiTheme="majorBidi" w:hAnsiTheme="majorBidi" w:cstheme="majorBidi"/>
          <w:b/>
          <w:bCs/>
          <w:sz w:val="24"/>
          <w:szCs w:val="24"/>
          <w:lang w:val="en-US" w:bidi="ar-DZ"/>
        </w:rPr>
      </w:pPr>
      <w:r>
        <w:rPr>
          <w:rFonts w:asciiTheme="majorBidi" w:hAnsiTheme="majorBidi" w:cstheme="majorBidi"/>
          <w:b/>
          <w:bCs/>
          <w:sz w:val="24"/>
          <w:szCs w:val="24"/>
          <w:lang w:val="en-US" w:bidi="ar-DZ"/>
        </w:rPr>
        <w:t xml:space="preserve">     3.1</w:t>
      </w:r>
      <w:r w:rsidR="00654850">
        <w:rPr>
          <w:rFonts w:asciiTheme="majorBidi" w:hAnsiTheme="majorBidi" w:cstheme="majorBidi"/>
          <w:b/>
          <w:bCs/>
          <w:sz w:val="24"/>
          <w:szCs w:val="24"/>
          <w:lang w:val="en-US" w:bidi="ar-DZ"/>
        </w:rPr>
        <w:t xml:space="preserve">. </w:t>
      </w:r>
      <w:r w:rsidR="0077354A" w:rsidRPr="009451ED">
        <w:rPr>
          <w:rFonts w:asciiTheme="majorBidi" w:eastAsia="Times New Roman" w:hAnsiTheme="majorBidi" w:cstheme="majorBidi"/>
          <w:b/>
          <w:bCs/>
          <w:sz w:val="24"/>
          <w:szCs w:val="24"/>
          <w:lang w:val="en-US" w:eastAsia="fr-FR"/>
        </w:rPr>
        <w:t xml:space="preserve"> </w:t>
      </w:r>
      <w:r w:rsidR="0077354A" w:rsidRPr="00161F6E">
        <w:rPr>
          <w:rStyle w:val="Heading4Char"/>
        </w:rPr>
        <w:t>Export documentatio</w:t>
      </w:r>
      <w:r w:rsidR="0077354A" w:rsidRPr="009451ED">
        <w:rPr>
          <w:rFonts w:asciiTheme="majorBidi" w:eastAsia="Times New Roman" w:hAnsiTheme="majorBidi" w:cstheme="majorBidi"/>
          <w:b/>
          <w:bCs/>
          <w:sz w:val="24"/>
          <w:szCs w:val="24"/>
          <w:lang w:val="en-US" w:eastAsia="fr-FR"/>
        </w:rPr>
        <w:t>n</w:t>
      </w:r>
    </w:p>
    <w:p w14:paraId="704045FD"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Algeria's export of products like Deglet Nour dates, olive oil, and handicrafts relies on key documentation to connect producers with international markets and ensure compliance with regulations. This part explores the essential commercial, banking, and shipping documents that support Algeria’s export operations.</w:t>
      </w:r>
    </w:p>
    <w:p w14:paraId="6CC9F99D" w14:textId="77777777" w:rsidR="0077354A" w:rsidRPr="00D04FDF" w:rsidRDefault="0077354A" w:rsidP="0077354A">
      <w:pPr>
        <w:pStyle w:val="break-words"/>
        <w:numPr>
          <w:ilvl w:val="2"/>
          <w:numId w:val="30"/>
        </w:numPr>
        <w:spacing w:line="360" w:lineRule="auto"/>
        <w:jc w:val="both"/>
        <w:rPr>
          <w:rFonts w:asciiTheme="majorBidi" w:hAnsiTheme="majorBidi" w:cstheme="majorBidi"/>
          <w:b/>
          <w:bCs/>
          <w:rtl/>
          <w:lang w:val="en-US"/>
        </w:rPr>
      </w:pPr>
      <w:bookmarkStart w:id="227" w:name="_Toc200720036"/>
      <w:bookmarkStart w:id="228" w:name="_Toc200721677"/>
      <w:r w:rsidRPr="00161F6E">
        <w:rPr>
          <w:rStyle w:val="Heading5Char"/>
        </w:rPr>
        <w:t>Commercial document</w:t>
      </w:r>
      <w:bookmarkEnd w:id="227"/>
      <w:bookmarkEnd w:id="228"/>
      <w:r w:rsidRPr="00D04FDF">
        <w:rPr>
          <w:rFonts w:asciiTheme="majorBidi" w:hAnsiTheme="majorBidi" w:cstheme="majorBidi"/>
          <w:b/>
          <w:bCs/>
          <w:lang w:val="en-US"/>
        </w:rPr>
        <w:t>s</w:t>
      </w:r>
    </w:p>
    <w:p w14:paraId="1B79DBDF"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Commercial documents are key to Algeria’s export process, detailing transactions and ensuring compliance with regulations. The export invoice is central, listing goods, quantities, and trade terms. It must be domiciled with a bank unless the transaction is under 100,000 Algerian dinars FOB. The certificate of origin, especially for the EU and other trade agreements, confirms product origin and offers tariff benefits. Certificates like EUR1, issued by Algerian customs, facilitate preferential market access. The certificate of conformity ensures compliance with international standards, and for agricultural products, additional documents like phytosanitary and sanitary veterinary certificates guarantee health safety</w:t>
      </w:r>
      <w:r w:rsidRPr="00D04FDF">
        <w:rPr>
          <w:rStyle w:val="FootnoteReference"/>
          <w:rFonts w:asciiTheme="majorBidi" w:hAnsiTheme="majorBidi" w:cstheme="majorBidi"/>
          <w:lang w:val="en-US"/>
        </w:rPr>
        <w:footnoteReference w:id="121"/>
      </w:r>
      <w:r w:rsidRPr="00D04FDF">
        <w:rPr>
          <w:rFonts w:asciiTheme="majorBidi" w:hAnsiTheme="majorBidi" w:cstheme="majorBidi"/>
          <w:lang w:val="en-US"/>
        </w:rPr>
        <w:t>.</w:t>
      </w:r>
    </w:p>
    <w:p w14:paraId="2CF4B9C7" w14:textId="77777777" w:rsidR="0077354A" w:rsidRPr="00D04FDF" w:rsidRDefault="0077354A" w:rsidP="0077354A">
      <w:pPr>
        <w:pStyle w:val="break-words"/>
        <w:numPr>
          <w:ilvl w:val="2"/>
          <w:numId w:val="30"/>
        </w:numPr>
        <w:spacing w:line="360" w:lineRule="auto"/>
        <w:jc w:val="both"/>
        <w:rPr>
          <w:rFonts w:asciiTheme="majorBidi" w:hAnsiTheme="majorBidi" w:cstheme="majorBidi"/>
          <w:lang w:val="en-US"/>
        </w:rPr>
      </w:pPr>
      <w:bookmarkStart w:id="230" w:name="_Toc200720037"/>
      <w:bookmarkStart w:id="231" w:name="_Toc200721678"/>
      <w:r w:rsidRPr="00161F6E">
        <w:rPr>
          <w:rStyle w:val="Heading5Char"/>
        </w:rPr>
        <w:t>Banking documents and payment mechanism</w:t>
      </w:r>
      <w:bookmarkEnd w:id="230"/>
      <w:bookmarkEnd w:id="231"/>
      <w:r w:rsidRPr="00D04FDF">
        <w:rPr>
          <w:rFonts w:asciiTheme="majorBidi" w:hAnsiTheme="majorBidi" w:cstheme="majorBidi"/>
          <w:b/>
          <w:bCs/>
          <w:lang w:val="en-US"/>
        </w:rPr>
        <w:t>s</w:t>
      </w:r>
    </w:p>
    <w:p w14:paraId="4387D0DF"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Algerian export transactions rely on banking documents to ensure secure payments, in line with Bank of Algeria Regulation No. 07-01 of 2007. The SWIFT transfer is a common method, offering speed and security but exposing exporters to currency fluctuations. Documentary collection, where payment or acceptance of a bill of exchange is required before releasing shipping documents, provides some control but limited protection. The letter of credit offers greater security by guaranteeing payment upon document presentation, suitable for high-value exports, though it is more expensive. Advance payment is another option but can strain long-term relationships due to its rigidity</w:t>
      </w:r>
      <w:r w:rsidRPr="00D04FDF">
        <w:rPr>
          <w:rStyle w:val="FootnoteReference"/>
          <w:rFonts w:asciiTheme="majorBidi" w:hAnsiTheme="majorBidi" w:cstheme="majorBidi"/>
          <w:lang w:val="en-US"/>
        </w:rPr>
        <w:footnoteReference w:id="122"/>
      </w:r>
      <w:r w:rsidRPr="00D04FDF">
        <w:rPr>
          <w:rFonts w:asciiTheme="majorBidi" w:hAnsiTheme="majorBidi" w:cstheme="majorBidi"/>
          <w:lang w:val="en-US"/>
        </w:rPr>
        <w:t>.</w:t>
      </w:r>
    </w:p>
    <w:p w14:paraId="4C64E316" w14:textId="77777777" w:rsidR="0077354A" w:rsidRPr="00D04FDF" w:rsidRDefault="0077354A" w:rsidP="0077354A">
      <w:pPr>
        <w:pStyle w:val="ListParagraph"/>
        <w:numPr>
          <w:ilvl w:val="2"/>
          <w:numId w:val="30"/>
        </w:numPr>
        <w:spacing w:line="360" w:lineRule="auto"/>
        <w:jc w:val="both"/>
        <w:rPr>
          <w:rFonts w:asciiTheme="majorBidi" w:eastAsia="Times New Roman" w:hAnsiTheme="majorBidi" w:cstheme="majorBidi"/>
          <w:sz w:val="24"/>
          <w:szCs w:val="24"/>
          <w:lang w:val="en-US" w:eastAsia="fr-FR"/>
        </w:rPr>
      </w:pPr>
      <w:bookmarkStart w:id="232" w:name="_Toc200720038"/>
      <w:bookmarkStart w:id="233" w:name="_Toc200721679"/>
      <w:r w:rsidRPr="00161F6E">
        <w:rPr>
          <w:rStyle w:val="Heading5Char"/>
          <w:rFonts w:eastAsiaTheme="minorHAnsi"/>
        </w:rPr>
        <w:t>Shipping document</w:t>
      </w:r>
      <w:bookmarkEnd w:id="232"/>
      <w:bookmarkEnd w:id="233"/>
      <w:r w:rsidRPr="00D04FDF">
        <w:rPr>
          <w:rFonts w:asciiTheme="majorBidi" w:eastAsia="Times New Roman" w:hAnsiTheme="majorBidi" w:cstheme="majorBidi"/>
          <w:b/>
          <w:bCs/>
          <w:sz w:val="24"/>
          <w:szCs w:val="24"/>
          <w:lang w:val="en-US" w:eastAsia="fr-FR"/>
        </w:rPr>
        <w:t>s</w:t>
      </w:r>
    </w:p>
    <w:p w14:paraId="5568A84B" w14:textId="119D1A36"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The international shipment of Algerian goods requires key transport documents to ensure smooth customs clearance and secure handling. The bill of lading is essential for sea exports, acting as proof of shipment and contract. Air freight uses the air waybill under IATA standards, while road exports to countries like Tunisia require the CMR consignment note. A detailed packing list supports these documents by itemizing contents, aiding inspections. Insurance</w:t>
      </w:r>
      <w:r w:rsidR="00C418C3">
        <w:rPr>
          <w:rFonts w:asciiTheme="majorBidi" w:hAnsiTheme="majorBidi" w:cstheme="majorBidi"/>
          <w:lang w:val="en-US"/>
        </w:rPr>
        <w:t xml:space="preserve"> </w:t>
      </w:r>
      <w:r w:rsidRPr="00D04FDF">
        <w:rPr>
          <w:rFonts w:asciiTheme="majorBidi" w:hAnsiTheme="majorBidi" w:cstheme="majorBidi"/>
          <w:lang w:val="en-US"/>
        </w:rPr>
        <w:t>ranging from basic to all-risk policies</w:t>
      </w:r>
      <w:r w:rsidR="00C418C3">
        <w:rPr>
          <w:rFonts w:asciiTheme="majorBidi" w:hAnsiTheme="majorBidi" w:cstheme="majorBidi"/>
          <w:lang w:val="en-US"/>
        </w:rPr>
        <w:t xml:space="preserve"> </w:t>
      </w:r>
      <w:r w:rsidRPr="00D04FDF">
        <w:rPr>
          <w:rFonts w:asciiTheme="majorBidi" w:hAnsiTheme="majorBidi" w:cstheme="majorBidi"/>
          <w:lang w:val="en-US"/>
        </w:rPr>
        <w:t>protects shipments like dates and handicrafts from loss or damage during transit</w:t>
      </w:r>
      <w:r w:rsidRPr="00D04FDF">
        <w:rPr>
          <w:rStyle w:val="FootnoteReference"/>
          <w:rFonts w:asciiTheme="majorBidi" w:hAnsiTheme="majorBidi" w:cstheme="majorBidi"/>
          <w:lang w:val="en-US"/>
        </w:rPr>
        <w:footnoteReference w:id="123"/>
      </w:r>
      <w:r w:rsidRPr="00D04FDF">
        <w:rPr>
          <w:rFonts w:asciiTheme="majorBidi" w:hAnsiTheme="majorBidi" w:cstheme="majorBidi"/>
          <w:lang w:val="en-US"/>
        </w:rPr>
        <w:t>.</w:t>
      </w:r>
    </w:p>
    <w:p w14:paraId="2B0D3544" w14:textId="77777777" w:rsidR="0077354A" w:rsidRPr="00D04FDF" w:rsidRDefault="0077354A" w:rsidP="0077354A">
      <w:pPr>
        <w:pStyle w:val="ListParagraph"/>
        <w:numPr>
          <w:ilvl w:val="2"/>
          <w:numId w:val="30"/>
        </w:numPr>
        <w:spacing w:line="360" w:lineRule="auto"/>
        <w:jc w:val="both"/>
        <w:rPr>
          <w:rStyle w:val="Strong"/>
          <w:rFonts w:asciiTheme="majorBidi" w:eastAsia="Times New Roman" w:hAnsiTheme="majorBidi" w:cstheme="majorBidi"/>
          <w:b w:val="0"/>
          <w:bCs w:val="0"/>
          <w:sz w:val="24"/>
          <w:szCs w:val="24"/>
          <w:lang w:val="en-US" w:eastAsia="fr-FR"/>
        </w:rPr>
      </w:pPr>
      <w:bookmarkStart w:id="234" w:name="_Toc200720039"/>
      <w:bookmarkStart w:id="235" w:name="_Toc200721680"/>
      <w:r w:rsidRPr="00161F6E">
        <w:rPr>
          <w:rStyle w:val="Heading5Char"/>
          <w:rFonts w:eastAsiaTheme="minorHAnsi"/>
        </w:rPr>
        <w:t>Practical implications for algerian exporter</w:t>
      </w:r>
      <w:bookmarkEnd w:id="234"/>
      <w:bookmarkEnd w:id="235"/>
      <w:r w:rsidRPr="00D04FDF">
        <w:rPr>
          <w:rStyle w:val="Strong"/>
          <w:rFonts w:asciiTheme="majorBidi" w:hAnsiTheme="majorBidi" w:cstheme="majorBidi"/>
          <w:sz w:val="24"/>
          <w:szCs w:val="24"/>
          <w:lang w:val="en-US"/>
        </w:rPr>
        <w:t>s</w:t>
      </w:r>
    </w:p>
    <w:p w14:paraId="34C13A62"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For Algerian exporters, documentation is a dynamic process influenced by national policies and global trade demands. While digital tools promoted by agencies like ALGEX streamline submissions, even minor errors—like an incomplete phytosanitary certificate—can delay shipments and damage buyer confidence</w:t>
      </w:r>
      <w:r w:rsidRPr="00D04FDF">
        <w:rPr>
          <w:rStyle w:val="FootnoteReference"/>
          <w:rFonts w:asciiTheme="majorBidi" w:hAnsiTheme="majorBidi" w:cstheme="majorBidi"/>
          <w:lang w:val="en-US"/>
        </w:rPr>
        <w:footnoteReference w:id="124"/>
      </w:r>
      <w:r w:rsidRPr="00D04FDF">
        <w:rPr>
          <w:rFonts w:asciiTheme="majorBidi" w:hAnsiTheme="majorBidi" w:cstheme="majorBidi"/>
          <w:lang w:val="en-US"/>
        </w:rPr>
        <w:t>. Mastering export documents is essential for benefiting from Algeria’s trade agreements with the EU or Arab League, where precise certification ensures tariff advantages. Exporters must stay updated, work with institutions like CACQE or CACI, and invest in training to avoid costly errors and boost competitiveness.</w:t>
      </w:r>
    </w:p>
    <w:p w14:paraId="73E9A2C8" w14:textId="77777777" w:rsidR="0077354A" w:rsidRPr="00D04FDF" w:rsidRDefault="0077354A" w:rsidP="00B163B6">
      <w:pPr>
        <w:pStyle w:val="Heading3"/>
        <w:numPr>
          <w:ilvl w:val="1"/>
          <w:numId w:val="30"/>
        </w:numPr>
      </w:pPr>
      <w:r w:rsidRPr="00D04FDF">
        <w:t xml:space="preserve"> </w:t>
      </w:r>
      <w:bookmarkStart w:id="236" w:name="_Toc200720040"/>
      <w:bookmarkStart w:id="237" w:name="_Toc200721681"/>
      <w:r w:rsidRPr="00161F6E">
        <w:rPr>
          <w:rStyle w:val="Heading4Char"/>
          <w:b/>
          <w:bCs/>
        </w:rPr>
        <w:t>Customs procedure</w:t>
      </w:r>
      <w:r w:rsidRPr="00D04FDF">
        <w:t>s</w:t>
      </w:r>
      <w:bookmarkEnd w:id="236"/>
      <w:bookmarkEnd w:id="237"/>
    </w:p>
    <w:p w14:paraId="6516C30C" w14:textId="77777777"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Customs procedures in Algeria ensure compliance with trade laws, protect national interests, and enable global market access. This section summarizes the main documents and steps involved in exporting local products like dates and olive oil. </w:t>
      </w:r>
    </w:p>
    <w:p w14:paraId="35458EE2" w14:textId="77777777" w:rsidR="0077354A" w:rsidRPr="00D04FDF" w:rsidRDefault="0077354A" w:rsidP="0077354A">
      <w:pPr>
        <w:pStyle w:val="break-words"/>
        <w:numPr>
          <w:ilvl w:val="2"/>
          <w:numId w:val="30"/>
        </w:numPr>
        <w:spacing w:line="360" w:lineRule="auto"/>
        <w:jc w:val="both"/>
        <w:rPr>
          <w:rFonts w:asciiTheme="majorBidi" w:hAnsiTheme="majorBidi" w:cstheme="majorBidi"/>
          <w:lang w:val="en-US"/>
        </w:rPr>
      </w:pPr>
      <w:bookmarkStart w:id="238" w:name="_Toc200720041"/>
      <w:bookmarkStart w:id="239" w:name="_Toc200721682"/>
      <w:r w:rsidRPr="00161F6E">
        <w:rPr>
          <w:rStyle w:val="Heading5Char"/>
        </w:rPr>
        <w:t>Key customs document</w:t>
      </w:r>
      <w:bookmarkEnd w:id="238"/>
      <w:bookmarkEnd w:id="239"/>
      <w:r w:rsidRPr="00D04FDF">
        <w:rPr>
          <w:rFonts w:asciiTheme="majorBidi" w:hAnsiTheme="majorBidi" w:cstheme="majorBidi"/>
          <w:b/>
          <w:bCs/>
          <w:lang w:val="en-US"/>
        </w:rPr>
        <w:t>s</w:t>
      </w:r>
    </w:p>
    <w:p w14:paraId="488740AE" w14:textId="590F1DE2"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Algeria’s customs process starts with the </w:t>
      </w:r>
      <w:r w:rsidRPr="00654850">
        <w:rPr>
          <w:rStyle w:val="Strong"/>
          <w:rFonts w:asciiTheme="majorBidi" w:hAnsiTheme="majorBidi" w:cstheme="majorBidi"/>
          <w:b w:val="0"/>
          <w:bCs w:val="0"/>
          <w:lang w:val="en-US"/>
        </w:rPr>
        <w:t>customs declaration</w:t>
      </w:r>
      <w:r w:rsidRPr="00D04FDF">
        <w:rPr>
          <w:rFonts w:asciiTheme="majorBidi" w:hAnsiTheme="majorBidi" w:cstheme="majorBidi"/>
          <w:lang w:val="en-US"/>
        </w:rPr>
        <w:t xml:space="preserve">, a required document specifying export type (e.g., permanent or temporary), product details, value, and destination. Accuracy is crucial to avoid delays or penalties. For </w:t>
      </w:r>
      <w:r w:rsidRPr="00654850">
        <w:rPr>
          <w:rStyle w:val="Strong"/>
          <w:rFonts w:asciiTheme="majorBidi" w:hAnsiTheme="majorBidi" w:cstheme="majorBidi"/>
          <w:b w:val="0"/>
          <w:bCs w:val="0"/>
          <w:lang w:val="en-US"/>
        </w:rPr>
        <w:t>temporary</w:t>
      </w:r>
      <w:r w:rsidRPr="00D04FDF">
        <w:rPr>
          <w:rStyle w:val="Strong"/>
          <w:rFonts w:asciiTheme="majorBidi" w:hAnsiTheme="majorBidi" w:cstheme="majorBidi"/>
          <w:lang w:val="en-US"/>
        </w:rPr>
        <w:t xml:space="preserve"> </w:t>
      </w:r>
      <w:r w:rsidRPr="00654850">
        <w:rPr>
          <w:rStyle w:val="Strong"/>
          <w:rFonts w:asciiTheme="majorBidi" w:hAnsiTheme="majorBidi" w:cstheme="majorBidi"/>
          <w:b w:val="0"/>
          <w:bCs w:val="0"/>
          <w:lang w:val="en-US"/>
        </w:rPr>
        <w:t>exports</w:t>
      </w:r>
      <w:r w:rsidRPr="00D04FDF">
        <w:rPr>
          <w:rFonts w:asciiTheme="majorBidi" w:hAnsiTheme="majorBidi" w:cstheme="majorBidi"/>
          <w:lang w:val="en-US"/>
        </w:rPr>
        <w:t xml:space="preserve"> like trade fair samples, the </w:t>
      </w:r>
      <w:r w:rsidRPr="00654850">
        <w:rPr>
          <w:rStyle w:val="Strong"/>
          <w:rFonts w:asciiTheme="majorBidi" w:hAnsiTheme="majorBidi" w:cstheme="majorBidi"/>
          <w:b w:val="0"/>
          <w:bCs w:val="0"/>
          <w:lang w:val="en-US"/>
        </w:rPr>
        <w:t>ATA</w:t>
      </w:r>
      <w:r w:rsidRPr="00D04FDF">
        <w:rPr>
          <w:rStyle w:val="Strong"/>
          <w:rFonts w:asciiTheme="majorBidi" w:hAnsiTheme="majorBidi" w:cstheme="majorBidi"/>
          <w:lang w:val="en-US"/>
        </w:rPr>
        <w:t xml:space="preserve"> </w:t>
      </w:r>
      <w:r w:rsidRPr="00654850">
        <w:rPr>
          <w:rStyle w:val="Strong"/>
          <w:rFonts w:asciiTheme="majorBidi" w:hAnsiTheme="majorBidi" w:cstheme="majorBidi"/>
          <w:b w:val="0"/>
          <w:bCs w:val="0"/>
          <w:lang w:val="en-US"/>
        </w:rPr>
        <w:t>carnet</w:t>
      </w:r>
      <w:r w:rsidR="00654850">
        <w:rPr>
          <w:rFonts w:asciiTheme="majorBidi" w:hAnsiTheme="majorBidi" w:cstheme="majorBidi"/>
          <w:lang w:val="en-US"/>
        </w:rPr>
        <w:t xml:space="preserve"> </w:t>
      </w:r>
      <w:r w:rsidRPr="00D04FDF">
        <w:rPr>
          <w:rFonts w:asciiTheme="majorBidi" w:hAnsiTheme="majorBidi" w:cstheme="majorBidi"/>
          <w:lang w:val="en-US"/>
        </w:rPr>
        <w:t>issued by the CACI</w:t>
      </w:r>
      <w:r w:rsidR="00654850">
        <w:rPr>
          <w:rFonts w:asciiTheme="majorBidi" w:hAnsiTheme="majorBidi" w:cstheme="majorBidi"/>
          <w:lang w:val="en-US"/>
        </w:rPr>
        <w:t xml:space="preserve"> </w:t>
      </w:r>
      <w:r w:rsidRPr="00D04FDF">
        <w:rPr>
          <w:rFonts w:asciiTheme="majorBidi" w:hAnsiTheme="majorBidi" w:cstheme="majorBidi"/>
          <w:lang w:val="en-US"/>
        </w:rPr>
        <w:t>simplifies procedures by suspending duties and taxes in 72 countries for up to 12 months. It applies to non-commercial goods that must return unchanged, with fees of 15,000 DZD plus 1% of the declared value and 17% VAT</w:t>
      </w:r>
      <w:r w:rsidRPr="00D04FDF">
        <w:rPr>
          <w:rStyle w:val="FootnoteReference"/>
          <w:rFonts w:asciiTheme="majorBidi" w:hAnsiTheme="majorBidi" w:cstheme="majorBidi"/>
          <w:lang w:val="en-US"/>
        </w:rPr>
        <w:footnoteReference w:id="125"/>
      </w:r>
      <w:r w:rsidRPr="00D04FDF">
        <w:rPr>
          <w:rFonts w:asciiTheme="majorBidi" w:hAnsiTheme="majorBidi" w:cstheme="majorBidi"/>
          <w:lang w:val="en-US"/>
        </w:rPr>
        <w:t>. These documents are not mere formalities; they are the legal bedrock that aligns Algerian exports with global trade norms.</w:t>
      </w:r>
    </w:p>
    <w:p w14:paraId="07C91F1E" w14:textId="77777777" w:rsidR="0077354A" w:rsidRPr="00D04FDF" w:rsidRDefault="0077354A" w:rsidP="0077354A">
      <w:pPr>
        <w:pStyle w:val="break-words"/>
        <w:numPr>
          <w:ilvl w:val="2"/>
          <w:numId w:val="30"/>
        </w:numPr>
        <w:spacing w:line="360" w:lineRule="auto"/>
        <w:jc w:val="both"/>
        <w:rPr>
          <w:rFonts w:asciiTheme="majorBidi" w:hAnsiTheme="majorBidi" w:cstheme="majorBidi"/>
          <w:lang w:val="en-US"/>
        </w:rPr>
      </w:pPr>
      <w:bookmarkStart w:id="240" w:name="_Toc200720042"/>
      <w:bookmarkStart w:id="241" w:name="_Toc200721683"/>
      <w:r w:rsidRPr="00161F6E">
        <w:rPr>
          <w:rStyle w:val="Heading5Char"/>
        </w:rPr>
        <w:t>Procedural steps in customs clearanc</w:t>
      </w:r>
      <w:bookmarkEnd w:id="240"/>
      <w:bookmarkEnd w:id="241"/>
      <w:r w:rsidRPr="00D04FDF">
        <w:rPr>
          <w:rFonts w:asciiTheme="majorBidi" w:hAnsiTheme="majorBidi" w:cstheme="majorBidi"/>
          <w:b/>
          <w:bCs/>
          <w:lang w:val="en-US"/>
        </w:rPr>
        <w:t>e</w:t>
      </w:r>
    </w:p>
    <w:p w14:paraId="49BB7573" w14:textId="0D387849" w:rsidR="0077354A" w:rsidRPr="00D04FDF" w:rsidRDefault="0077354A" w:rsidP="00483AF1">
      <w:pPr>
        <w:pStyle w:val="NormalWeb"/>
        <w:spacing w:line="360" w:lineRule="auto"/>
        <w:jc w:val="both"/>
        <w:rPr>
          <w:rFonts w:asciiTheme="majorBidi" w:hAnsiTheme="majorBidi" w:cstheme="majorBidi"/>
          <w:lang w:val="en-US"/>
        </w:rPr>
      </w:pPr>
      <w:r w:rsidRPr="00D04FDF">
        <w:rPr>
          <w:rFonts w:asciiTheme="majorBidi" w:hAnsiTheme="majorBidi" w:cstheme="majorBidi"/>
          <w:lang w:val="en-US"/>
        </w:rPr>
        <w:t xml:space="preserve">  Algeria’s customs clearance process begins with the exporter submitting a detailed declaration about the shipment</w:t>
      </w:r>
      <w:r w:rsidR="00654850">
        <w:rPr>
          <w:rFonts w:asciiTheme="majorBidi" w:hAnsiTheme="majorBidi" w:cstheme="majorBidi"/>
          <w:lang w:val="en-US"/>
        </w:rPr>
        <w:t xml:space="preserve"> </w:t>
      </w:r>
      <w:r w:rsidRPr="00D04FDF">
        <w:rPr>
          <w:rFonts w:asciiTheme="majorBidi" w:hAnsiTheme="majorBidi" w:cstheme="majorBidi"/>
          <w:lang w:val="en-US"/>
        </w:rPr>
        <w:t>covering origin, value, and product type. This legal step ensures compliance with trade regulations and aligns exports like dates from Biskra with international standards. At Algerian exit points like ports, borders, and airports, customs officials inspect goods</w:t>
      </w:r>
      <w:r w:rsidR="00654850">
        <w:rPr>
          <w:rFonts w:asciiTheme="majorBidi" w:hAnsiTheme="majorBidi" w:cstheme="majorBidi"/>
          <w:lang w:val="en-US"/>
        </w:rPr>
        <w:t xml:space="preserve"> </w:t>
      </w:r>
      <w:r w:rsidRPr="00D04FDF">
        <w:rPr>
          <w:rFonts w:asciiTheme="majorBidi" w:hAnsiTheme="majorBidi" w:cstheme="majorBidi"/>
          <w:lang w:val="en-US"/>
        </w:rPr>
        <w:t>such as olive oil or handicrafts</w:t>
      </w:r>
      <w:r w:rsidR="00654850">
        <w:rPr>
          <w:rFonts w:asciiTheme="majorBidi" w:hAnsiTheme="majorBidi" w:cstheme="majorBidi"/>
          <w:lang w:val="en-US"/>
        </w:rPr>
        <w:t xml:space="preserve"> </w:t>
      </w:r>
      <w:r w:rsidRPr="00D04FDF">
        <w:rPr>
          <w:rFonts w:asciiTheme="majorBidi" w:hAnsiTheme="majorBidi" w:cstheme="majorBidi"/>
          <w:lang w:val="en-US"/>
        </w:rPr>
        <w:t>to confirm they match declarations. Export duties are assessed, though many are exempt under trade deals. Payments follow national financial protocols, aligning with Algeria’s trade commitments.</w:t>
      </w:r>
    </w:p>
    <w:p w14:paraId="3795956B" w14:textId="77777777" w:rsidR="0077354A" w:rsidRPr="00D04FDF" w:rsidRDefault="0077354A" w:rsidP="0077354A">
      <w:pPr>
        <w:pStyle w:val="NormalWeb"/>
        <w:numPr>
          <w:ilvl w:val="2"/>
          <w:numId w:val="30"/>
        </w:numPr>
        <w:spacing w:line="360" w:lineRule="auto"/>
        <w:jc w:val="both"/>
        <w:rPr>
          <w:rFonts w:asciiTheme="majorBidi" w:hAnsiTheme="majorBidi" w:cstheme="majorBidi"/>
          <w:lang w:val="en-US"/>
        </w:rPr>
      </w:pPr>
      <w:bookmarkStart w:id="242" w:name="_Toc200720043"/>
      <w:bookmarkStart w:id="243" w:name="_Toc200721684"/>
      <w:r w:rsidRPr="00161F6E">
        <w:rPr>
          <w:rStyle w:val="Heading5Char"/>
        </w:rPr>
        <w:t>Challenges and strategic consideration</w:t>
      </w:r>
      <w:bookmarkEnd w:id="242"/>
      <w:bookmarkEnd w:id="243"/>
      <w:r w:rsidRPr="00D04FDF">
        <w:rPr>
          <w:rFonts w:asciiTheme="majorBidi" w:hAnsiTheme="majorBidi" w:cstheme="majorBidi"/>
          <w:b/>
          <w:bCs/>
          <w:lang w:val="en-US"/>
        </w:rPr>
        <w:t>s</w:t>
      </w:r>
    </w:p>
    <w:p w14:paraId="0091FF25" w14:textId="0698178C" w:rsidR="0077354A" w:rsidRPr="00D04FDF" w:rsidRDefault="0077354A" w:rsidP="00483AF1">
      <w:pPr>
        <w:spacing w:before="100" w:beforeAutospacing="1" w:after="100" w:afterAutospacing="1" w:line="360" w:lineRule="auto"/>
        <w:jc w:val="both"/>
        <w:rPr>
          <w:rFonts w:asciiTheme="majorBidi" w:hAnsiTheme="majorBidi" w:cstheme="majorBidi"/>
          <w:sz w:val="24"/>
          <w:szCs w:val="24"/>
          <w:lang w:val="en-US"/>
        </w:rPr>
      </w:pPr>
      <w:r w:rsidRPr="00D04FDF">
        <w:rPr>
          <w:rFonts w:asciiTheme="majorBidi" w:eastAsia="Times New Roman" w:hAnsiTheme="majorBidi" w:cstheme="majorBidi"/>
          <w:sz w:val="24"/>
          <w:szCs w:val="24"/>
          <w:lang w:val="en-US" w:eastAsia="fr-FR"/>
        </w:rPr>
        <w:t xml:space="preserve">   Algerian customs procedures face logistical challenges</w:t>
      </w:r>
      <w:r w:rsidR="00654850">
        <w:rPr>
          <w:rFonts w:asciiTheme="majorBidi" w:eastAsia="Times New Roman" w:hAnsiTheme="majorBidi" w:cstheme="majorBidi"/>
          <w:sz w:val="24"/>
          <w:szCs w:val="24"/>
          <w:lang w:val="en-US" w:eastAsia="fr-FR"/>
        </w:rPr>
        <w:t xml:space="preserve"> </w:t>
      </w:r>
      <w:r w:rsidRPr="00D04FDF">
        <w:rPr>
          <w:rFonts w:asciiTheme="majorBidi" w:eastAsia="Times New Roman" w:hAnsiTheme="majorBidi" w:cstheme="majorBidi"/>
          <w:sz w:val="24"/>
          <w:szCs w:val="24"/>
          <w:lang w:val="en-US" w:eastAsia="fr-FR"/>
        </w:rPr>
        <w:t>such as delays at ports like Bejaia due to infrastructure bottlenecks or documentation errors</w:t>
      </w:r>
      <w:r w:rsidR="00654850">
        <w:rPr>
          <w:rFonts w:asciiTheme="majorBidi" w:eastAsia="Times New Roman" w:hAnsiTheme="majorBidi" w:cstheme="majorBidi"/>
          <w:sz w:val="24"/>
          <w:szCs w:val="24"/>
          <w:lang w:val="en-US" w:eastAsia="fr-FR"/>
        </w:rPr>
        <w:t xml:space="preserve"> </w:t>
      </w:r>
      <w:r w:rsidRPr="00D04FDF">
        <w:rPr>
          <w:rFonts w:asciiTheme="majorBidi" w:eastAsia="Times New Roman" w:hAnsiTheme="majorBidi" w:cstheme="majorBidi"/>
          <w:sz w:val="24"/>
          <w:szCs w:val="24"/>
          <w:lang w:val="en-US" w:eastAsia="fr-FR"/>
        </w:rPr>
        <w:t>that can impede the timely export of perishables like dates</w:t>
      </w:r>
      <w:r w:rsidRPr="00D04FDF">
        <w:rPr>
          <w:rStyle w:val="FootnoteReference"/>
          <w:rFonts w:asciiTheme="majorBidi" w:eastAsia="Times New Roman" w:hAnsiTheme="majorBidi" w:cstheme="majorBidi"/>
          <w:sz w:val="24"/>
          <w:szCs w:val="24"/>
          <w:lang w:val="en-US" w:eastAsia="fr-FR"/>
        </w:rPr>
        <w:footnoteReference w:id="126"/>
      </w:r>
      <w:r w:rsidRPr="00D04FDF">
        <w:rPr>
          <w:rFonts w:asciiTheme="majorBidi" w:eastAsia="Times New Roman" w:hAnsiTheme="majorBidi" w:cstheme="majorBidi"/>
          <w:sz w:val="24"/>
          <w:szCs w:val="24"/>
          <w:lang w:val="en-US" w:eastAsia="fr-FR"/>
        </w:rPr>
        <w:t xml:space="preserve">. </w:t>
      </w:r>
      <w:r w:rsidRPr="00D04FDF">
        <w:rPr>
          <w:rFonts w:asciiTheme="majorBidi" w:hAnsiTheme="majorBidi" w:cstheme="majorBidi"/>
          <w:sz w:val="24"/>
          <w:szCs w:val="24"/>
          <w:lang w:val="en-US"/>
        </w:rPr>
        <w:t>Digitalization in Algeria's customs system offers opportunities to streamline processing and reduce paperwork, helping to modernize the export framework. Compliance with international trade agreements, such as those with the EU or Tunisia, necessitates precise product classification and valuation for exporters to benefit from tariff reductions. This evolving system requires exporters to embrace technological solutions and expertise to navigate customs efficiently and ensure Algeria's goods meet international standards, thereby boosting the nation’s export potential.</w:t>
      </w:r>
    </w:p>
    <w:p w14:paraId="7BF5D6AD" w14:textId="7321EBC0" w:rsidR="0077354A" w:rsidRDefault="0077354A" w:rsidP="00483AF1">
      <w:pPr>
        <w:spacing w:after="0" w:line="360" w:lineRule="auto"/>
        <w:jc w:val="both"/>
        <w:rPr>
          <w:rFonts w:asciiTheme="majorBidi" w:eastAsia="Times New Roman" w:hAnsiTheme="majorBidi" w:cstheme="majorBidi"/>
          <w:sz w:val="24"/>
          <w:szCs w:val="24"/>
          <w:lang w:val="en-US" w:eastAsia="fr-FR"/>
        </w:rPr>
      </w:pPr>
      <w:r w:rsidRPr="00D04FDF">
        <w:rPr>
          <w:rFonts w:asciiTheme="majorBidi" w:eastAsia="Times New Roman" w:hAnsiTheme="majorBidi" w:cstheme="majorBidi"/>
          <w:sz w:val="24"/>
          <w:szCs w:val="24"/>
          <w:rtl/>
          <w:lang w:val="en-US" w:eastAsia="fr-FR"/>
        </w:rPr>
        <w:t xml:space="preserve">   </w:t>
      </w:r>
      <w:r w:rsidRPr="00D04FDF">
        <w:rPr>
          <w:rFonts w:asciiTheme="majorBidi" w:eastAsia="Times New Roman" w:hAnsiTheme="majorBidi" w:cstheme="majorBidi"/>
          <w:sz w:val="24"/>
          <w:szCs w:val="24"/>
          <w:lang w:val="en-US" w:eastAsia="fr-FR"/>
        </w:rPr>
        <w:t>This section showed how exporting from Algeria needs careful steps, proper documents, and clear laws. The export process helps businesses prepare and act to reach foreign markets. Documents and customs make sure trade follows rules and runs smoothly. Laws allow exporting freely but protect the country’s interests. Together, these parts support Algeria’s goal to grow its economy. They show how exporting can build a stronger future for the nation.</w:t>
      </w:r>
    </w:p>
    <w:p w14:paraId="775E124B" w14:textId="6EF0B6A9" w:rsidR="00C16403" w:rsidRDefault="00C16403" w:rsidP="00483AF1">
      <w:pPr>
        <w:spacing w:after="0" w:line="360" w:lineRule="auto"/>
        <w:jc w:val="both"/>
        <w:rPr>
          <w:rFonts w:asciiTheme="majorBidi" w:eastAsia="Times New Roman" w:hAnsiTheme="majorBidi" w:cstheme="majorBidi"/>
          <w:sz w:val="24"/>
          <w:szCs w:val="24"/>
          <w:lang w:val="en-US" w:eastAsia="fr-FR"/>
        </w:rPr>
      </w:pPr>
    </w:p>
    <w:p w14:paraId="239C757F" w14:textId="4454459B" w:rsidR="00C16403" w:rsidRDefault="00C16403" w:rsidP="00483AF1">
      <w:pPr>
        <w:spacing w:after="0" w:line="360" w:lineRule="auto"/>
        <w:jc w:val="both"/>
        <w:rPr>
          <w:rFonts w:asciiTheme="majorBidi" w:eastAsia="Times New Roman" w:hAnsiTheme="majorBidi" w:cstheme="majorBidi"/>
          <w:sz w:val="24"/>
          <w:szCs w:val="24"/>
          <w:lang w:val="en-US" w:eastAsia="fr-FR"/>
        </w:rPr>
      </w:pPr>
    </w:p>
    <w:p w14:paraId="6FFF152F" w14:textId="77777777" w:rsidR="00C16403" w:rsidRPr="00D04FDF" w:rsidRDefault="00C16403" w:rsidP="00483AF1">
      <w:pPr>
        <w:spacing w:after="0" w:line="360" w:lineRule="auto"/>
        <w:jc w:val="both"/>
        <w:rPr>
          <w:rFonts w:asciiTheme="majorBidi" w:eastAsia="Times New Roman" w:hAnsiTheme="majorBidi" w:cstheme="majorBidi"/>
          <w:sz w:val="24"/>
          <w:szCs w:val="24"/>
          <w:lang w:val="en-US" w:eastAsia="fr-FR"/>
        </w:rPr>
      </w:pPr>
    </w:p>
    <w:p w14:paraId="21399972" w14:textId="77777777" w:rsidR="0077354A" w:rsidRPr="00D04FDF" w:rsidRDefault="0077354A" w:rsidP="00483AF1">
      <w:pPr>
        <w:spacing w:line="360" w:lineRule="auto"/>
        <w:jc w:val="both"/>
        <w:rPr>
          <w:rFonts w:asciiTheme="majorBidi" w:hAnsiTheme="majorBidi" w:cstheme="majorBidi"/>
          <w:b/>
          <w:bCs/>
          <w:sz w:val="24"/>
          <w:szCs w:val="24"/>
          <w:lang w:val="en-US"/>
        </w:rPr>
      </w:pPr>
    </w:p>
    <w:p w14:paraId="6D4FD736" w14:textId="77777777" w:rsidR="0024056C" w:rsidRDefault="0024056C" w:rsidP="00483AF1">
      <w:pPr>
        <w:spacing w:line="360" w:lineRule="auto"/>
        <w:jc w:val="both"/>
        <w:rPr>
          <w:rFonts w:asciiTheme="majorBidi" w:hAnsiTheme="majorBidi" w:cstheme="majorBidi"/>
          <w:b/>
          <w:bCs/>
          <w:sz w:val="28"/>
          <w:szCs w:val="28"/>
          <w:lang w:val="en-GB"/>
        </w:rPr>
      </w:pPr>
    </w:p>
    <w:p w14:paraId="3ED334D5" w14:textId="77777777" w:rsidR="0024056C" w:rsidRDefault="0024056C" w:rsidP="00483AF1">
      <w:pPr>
        <w:spacing w:line="360" w:lineRule="auto"/>
        <w:jc w:val="both"/>
        <w:rPr>
          <w:rFonts w:asciiTheme="majorBidi" w:hAnsiTheme="majorBidi" w:cstheme="majorBidi"/>
          <w:b/>
          <w:bCs/>
          <w:sz w:val="28"/>
          <w:szCs w:val="28"/>
          <w:lang w:val="en-GB"/>
        </w:rPr>
      </w:pPr>
    </w:p>
    <w:p w14:paraId="2A19DA2F" w14:textId="77777777" w:rsidR="0024056C" w:rsidRDefault="0024056C" w:rsidP="00483AF1">
      <w:pPr>
        <w:spacing w:line="360" w:lineRule="auto"/>
        <w:jc w:val="both"/>
        <w:rPr>
          <w:rFonts w:asciiTheme="majorBidi" w:hAnsiTheme="majorBidi" w:cstheme="majorBidi"/>
          <w:b/>
          <w:bCs/>
          <w:sz w:val="28"/>
          <w:szCs w:val="28"/>
          <w:lang w:val="en-GB"/>
        </w:rPr>
      </w:pPr>
    </w:p>
    <w:p w14:paraId="2ECAC8D4" w14:textId="77777777" w:rsidR="0024056C" w:rsidRDefault="0024056C" w:rsidP="00483AF1">
      <w:pPr>
        <w:spacing w:line="360" w:lineRule="auto"/>
        <w:jc w:val="both"/>
        <w:rPr>
          <w:rFonts w:asciiTheme="majorBidi" w:hAnsiTheme="majorBidi" w:cstheme="majorBidi"/>
          <w:b/>
          <w:bCs/>
          <w:sz w:val="28"/>
          <w:szCs w:val="28"/>
          <w:lang w:val="en-GB"/>
        </w:rPr>
      </w:pPr>
    </w:p>
    <w:p w14:paraId="434EC165" w14:textId="77777777" w:rsidR="0024056C" w:rsidRDefault="0024056C" w:rsidP="00483AF1">
      <w:pPr>
        <w:spacing w:line="360" w:lineRule="auto"/>
        <w:jc w:val="both"/>
        <w:rPr>
          <w:rFonts w:asciiTheme="majorBidi" w:hAnsiTheme="majorBidi" w:cstheme="majorBidi"/>
          <w:b/>
          <w:bCs/>
          <w:sz w:val="28"/>
          <w:szCs w:val="28"/>
          <w:lang w:val="en-GB"/>
        </w:rPr>
      </w:pPr>
    </w:p>
    <w:p w14:paraId="1A6A8C89" w14:textId="77777777" w:rsidR="0024056C" w:rsidRDefault="0024056C" w:rsidP="00483AF1">
      <w:pPr>
        <w:spacing w:line="360" w:lineRule="auto"/>
        <w:jc w:val="both"/>
        <w:rPr>
          <w:rFonts w:asciiTheme="majorBidi" w:hAnsiTheme="majorBidi" w:cstheme="majorBidi"/>
          <w:b/>
          <w:bCs/>
          <w:sz w:val="28"/>
          <w:szCs w:val="28"/>
          <w:lang w:val="en-GB"/>
        </w:rPr>
      </w:pPr>
    </w:p>
    <w:p w14:paraId="1743E642" w14:textId="77777777" w:rsidR="00654850" w:rsidRDefault="00654850" w:rsidP="00483AF1">
      <w:pPr>
        <w:spacing w:line="360" w:lineRule="auto"/>
        <w:jc w:val="both"/>
        <w:rPr>
          <w:rFonts w:asciiTheme="majorBidi" w:hAnsiTheme="majorBidi" w:cstheme="majorBidi"/>
          <w:b/>
          <w:bCs/>
          <w:sz w:val="28"/>
          <w:szCs w:val="28"/>
          <w:lang w:val="en-GB"/>
        </w:rPr>
      </w:pPr>
    </w:p>
    <w:p w14:paraId="39C06D53" w14:textId="13CC14BA" w:rsidR="0077354A" w:rsidRDefault="0077354A" w:rsidP="00161F6E">
      <w:pPr>
        <w:pStyle w:val="Heading2"/>
      </w:pPr>
      <w:bookmarkStart w:id="245" w:name="_Toc200720044"/>
      <w:bookmarkStart w:id="246" w:name="_Toc200721685"/>
      <w:r w:rsidRPr="00C16403">
        <w:t>Section</w:t>
      </w:r>
      <w:r w:rsidR="00FD7333">
        <w:t xml:space="preserve"> 0</w:t>
      </w:r>
      <w:r w:rsidRPr="00C16403">
        <w:t>3: Challenges in exporting to turkey</w:t>
      </w:r>
      <w:bookmarkEnd w:id="245"/>
      <w:bookmarkEnd w:id="246"/>
    </w:p>
    <w:p w14:paraId="37D062D9" w14:textId="3B3ABB10" w:rsidR="00150121" w:rsidRPr="00150121" w:rsidRDefault="00150121" w:rsidP="00654850">
      <w:pPr>
        <w:spacing w:line="360" w:lineRule="auto"/>
        <w:jc w:val="both"/>
        <w:rPr>
          <w:rFonts w:asciiTheme="majorBidi" w:hAnsiTheme="majorBidi" w:cstheme="majorBidi"/>
          <w:b/>
          <w:bCs/>
          <w:sz w:val="32"/>
          <w:szCs w:val="32"/>
          <w:lang w:val="en-GB"/>
        </w:rPr>
      </w:pPr>
      <w:r w:rsidRPr="00150121">
        <w:rPr>
          <w:rFonts w:asciiTheme="majorBidi" w:hAnsiTheme="majorBidi" w:cstheme="majorBidi"/>
          <w:sz w:val="24"/>
          <w:szCs w:val="24"/>
          <w:lang w:val="en-GB"/>
        </w:rPr>
        <w:t>This section highlights the key obstacles to exporting to Turkey, including cultural differences, regulations, strong competition, and financial constraints. These challenges must be addressed to ensure successful market entry and growth.</w:t>
      </w:r>
    </w:p>
    <w:p w14:paraId="262EEADC" w14:textId="6D061ABD" w:rsidR="0077354A" w:rsidRPr="00654850" w:rsidRDefault="00E2463C" w:rsidP="00413B73">
      <w:pPr>
        <w:pStyle w:val="ListParagraph"/>
        <w:numPr>
          <w:ilvl w:val="0"/>
          <w:numId w:val="87"/>
        </w:numPr>
        <w:spacing w:line="360" w:lineRule="auto"/>
        <w:jc w:val="both"/>
        <w:rPr>
          <w:rFonts w:asciiTheme="majorBidi" w:hAnsiTheme="majorBidi" w:cstheme="majorBidi"/>
          <w:b/>
          <w:bCs/>
          <w:sz w:val="24"/>
          <w:szCs w:val="24"/>
          <w:lang w:val="en-GB"/>
        </w:rPr>
      </w:pPr>
      <w:bookmarkStart w:id="247" w:name="_Toc200720045"/>
      <w:bookmarkStart w:id="248" w:name="_Toc200721686"/>
      <w:r w:rsidRPr="00161F6E">
        <w:rPr>
          <w:rStyle w:val="Heading3Char"/>
        </w:rPr>
        <w:t>C</w:t>
      </w:r>
      <w:r w:rsidR="0077354A" w:rsidRPr="00161F6E">
        <w:rPr>
          <w:rStyle w:val="Heading3Char"/>
        </w:rPr>
        <w:t>ultural and regulatory barriers</w:t>
      </w:r>
      <w:bookmarkEnd w:id="202"/>
      <w:bookmarkEnd w:id="247"/>
      <w:bookmarkEnd w:id="248"/>
      <w:r>
        <w:rPr>
          <w:rFonts w:asciiTheme="majorBidi" w:hAnsiTheme="majorBidi" w:cstheme="majorBidi"/>
          <w:b/>
          <w:bCs/>
          <w:sz w:val="24"/>
          <w:szCs w:val="24"/>
          <w:lang w:val="en-GB"/>
        </w:rPr>
        <w:t>:</w:t>
      </w:r>
      <w:r w:rsidR="0077354A" w:rsidRPr="00654850">
        <w:rPr>
          <w:rFonts w:asciiTheme="majorBidi" w:hAnsiTheme="majorBidi" w:cstheme="majorBidi"/>
          <w:b/>
          <w:bCs/>
          <w:sz w:val="24"/>
          <w:szCs w:val="24"/>
          <w:lang w:val="en-GB"/>
        </w:rPr>
        <w:t xml:space="preserve"> </w:t>
      </w:r>
    </w:p>
    <w:p w14:paraId="70F4CE5D" w14:textId="0D93887E" w:rsidR="0077354A" w:rsidRPr="00D04FDF" w:rsidRDefault="00FD7333" w:rsidP="00654850">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Achieving success in any prospective venture within Turkey’s dynamic economy requires a solid understanding of the local culture, social norms, business etiquette, and the Turkish approach to conducting business</w:t>
      </w:r>
      <w:r w:rsidR="0077354A" w:rsidRPr="00D04FDF">
        <w:rPr>
          <w:rStyle w:val="FootnoteReference"/>
          <w:rFonts w:asciiTheme="majorBidi" w:hAnsiTheme="majorBidi" w:cstheme="majorBidi"/>
          <w:sz w:val="24"/>
          <w:szCs w:val="24"/>
          <w:lang w:val="en-GB"/>
        </w:rPr>
        <w:footnoteReference w:id="127"/>
      </w:r>
      <w:r>
        <w:rPr>
          <w:rStyle w:val="fadeinm1hgl8"/>
          <w:rFonts w:asciiTheme="majorBidi" w:hAnsiTheme="majorBidi" w:cstheme="majorBidi"/>
          <w:sz w:val="24"/>
          <w:szCs w:val="24"/>
          <w:lang w:val="en-GB"/>
        </w:rPr>
        <w:t>.</w:t>
      </w:r>
    </w:p>
    <w:p w14:paraId="7DCB95FF" w14:textId="7E15596D" w:rsidR="00654850" w:rsidRPr="00161F6E" w:rsidRDefault="00654850" w:rsidP="00161F6E">
      <w:pPr>
        <w:pStyle w:val="Heading4"/>
        <w:rPr>
          <w:b w:val="0"/>
          <w:bCs w:val="0"/>
        </w:rPr>
      </w:pPr>
      <w:bookmarkStart w:id="249" w:name="_Toc200720046"/>
      <w:bookmarkStart w:id="250" w:name="_Toc200721687"/>
      <w:r w:rsidRPr="00161F6E">
        <w:t xml:space="preserve">1.1.   </w:t>
      </w:r>
      <w:r w:rsidR="0077354A" w:rsidRPr="00161F6E">
        <w:rPr>
          <w:rStyle w:val="Heading4Char"/>
          <w:b/>
          <w:bCs/>
        </w:rPr>
        <w:t>Cultural and barrier</w:t>
      </w:r>
      <w:r w:rsidR="0077354A" w:rsidRPr="00161F6E">
        <w:t>s</w:t>
      </w:r>
      <w:bookmarkEnd w:id="249"/>
      <w:bookmarkEnd w:id="250"/>
    </w:p>
    <w:p w14:paraId="10150001" w14:textId="1414A1D0" w:rsidR="0077354A" w:rsidRPr="00654850" w:rsidRDefault="00654850" w:rsidP="00654850">
      <w:pPr>
        <w:spacing w:line="360" w:lineRule="auto"/>
        <w:jc w:val="both"/>
        <w:rPr>
          <w:rStyle w:val="Strong"/>
          <w:rFonts w:asciiTheme="majorBidi" w:hAnsiTheme="majorBidi" w:cstheme="majorBidi"/>
          <w:sz w:val="24"/>
          <w:szCs w:val="24"/>
          <w:lang w:val="en-GB"/>
        </w:rPr>
      </w:pPr>
      <w:r w:rsidRPr="00654850">
        <w:rPr>
          <w:rStyle w:val="Strong"/>
          <w:rFonts w:asciiTheme="majorBidi" w:hAnsiTheme="majorBidi" w:cstheme="majorBidi"/>
          <w:sz w:val="24"/>
          <w:szCs w:val="24"/>
          <w:lang w:val="en-GB"/>
        </w:rPr>
        <w:t>1.1.1</w:t>
      </w:r>
      <w:r>
        <w:rPr>
          <w:rStyle w:val="Strong"/>
          <w:rFonts w:asciiTheme="majorBidi" w:hAnsiTheme="majorBidi" w:cstheme="majorBidi"/>
          <w:sz w:val="24"/>
          <w:szCs w:val="24"/>
          <w:lang w:val="en-GB"/>
        </w:rPr>
        <w:t>.</w:t>
      </w:r>
      <w:r w:rsidRPr="00654850">
        <w:rPr>
          <w:rStyle w:val="Strong"/>
          <w:rFonts w:asciiTheme="majorBidi" w:hAnsiTheme="majorBidi" w:cstheme="majorBidi"/>
          <w:sz w:val="24"/>
          <w:szCs w:val="24"/>
          <w:lang w:val="en-GB"/>
        </w:rPr>
        <w:t xml:space="preserve">   </w:t>
      </w:r>
      <w:r w:rsidR="0077354A" w:rsidRPr="00161F6E">
        <w:rPr>
          <w:rStyle w:val="Heading5Char"/>
          <w:rFonts w:eastAsiaTheme="minorHAnsi"/>
        </w:rPr>
        <w:t>Business Etiquette and Communicatio</w:t>
      </w:r>
      <w:r w:rsidR="0077354A" w:rsidRPr="00654850">
        <w:rPr>
          <w:rStyle w:val="Strong"/>
          <w:rFonts w:asciiTheme="majorBidi" w:hAnsiTheme="majorBidi" w:cstheme="majorBidi"/>
          <w:sz w:val="24"/>
          <w:szCs w:val="24"/>
          <w:lang w:val="en-GB"/>
        </w:rPr>
        <w:t>n</w:t>
      </w:r>
    </w:p>
    <w:p w14:paraId="10ADE7A1" w14:textId="6A64C858" w:rsidR="0077354A" w:rsidRPr="00D04FDF" w:rsidRDefault="00161F6E" w:rsidP="00654850">
      <w:pPr>
        <w:spacing w:line="360" w:lineRule="auto"/>
        <w:jc w:val="both"/>
        <w:rPr>
          <w:rFonts w:asciiTheme="majorBidi" w:hAnsiTheme="majorBidi" w:cstheme="majorBidi"/>
          <w:sz w:val="24"/>
          <w:szCs w:val="24"/>
          <w:lang w:val="en-GB"/>
        </w:rPr>
      </w:pPr>
      <w:r>
        <w:rPr>
          <w:rStyle w:val="Strong"/>
          <w:rFonts w:asciiTheme="majorBidi" w:hAnsiTheme="majorBidi" w:cstheme="majorBidi"/>
          <w:sz w:val="24"/>
          <w:szCs w:val="24"/>
          <w:lang w:val="en-GB"/>
        </w:rPr>
        <w:t xml:space="preserve">1.1.1.1. </w:t>
      </w:r>
      <w:r w:rsidR="0077354A" w:rsidRPr="00BD2EAB">
        <w:rPr>
          <w:rStyle w:val="Heading6Char"/>
          <w:b w:val="0"/>
          <w:bCs w:val="0"/>
          <w:lang w:val="en-US"/>
        </w:rPr>
        <w:t>Formality and Respect</w:t>
      </w:r>
      <w:r w:rsidR="0077354A" w:rsidRPr="00D04FDF">
        <w:rPr>
          <w:rFonts w:asciiTheme="majorBidi" w:hAnsiTheme="majorBidi" w:cstheme="majorBidi"/>
          <w:sz w:val="24"/>
          <w:szCs w:val="24"/>
          <w:lang w:val="en-GB"/>
        </w:rPr>
        <w:t>:</w:t>
      </w:r>
    </w:p>
    <w:p w14:paraId="4C572A0E" w14:textId="727DC2EB" w:rsidR="00FD7333" w:rsidRDefault="00FD7333" w:rsidP="00654850">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Respect and hospitality are deeply rooted values in Turkish culture. When engaging with local individuals, it is important to keep the following in mind:</w:t>
      </w:r>
    </w:p>
    <w:p w14:paraId="7A9BC6FA" w14:textId="2CFD6CB9" w:rsidR="0077354A" w:rsidRPr="00D04FDF" w:rsidRDefault="0077354A" w:rsidP="00483AF1">
      <w:pPr>
        <w:spacing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b/>
          <w:bCs/>
          <w:sz w:val="24"/>
          <w:szCs w:val="24"/>
          <w:lang w:val="en-GB"/>
        </w:rPr>
        <w:t>-Courtesy</w:t>
      </w:r>
      <w:r w:rsidRPr="00D04FDF">
        <w:rPr>
          <w:rStyle w:val="fadeinm1hgl8"/>
          <w:rFonts w:asciiTheme="majorBidi" w:hAnsiTheme="majorBidi" w:cstheme="majorBidi"/>
          <w:sz w:val="24"/>
          <w:szCs w:val="24"/>
          <w:lang w:val="en-GB"/>
        </w:rPr>
        <w:t>: Employ respectful language and use proper titles when addressing others</w:t>
      </w:r>
      <w:r w:rsidR="000B5D06">
        <w:rPr>
          <w:rStyle w:val="fadeinm1hgl8"/>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such as 'Bey' for men and 'Hanım' for women</w:t>
      </w:r>
      <w:r w:rsidR="000B5D06">
        <w:rPr>
          <w:rStyle w:val="fadeinm1hgl8"/>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paired with their first names.</w:t>
      </w:r>
      <w:r w:rsidRPr="00D04FDF">
        <w:rPr>
          <w:rStyle w:val="FootnoteReference"/>
          <w:rFonts w:asciiTheme="majorBidi" w:hAnsiTheme="majorBidi" w:cstheme="majorBidi"/>
          <w:sz w:val="24"/>
          <w:szCs w:val="24"/>
          <w:lang w:val="en-GB"/>
        </w:rPr>
        <w:footnoteReference w:id="128"/>
      </w:r>
      <w:r w:rsidRPr="00D04FDF">
        <w:rPr>
          <w:rFonts w:asciiTheme="majorBidi" w:hAnsiTheme="majorBidi" w:cstheme="majorBidi"/>
          <w:sz w:val="24"/>
          <w:szCs w:val="24"/>
          <w:lang w:val="en-GB"/>
        </w:rPr>
        <w:br/>
      </w:r>
      <w:r w:rsidRPr="00D04FDF">
        <w:rPr>
          <w:rStyle w:val="fadeinm1hgl8"/>
          <w:rFonts w:asciiTheme="majorBidi" w:hAnsiTheme="majorBidi" w:cstheme="majorBidi"/>
          <w:b/>
          <w:bCs/>
          <w:sz w:val="24"/>
          <w:szCs w:val="24"/>
          <w:lang w:val="en-GB"/>
        </w:rPr>
        <w:t>-Personal Boundaries</w:t>
      </w:r>
      <w:r w:rsidRPr="00D04FDF">
        <w:rPr>
          <w:rStyle w:val="fadeinm1hgl8"/>
          <w:rFonts w:asciiTheme="majorBidi" w:hAnsiTheme="majorBidi" w:cstheme="majorBidi"/>
          <w:sz w:val="24"/>
          <w:szCs w:val="24"/>
          <w:lang w:val="en-GB"/>
        </w:rPr>
        <w:t>: While Turkish people are known for their warmth and friendliness, it is advisable to be mindful of personal space, particularly in formal environments.</w:t>
      </w:r>
      <w:r w:rsidRPr="00D04FDF">
        <w:rPr>
          <w:rStyle w:val="FootnoteReference"/>
          <w:rFonts w:asciiTheme="majorBidi" w:hAnsiTheme="majorBidi" w:cstheme="majorBidi"/>
          <w:sz w:val="24"/>
          <w:szCs w:val="24"/>
          <w:lang w:val="en-GB"/>
        </w:rPr>
        <w:footnoteReference w:id="129"/>
      </w:r>
    </w:p>
    <w:p w14:paraId="452D6D91" w14:textId="2FEC7443" w:rsidR="0077354A" w:rsidRPr="00D04FDF" w:rsidRDefault="0077354A" w:rsidP="00483AF1">
      <w:pPr>
        <w:spacing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b/>
          <w:bCs/>
          <w:sz w:val="24"/>
          <w:szCs w:val="24"/>
          <w:lang w:val="en-GB"/>
        </w:rPr>
        <w:t>-Hierarchy</w:t>
      </w:r>
      <w:r w:rsidRPr="00D04FDF">
        <w:rPr>
          <w:rStyle w:val="fadeinm1hgl8"/>
          <w:rFonts w:asciiTheme="majorBidi" w:hAnsiTheme="majorBidi" w:cstheme="majorBidi"/>
          <w:sz w:val="24"/>
          <w:szCs w:val="24"/>
          <w:lang w:val="en-GB"/>
        </w:rPr>
        <w:t>: Turkish business culture places significant importance on hierarchy, which is evident in the formal tone of professional interactions. Using titles</w:t>
      </w:r>
      <w:r w:rsidR="000B5D06">
        <w:rPr>
          <w:rStyle w:val="fadeinm1hgl8"/>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 xml:space="preserve">such as </w:t>
      </w:r>
      <w:r w:rsidRPr="00D04FDF">
        <w:rPr>
          <w:rStyle w:val="fadeinm1hgl8"/>
          <w:rFonts w:asciiTheme="majorBidi" w:hAnsiTheme="majorBidi" w:cstheme="majorBidi"/>
          <w:i/>
          <w:iCs/>
          <w:sz w:val="24"/>
          <w:szCs w:val="24"/>
          <w:lang w:val="en-GB"/>
        </w:rPr>
        <w:t>Müdür</w:t>
      </w:r>
      <w:r w:rsidRPr="00D04FDF">
        <w:rPr>
          <w:rStyle w:val="fadeinm1hgl8"/>
          <w:rFonts w:asciiTheme="majorBidi" w:hAnsiTheme="majorBidi" w:cstheme="majorBidi"/>
          <w:sz w:val="24"/>
          <w:szCs w:val="24"/>
          <w:lang w:val="en-GB"/>
        </w:rPr>
        <w:t xml:space="preserve"> for a Director</w:t>
      </w:r>
      <w:r w:rsidR="000B5D06">
        <w:rPr>
          <w:rStyle w:val="fadeinm1hgl8"/>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is common practice and signifies respect. Business meetings are typically well-organized, featuring structured agendas and formal presentations.</w:t>
      </w:r>
      <w:r w:rsidRPr="00D04FDF">
        <w:rPr>
          <w:rStyle w:val="FootnoteReference"/>
          <w:rFonts w:asciiTheme="majorBidi" w:hAnsiTheme="majorBidi" w:cstheme="majorBidi"/>
          <w:sz w:val="24"/>
          <w:szCs w:val="24"/>
          <w:lang w:val="en-GB"/>
        </w:rPr>
        <w:footnoteReference w:id="130"/>
      </w:r>
    </w:p>
    <w:p w14:paraId="68073987" w14:textId="77777777" w:rsidR="00142499" w:rsidRDefault="00142499" w:rsidP="00483AF1">
      <w:pPr>
        <w:spacing w:line="360" w:lineRule="auto"/>
        <w:jc w:val="both"/>
        <w:rPr>
          <w:rFonts w:asciiTheme="majorBidi" w:hAnsiTheme="majorBidi" w:cstheme="majorBidi"/>
          <w:b/>
          <w:bCs/>
          <w:sz w:val="24"/>
          <w:szCs w:val="24"/>
          <w:lang w:val="en-GB"/>
        </w:rPr>
      </w:pPr>
    </w:p>
    <w:p w14:paraId="7AD11A2E" w14:textId="0BFC459C" w:rsidR="0077354A" w:rsidRDefault="0077354A" w:rsidP="00483AF1">
      <w:pPr>
        <w:spacing w:line="360" w:lineRule="auto"/>
        <w:jc w:val="both"/>
        <w:rPr>
          <w:rStyle w:val="fadeinm1hgl8"/>
          <w:rFonts w:asciiTheme="majorBidi" w:hAnsiTheme="majorBidi" w:cstheme="majorBidi"/>
          <w:sz w:val="24"/>
          <w:szCs w:val="24"/>
          <w:lang w:val="en-GB"/>
        </w:rPr>
      </w:pPr>
      <w:r w:rsidRPr="00D04FDF">
        <w:rPr>
          <w:rFonts w:asciiTheme="majorBidi" w:hAnsiTheme="majorBidi" w:cstheme="majorBidi"/>
          <w:b/>
          <w:bCs/>
          <w:sz w:val="24"/>
          <w:szCs w:val="24"/>
          <w:lang w:val="en-GB"/>
        </w:rPr>
        <w:t>-Indirect Communication:</w:t>
      </w:r>
      <w:r w:rsidRPr="00D04FDF">
        <w:rPr>
          <w:rStyle w:val="fadeinm1hgl8"/>
          <w:rFonts w:asciiTheme="majorBidi" w:hAnsiTheme="majorBidi" w:cstheme="majorBidi"/>
          <w:sz w:val="24"/>
          <w:szCs w:val="24"/>
          <w:lang w:val="en-GB"/>
        </w:rPr>
        <w:t xml:space="preserve"> Communication in Turkey can often be indirect, especially when it comes to refusing proposals or delivering criticism.</w:t>
      </w:r>
      <w:r w:rsidRPr="00D04FDF">
        <w:rPr>
          <w:rStyle w:val="FootnoteReference"/>
          <w:rFonts w:asciiTheme="majorBidi" w:hAnsiTheme="majorBidi" w:cstheme="majorBidi"/>
          <w:sz w:val="24"/>
          <w:szCs w:val="24"/>
          <w:lang w:val="en-GB"/>
        </w:rPr>
        <w:footnoteReference w:id="131"/>
      </w:r>
    </w:p>
    <w:p w14:paraId="42E653FE" w14:textId="1D71A948" w:rsidR="0077354A" w:rsidRPr="00D04FDF" w:rsidRDefault="0077354A" w:rsidP="00483AF1">
      <w:pPr>
        <w:spacing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b/>
          <w:bCs/>
          <w:sz w:val="24"/>
          <w:szCs w:val="24"/>
          <w:lang w:val="en-GB"/>
        </w:rPr>
        <w:t>-Developing Relationships:</w:t>
      </w:r>
      <w:r w:rsidRPr="00D04FDF">
        <w:rPr>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In Turkish business culture, establishing personal trust and strong connections is highly valued. Before initiating formal business discussions, it is important to invest time in getting to know your counterparts. Engaging in casual conversations about family, interests, or common experiences helps lay the groundwork for mutual trust and cooperation</w:t>
      </w:r>
      <w:r w:rsidRPr="00D04FDF">
        <w:rPr>
          <w:rStyle w:val="FootnoteReference"/>
          <w:rFonts w:asciiTheme="majorBidi" w:hAnsiTheme="majorBidi" w:cstheme="majorBidi"/>
          <w:sz w:val="24"/>
          <w:szCs w:val="24"/>
          <w:lang w:val="en-GB"/>
        </w:rPr>
        <w:footnoteReference w:id="132"/>
      </w:r>
      <w:r w:rsidR="00FD7333">
        <w:rPr>
          <w:rStyle w:val="fadeinm1hgl8"/>
          <w:rFonts w:asciiTheme="majorBidi" w:hAnsiTheme="majorBidi" w:cstheme="majorBidi"/>
          <w:sz w:val="24"/>
          <w:szCs w:val="24"/>
          <w:lang w:val="en-GB"/>
        </w:rPr>
        <w:t>.</w:t>
      </w:r>
    </w:p>
    <w:p w14:paraId="193105BA" w14:textId="7031B5AB" w:rsidR="0077354A" w:rsidRPr="00D04FDF" w:rsidRDefault="0077354A" w:rsidP="00483AF1">
      <w:pPr>
        <w:spacing w:line="360" w:lineRule="auto"/>
        <w:jc w:val="both"/>
        <w:rPr>
          <w:rFonts w:asciiTheme="majorBidi" w:hAnsiTheme="majorBidi" w:cstheme="majorBidi"/>
          <w:b/>
          <w:bCs/>
          <w:color w:val="141412"/>
          <w:sz w:val="24"/>
          <w:szCs w:val="24"/>
          <w:shd w:val="clear" w:color="auto" w:fill="FFFFFF"/>
          <w:lang w:val="en-GB"/>
        </w:rPr>
      </w:pPr>
      <w:r w:rsidRPr="00D04FDF">
        <w:rPr>
          <w:rFonts w:asciiTheme="majorBidi" w:hAnsiTheme="majorBidi" w:cstheme="majorBidi"/>
          <w:b/>
          <w:bCs/>
          <w:sz w:val="24"/>
          <w:szCs w:val="24"/>
          <w:lang w:val="en-GB"/>
        </w:rPr>
        <w:t>1</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1</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2</w:t>
      </w:r>
      <w:r w:rsidR="000B5D06">
        <w:rPr>
          <w:rFonts w:asciiTheme="majorBidi" w:hAnsiTheme="majorBidi" w:cstheme="majorBidi"/>
          <w:b/>
          <w:bCs/>
          <w:sz w:val="24"/>
          <w:szCs w:val="24"/>
          <w:lang w:val="en-GB"/>
        </w:rPr>
        <w:t>.</w:t>
      </w:r>
      <w:r w:rsidR="00FD7333">
        <w:rPr>
          <w:rFonts w:asciiTheme="majorBidi" w:hAnsiTheme="majorBidi" w:cstheme="majorBidi"/>
          <w:b/>
          <w:bCs/>
          <w:sz w:val="24"/>
          <w:szCs w:val="24"/>
          <w:lang w:val="en-GB"/>
        </w:rPr>
        <w:t xml:space="preserve"> </w:t>
      </w:r>
      <w:r w:rsidRPr="00161F6E">
        <w:rPr>
          <w:rStyle w:val="Heading5Char"/>
          <w:rFonts w:eastAsiaTheme="minorHAnsi"/>
        </w:rPr>
        <w:t>Language Barrie</w:t>
      </w:r>
      <w:r w:rsidRPr="00D04FDF">
        <w:rPr>
          <w:rFonts w:asciiTheme="majorBidi" w:hAnsiTheme="majorBidi" w:cstheme="majorBidi"/>
          <w:b/>
          <w:bCs/>
          <w:sz w:val="24"/>
          <w:szCs w:val="24"/>
          <w:lang w:val="en-GB"/>
        </w:rPr>
        <w:t>r</w:t>
      </w:r>
    </w:p>
    <w:p w14:paraId="08B56ADE" w14:textId="15960D0E"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One of the main challenges faced by foreigners in Turkish professional environments is the language barrier, which can significantly hinder effective communication—an essential aspect of daily life and business interaction. Although the extent of communication difficulties may differ depending on the workplace, anyone planning to work and reside in Turkey for a prolonged period is strongly encouraged to learn the Turkish language, as it greatly facilitates integration and enhances professional opportunities</w:t>
      </w:r>
      <w:r w:rsidR="0077354A" w:rsidRPr="00D04FDF">
        <w:rPr>
          <w:rStyle w:val="FootnoteReference"/>
          <w:rFonts w:asciiTheme="majorBidi" w:hAnsiTheme="majorBidi" w:cstheme="majorBidi"/>
          <w:sz w:val="24"/>
          <w:szCs w:val="24"/>
          <w:lang w:val="en-GB"/>
        </w:rPr>
        <w:footnoteReference w:id="133"/>
      </w:r>
      <w:r>
        <w:rPr>
          <w:rStyle w:val="fadeinm1hgl8"/>
          <w:rFonts w:asciiTheme="majorBidi" w:hAnsiTheme="majorBidi" w:cstheme="majorBidi"/>
          <w:sz w:val="24"/>
          <w:szCs w:val="24"/>
          <w:lang w:val="en-GB"/>
        </w:rPr>
        <w:t>.</w:t>
      </w:r>
    </w:p>
    <w:p w14:paraId="32D18644" w14:textId="6F73C7D9"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This issue of language is not unique to Turkish business environments, as recent research in this field primarily highlights the challenges posed by linguistic diversity, often viewing it as an obstacle to efficiency and a hindrance to conducting international business, largely due to communication difficulties</w:t>
      </w:r>
      <w:r w:rsidR="0077354A" w:rsidRPr="00D04FDF">
        <w:rPr>
          <w:rStyle w:val="FootnoteReference"/>
          <w:rFonts w:asciiTheme="majorBidi" w:hAnsiTheme="majorBidi" w:cstheme="majorBidi"/>
          <w:sz w:val="24"/>
          <w:szCs w:val="24"/>
          <w:lang w:val="en-GB"/>
        </w:rPr>
        <w:footnoteReference w:id="134"/>
      </w:r>
      <w:r>
        <w:rPr>
          <w:rStyle w:val="fadeinm1hgl8"/>
          <w:rFonts w:asciiTheme="majorBidi" w:hAnsiTheme="majorBidi" w:cstheme="majorBidi"/>
          <w:sz w:val="24"/>
          <w:szCs w:val="24"/>
          <w:lang w:val="en-GB"/>
        </w:rPr>
        <w:t>.</w:t>
      </w:r>
    </w:p>
    <w:p w14:paraId="2B189A59" w14:textId="2D4DC74D" w:rsidR="0077354A" w:rsidRPr="00D04FDF" w:rsidRDefault="00FD7333" w:rsidP="00483AF1">
      <w:pPr>
        <w:spacing w:line="360" w:lineRule="auto"/>
        <w:jc w:val="both"/>
        <w:rPr>
          <w:rStyle w:val="fadeinm1hgl8"/>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 xml:space="preserve">Furthermore, </w:t>
      </w:r>
      <w:r w:rsidR="0077354A" w:rsidRPr="00D04FDF">
        <w:rPr>
          <w:rStyle w:val="fadeinm1hgl8"/>
          <w:rFonts w:asciiTheme="majorBidi" w:hAnsiTheme="majorBidi" w:cstheme="majorBidi"/>
          <w:sz w:val="24"/>
          <w:szCs w:val="24"/>
          <w:lang w:val="en-GB"/>
        </w:rPr>
        <w:t>language barriers extend beyond challenges in verbal communication; difficulties in interpreting written documents, handling administrative forms, and relying on interpreters can also present significant obstacles, particularly for patients</w:t>
      </w:r>
      <w:r w:rsidR="0077354A" w:rsidRPr="00D04FDF">
        <w:rPr>
          <w:rStyle w:val="FootnoteReference"/>
          <w:rFonts w:asciiTheme="majorBidi" w:hAnsiTheme="majorBidi" w:cstheme="majorBidi"/>
          <w:sz w:val="24"/>
          <w:szCs w:val="24"/>
          <w:lang w:val="en-GB"/>
        </w:rPr>
        <w:footnoteReference w:id="135"/>
      </w:r>
      <w:r>
        <w:rPr>
          <w:rStyle w:val="fadeinm1hgl8"/>
          <w:rFonts w:asciiTheme="majorBidi" w:hAnsiTheme="majorBidi" w:cstheme="majorBidi"/>
          <w:sz w:val="24"/>
          <w:szCs w:val="24"/>
          <w:lang w:val="en-GB"/>
        </w:rPr>
        <w:t>.</w:t>
      </w:r>
    </w:p>
    <w:p w14:paraId="69E61249" w14:textId="5C177B49" w:rsidR="0077354A" w:rsidRPr="00D04FDF" w:rsidRDefault="0077354A" w:rsidP="00483AF1">
      <w:pPr>
        <w:spacing w:line="360" w:lineRule="auto"/>
        <w:jc w:val="both"/>
        <w:rPr>
          <w:rFonts w:asciiTheme="majorBidi" w:hAnsiTheme="majorBidi" w:cstheme="majorBidi"/>
          <w:b/>
          <w:bCs/>
          <w:sz w:val="24"/>
          <w:szCs w:val="24"/>
          <w:lang w:val="en-GB"/>
        </w:rPr>
      </w:pPr>
      <w:r w:rsidRPr="00D04FDF">
        <w:rPr>
          <w:rFonts w:asciiTheme="majorBidi" w:hAnsiTheme="majorBidi" w:cstheme="majorBidi"/>
          <w:b/>
          <w:bCs/>
          <w:sz w:val="24"/>
          <w:szCs w:val="24"/>
          <w:lang w:val="en-GB"/>
        </w:rPr>
        <w:t>1</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1</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3.</w:t>
      </w:r>
      <w:r w:rsidRPr="00D04FDF">
        <w:rPr>
          <w:rFonts w:asciiTheme="majorBidi" w:hAnsiTheme="majorBidi" w:cstheme="majorBidi"/>
          <w:sz w:val="24"/>
          <w:szCs w:val="24"/>
          <w:lang w:val="en-GB"/>
        </w:rPr>
        <w:t xml:space="preserve"> </w:t>
      </w:r>
      <w:r w:rsidRPr="00161F6E">
        <w:rPr>
          <w:rStyle w:val="Heading5Char"/>
          <w:rFonts w:eastAsiaTheme="minorHAnsi"/>
        </w:rPr>
        <w:t>Cultural and Religious Values</w:t>
      </w:r>
    </w:p>
    <w:p w14:paraId="3A585F13" w14:textId="70D2B189" w:rsidR="0077354A" w:rsidRPr="00D04FDF" w:rsidRDefault="00654850" w:rsidP="00483AF1">
      <w:pPr>
        <w:spacing w:line="360" w:lineRule="auto"/>
        <w:jc w:val="both"/>
        <w:rPr>
          <w:rStyle w:val="fadeinm1hgl8"/>
          <w:rFonts w:asciiTheme="majorBidi" w:hAnsiTheme="majorBidi" w:cstheme="majorBidi"/>
          <w:b/>
          <w:bCs/>
          <w:sz w:val="24"/>
          <w:szCs w:val="24"/>
          <w:lang w:val="en-GB"/>
        </w:rPr>
      </w:pPr>
      <w:r>
        <w:rPr>
          <w:rStyle w:val="fadeinm1hgl8"/>
          <w:rFonts w:asciiTheme="majorBidi" w:hAnsiTheme="majorBidi" w:cstheme="majorBidi"/>
          <w:b/>
          <w:bCs/>
          <w:sz w:val="24"/>
          <w:szCs w:val="24"/>
          <w:lang w:val="en-GB"/>
        </w:rPr>
        <w:t xml:space="preserve">1.1.3.1. </w:t>
      </w:r>
      <w:r w:rsidR="0077354A" w:rsidRPr="006B1405">
        <w:rPr>
          <w:rStyle w:val="Heading6Char"/>
          <w:rFonts w:cstheme="majorBidi"/>
          <w:sz w:val="24"/>
          <w:szCs w:val="24"/>
          <w:lang w:val="en-US"/>
        </w:rPr>
        <w:t>Islamic Influence</w:t>
      </w:r>
      <w:r w:rsidR="0077354A" w:rsidRPr="006B1405">
        <w:rPr>
          <w:rStyle w:val="fadeinm1hgl8"/>
          <w:rFonts w:asciiTheme="majorBidi" w:hAnsiTheme="majorBidi" w:cstheme="majorBidi"/>
          <w:b/>
          <w:bCs/>
          <w:sz w:val="24"/>
          <w:szCs w:val="24"/>
          <w:lang w:val="en-GB"/>
        </w:rPr>
        <w:t>:</w:t>
      </w:r>
    </w:p>
    <w:p w14:paraId="6B442C99" w14:textId="4CBB8CE1" w:rsidR="0077354A" w:rsidRPr="00D04FDF" w:rsidRDefault="00FD7333" w:rsidP="00483AF1">
      <w:pPr>
        <w:spacing w:line="360" w:lineRule="auto"/>
        <w:jc w:val="both"/>
        <w:rPr>
          <w:rStyle w:val="fadeinm1hgl8"/>
          <w:rFonts w:asciiTheme="majorBidi" w:hAnsiTheme="majorBidi" w:cstheme="majorBidi"/>
          <w:b/>
          <w:bCs/>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Although Turkey was established as a secular republic in 1923</w:t>
      </w:r>
      <w:r w:rsidR="000B5D06">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distinguishing it from countries like Saudi Arabia or Pakistan</w:t>
      </w:r>
      <w:r w:rsidR="000B5D06">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Islam remains deeply rooted in Turkish culture. Nearly all Turkish children are registered as Muslim at birth, unless their parents follow a different faith, resulting in a population that is predominantly Muslim (99%), though varying widely in the degree of religious observance within families and individuals. Regardless of their personal level of religious practice, Turks generally approach religion with a sense of reverence and propriety. During our conversation with Fatih Özkan from the Süleymaniye Mosque Cultural Information Center, we discussed key considerations for those visiting Turkey, allowing travelers to demonstrate similar respect while experiencing the country’s religious practices</w:t>
      </w:r>
      <w:r w:rsidR="0077354A" w:rsidRPr="00D04FDF">
        <w:rPr>
          <w:rStyle w:val="FootnoteReference"/>
          <w:rFonts w:asciiTheme="majorBidi" w:hAnsiTheme="majorBidi" w:cstheme="majorBidi"/>
          <w:sz w:val="24"/>
          <w:szCs w:val="24"/>
          <w:lang w:val="en-GB"/>
        </w:rPr>
        <w:footnoteReference w:id="136"/>
      </w:r>
      <w:r>
        <w:rPr>
          <w:rStyle w:val="fadeinm1hgl8"/>
          <w:rFonts w:asciiTheme="majorBidi" w:hAnsiTheme="majorBidi" w:cstheme="majorBidi"/>
          <w:sz w:val="24"/>
          <w:szCs w:val="24"/>
          <w:lang w:val="en-GB"/>
        </w:rPr>
        <w:t>.</w:t>
      </w:r>
    </w:p>
    <w:p w14:paraId="316FDB79" w14:textId="159679CC" w:rsidR="0077354A" w:rsidRPr="00D04FDF" w:rsidRDefault="000B5D06" w:rsidP="00483AF1">
      <w:pPr>
        <w:pStyle w:val="NormalWeb"/>
        <w:spacing w:line="360" w:lineRule="auto"/>
        <w:jc w:val="both"/>
        <w:rPr>
          <w:rFonts w:asciiTheme="majorBidi" w:hAnsiTheme="majorBidi" w:cstheme="majorBidi"/>
        </w:rPr>
      </w:pPr>
      <w:r>
        <w:rPr>
          <w:rStyle w:val="fadeinm1hgl8"/>
          <w:rFonts w:asciiTheme="majorBidi" w:hAnsiTheme="majorBidi" w:cstheme="majorBidi"/>
          <w:b/>
          <w:bCs/>
        </w:rPr>
        <w:t xml:space="preserve">1.1.3.2. </w:t>
      </w:r>
      <w:r w:rsidR="0077354A" w:rsidRPr="00161F6E">
        <w:rPr>
          <w:rStyle w:val="Heading6Char"/>
        </w:rPr>
        <w:t>Holidays</w:t>
      </w:r>
      <w:r w:rsidR="0077354A" w:rsidRPr="00D04FDF">
        <w:rPr>
          <w:rStyle w:val="fadeinm1hgl8"/>
          <w:rFonts w:asciiTheme="majorBidi" w:hAnsiTheme="majorBidi" w:cstheme="majorBidi"/>
          <w:b/>
          <w:bCs/>
        </w:rPr>
        <w:t>:</w:t>
      </w:r>
    </w:p>
    <w:p w14:paraId="2B438E65" w14:textId="77777777" w:rsidR="0077354A" w:rsidRPr="00D04FDF" w:rsidRDefault="0077354A" w:rsidP="0077354A">
      <w:pPr>
        <w:pStyle w:val="NormalWeb"/>
        <w:numPr>
          <w:ilvl w:val="0"/>
          <w:numId w:val="28"/>
        </w:numPr>
        <w:spacing w:line="360" w:lineRule="auto"/>
        <w:jc w:val="both"/>
        <w:rPr>
          <w:rFonts w:asciiTheme="majorBidi" w:hAnsiTheme="majorBidi" w:cstheme="majorBidi"/>
        </w:rPr>
      </w:pPr>
      <w:r w:rsidRPr="00D04FDF">
        <w:rPr>
          <w:rStyle w:val="fadeinm1hgl8"/>
          <w:rFonts w:asciiTheme="majorBidi" w:hAnsiTheme="majorBidi" w:cstheme="majorBidi"/>
          <w:b/>
          <w:bCs/>
        </w:rPr>
        <w:t>Official Holidays:</w:t>
      </w:r>
    </w:p>
    <w:p w14:paraId="59BA7F93" w14:textId="77777777" w:rsidR="0077354A" w:rsidRPr="00D04FDF" w:rsidRDefault="0077354A" w:rsidP="00483AF1">
      <w:pPr>
        <w:pStyle w:val="NormalWeb"/>
        <w:spacing w:line="360" w:lineRule="auto"/>
        <w:ind w:left="720"/>
        <w:jc w:val="both"/>
        <w:rPr>
          <w:rFonts w:asciiTheme="majorBidi" w:hAnsiTheme="majorBidi" w:cstheme="majorBidi"/>
        </w:rPr>
      </w:pPr>
      <w:r w:rsidRPr="00D04FDF">
        <w:rPr>
          <w:rFonts w:asciiTheme="majorBidi" w:hAnsiTheme="majorBidi" w:cstheme="majorBidi"/>
        </w:rPr>
        <w:t>-</w:t>
      </w:r>
      <w:r w:rsidRPr="00D04FDF">
        <w:rPr>
          <w:rStyle w:val="fadeinm1hgl8"/>
          <w:rFonts w:asciiTheme="majorBidi" w:hAnsiTheme="majorBidi" w:cstheme="majorBidi"/>
          <w:b/>
          <w:bCs/>
        </w:rPr>
        <w:t>January 1:</w:t>
      </w:r>
      <w:r w:rsidRPr="00D04FDF">
        <w:rPr>
          <w:rStyle w:val="fadeinm1hgl8"/>
          <w:rFonts w:asciiTheme="majorBidi" w:hAnsiTheme="majorBidi" w:cstheme="majorBidi"/>
        </w:rPr>
        <w:t xml:space="preserve"> New Year's Day</w:t>
      </w:r>
    </w:p>
    <w:p w14:paraId="62BCFDCC" w14:textId="77777777" w:rsidR="0077354A" w:rsidRPr="00D04FDF" w:rsidRDefault="0077354A" w:rsidP="0077354A">
      <w:pPr>
        <w:pStyle w:val="NormalWeb"/>
        <w:numPr>
          <w:ilvl w:val="0"/>
          <w:numId w:val="28"/>
        </w:numPr>
        <w:spacing w:line="360" w:lineRule="auto"/>
        <w:jc w:val="both"/>
        <w:rPr>
          <w:rFonts w:asciiTheme="majorBidi" w:hAnsiTheme="majorBidi" w:cstheme="majorBidi"/>
        </w:rPr>
      </w:pPr>
      <w:r w:rsidRPr="00D04FDF">
        <w:rPr>
          <w:rStyle w:val="fadeinm1hgl8"/>
          <w:rFonts w:asciiTheme="majorBidi" w:hAnsiTheme="majorBidi" w:cstheme="majorBidi"/>
          <w:b/>
          <w:bCs/>
        </w:rPr>
        <w:t>National Holidays:</w:t>
      </w:r>
    </w:p>
    <w:p w14:paraId="07615B52"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-April 23:</w:t>
      </w:r>
      <w:r w:rsidRPr="00D04FDF">
        <w:rPr>
          <w:rStyle w:val="fadeinm1hgl8"/>
          <w:rFonts w:asciiTheme="majorBidi" w:hAnsiTheme="majorBidi" w:cstheme="majorBidi"/>
          <w:lang w:val="en-GB"/>
        </w:rPr>
        <w:t xml:space="preserve"> National Sovereignty and Children's Day (commemorating the founding of the Turkish Grand National Assembly in 1920)</w:t>
      </w:r>
    </w:p>
    <w:p w14:paraId="3CF914F5"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-May 1:</w:t>
      </w:r>
      <w:r w:rsidRPr="00D04FDF">
        <w:rPr>
          <w:rStyle w:val="fadeinm1hgl8"/>
          <w:rFonts w:asciiTheme="majorBidi" w:hAnsiTheme="majorBidi" w:cstheme="majorBidi"/>
          <w:lang w:val="en-GB"/>
        </w:rPr>
        <w:t xml:space="preserve"> Labour and Solidarity Day (celebrated since 2009)</w:t>
      </w:r>
    </w:p>
    <w:p w14:paraId="3AA5CF60"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-May 19:</w:t>
      </w:r>
      <w:r w:rsidRPr="00D04FDF">
        <w:rPr>
          <w:rStyle w:val="fadeinm1hgl8"/>
          <w:rFonts w:asciiTheme="majorBidi" w:hAnsiTheme="majorBidi" w:cstheme="majorBidi"/>
          <w:lang w:val="en-GB"/>
        </w:rPr>
        <w:t xml:space="preserve"> Atatürk Commemoration and Youth &amp; Sports Day (marking Atatürk's arrival in Samsun in 1919 and the start of the War of Independence)</w:t>
      </w:r>
    </w:p>
    <w:p w14:paraId="06115D96"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-July 15:</w:t>
      </w:r>
      <w:r w:rsidRPr="00D04FDF">
        <w:rPr>
          <w:rStyle w:val="fadeinm1hgl8"/>
          <w:rFonts w:asciiTheme="majorBidi" w:hAnsiTheme="majorBidi" w:cstheme="majorBidi"/>
          <w:lang w:val="en-GB"/>
        </w:rPr>
        <w:t xml:space="preserve"> Democracy and Freedom Day (observed since the 2016 coup attempt)</w:t>
      </w:r>
    </w:p>
    <w:p w14:paraId="633FF073"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-August 30:</w:t>
      </w:r>
      <w:r w:rsidRPr="00D04FDF">
        <w:rPr>
          <w:rStyle w:val="fadeinm1hgl8"/>
          <w:rFonts w:asciiTheme="majorBidi" w:hAnsiTheme="majorBidi" w:cstheme="majorBidi"/>
          <w:lang w:val="en-GB"/>
        </w:rPr>
        <w:t xml:space="preserve"> Victory Day (celebrating the victory over invading forces in 1922)</w:t>
      </w:r>
    </w:p>
    <w:p w14:paraId="26F84505"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-October 29:</w:t>
      </w:r>
      <w:r w:rsidRPr="00D04FDF">
        <w:rPr>
          <w:rStyle w:val="fadeinm1hgl8"/>
          <w:rFonts w:asciiTheme="majorBidi" w:hAnsiTheme="majorBidi" w:cstheme="majorBidi"/>
          <w:lang w:val="en-GB"/>
        </w:rPr>
        <w:t xml:space="preserve"> Republic Day (anniversary of the declaration of the Turkish Republic in 1923)</w:t>
      </w:r>
    </w:p>
    <w:p w14:paraId="1D7C911B" w14:textId="77777777" w:rsidR="0077354A" w:rsidRPr="00D04FDF" w:rsidRDefault="0077354A" w:rsidP="0077354A">
      <w:pPr>
        <w:pStyle w:val="NormalWeb"/>
        <w:numPr>
          <w:ilvl w:val="0"/>
          <w:numId w:val="28"/>
        </w:numPr>
        <w:spacing w:line="360" w:lineRule="auto"/>
        <w:jc w:val="both"/>
        <w:rPr>
          <w:rFonts w:asciiTheme="majorBidi" w:hAnsiTheme="majorBidi" w:cstheme="majorBidi"/>
        </w:rPr>
      </w:pPr>
      <w:r w:rsidRPr="00D04FDF">
        <w:rPr>
          <w:rStyle w:val="fadeinm1hgl8"/>
          <w:rFonts w:asciiTheme="majorBidi" w:hAnsiTheme="majorBidi" w:cstheme="majorBidi"/>
          <w:b/>
          <w:bCs/>
        </w:rPr>
        <w:t>Religious Holidays:</w:t>
      </w:r>
    </w:p>
    <w:p w14:paraId="4ED78CCD"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-Ramazan Bayramı:</w:t>
      </w:r>
      <w:r w:rsidRPr="00D04FDF">
        <w:rPr>
          <w:rStyle w:val="fadeinm1hgl8"/>
          <w:rFonts w:asciiTheme="majorBidi" w:hAnsiTheme="majorBidi" w:cstheme="majorBidi"/>
          <w:lang w:val="en-GB"/>
        </w:rPr>
        <w:t xml:space="preserve"> A three-day celebration marking the end of Ramadan, during which sweets are traditionally eaten. Known as </w:t>
      </w:r>
      <w:r w:rsidRPr="00D04FDF">
        <w:rPr>
          <w:rStyle w:val="fadeinm1hgl8"/>
          <w:rFonts w:asciiTheme="majorBidi" w:hAnsiTheme="majorBidi" w:cstheme="majorBidi"/>
          <w:i/>
          <w:iCs/>
          <w:lang w:val="en-GB"/>
        </w:rPr>
        <w:t>Şeker Bayramı</w:t>
      </w:r>
      <w:r w:rsidRPr="00D04FDF">
        <w:rPr>
          <w:rStyle w:val="fadeinm1hgl8"/>
          <w:rFonts w:asciiTheme="majorBidi" w:hAnsiTheme="majorBidi" w:cstheme="majorBidi"/>
          <w:lang w:val="en-GB"/>
        </w:rPr>
        <w:t xml:space="preserve"> (Sweets Festival) because it’s customary to offer candies to visitors.</w:t>
      </w:r>
    </w:p>
    <w:p w14:paraId="3E418610" w14:textId="77777777" w:rsidR="0077354A" w:rsidRPr="00D04FDF" w:rsidRDefault="0077354A" w:rsidP="00483AF1">
      <w:pPr>
        <w:pStyle w:val="NormalWeb"/>
        <w:spacing w:line="360" w:lineRule="auto"/>
        <w:ind w:left="1080"/>
        <w:jc w:val="both"/>
        <w:rPr>
          <w:rFonts w:asciiTheme="majorBidi" w:hAnsiTheme="majorBidi" w:cstheme="majorBidi"/>
          <w:lang w:val="en-GB"/>
        </w:rPr>
      </w:pPr>
      <w:r w:rsidRPr="00D04FDF">
        <w:rPr>
          <w:rStyle w:val="fadeinm1hgl8"/>
          <w:rFonts w:asciiTheme="majorBidi" w:hAnsiTheme="majorBidi" w:cstheme="majorBidi"/>
          <w:b/>
          <w:bCs/>
          <w:lang w:val="en-GB"/>
        </w:rPr>
        <w:t>-Kurban Bayramı:</w:t>
      </w:r>
      <w:r w:rsidRPr="00D04FDF">
        <w:rPr>
          <w:rStyle w:val="fadeinm1hgl8"/>
          <w:rFonts w:asciiTheme="majorBidi" w:hAnsiTheme="majorBidi" w:cstheme="majorBidi"/>
          <w:lang w:val="en-GB"/>
        </w:rPr>
        <w:t xml:space="preserve"> A four-day festival in which sacrificial sheep or cows are slaughtered, and their meat is distributed to the less fortunate.</w:t>
      </w:r>
    </w:p>
    <w:p w14:paraId="72C0FBBC" w14:textId="174A0D2C" w:rsidR="0077354A" w:rsidRPr="00D04FDF" w:rsidRDefault="0077354A" w:rsidP="00483AF1">
      <w:pPr>
        <w:pStyle w:val="NormalWeb"/>
        <w:spacing w:line="360" w:lineRule="auto"/>
        <w:jc w:val="both"/>
        <w:rPr>
          <w:rFonts w:asciiTheme="majorBidi" w:hAnsiTheme="majorBidi" w:cstheme="majorBidi"/>
          <w:lang w:val="en-GB"/>
        </w:rPr>
      </w:pPr>
      <w:r w:rsidRPr="00D04FDF">
        <w:rPr>
          <w:rStyle w:val="fadeinm1hgl8"/>
          <w:rFonts w:asciiTheme="majorBidi" w:hAnsiTheme="majorBidi" w:cstheme="majorBidi"/>
          <w:lang w:val="en-GB"/>
        </w:rPr>
        <w:t>The dates for these religious holidays shift annually based on the Islamic lunar calendar</w:t>
      </w:r>
      <w:r w:rsidRPr="00D04FDF">
        <w:rPr>
          <w:rStyle w:val="FootnoteReference"/>
          <w:rFonts w:asciiTheme="majorBidi" w:hAnsiTheme="majorBidi" w:cstheme="majorBidi"/>
          <w:lang w:val="en-GB"/>
        </w:rPr>
        <w:footnoteReference w:id="137"/>
      </w:r>
      <w:r w:rsidR="00FD7333">
        <w:rPr>
          <w:rStyle w:val="fadeinm1hgl8"/>
          <w:rFonts w:asciiTheme="majorBidi" w:hAnsiTheme="majorBidi" w:cstheme="majorBidi"/>
          <w:lang w:val="en-GB"/>
        </w:rPr>
        <w:t>.</w:t>
      </w:r>
    </w:p>
    <w:p w14:paraId="70865906" w14:textId="5099603F" w:rsidR="0077354A" w:rsidRPr="00D04FDF" w:rsidRDefault="0077354A" w:rsidP="001537AC">
      <w:pPr>
        <w:spacing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b/>
          <w:bCs/>
          <w:sz w:val="24"/>
          <w:szCs w:val="24"/>
          <w:lang w:val="en-GB"/>
        </w:rPr>
        <w:t>1</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1</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 xml:space="preserve">4. </w:t>
      </w:r>
      <w:r w:rsidRPr="00161F6E">
        <w:rPr>
          <w:rStyle w:val="Heading5Char"/>
          <w:rFonts w:eastAsiaTheme="minorHAnsi"/>
        </w:rPr>
        <w:t>Negotiation Style</w:t>
      </w:r>
      <w:r w:rsidRPr="00D04FDF">
        <w:rPr>
          <w:rStyle w:val="fadeinm1hgl8"/>
          <w:rFonts w:asciiTheme="majorBidi" w:hAnsiTheme="majorBidi" w:cstheme="majorBidi"/>
          <w:b/>
          <w:bCs/>
          <w:sz w:val="24"/>
          <w:szCs w:val="24"/>
          <w:lang w:val="en-GB"/>
        </w:rPr>
        <w:t>:</w:t>
      </w:r>
    </w:p>
    <w:p w14:paraId="6D123396" w14:textId="44B6A3E6"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While Turkish culture is relatively uniform, Turkish businesspeople, particularly among the younger generations, are generally accustomed to interacting and conducting business with individuals from various cultural backgrounds. However, this familiarity does not always equate to an open-minded approach. During negotiations, it’s important to recognize that many may prefer things to be done according to their customs. Turkish business practices can be influenced by both European and Asian/Arabic traditions. The population tends to be highly patriotic and nationalistic, and the pride in their country means that criticism of Turkish ways may be met with strong resistance. Furthermore, it is essential to remember that Turkey is an Islamic country, and any disrespect toward the religion can have serious repercussions. Many Turkish businesses are dominated by a few influential families or groups, so it’s crucial to identify these key players early in the negotiation process. Failing to do so may result in wasted time without progress.</w:t>
      </w:r>
      <w:r w:rsidR="0077354A" w:rsidRPr="00D04FDF">
        <w:rPr>
          <w:rStyle w:val="FootnoteReference"/>
          <w:rFonts w:asciiTheme="majorBidi" w:hAnsiTheme="majorBidi" w:cstheme="majorBidi"/>
          <w:sz w:val="24"/>
          <w:szCs w:val="24"/>
          <w:lang w:val="en-GB"/>
        </w:rPr>
        <w:footnoteReference w:id="138"/>
      </w:r>
    </w:p>
    <w:p w14:paraId="6E51FDCC" w14:textId="65788E66" w:rsidR="0077354A" w:rsidRPr="00D04FDF" w:rsidRDefault="0077354A" w:rsidP="00483AF1">
      <w:pPr>
        <w:pStyle w:val="Paragraphedeliste1"/>
        <w:spacing w:before="0" w:beforeAutospacing="0" w:after="240" w:afterAutospacing="0" w:line="360" w:lineRule="auto"/>
        <w:jc w:val="both"/>
        <w:rPr>
          <w:rStyle w:val="fadeinm1hgl8"/>
          <w:rFonts w:asciiTheme="majorBidi" w:hAnsiTheme="majorBidi" w:cstheme="majorBidi"/>
          <w:b/>
          <w:bCs/>
          <w:lang w:val="en-GB"/>
        </w:rPr>
      </w:pPr>
      <w:r w:rsidRPr="00D04FDF">
        <w:rPr>
          <w:rStyle w:val="fadeinm1hgl8"/>
          <w:rFonts w:asciiTheme="majorBidi" w:hAnsiTheme="majorBidi" w:cstheme="majorBidi"/>
          <w:b/>
          <w:bCs/>
          <w:lang w:val="en-GB"/>
        </w:rPr>
        <w:t>1</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1</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 xml:space="preserve">5. </w:t>
      </w:r>
      <w:bookmarkStart w:id="252" w:name="_Hlk198560773"/>
      <w:r w:rsidRPr="00161F6E">
        <w:rPr>
          <w:rStyle w:val="Heading5Char"/>
        </w:rPr>
        <w:t>Consumer Preferences and Trends</w:t>
      </w:r>
      <w:bookmarkEnd w:id="252"/>
    </w:p>
    <w:p w14:paraId="5A826222" w14:textId="54DBC70C" w:rsidR="0077354A" w:rsidRPr="00D04FDF" w:rsidRDefault="00FD7333" w:rsidP="00483AF1">
      <w:pPr>
        <w:pStyle w:val="Paragraphedeliste1"/>
        <w:spacing w:before="0" w:beforeAutospacing="0" w:after="240" w:afterAutospacing="0" w:line="360" w:lineRule="auto"/>
        <w:jc w:val="both"/>
        <w:rPr>
          <w:rStyle w:val="fadeinm1hgl8"/>
          <w:rFonts w:asciiTheme="majorBidi" w:hAnsiTheme="majorBidi" w:cstheme="majorBidi"/>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 xml:space="preserve">Consumer preferences in Turkey are constantly shifting, influenced by urbanization, globalization, and evolving lifestyles. Trends focusing on health and wellness, sustainability, and experiential consumption are becoming increasingly popular among Turkish consumers. </w:t>
      </w: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Companies that keep up with these trends and adjust their products or services to meet these changing demands can seize new opportunities in the market</w:t>
      </w:r>
      <w:r w:rsidR="0077354A" w:rsidRPr="00D04FDF">
        <w:rPr>
          <w:rStyle w:val="FootnoteReference"/>
          <w:rFonts w:asciiTheme="majorBidi" w:hAnsiTheme="majorBidi" w:cstheme="majorBidi"/>
          <w:lang w:val="en-GB"/>
        </w:rPr>
        <w:footnoteReference w:id="139"/>
      </w:r>
      <w:r>
        <w:rPr>
          <w:rStyle w:val="fadeinm1hgl8"/>
          <w:rFonts w:asciiTheme="majorBidi" w:hAnsiTheme="majorBidi" w:cstheme="majorBidi"/>
          <w:lang w:val="en-GB"/>
        </w:rPr>
        <w:t>.</w:t>
      </w:r>
    </w:p>
    <w:p w14:paraId="56FBA943" w14:textId="3065C7FE" w:rsidR="0077354A" w:rsidRPr="00D04FDF" w:rsidRDefault="0077354A" w:rsidP="001537AC">
      <w:pPr>
        <w:pStyle w:val="Paragraphedeliste1"/>
        <w:spacing w:before="0" w:beforeAutospacing="0" w:after="240" w:afterAutospacing="0" w:line="360" w:lineRule="auto"/>
        <w:jc w:val="both"/>
        <w:rPr>
          <w:rStyle w:val="fadeinm1hgl8"/>
          <w:rFonts w:asciiTheme="majorBidi" w:hAnsiTheme="majorBidi" w:cstheme="majorBidi"/>
          <w:b/>
          <w:bCs/>
          <w:lang w:val="en-GB"/>
        </w:rPr>
      </w:pPr>
      <w:r w:rsidRPr="00D04FDF">
        <w:rPr>
          <w:rStyle w:val="fadeinm1hgl8"/>
          <w:rFonts w:asciiTheme="majorBidi" w:hAnsiTheme="majorBidi" w:cstheme="majorBidi"/>
          <w:b/>
          <w:bCs/>
          <w:lang w:val="en-GB"/>
        </w:rPr>
        <w:t>1</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1</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 xml:space="preserve">6. </w:t>
      </w:r>
      <w:r w:rsidRPr="00161F6E">
        <w:rPr>
          <w:rStyle w:val="Heading5Char"/>
        </w:rPr>
        <w:t>Nationalism and Local Preferences</w:t>
      </w:r>
      <w:r w:rsidRPr="00D04FDF">
        <w:rPr>
          <w:rStyle w:val="fadeinm1hgl8"/>
          <w:rFonts w:asciiTheme="majorBidi" w:hAnsiTheme="majorBidi" w:cstheme="majorBidi"/>
          <w:b/>
          <w:bCs/>
          <w:lang w:val="en-GB"/>
        </w:rPr>
        <w:t>:</w:t>
      </w:r>
    </w:p>
    <w:p w14:paraId="0F99534C" w14:textId="78D8F86E" w:rsidR="0077354A" w:rsidRPr="00D04FDF" w:rsidRDefault="00FD7333" w:rsidP="00483AF1">
      <w:pPr>
        <w:pStyle w:val="Paragraphedeliste1"/>
        <w:spacing w:before="0" w:beforeAutospacing="0" w:after="240" w:afterAutospacing="0" w:line="360" w:lineRule="auto"/>
        <w:jc w:val="both"/>
        <w:rPr>
          <w:rStyle w:val="fadeinm1hgl8"/>
          <w:rFonts w:asciiTheme="majorBidi" w:hAnsiTheme="majorBidi" w:cstheme="majorBidi"/>
          <w:color w:val="000000"/>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Numerous studies have highlighted that a consumer's sense of identity and cultural background significantly influence their perception of brands in the market, as these factors shape how each brand is viewed individually</w:t>
      </w:r>
      <w:r w:rsidR="0077354A" w:rsidRPr="00D04FDF">
        <w:rPr>
          <w:rStyle w:val="FootnoteReference"/>
          <w:rFonts w:asciiTheme="majorBidi" w:hAnsiTheme="majorBidi" w:cstheme="majorBidi"/>
          <w:lang w:val="en-GB"/>
        </w:rPr>
        <w:footnoteReference w:id="140"/>
      </w:r>
      <w:r>
        <w:rPr>
          <w:rStyle w:val="fadeinm1hgl8"/>
          <w:rFonts w:asciiTheme="majorBidi" w:hAnsiTheme="majorBidi" w:cstheme="majorBidi"/>
          <w:lang w:val="en-GB"/>
        </w:rPr>
        <w:t>.</w:t>
      </w:r>
    </w:p>
    <w:p w14:paraId="081D49ED" w14:textId="08AC9E88"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In this context, the concept of nationalism and self-identity encompasses various factors. This study examined several of these, including traditional and personal cultural orientation, brand social value, and national identity. All of these factors have been shown to have a significant connection with local brand loyalty. In other words, the stronger consumers' attachment to these elements, the more likely they are to show loyalty to local brands.</w:t>
      </w:r>
      <w:r w:rsidR="0077354A" w:rsidRPr="00D04FDF">
        <w:rPr>
          <w:rStyle w:val="FootnoteReference"/>
          <w:rFonts w:asciiTheme="majorBidi" w:hAnsiTheme="majorBidi" w:cstheme="majorBidi"/>
          <w:sz w:val="24"/>
          <w:szCs w:val="24"/>
          <w:lang w:val="en-GB"/>
        </w:rPr>
        <w:footnoteReference w:id="141"/>
      </w:r>
    </w:p>
    <w:p w14:paraId="66A9CF3A" w14:textId="5A8BAF21"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This connection between individual identity and brand loyalty also extends to the broader relationship between business brands and a nation's brand. In this regard, the lack of globally recognized products has a detrimental effect on Turkey's national brand.</w:t>
      </w:r>
      <w:r w:rsidR="0077354A" w:rsidRPr="00D04FDF">
        <w:rPr>
          <w:rStyle w:val="FootnoteReference"/>
          <w:rFonts w:asciiTheme="majorBidi" w:hAnsiTheme="majorBidi" w:cstheme="majorBidi"/>
          <w:sz w:val="24"/>
          <w:szCs w:val="24"/>
          <w:lang w:val="en-GB"/>
        </w:rPr>
        <w:footnoteReference w:id="142"/>
      </w:r>
    </w:p>
    <w:p w14:paraId="1B7FE4E0" w14:textId="77777777" w:rsidR="0077354A" w:rsidRPr="00BD2EAB" w:rsidRDefault="0077354A" w:rsidP="00161F6E">
      <w:pPr>
        <w:pStyle w:val="NoSpacing"/>
        <w:rPr>
          <w:lang w:val="en-US"/>
        </w:rPr>
      </w:pPr>
      <w:r w:rsidRPr="00D04FDF">
        <w:rPr>
          <w:rStyle w:val="fadeinm1hgl8"/>
          <w:rFonts w:asciiTheme="majorBidi" w:hAnsiTheme="majorBidi" w:cstheme="majorBidi"/>
          <w:b/>
          <w:bCs/>
          <w:lang w:val="en-GB"/>
        </w:rPr>
        <w:t>Conclusion: Navigating Turkish Culture for Successful Business Relationships</w:t>
      </w:r>
    </w:p>
    <w:p w14:paraId="147C2212" w14:textId="05E2365B" w:rsidR="0077354A" w:rsidRPr="00D04FDF" w:rsidRDefault="00FD7333" w:rsidP="00483AF1">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Gaining respect from the people of Turkey requires a deep understanding of their culture and adherence to proper etiquette. As a predominantly Muslim country, religion significantly influences daily life and shapes the values and ideals of its people. By respecting and acknowledging these cultural and religious aspects, you can avoid misunderstandings and demonstrate respect for Turkish beliefs. This understanding not only helps in building strong business relationships but also fosters the development of lasting and fruitful connections for the future</w:t>
      </w:r>
      <w:r w:rsidR="0077354A" w:rsidRPr="00D04FDF">
        <w:rPr>
          <w:rStyle w:val="FootnoteReference"/>
          <w:rFonts w:asciiTheme="majorBidi" w:hAnsiTheme="majorBidi" w:cstheme="majorBidi"/>
          <w:lang w:val="en-GB"/>
        </w:rPr>
        <w:footnoteReference w:id="143"/>
      </w:r>
      <w:r>
        <w:rPr>
          <w:rStyle w:val="fadeinm1hgl8"/>
          <w:rFonts w:asciiTheme="majorBidi" w:hAnsiTheme="majorBidi" w:cstheme="majorBidi"/>
          <w:lang w:val="en-GB"/>
        </w:rPr>
        <w:t>.</w:t>
      </w:r>
    </w:p>
    <w:p w14:paraId="7933C4F5" w14:textId="01C00D62" w:rsidR="0077354A" w:rsidRPr="00D04FDF" w:rsidRDefault="0077354A" w:rsidP="00C73566">
      <w:pPr>
        <w:spacing w:line="360" w:lineRule="auto"/>
        <w:jc w:val="both"/>
        <w:rPr>
          <w:rFonts w:asciiTheme="majorBidi" w:hAnsiTheme="majorBidi" w:cstheme="majorBidi"/>
          <w:b/>
          <w:bCs/>
          <w:sz w:val="24"/>
          <w:szCs w:val="24"/>
          <w:lang w:val="en-GB"/>
        </w:rPr>
      </w:pPr>
      <w:r w:rsidRPr="00D04FDF">
        <w:rPr>
          <w:rFonts w:asciiTheme="majorBidi" w:hAnsiTheme="majorBidi" w:cstheme="majorBidi"/>
          <w:b/>
          <w:bCs/>
          <w:sz w:val="24"/>
          <w:szCs w:val="24"/>
          <w:lang w:val="en-GB"/>
        </w:rPr>
        <w:t>1</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2</w:t>
      </w:r>
      <w:r w:rsidR="000B5D06">
        <w:rPr>
          <w:rFonts w:asciiTheme="majorBidi" w:hAnsiTheme="majorBidi" w:cstheme="majorBidi"/>
          <w:b/>
          <w:bCs/>
          <w:sz w:val="24"/>
          <w:szCs w:val="24"/>
          <w:lang w:val="en-GB"/>
        </w:rPr>
        <w:t xml:space="preserve">. </w:t>
      </w:r>
      <w:r w:rsidRPr="00161F6E">
        <w:rPr>
          <w:rStyle w:val="Heading4Char"/>
        </w:rPr>
        <w:t>Regulatory barriers</w:t>
      </w:r>
      <w:r w:rsidRPr="00D04FDF">
        <w:rPr>
          <w:rFonts w:asciiTheme="majorBidi" w:hAnsiTheme="majorBidi" w:cstheme="majorBidi"/>
          <w:b/>
          <w:bCs/>
          <w:sz w:val="24"/>
          <w:szCs w:val="24"/>
          <w:lang w:val="en-GB"/>
        </w:rPr>
        <w:t>:</w:t>
      </w:r>
    </w:p>
    <w:p w14:paraId="5217E297" w14:textId="2E7E4664" w:rsidR="0077354A" w:rsidRPr="00D04FDF" w:rsidRDefault="00FD7333" w:rsidP="00C73566">
      <w:pPr>
        <w:spacing w:line="360" w:lineRule="auto"/>
        <w:jc w:val="both"/>
        <w:rPr>
          <w:rFonts w:asciiTheme="majorBidi" w:hAnsiTheme="majorBidi" w:cstheme="majorBidi"/>
          <w:b/>
          <w:bCs/>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Exporting to Turkey involves following specific procedures and regulations. This summary outlines eligible exporters, key steps, and required documentation</w:t>
      </w:r>
      <w:r w:rsidR="0077354A" w:rsidRPr="00D04FDF">
        <w:rPr>
          <w:rStyle w:val="FootnoteReference"/>
          <w:rFonts w:asciiTheme="majorBidi" w:hAnsiTheme="majorBidi" w:cstheme="majorBidi"/>
          <w:sz w:val="24"/>
          <w:szCs w:val="24"/>
          <w:lang w:val="en-GB"/>
        </w:rPr>
        <w:footnoteReference w:id="144"/>
      </w:r>
      <w:r>
        <w:rPr>
          <w:rFonts w:asciiTheme="majorBidi" w:hAnsiTheme="majorBidi" w:cstheme="majorBidi"/>
          <w:sz w:val="24"/>
          <w:szCs w:val="24"/>
          <w:lang w:val="en-GB"/>
        </w:rPr>
        <w:t>.</w:t>
      </w:r>
    </w:p>
    <w:p w14:paraId="795C90CC" w14:textId="1981A9D0" w:rsidR="0077354A" w:rsidRPr="00D04FDF" w:rsidRDefault="0077354A" w:rsidP="00C73566">
      <w:pPr>
        <w:spacing w:line="360" w:lineRule="auto"/>
        <w:jc w:val="both"/>
        <w:rPr>
          <w:rFonts w:asciiTheme="majorBidi" w:hAnsiTheme="majorBidi" w:cstheme="majorBidi"/>
          <w:sz w:val="24"/>
          <w:szCs w:val="24"/>
          <w:lang w:val="en-GB"/>
        </w:rPr>
      </w:pPr>
      <w:r w:rsidRPr="00D04FDF">
        <w:rPr>
          <w:rStyle w:val="Strong"/>
          <w:rFonts w:asciiTheme="majorBidi" w:hAnsiTheme="majorBidi" w:cstheme="majorBidi"/>
          <w:sz w:val="24"/>
          <w:szCs w:val="24"/>
          <w:lang w:val="en-GB"/>
        </w:rPr>
        <w:t>1</w:t>
      </w:r>
      <w:r w:rsidR="000B5D06">
        <w:rPr>
          <w:rStyle w:val="Strong"/>
          <w:rFonts w:asciiTheme="majorBidi" w:hAnsiTheme="majorBidi" w:cstheme="majorBidi"/>
          <w:sz w:val="24"/>
          <w:szCs w:val="24"/>
          <w:lang w:val="en-GB"/>
        </w:rPr>
        <w:t>.</w:t>
      </w:r>
      <w:r w:rsidRPr="00D04FDF">
        <w:rPr>
          <w:rStyle w:val="Strong"/>
          <w:rFonts w:asciiTheme="majorBidi" w:hAnsiTheme="majorBidi" w:cstheme="majorBidi"/>
          <w:sz w:val="24"/>
          <w:szCs w:val="24"/>
          <w:lang w:val="en-GB"/>
        </w:rPr>
        <w:t>2</w:t>
      </w:r>
      <w:r w:rsidR="000B5D06">
        <w:rPr>
          <w:rStyle w:val="Strong"/>
          <w:rFonts w:asciiTheme="majorBidi" w:hAnsiTheme="majorBidi" w:cstheme="majorBidi"/>
          <w:sz w:val="24"/>
          <w:szCs w:val="24"/>
          <w:lang w:val="en-GB"/>
        </w:rPr>
        <w:t>.</w:t>
      </w:r>
      <w:r w:rsidRPr="00D04FDF">
        <w:rPr>
          <w:rStyle w:val="Strong"/>
          <w:rFonts w:asciiTheme="majorBidi" w:hAnsiTheme="majorBidi" w:cstheme="majorBidi"/>
          <w:sz w:val="24"/>
          <w:szCs w:val="24"/>
          <w:lang w:val="en-GB"/>
        </w:rPr>
        <w:t>1.</w:t>
      </w:r>
      <w:r w:rsidR="000B5D06">
        <w:rPr>
          <w:rStyle w:val="Strong"/>
          <w:rFonts w:asciiTheme="majorBidi" w:hAnsiTheme="majorBidi" w:cstheme="majorBidi"/>
          <w:sz w:val="24"/>
          <w:szCs w:val="24"/>
          <w:lang w:val="en-GB"/>
        </w:rPr>
        <w:t xml:space="preserve"> </w:t>
      </w:r>
      <w:r w:rsidRPr="00161F6E">
        <w:rPr>
          <w:rStyle w:val="Heading5Char"/>
          <w:rFonts w:eastAsiaTheme="minorHAnsi"/>
        </w:rPr>
        <w:t>Who Can Be Exported To in Turkey</w:t>
      </w:r>
      <w:r w:rsidRPr="00D04FDF">
        <w:rPr>
          <w:rStyle w:val="Strong"/>
          <w:rFonts w:asciiTheme="majorBidi" w:hAnsiTheme="majorBidi" w:cstheme="majorBidi"/>
          <w:sz w:val="24"/>
          <w:szCs w:val="24"/>
          <w:lang w:val="en-GB"/>
        </w:rPr>
        <w:t xml:space="preserve"> </w:t>
      </w:r>
    </w:p>
    <w:p w14:paraId="6F2BC90F" w14:textId="376FE443" w:rsidR="0077354A" w:rsidRPr="00D04FDF" w:rsidRDefault="00FD7333" w:rsidP="00C73566">
      <w:pPr>
        <w:pStyle w:val="NormalWeb"/>
        <w:spacing w:line="360" w:lineRule="auto"/>
        <w:jc w:val="both"/>
        <w:rPr>
          <w:rFonts w:asciiTheme="majorBidi" w:hAnsiTheme="majorBidi" w:cstheme="majorBidi"/>
          <w:lang w:val="en-GB"/>
        </w:rPr>
      </w:pPr>
      <w:r>
        <w:rPr>
          <w:rFonts w:asciiTheme="majorBidi" w:hAnsiTheme="majorBidi" w:cstheme="majorBidi"/>
          <w:lang w:val="en-GB"/>
        </w:rPr>
        <w:t xml:space="preserve">   </w:t>
      </w:r>
      <w:r w:rsidR="0077354A" w:rsidRPr="00D04FDF">
        <w:rPr>
          <w:rFonts w:asciiTheme="majorBidi" w:hAnsiTheme="majorBidi" w:cstheme="majorBidi"/>
          <w:lang w:val="en-GB"/>
        </w:rPr>
        <w:t xml:space="preserve">Exports can be made to </w:t>
      </w:r>
      <w:r w:rsidR="0077354A" w:rsidRPr="000B5D06">
        <w:rPr>
          <w:rFonts w:asciiTheme="majorBidi" w:hAnsiTheme="majorBidi" w:cstheme="majorBidi"/>
          <w:lang w:val="en-GB"/>
        </w:rPr>
        <w:t xml:space="preserve">any </w:t>
      </w:r>
      <w:r w:rsidR="0077354A" w:rsidRPr="000B5D06">
        <w:rPr>
          <w:rStyle w:val="Strong"/>
          <w:rFonts w:asciiTheme="majorBidi" w:hAnsiTheme="majorBidi" w:cstheme="majorBidi"/>
          <w:b w:val="0"/>
          <w:bCs w:val="0"/>
          <w:lang w:val="en-GB"/>
        </w:rPr>
        <w:t>legal or natural person</w:t>
      </w:r>
      <w:r w:rsidR="0077354A" w:rsidRPr="00D04FDF">
        <w:rPr>
          <w:rFonts w:asciiTheme="majorBidi" w:hAnsiTheme="majorBidi" w:cstheme="majorBidi"/>
          <w:lang w:val="en-GB"/>
        </w:rPr>
        <w:t xml:space="preserve"> in Turkey who has been assigned a </w:t>
      </w:r>
      <w:r w:rsidR="0077354A" w:rsidRPr="000B5D06">
        <w:rPr>
          <w:rStyle w:val="Strong"/>
          <w:rFonts w:asciiTheme="majorBidi" w:hAnsiTheme="majorBidi" w:cstheme="majorBidi"/>
          <w:b w:val="0"/>
          <w:bCs w:val="0"/>
          <w:lang w:val="en-GB"/>
        </w:rPr>
        <w:t>tax identification number</w:t>
      </w:r>
      <w:r w:rsidR="0077354A" w:rsidRPr="000B5D06">
        <w:rPr>
          <w:rFonts w:asciiTheme="majorBidi" w:hAnsiTheme="majorBidi" w:cstheme="majorBidi"/>
          <w:b/>
          <w:bCs/>
          <w:lang w:val="en-GB"/>
        </w:rPr>
        <w:t>.</w:t>
      </w:r>
    </w:p>
    <w:p w14:paraId="7DCD3477" w14:textId="073F1127" w:rsidR="0077354A" w:rsidRPr="00D04FDF" w:rsidRDefault="0077354A" w:rsidP="00C73566">
      <w:pPr>
        <w:pStyle w:val="NormalWeb"/>
        <w:spacing w:line="360" w:lineRule="auto"/>
        <w:jc w:val="both"/>
        <w:rPr>
          <w:rFonts w:asciiTheme="majorBidi" w:hAnsiTheme="majorBidi" w:cstheme="majorBidi"/>
          <w:lang w:val="en-GB"/>
        </w:rPr>
      </w:pPr>
      <w:r w:rsidRPr="00D04FDF">
        <w:rPr>
          <w:rStyle w:val="Strong"/>
          <w:rFonts w:asciiTheme="majorBidi" w:hAnsiTheme="majorBidi" w:cstheme="majorBidi"/>
          <w:lang w:val="en-GB"/>
        </w:rPr>
        <w:t>1</w:t>
      </w:r>
      <w:r w:rsidR="000B5D06">
        <w:rPr>
          <w:rStyle w:val="Strong"/>
          <w:rFonts w:asciiTheme="majorBidi" w:hAnsiTheme="majorBidi" w:cstheme="majorBidi"/>
          <w:lang w:val="en-GB"/>
        </w:rPr>
        <w:t>.</w:t>
      </w:r>
      <w:r w:rsidRPr="00D04FDF">
        <w:rPr>
          <w:rStyle w:val="Strong"/>
          <w:rFonts w:asciiTheme="majorBidi" w:hAnsiTheme="majorBidi" w:cstheme="majorBidi"/>
          <w:lang w:val="en-GB"/>
        </w:rPr>
        <w:t>2</w:t>
      </w:r>
      <w:r w:rsidR="000B5D06">
        <w:rPr>
          <w:rStyle w:val="Strong"/>
          <w:rFonts w:asciiTheme="majorBidi" w:hAnsiTheme="majorBidi" w:cstheme="majorBidi"/>
          <w:lang w:val="en-GB"/>
        </w:rPr>
        <w:t>.</w:t>
      </w:r>
      <w:r w:rsidRPr="00D04FDF">
        <w:rPr>
          <w:rStyle w:val="Strong"/>
          <w:rFonts w:asciiTheme="majorBidi" w:hAnsiTheme="majorBidi" w:cstheme="majorBidi"/>
          <w:lang w:val="en-GB"/>
        </w:rPr>
        <w:t xml:space="preserve">2. </w:t>
      </w:r>
      <w:r w:rsidRPr="00161F6E">
        <w:rPr>
          <w:rStyle w:val="Heading5Char"/>
        </w:rPr>
        <w:t>Export Procedure to Turkey</w:t>
      </w:r>
      <w:r w:rsidRPr="00D04FDF">
        <w:rPr>
          <w:rStyle w:val="Strong"/>
          <w:rFonts w:asciiTheme="majorBidi" w:hAnsiTheme="majorBidi" w:cstheme="majorBidi"/>
          <w:lang w:val="en-GB"/>
        </w:rPr>
        <w:t xml:space="preserve"> </w:t>
      </w:r>
    </w:p>
    <w:p w14:paraId="4462A859" w14:textId="1B415F10" w:rsidR="0077354A" w:rsidRPr="00D04FDF" w:rsidRDefault="00FD7333" w:rsidP="00C73566">
      <w:pPr>
        <w:pStyle w:val="NormalWeb"/>
        <w:spacing w:line="360" w:lineRule="auto"/>
        <w:jc w:val="both"/>
        <w:rPr>
          <w:rFonts w:asciiTheme="majorBidi" w:hAnsiTheme="majorBidi" w:cstheme="majorBidi"/>
          <w:lang w:val="en-GB"/>
        </w:rPr>
      </w:pPr>
      <w:r>
        <w:rPr>
          <w:rFonts w:asciiTheme="majorBidi" w:hAnsiTheme="majorBidi" w:cstheme="majorBidi"/>
          <w:lang w:val="en-GB"/>
        </w:rPr>
        <w:t xml:space="preserve">   </w:t>
      </w:r>
      <w:r w:rsidR="0077354A" w:rsidRPr="00D04FDF">
        <w:rPr>
          <w:rFonts w:asciiTheme="majorBidi" w:hAnsiTheme="majorBidi" w:cstheme="majorBidi"/>
          <w:lang w:val="en-GB"/>
        </w:rPr>
        <w:t xml:space="preserve">Once the seller and buyer have </w:t>
      </w:r>
      <w:r w:rsidR="0077354A" w:rsidRPr="000B5D06">
        <w:rPr>
          <w:rStyle w:val="Strong"/>
          <w:rFonts w:asciiTheme="majorBidi" w:hAnsiTheme="majorBidi" w:cstheme="majorBidi"/>
          <w:b w:val="0"/>
          <w:bCs w:val="0"/>
          <w:lang w:val="en-GB"/>
        </w:rPr>
        <w:t>officially agreed</w:t>
      </w:r>
      <w:r w:rsidR="0077354A" w:rsidRPr="00D04FDF">
        <w:rPr>
          <w:rFonts w:asciiTheme="majorBidi" w:hAnsiTheme="majorBidi" w:cstheme="majorBidi"/>
          <w:lang w:val="en-GB"/>
        </w:rPr>
        <w:t xml:space="preserve"> on the product, a </w:t>
      </w:r>
      <w:r w:rsidR="0077354A" w:rsidRPr="000B5D06">
        <w:rPr>
          <w:rStyle w:val="Strong"/>
          <w:rFonts w:asciiTheme="majorBidi" w:hAnsiTheme="majorBidi" w:cstheme="majorBidi"/>
          <w:b w:val="0"/>
          <w:bCs w:val="0"/>
          <w:lang w:val="en-GB"/>
        </w:rPr>
        <w:t>summary declaration</w:t>
      </w:r>
      <w:r w:rsidR="0077354A" w:rsidRPr="00D04FDF">
        <w:rPr>
          <w:rFonts w:asciiTheme="majorBidi" w:hAnsiTheme="majorBidi" w:cstheme="majorBidi"/>
          <w:lang w:val="en-GB"/>
        </w:rPr>
        <w:t xml:space="preserve"> must be submitted for goods brought into the Turkish customs territory. </w:t>
      </w:r>
    </w:p>
    <w:p w14:paraId="0022B955" w14:textId="77777777" w:rsidR="00FD7333" w:rsidRDefault="00FD7333" w:rsidP="00C73566">
      <w:pPr>
        <w:pStyle w:val="NormalWeb"/>
        <w:spacing w:line="360" w:lineRule="auto"/>
        <w:jc w:val="both"/>
        <w:rPr>
          <w:rFonts w:asciiTheme="majorBidi" w:hAnsiTheme="majorBidi" w:cstheme="majorBidi"/>
          <w:lang w:val="en-GB"/>
        </w:rPr>
      </w:pPr>
      <w:r>
        <w:rPr>
          <w:rFonts w:asciiTheme="majorBidi" w:hAnsiTheme="majorBidi" w:cstheme="majorBidi"/>
          <w:lang w:val="en-GB"/>
        </w:rPr>
        <w:t xml:space="preserve">   </w:t>
      </w:r>
      <w:r w:rsidR="0077354A" w:rsidRPr="00D04FDF">
        <w:rPr>
          <w:rFonts w:asciiTheme="majorBidi" w:hAnsiTheme="majorBidi" w:cstheme="majorBidi"/>
          <w:lang w:val="en-GB"/>
        </w:rPr>
        <w:t xml:space="preserve">For goods subject to a customs regime, customs procedures must be completed </w:t>
      </w:r>
      <w:r w:rsidR="0077354A" w:rsidRPr="000B5D06">
        <w:rPr>
          <w:rStyle w:val="Strong"/>
          <w:rFonts w:asciiTheme="majorBidi" w:hAnsiTheme="majorBidi" w:cstheme="majorBidi"/>
          <w:b w:val="0"/>
          <w:bCs w:val="0"/>
          <w:lang w:val="en-GB"/>
        </w:rPr>
        <w:t>within 45 days</w:t>
      </w:r>
      <w:r w:rsidR="0077354A" w:rsidRPr="00D04FDF">
        <w:rPr>
          <w:rFonts w:asciiTheme="majorBidi" w:hAnsiTheme="majorBidi" w:cstheme="majorBidi"/>
          <w:lang w:val="en-GB"/>
        </w:rPr>
        <w:t xml:space="preserve"> if arriving by sea, and </w:t>
      </w:r>
      <w:r w:rsidR="0077354A" w:rsidRPr="000B5D06">
        <w:rPr>
          <w:rStyle w:val="Strong"/>
          <w:rFonts w:asciiTheme="majorBidi" w:hAnsiTheme="majorBidi" w:cstheme="majorBidi"/>
          <w:b w:val="0"/>
          <w:bCs w:val="0"/>
          <w:lang w:val="en-GB"/>
        </w:rPr>
        <w:t>within 20 days</w:t>
      </w:r>
      <w:r w:rsidR="0077354A" w:rsidRPr="00D04FDF">
        <w:rPr>
          <w:rFonts w:asciiTheme="majorBidi" w:hAnsiTheme="majorBidi" w:cstheme="majorBidi"/>
          <w:lang w:val="en-GB"/>
        </w:rPr>
        <w:t xml:space="preserve"> for other means of transport after submitting the summary declaration.</w:t>
      </w:r>
    </w:p>
    <w:p w14:paraId="17E1468F" w14:textId="7C8F1932" w:rsidR="0077354A" w:rsidRPr="00D04FDF" w:rsidRDefault="00FD7333" w:rsidP="00C73566">
      <w:pPr>
        <w:pStyle w:val="NormalWeb"/>
        <w:spacing w:line="360" w:lineRule="auto"/>
        <w:jc w:val="both"/>
        <w:rPr>
          <w:rFonts w:asciiTheme="majorBidi" w:hAnsiTheme="majorBidi" w:cstheme="majorBidi"/>
          <w:lang w:val="en-GB"/>
        </w:rPr>
      </w:pPr>
      <w:r>
        <w:rPr>
          <w:rFonts w:asciiTheme="majorBidi" w:hAnsiTheme="majorBidi" w:cstheme="majorBidi"/>
          <w:lang w:val="en-GB"/>
        </w:rPr>
        <w:t xml:space="preserve">   </w:t>
      </w:r>
      <w:r w:rsidR="0077354A" w:rsidRPr="00D04FDF">
        <w:rPr>
          <w:rFonts w:asciiTheme="majorBidi" w:hAnsiTheme="majorBidi" w:cstheme="majorBidi"/>
          <w:lang w:val="en-GB"/>
        </w:rPr>
        <w:t xml:space="preserve">Customs duties arising from the import of the goods are calculated according to the </w:t>
      </w:r>
      <w:r w:rsidR="0077354A" w:rsidRPr="000B5D06">
        <w:rPr>
          <w:rStyle w:val="Strong"/>
          <w:rFonts w:asciiTheme="majorBidi" w:hAnsiTheme="majorBidi" w:cstheme="majorBidi"/>
          <w:b w:val="0"/>
          <w:bCs w:val="0"/>
          <w:lang w:val="en-GB"/>
        </w:rPr>
        <w:t>Customs Tariff Statistical Position (GTIP)</w:t>
      </w:r>
      <w:r w:rsidR="0077354A" w:rsidRPr="000B5D06">
        <w:rPr>
          <w:rFonts w:asciiTheme="majorBidi" w:hAnsiTheme="majorBidi" w:cstheme="majorBidi"/>
          <w:b/>
          <w:bCs/>
          <w:lang w:val="en-GB"/>
        </w:rPr>
        <w:t xml:space="preserve"> </w:t>
      </w:r>
      <w:r w:rsidR="0077354A" w:rsidRPr="000B5D06">
        <w:rPr>
          <w:rFonts w:asciiTheme="majorBidi" w:hAnsiTheme="majorBidi" w:cstheme="majorBidi"/>
          <w:lang w:val="en-GB"/>
        </w:rPr>
        <w:t>and are</w:t>
      </w:r>
      <w:r w:rsidR="0077354A" w:rsidRPr="000B5D06">
        <w:rPr>
          <w:rFonts w:asciiTheme="majorBidi" w:hAnsiTheme="majorBidi" w:cstheme="majorBidi"/>
          <w:b/>
          <w:bCs/>
          <w:lang w:val="en-GB"/>
        </w:rPr>
        <w:t xml:space="preserve"> </w:t>
      </w:r>
      <w:r w:rsidR="0077354A" w:rsidRPr="000B5D06">
        <w:rPr>
          <w:rStyle w:val="Strong"/>
          <w:rFonts w:asciiTheme="majorBidi" w:hAnsiTheme="majorBidi" w:cstheme="majorBidi"/>
          <w:b w:val="0"/>
          <w:bCs w:val="0"/>
          <w:lang w:val="en-GB"/>
        </w:rPr>
        <w:t>notified to the liable party</w:t>
      </w:r>
      <w:r w:rsidR="0077354A" w:rsidRPr="000B5D06">
        <w:rPr>
          <w:rFonts w:asciiTheme="majorBidi" w:hAnsiTheme="majorBidi" w:cstheme="majorBidi"/>
          <w:b/>
          <w:bCs/>
          <w:lang w:val="en-GB"/>
        </w:rPr>
        <w:t>.</w:t>
      </w:r>
    </w:p>
    <w:p w14:paraId="385CA8D4" w14:textId="473081C7" w:rsidR="0077354A" w:rsidRPr="00D04FDF" w:rsidRDefault="0077354A" w:rsidP="00C73566">
      <w:pPr>
        <w:pStyle w:val="NormalWeb"/>
        <w:spacing w:line="360" w:lineRule="auto"/>
        <w:jc w:val="both"/>
        <w:rPr>
          <w:rFonts w:asciiTheme="majorBidi" w:hAnsiTheme="majorBidi" w:cstheme="majorBidi"/>
          <w:lang w:val="en-GB"/>
        </w:rPr>
      </w:pPr>
      <w:r w:rsidRPr="00D04FDF">
        <w:rPr>
          <w:rStyle w:val="Strong"/>
          <w:rFonts w:asciiTheme="majorBidi" w:hAnsiTheme="majorBidi" w:cstheme="majorBidi"/>
          <w:lang w:val="en-GB"/>
        </w:rPr>
        <w:t>1</w:t>
      </w:r>
      <w:r w:rsidR="000B5D06">
        <w:rPr>
          <w:rStyle w:val="Strong"/>
          <w:rFonts w:asciiTheme="majorBidi" w:hAnsiTheme="majorBidi" w:cstheme="majorBidi"/>
          <w:lang w:val="en-GB"/>
        </w:rPr>
        <w:t>.</w:t>
      </w:r>
      <w:r w:rsidRPr="00D04FDF">
        <w:rPr>
          <w:rStyle w:val="Strong"/>
          <w:rFonts w:asciiTheme="majorBidi" w:hAnsiTheme="majorBidi" w:cstheme="majorBidi"/>
          <w:lang w:val="en-GB"/>
        </w:rPr>
        <w:t>2</w:t>
      </w:r>
      <w:r w:rsidR="000B5D06">
        <w:rPr>
          <w:rStyle w:val="Strong"/>
          <w:rFonts w:asciiTheme="majorBidi" w:hAnsiTheme="majorBidi" w:cstheme="majorBidi"/>
          <w:lang w:val="en-GB"/>
        </w:rPr>
        <w:t>.</w:t>
      </w:r>
      <w:r w:rsidRPr="00D04FDF">
        <w:rPr>
          <w:rStyle w:val="Strong"/>
          <w:rFonts w:asciiTheme="majorBidi" w:hAnsiTheme="majorBidi" w:cstheme="majorBidi"/>
          <w:lang w:val="en-GB"/>
        </w:rPr>
        <w:t xml:space="preserve">3. </w:t>
      </w:r>
      <w:r w:rsidRPr="00161F6E">
        <w:rPr>
          <w:rStyle w:val="Heading5Char"/>
        </w:rPr>
        <w:t>Required Permits and Documents for Export to Turkey</w:t>
      </w:r>
      <w:r w:rsidRPr="00D04FDF">
        <w:rPr>
          <w:rStyle w:val="Strong"/>
          <w:rFonts w:asciiTheme="majorBidi" w:hAnsiTheme="majorBidi" w:cstheme="majorBidi"/>
          <w:lang w:val="en-GB"/>
        </w:rPr>
        <w:t xml:space="preserve"> </w:t>
      </w:r>
    </w:p>
    <w:p w14:paraId="55C58E6D" w14:textId="48CB5722" w:rsidR="0077354A" w:rsidRPr="000B5D06" w:rsidRDefault="00FD7333" w:rsidP="00C73566">
      <w:pPr>
        <w:pStyle w:val="NormalWeb"/>
        <w:spacing w:line="360" w:lineRule="auto"/>
        <w:jc w:val="both"/>
        <w:rPr>
          <w:rFonts w:asciiTheme="majorBidi" w:hAnsiTheme="majorBidi" w:cstheme="majorBidi"/>
          <w:lang w:val="en-GB"/>
        </w:rPr>
      </w:pPr>
      <w:r w:rsidRPr="000B5D06">
        <w:rPr>
          <w:rFonts w:asciiTheme="majorBidi" w:hAnsiTheme="majorBidi" w:cstheme="majorBidi"/>
          <w:lang w:val="en-GB"/>
        </w:rPr>
        <w:t xml:space="preserve">   </w:t>
      </w:r>
      <w:r w:rsidR="0077354A" w:rsidRPr="000B5D06">
        <w:rPr>
          <w:rFonts w:asciiTheme="majorBidi" w:hAnsiTheme="majorBidi" w:cstheme="majorBidi"/>
          <w:lang w:val="en-GB"/>
        </w:rPr>
        <w:t xml:space="preserve">Each type and nature of export product is subject to </w:t>
      </w:r>
      <w:r w:rsidR="0077354A" w:rsidRPr="000B5D06">
        <w:rPr>
          <w:rStyle w:val="Strong"/>
          <w:rFonts w:asciiTheme="majorBidi" w:hAnsiTheme="majorBidi" w:cstheme="majorBidi"/>
          <w:b w:val="0"/>
          <w:bCs w:val="0"/>
          <w:lang w:val="en-GB"/>
        </w:rPr>
        <w:t>specific rules</w:t>
      </w:r>
      <w:r w:rsidR="0077354A" w:rsidRPr="000B5D06">
        <w:rPr>
          <w:rFonts w:asciiTheme="majorBidi" w:hAnsiTheme="majorBidi" w:cstheme="majorBidi"/>
          <w:lang w:val="en-GB"/>
        </w:rPr>
        <w:t xml:space="preserve">. Certain goods may require </w:t>
      </w:r>
      <w:r w:rsidR="0077354A" w:rsidRPr="000B5D06">
        <w:rPr>
          <w:rStyle w:val="Strong"/>
          <w:rFonts w:asciiTheme="majorBidi" w:hAnsiTheme="majorBidi" w:cstheme="majorBidi"/>
          <w:b w:val="0"/>
          <w:bCs w:val="0"/>
          <w:lang w:val="en-GB"/>
        </w:rPr>
        <w:t>permits</w:t>
      </w:r>
      <w:r w:rsidR="0077354A" w:rsidRPr="000B5D06">
        <w:rPr>
          <w:rFonts w:asciiTheme="majorBidi" w:hAnsiTheme="majorBidi" w:cstheme="majorBidi"/>
          <w:lang w:val="en-GB"/>
        </w:rPr>
        <w:t xml:space="preserve"> or </w:t>
      </w:r>
      <w:r w:rsidR="0077354A" w:rsidRPr="000B5D06">
        <w:rPr>
          <w:rStyle w:val="Strong"/>
          <w:rFonts w:asciiTheme="majorBidi" w:hAnsiTheme="majorBidi" w:cstheme="majorBidi"/>
          <w:b w:val="0"/>
          <w:bCs w:val="0"/>
          <w:lang w:val="en-GB"/>
        </w:rPr>
        <w:t>ministerial approval</w:t>
      </w:r>
      <w:r w:rsidR="0077354A" w:rsidRPr="000B5D06">
        <w:rPr>
          <w:rFonts w:asciiTheme="majorBidi" w:hAnsiTheme="majorBidi" w:cstheme="majorBidi"/>
          <w:lang w:val="en-GB"/>
        </w:rPr>
        <w:t>.</w:t>
      </w:r>
      <w:r w:rsidR="000B5D06">
        <w:rPr>
          <w:rFonts w:asciiTheme="majorBidi" w:hAnsiTheme="majorBidi" w:cstheme="majorBidi"/>
          <w:lang w:val="en-GB"/>
        </w:rPr>
        <w:t xml:space="preserve"> </w:t>
      </w:r>
      <w:r w:rsidR="0077354A" w:rsidRPr="000B5D06">
        <w:rPr>
          <w:rFonts w:asciiTheme="majorBidi" w:hAnsiTheme="majorBidi" w:cstheme="majorBidi"/>
          <w:lang w:val="en-GB"/>
        </w:rPr>
        <w:t xml:space="preserve">It is necessary to investigate whether any restrictions apply to the entry of the exported goods into the country, such as </w:t>
      </w:r>
      <w:r w:rsidR="0077354A" w:rsidRPr="000B5D06">
        <w:rPr>
          <w:rStyle w:val="Strong"/>
          <w:rFonts w:asciiTheme="majorBidi" w:hAnsiTheme="majorBidi" w:cstheme="majorBidi"/>
          <w:b w:val="0"/>
          <w:bCs w:val="0"/>
          <w:lang w:val="en-GB"/>
        </w:rPr>
        <w:t>bans, licenses, quotas, specialized customs procedures</w:t>
      </w:r>
      <w:r w:rsidR="0077354A" w:rsidRPr="000B5D06">
        <w:rPr>
          <w:rFonts w:asciiTheme="majorBidi" w:hAnsiTheme="majorBidi" w:cstheme="majorBidi"/>
          <w:b/>
          <w:bCs/>
          <w:lang w:val="en-GB"/>
        </w:rPr>
        <w:t>,</w:t>
      </w:r>
      <w:r w:rsidR="0077354A" w:rsidRPr="000B5D06">
        <w:rPr>
          <w:rFonts w:asciiTheme="majorBidi" w:hAnsiTheme="majorBidi" w:cstheme="majorBidi"/>
          <w:lang w:val="en-GB"/>
        </w:rPr>
        <w:t xml:space="preserve"> and whether documents like </w:t>
      </w:r>
      <w:r w:rsidR="0077354A" w:rsidRPr="000B5D06">
        <w:rPr>
          <w:rStyle w:val="Strong"/>
          <w:rFonts w:asciiTheme="majorBidi" w:hAnsiTheme="majorBidi" w:cstheme="majorBidi"/>
          <w:b w:val="0"/>
          <w:bCs w:val="0"/>
          <w:lang w:val="en-GB"/>
        </w:rPr>
        <w:t>compliance with standards, surveillance certificates, control certificates, health certificates, analysis reports, CE certificates</w:t>
      </w:r>
      <w:r w:rsidR="0077354A" w:rsidRPr="000B5D06">
        <w:rPr>
          <w:rFonts w:asciiTheme="majorBidi" w:hAnsiTheme="majorBidi" w:cstheme="majorBidi"/>
          <w:lang w:val="en-GB"/>
        </w:rPr>
        <w:t>, etc., are required by the customs authorities.</w:t>
      </w:r>
    </w:p>
    <w:p w14:paraId="16F5DB65" w14:textId="79B12DBB" w:rsidR="0077354A" w:rsidRPr="000B5D06" w:rsidRDefault="000B5D06" w:rsidP="00413B73">
      <w:pPr>
        <w:pStyle w:val="ListParagraph"/>
        <w:numPr>
          <w:ilvl w:val="0"/>
          <w:numId w:val="87"/>
        </w:numPr>
        <w:spacing w:line="360" w:lineRule="auto"/>
        <w:jc w:val="both"/>
        <w:rPr>
          <w:rFonts w:asciiTheme="majorBidi" w:hAnsiTheme="majorBidi" w:cstheme="majorBidi"/>
          <w:b/>
          <w:bCs/>
          <w:sz w:val="24"/>
          <w:szCs w:val="24"/>
          <w:lang w:val="en-GB"/>
        </w:rPr>
      </w:pPr>
      <w:bookmarkStart w:id="254" w:name="_Toc200720047"/>
      <w:bookmarkStart w:id="255" w:name="_Toc200721688"/>
      <w:r w:rsidRPr="00161F6E">
        <w:rPr>
          <w:rStyle w:val="Heading3Char"/>
        </w:rPr>
        <w:t>C</w:t>
      </w:r>
      <w:r w:rsidR="0077354A" w:rsidRPr="00161F6E">
        <w:rPr>
          <w:rStyle w:val="Heading3Char"/>
        </w:rPr>
        <w:t>ompetition from local and international products in turkey</w:t>
      </w:r>
      <w:bookmarkEnd w:id="254"/>
      <w:bookmarkEnd w:id="255"/>
      <w:r w:rsidR="0077354A" w:rsidRPr="000B5D06">
        <w:rPr>
          <w:rFonts w:asciiTheme="majorBidi" w:eastAsia="Times New Roman" w:hAnsiTheme="majorBidi" w:cstheme="majorBidi"/>
          <w:b/>
          <w:bCs/>
          <w:sz w:val="24"/>
          <w:szCs w:val="24"/>
          <w:lang w:val="en-GB" w:eastAsia="fr-FR"/>
        </w:rPr>
        <w:t>:</w:t>
      </w:r>
    </w:p>
    <w:p w14:paraId="70EE6577" w14:textId="3E09F6CD" w:rsidR="0077354A" w:rsidRPr="00D04FDF" w:rsidRDefault="00FD7333" w:rsidP="00FD7333">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Turkey possesses a robust domestic manufacturing sector, with local brands enjoying a competitive edge primarily through lower production costs, which allows them to offer more affordable prices. However, as analyst Murat Tufan from EkoTurk highlights, the rising prices of Turkish goods have started to erode their competitive advantage in international markets, making it harder for them to maintain their previous position globally</w:t>
      </w:r>
      <w:r w:rsidR="0077354A" w:rsidRPr="00D04FDF">
        <w:rPr>
          <w:rStyle w:val="FootnoteReference"/>
          <w:rFonts w:asciiTheme="majorBidi" w:hAnsiTheme="majorBidi" w:cstheme="majorBidi"/>
          <w:sz w:val="24"/>
          <w:szCs w:val="24"/>
          <w:lang w:val="en-GB"/>
        </w:rPr>
        <w:footnoteReference w:id="145"/>
      </w:r>
      <w:r>
        <w:rPr>
          <w:rStyle w:val="fadeinm1hgl8"/>
          <w:rFonts w:asciiTheme="majorBidi" w:hAnsiTheme="majorBidi" w:cstheme="majorBidi"/>
          <w:sz w:val="24"/>
          <w:szCs w:val="24"/>
          <w:lang w:val="en-GB"/>
        </w:rPr>
        <w:t>.</w:t>
      </w:r>
    </w:p>
    <w:p w14:paraId="04B773C8" w14:textId="117AD28C" w:rsidR="0077354A" w:rsidRPr="00D04FDF" w:rsidRDefault="0077354A" w:rsidP="00483AF1">
      <w:pPr>
        <w:spacing w:after="0" w:line="360" w:lineRule="auto"/>
        <w:jc w:val="both"/>
        <w:rPr>
          <w:rStyle w:val="fadeinm1hgl8"/>
          <w:rFonts w:asciiTheme="majorBidi" w:hAnsiTheme="majorBidi" w:cstheme="majorBidi"/>
          <w:b/>
          <w:bCs/>
          <w:sz w:val="24"/>
          <w:szCs w:val="24"/>
          <w:lang w:val="en-GB"/>
        </w:rPr>
      </w:pPr>
      <w:r w:rsidRPr="00D04FDF">
        <w:rPr>
          <w:rStyle w:val="fadeinm1hgl8"/>
          <w:rFonts w:asciiTheme="majorBidi" w:hAnsiTheme="majorBidi" w:cstheme="majorBidi"/>
          <w:b/>
          <w:bCs/>
          <w:sz w:val="24"/>
          <w:szCs w:val="24"/>
          <w:lang w:val="en-GB"/>
        </w:rPr>
        <w:t>2</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 xml:space="preserve">1. </w:t>
      </w:r>
      <w:r w:rsidRPr="00161F6E">
        <w:rPr>
          <w:rStyle w:val="Heading4Char"/>
        </w:rPr>
        <w:t>Established Distribution Networks and Retail Partnerships</w:t>
      </w:r>
      <w:r w:rsidRPr="00D04FDF">
        <w:rPr>
          <w:rStyle w:val="fadeinm1hgl8"/>
          <w:rFonts w:asciiTheme="majorBidi" w:hAnsiTheme="majorBidi" w:cstheme="majorBidi"/>
          <w:b/>
          <w:bCs/>
          <w:sz w:val="24"/>
          <w:szCs w:val="24"/>
          <w:lang w:val="en-GB"/>
        </w:rPr>
        <w:t>:</w:t>
      </w:r>
    </w:p>
    <w:p w14:paraId="0CE1625A" w14:textId="1684F592" w:rsidR="0077354A" w:rsidRPr="00D04FDF" w:rsidRDefault="00FD7333" w:rsidP="00483AF1">
      <w:pPr>
        <w:spacing w:after="0"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Istanbul and the Marmara region serve as the primary distribution hub of Turkey. The Port of Istanbul is the country's largest entry point for imported goods, and most distribution channels and company headquarters are concentrated in this area. Distributors operate across various cities nationwide. In specific sectors such as medical technologies, cities like Ankara and Izmir act as key centers, with distribution networks that extend throughout the entire country.</w:t>
      </w:r>
      <w:r w:rsidR="0077354A" w:rsidRPr="00D04FDF">
        <w:rPr>
          <w:rStyle w:val="FootnoteReference"/>
          <w:rFonts w:asciiTheme="majorBidi" w:hAnsiTheme="majorBidi" w:cstheme="majorBidi"/>
          <w:sz w:val="24"/>
          <w:szCs w:val="24"/>
          <w:lang w:val="en-GB"/>
        </w:rPr>
        <w:footnoteReference w:id="146"/>
      </w:r>
    </w:p>
    <w:p w14:paraId="3D86CDFE" w14:textId="77777777" w:rsidR="0077354A" w:rsidRPr="00D04FDF" w:rsidRDefault="0077354A" w:rsidP="00483AF1">
      <w:pPr>
        <w:spacing w:after="0"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sz w:val="24"/>
          <w:szCs w:val="24"/>
          <w:lang w:val="en-GB"/>
        </w:rPr>
        <w:t>The following table presents the ten leading supermarket chains, along with the total number of stores each operated as of the dates specified. The last column shows the number of new store openings recorded over the course of the year.</w:t>
      </w:r>
      <w:r w:rsidRPr="00D04FDF">
        <w:rPr>
          <w:rStyle w:val="FootnoteReference"/>
          <w:rFonts w:asciiTheme="majorBidi" w:hAnsiTheme="majorBidi" w:cstheme="majorBidi"/>
          <w:sz w:val="24"/>
          <w:szCs w:val="24"/>
          <w:lang w:val="en-GB"/>
        </w:rPr>
        <w:footnoteReference w:id="147"/>
      </w:r>
    </w:p>
    <w:p w14:paraId="7799650F" w14:textId="77777777" w:rsidR="0077354A" w:rsidRPr="00D04FDF" w:rsidRDefault="0077354A" w:rsidP="00483AF1">
      <w:pPr>
        <w:spacing w:after="0" w:line="360" w:lineRule="auto"/>
        <w:jc w:val="both"/>
        <w:rPr>
          <w:rFonts w:asciiTheme="majorBidi" w:hAnsiTheme="majorBidi" w:cstheme="majorBidi"/>
          <w:noProof/>
          <w:color w:val="141412"/>
          <w:sz w:val="24"/>
          <w:szCs w:val="24"/>
          <w:shd w:val="clear" w:color="auto" w:fill="FFFFFF"/>
          <w:lang w:val="en-GB"/>
        </w:rPr>
      </w:pPr>
    </w:p>
    <w:p w14:paraId="52C6DDD8" w14:textId="34712DE2" w:rsidR="0077354A" w:rsidRPr="00D04FDF" w:rsidRDefault="0077354A" w:rsidP="009B4BBD">
      <w:pPr>
        <w:spacing w:after="0" w:line="360" w:lineRule="auto"/>
        <w:jc w:val="center"/>
        <w:rPr>
          <w:rFonts w:asciiTheme="majorBidi" w:hAnsiTheme="majorBidi" w:cstheme="majorBidi"/>
          <w:b/>
          <w:bCs/>
          <w:noProof/>
          <w:color w:val="141412"/>
          <w:sz w:val="24"/>
          <w:szCs w:val="24"/>
          <w:shd w:val="clear" w:color="auto" w:fill="FFFFFF"/>
          <w:lang w:val="en-GB"/>
        </w:rPr>
      </w:pPr>
      <w:r w:rsidRPr="00D04FDF">
        <w:rPr>
          <w:rFonts w:asciiTheme="majorBidi" w:hAnsiTheme="majorBidi" w:cstheme="majorBidi"/>
          <w:b/>
          <w:bCs/>
          <w:noProof/>
          <w:color w:val="141412"/>
          <w:sz w:val="24"/>
          <w:szCs w:val="24"/>
          <w:shd w:val="clear" w:color="auto" w:fill="FFFFFF"/>
          <w:lang w:val="en-GB"/>
        </w:rPr>
        <w:t>Figure</w:t>
      </w:r>
      <w:r w:rsidR="004A38BD">
        <w:rPr>
          <w:rFonts w:asciiTheme="majorBidi" w:hAnsiTheme="majorBidi" w:cstheme="majorBidi"/>
          <w:b/>
          <w:bCs/>
          <w:noProof/>
          <w:color w:val="141412"/>
          <w:sz w:val="24"/>
          <w:szCs w:val="24"/>
          <w:shd w:val="clear" w:color="auto" w:fill="FFFFFF"/>
          <w:lang w:val="en-GB"/>
        </w:rPr>
        <w:t xml:space="preserve"> 5</w:t>
      </w:r>
      <w:r w:rsidRPr="00D04FDF">
        <w:rPr>
          <w:rFonts w:asciiTheme="majorBidi" w:hAnsiTheme="majorBidi" w:cstheme="majorBidi"/>
          <w:b/>
          <w:bCs/>
          <w:noProof/>
          <w:color w:val="141412"/>
          <w:sz w:val="24"/>
          <w:szCs w:val="24"/>
          <w:shd w:val="clear" w:color="auto" w:fill="FFFFFF"/>
          <w:lang w:val="en-GB"/>
        </w:rPr>
        <w:t xml:space="preserve"> : </w:t>
      </w:r>
      <w:r w:rsidRPr="00D04FDF">
        <w:rPr>
          <w:rFonts w:asciiTheme="majorBidi" w:hAnsiTheme="majorBidi" w:cstheme="majorBidi"/>
          <w:sz w:val="24"/>
          <w:szCs w:val="24"/>
          <w:lang w:val="en-GB"/>
        </w:rPr>
        <w:t>Store Count Comparison of Retail Chains in Turkey (2015–2016)</w:t>
      </w:r>
    </w:p>
    <w:p w14:paraId="323988CD" w14:textId="77777777" w:rsidR="0077354A" w:rsidRPr="00D04FDF" w:rsidRDefault="0077354A" w:rsidP="00C86599">
      <w:pPr>
        <w:spacing w:after="0" w:line="360" w:lineRule="auto"/>
        <w:jc w:val="center"/>
        <w:rPr>
          <w:rStyle w:val="fadeinm1hgl8"/>
          <w:rFonts w:asciiTheme="majorBidi" w:hAnsiTheme="majorBidi" w:cstheme="majorBidi"/>
          <w:sz w:val="24"/>
          <w:szCs w:val="24"/>
          <w:lang w:val="en-GB"/>
        </w:rPr>
      </w:pPr>
      <w:r w:rsidRPr="00D04FDF">
        <w:rPr>
          <w:rFonts w:asciiTheme="majorBidi" w:hAnsiTheme="majorBidi" w:cstheme="majorBidi"/>
          <w:noProof/>
          <w:color w:val="141412"/>
          <w:sz w:val="24"/>
          <w:szCs w:val="24"/>
          <w:shd w:val="clear" w:color="auto" w:fill="FFFFFF"/>
        </w:rPr>
        <w:drawing>
          <wp:inline distT="0" distB="0" distL="0" distR="0" wp14:anchorId="6FF12FD7" wp14:editId="12C539DA">
            <wp:extent cx="4677228" cy="14351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26">
                      <a:extLst>
                        <a:ext uri="{28A0092B-C50C-407E-A947-70E740481C1C}">
                          <a14:useLocalDpi xmlns:a14="http://schemas.microsoft.com/office/drawing/2010/main" val="0"/>
                        </a:ext>
                      </a:extLst>
                    </a:blip>
                    <a:srcRect l="1395" t="2099" r="7227" b="55719"/>
                    <a:stretch/>
                  </pic:blipFill>
                  <pic:spPr bwMode="auto">
                    <a:xfrm>
                      <a:off x="0" y="0"/>
                      <a:ext cx="4709679" cy="1445057"/>
                    </a:xfrm>
                    <a:prstGeom prst="rect">
                      <a:avLst/>
                    </a:prstGeom>
                    <a:ln>
                      <a:noFill/>
                    </a:ln>
                    <a:extLst>
                      <a:ext uri="{53640926-AAD7-44D8-BBD7-CCE9431645EC}">
                        <a14:shadowObscured xmlns:a14="http://schemas.microsoft.com/office/drawing/2010/main"/>
                      </a:ext>
                    </a:extLst>
                  </pic:spPr>
                </pic:pic>
              </a:graphicData>
            </a:graphic>
          </wp:inline>
        </w:drawing>
      </w:r>
    </w:p>
    <w:p w14:paraId="6441F870" w14:textId="77777777" w:rsidR="0077354A" w:rsidRPr="00D04FDF" w:rsidRDefault="0077354A" w:rsidP="00C86599">
      <w:pPr>
        <w:spacing w:after="0" w:line="360" w:lineRule="auto"/>
        <w:jc w:val="center"/>
        <w:rPr>
          <w:rFonts w:asciiTheme="majorBidi" w:eastAsia="Times New Roman" w:hAnsiTheme="majorBidi" w:cstheme="majorBidi"/>
          <w:b/>
          <w:bCs/>
          <w:sz w:val="24"/>
          <w:szCs w:val="24"/>
          <w:lang w:val="en-GB" w:eastAsia="fr-FR"/>
        </w:rPr>
      </w:pPr>
      <w:r w:rsidRPr="00D04FDF">
        <w:rPr>
          <w:rFonts w:asciiTheme="majorBidi" w:hAnsiTheme="majorBidi" w:cstheme="majorBidi"/>
          <w:noProof/>
          <w:color w:val="141412"/>
          <w:sz w:val="24"/>
          <w:szCs w:val="24"/>
          <w:shd w:val="clear" w:color="auto" w:fill="FFFFFF"/>
        </w:rPr>
        <w:drawing>
          <wp:inline distT="0" distB="0" distL="0" distR="0" wp14:anchorId="334925A8" wp14:editId="1836601F">
            <wp:extent cx="4711700" cy="377109"/>
            <wp:effectExtent l="0" t="0" r="0"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26">
                      <a:extLst>
                        <a:ext uri="{28A0092B-C50C-407E-A947-70E740481C1C}">
                          <a14:useLocalDpi xmlns:a14="http://schemas.microsoft.com/office/drawing/2010/main" val="0"/>
                        </a:ext>
                      </a:extLst>
                    </a:blip>
                    <a:srcRect l="1256" t="88982" r="7237"/>
                    <a:stretch/>
                  </pic:blipFill>
                  <pic:spPr bwMode="auto">
                    <a:xfrm>
                      <a:off x="0" y="0"/>
                      <a:ext cx="4870285" cy="389802"/>
                    </a:xfrm>
                    <a:prstGeom prst="rect">
                      <a:avLst/>
                    </a:prstGeom>
                    <a:ln>
                      <a:noFill/>
                    </a:ln>
                    <a:extLst>
                      <a:ext uri="{53640926-AAD7-44D8-BBD7-CCE9431645EC}">
                        <a14:shadowObscured xmlns:a14="http://schemas.microsoft.com/office/drawing/2010/main"/>
                      </a:ext>
                    </a:extLst>
                  </pic:spPr>
                </pic:pic>
              </a:graphicData>
            </a:graphic>
          </wp:inline>
        </w:drawing>
      </w:r>
    </w:p>
    <w:p w14:paraId="51E4C3F7" w14:textId="77777777" w:rsidR="0077354A" w:rsidRPr="00D04FDF" w:rsidRDefault="0077354A" w:rsidP="00C86599">
      <w:pPr>
        <w:spacing w:line="360" w:lineRule="auto"/>
        <w:jc w:val="center"/>
        <w:rPr>
          <w:rFonts w:asciiTheme="majorBidi" w:hAnsiTheme="majorBidi" w:cstheme="majorBidi"/>
          <w:sz w:val="24"/>
          <w:szCs w:val="24"/>
          <w:lang w:val="en-GB"/>
        </w:rPr>
      </w:pPr>
      <w:r w:rsidRPr="00C16403">
        <w:rPr>
          <w:rFonts w:asciiTheme="majorBidi" w:hAnsiTheme="majorBidi" w:cstheme="majorBidi"/>
          <w:b/>
          <w:bCs/>
          <w:noProof/>
          <w:color w:val="141412"/>
          <w:sz w:val="24"/>
          <w:szCs w:val="24"/>
          <w:shd w:val="clear" w:color="auto" w:fill="FFFFFF"/>
          <w:lang w:val="en-GB"/>
        </w:rPr>
        <w:t>Source :</w:t>
      </w:r>
      <w:r w:rsidRPr="00D04FDF">
        <w:rPr>
          <w:rFonts w:asciiTheme="majorBidi" w:hAnsiTheme="majorBidi" w:cstheme="majorBidi"/>
          <w:color w:val="FF0000"/>
          <w:sz w:val="24"/>
          <w:szCs w:val="24"/>
          <w:lang w:val="en-GB"/>
        </w:rPr>
        <w:t xml:space="preserve"> </w:t>
      </w:r>
      <w:r w:rsidRPr="00D04FDF">
        <w:rPr>
          <w:rFonts w:asciiTheme="majorBidi" w:hAnsiTheme="majorBidi" w:cstheme="majorBidi"/>
          <w:sz w:val="24"/>
          <w:szCs w:val="24"/>
          <w:lang w:val="en-GB"/>
        </w:rPr>
        <w:t xml:space="preserve">Atalaysun, M., &amp; Sawatzki, K. (2016, December 13). </w:t>
      </w:r>
      <w:r w:rsidRPr="00D04FDF">
        <w:rPr>
          <w:rStyle w:val="Emphasis"/>
          <w:rFonts w:asciiTheme="majorBidi" w:hAnsiTheme="majorBidi" w:cstheme="majorBidi"/>
          <w:sz w:val="24"/>
          <w:szCs w:val="24"/>
          <w:lang w:val="en-GB"/>
        </w:rPr>
        <w:t>Retail foods – Turkey</w:t>
      </w:r>
      <w:r w:rsidRPr="00D04FDF">
        <w:rPr>
          <w:rFonts w:asciiTheme="majorBidi" w:hAnsiTheme="majorBidi" w:cstheme="majorBidi"/>
          <w:sz w:val="24"/>
          <w:szCs w:val="24"/>
          <w:lang w:val="en-GB"/>
        </w:rPr>
        <w:t xml:space="preserve"> (GAIN Report No. TR6057). U.S. Department of Agriculture, Foreign Agricultural Service.</w:t>
      </w:r>
    </w:p>
    <w:p w14:paraId="503ECE6B" w14:textId="0D96CAE8" w:rsidR="0077354A" w:rsidRPr="00D04FDF" w:rsidRDefault="0077354A" w:rsidP="00C86599">
      <w:pPr>
        <w:pStyle w:val="NormalWeb"/>
        <w:spacing w:line="360" w:lineRule="auto"/>
        <w:jc w:val="both"/>
        <w:rPr>
          <w:rStyle w:val="fadeinm1hgl8"/>
          <w:rFonts w:asciiTheme="majorBidi" w:hAnsiTheme="majorBidi" w:cstheme="majorBidi"/>
          <w:b/>
          <w:bCs/>
          <w:lang w:val="en-GB"/>
        </w:rPr>
      </w:pPr>
      <w:r w:rsidRPr="00D04FDF">
        <w:rPr>
          <w:rStyle w:val="fadeinm1hgl8"/>
          <w:rFonts w:asciiTheme="majorBidi" w:hAnsiTheme="majorBidi" w:cstheme="majorBidi"/>
          <w:b/>
          <w:bCs/>
          <w:lang w:val="en-GB"/>
        </w:rPr>
        <w:t>2</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 xml:space="preserve">2. </w:t>
      </w:r>
      <w:r w:rsidRPr="00161F6E">
        <w:rPr>
          <w:rStyle w:val="Heading4Char"/>
        </w:rPr>
        <w:t>Cultural Insight and Key Domestic Brands</w:t>
      </w:r>
      <w:r w:rsidRPr="00D04FDF">
        <w:rPr>
          <w:rStyle w:val="fadeinm1hgl8"/>
          <w:rFonts w:asciiTheme="majorBidi" w:hAnsiTheme="majorBidi" w:cstheme="majorBidi"/>
          <w:b/>
          <w:bCs/>
          <w:lang w:val="en-GB"/>
        </w:rPr>
        <w:t>:</w:t>
      </w:r>
    </w:p>
    <w:p w14:paraId="1481CA19" w14:textId="16DA783A" w:rsidR="0077354A" w:rsidRPr="00D04FDF" w:rsidRDefault="00FD7333" w:rsidP="00C86599">
      <w:pPr>
        <w:pStyle w:val="NormalWeb"/>
        <w:spacing w:line="360" w:lineRule="auto"/>
        <w:jc w:val="both"/>
        <w:rPr>
          <w:rFonts w:asciiTheme="majorBidi" w:hAnsiTheme="majorBidi" w:cstheme="majorBidi"/>
          <w:b/>
          <w:bCs/>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Local companies benefit from a deep understanding of Turkish consumer habits and cultural preferences. Notable examples include prominent food brands such as Ülker, Eti, Torku, Tat, and Pınar; in the cosmetics and beauty sector, brands like Hunca, Eyüp Sabri Tuncer, Pastel, Farmasi, and Bee Beauty stand out; while LC Waikiki, Koton, and Mavi lead in fashion and accessories</w:t>
      </w:r>
      <w:r w:rsidR="0077354A" w:rsidRPr="00D04FDF">
        <w:rPr>
          <w:rStyle w:val="FootnoteReference"/>
          <w:rFonts w:asciiTheme="majorBidi" w:hAnsiTheme="majorBidi" w:cstheme="majorBidi"/>
          <w:lang w:val="en-GB"/>
        </w:rPr>
        <w:footnoteReference w:id="148"/>
      </w:r>
      <w:r>
        <w:rPr>
          <w:rStyle w:val="fadeinm1hgl8"/>
          <w:rFonts w:asciiTheme="majorBidi" w:hAnsiTheme="majorBidi" w:cstheme="majorBidi"/>
          <w:lang w:val="en-GB"/>
        </w:rPr>
        <w:t>.</w:t>
      </w:r>
    </w:p>
    <w:p w14:paraId="5232D1C9" w14:textId="32606B64" w:rsidR="0077354A" w:rsidRPr="00D04FDF" w:rsidRDefault="0077354A" w:rsidP="00C86599">
      <w:pPr>
        <w:pStyle w:val="NormalWeb"/>
        <w:spacing w:line="360" w:lineRule="auto"/>
        <w:jc w:val="both"/>
        <w:rPr>
          <w:rStyle w:val="fadeinm1hgl8"/>
          <w:rFonts w:asciiTheme="majorBidi" w:hAnsiTheme="majorBidi" w:cstheme="majorBidi"/>
          <w:b/>
          <w:bCs/>
          <w:lang w:val="en-GB"/>
        </w:rPr>
      </w:pPr>
      <w:r w:rsidRPr="00D04FDF">
        <w:rPr>
          <w:rStyle w:val="fadeinm1hgl8"/>
          <w:rFonts w:asciiTheme="majorBidi" w:hAnsiTheme="majorBidi" w:cstheme="majorBidi"/>
          <w:b/>
          <w:bCs/>
          <w:lang w:val="en-GB"/>
        </w:rPr>
        <w:t>2</w:t>
      </w:r>
      <w:r w:rsidR="000B5D06">
        <w:rPr>
          <w:rStyle w:val="fadeinm1hgl8"/>
          <w:rFonts w:asciiTheme="majorBidi" w:hAnsiTheme="majorBidi" w:cstheme="majorBidi"/>
          <w:b/>
          <w:bCs/>
          <w:lang w:val="en-GB"/>
        </w:rPr>
        <w:t>.</w:t>
      </w:r>
      <w:r w:rsidRPr="00D04FDF">
        <w:rPr>
          <w:rStyle w:val="fadeinm1hgl8"/>
          <w:rFonts w:asciiTheme="majorBidi" w:hAnsiTheme="majorBidi" w:cstheme="majorBidi"/>
          <w:b/>
          <w:bCs/>
          <w:lang w:val="en-GB"/>
        </w:rPr>
        <w:t xml:space="preserve">3. </w:t>
      </w:r>
      <w:r w:rsidRPr="00161F6E">
        <w:rPr>
          <w:rStyle w:val="Heading4Char"/>
        </w:rPr>
        <w:t xml:space="preserve">Global </w:t>
      </w:r>
      <w:r w:rsidR="0029387A" w:rsidRPr="00161F6E">
        <w:rPr>
          <w:rStyle w:val="Heading4Char"/>
        </w:rPr>
        <w:t>c</w:t>
      </w:r>
      <w:r w:rsidRPr="00161F6E">
        <w:rPr>
          <w:rStyle w:val="Heading4Char"/>
        </w:rPr>
        <w:t xml:space="preserve">ompetition in the </w:t>
      </w:r>
      <w:r w:rsidR="0029387A" w:rsidRPr="00161F6E">
        <w:rPr>
          <w:rStyle w:val="Heading4Char"/>
        </w:rPr>
        <w:t>t</w:t>
      </w:r>
      <w:r w:rsidRPr="00161F6E">
        <w:rPr>
          <w:rStyle w:val="Heading4Char"/>
        </w:rPr>
        <w:t xml:space="preserve">urkish </w:t>
      </w:r>
      <w:r w:rsidR="0029387A" w:rsidRPr="00161F6E">
        <w:rPr>
          <w:rStyle w:val="Heading4Char"/>
        </w:rPr>
        <w:t>m</w:t>
      </w:r>
      <w:r w:rsidRPr="00161F6E">
        <w:rPr>
          <w:rStyle w:val="Heading4Char"/>
        </w:rPr>
        <w:t>arket</w:t>
      </w:r>
      <w:r w:rsidRPr="00D04FDF">
        <w:rPr>
          <w:rStyle w:val="fadeinm1hgl8"/>
          <w:rFonts w:asciiTheme="majorBidi" w:hAnsiTheme="majorBidi" w:cstheme="majorBidi"/>
          <w:b/>
          <w:bCs/>
          <w:lang w:val="en-GB"/>
        </w:rPr>
        <w:t>:</w:t>
      </w:r>
    </w:p>
    <w:p w14:paraId="02A6E869" w14:textId="0164941B" w:rsidR="0077354A" w:rsidRPr="00D04FDF" w:rsidRDefault="00FD7333" w:rsidP="00C86599">
      <w:pPr>
        <w:pStyle w:val="NormalWeb"/>
        <w:spacing w:line="360" w:lineRule="auto"/>
        <w:jc w:val="both"/>
        <w:rPr>
          <w:rFonts w:asciiTheme="majorBidi" w:hAnsiTheme="majorBidi" w:cstheme="majorBidi"/>
          <w:b/>
          <w:bCs/>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Turkey offers attractive growth potential for international brands, thanks to its strategic geographic position, vibrant consumer market, and favorable conditions for business expansion</w:t>
      </w:r>
      <w:r w:rsidR="0077354A" w:rsidRPr="00D04FDF">
        <w:rPr>
          <w:rStyle w:val="FootnoteReference"/>
          <w:rFonts w:asciiTheme="majorBidi" w:hAnsiTheme="majorBidi" w:cstheme="majorBidi"/>
          <w:lang w:val="en-GB"/>
        </w:rPr>
        <w:footnoteReference w:id="149"/>
      </w:r>
      <w:r>
        <w:rPr>
          <w:rStyle w:val="fadeinm1hgl8"/>
          <w:rFonts w:asciiTheme="majorBidi" w:hAnsiTheme="majorBidi" w:cstheme="majorBidi"/>
          <w:lang w:val="en-GB"/>
        </w:rPr>
        <w:t>.</w:t>
      </w:r>
    </w:p>
    <w:p w14:paraId="582EB632" w14:textId="0EEFDF3B" w:rsidR="0077354A" w:rsidRPr="00D04FDF" w:rsidRDefault="0077354A" w:rsidP="00483AF1">
      <w:pPr>
        <w:spacing w:line="360" w:lineRule="auto"/>
        <w:jc w:val="both"/>
        <w:rPr>
          <w:rStyle w:val="Strong"/>
          <w:rFonts w:asciiTheme="majorBidi" w:hAnsiTheme="majorBidi" w:cstheme="majorBidi"/>
          <w:sz w:val="24"/>
          <w:szCs w:val="24"/>
          <w:lang w:val="en-GB"/>
        </w:rPr>
      </w:pPr>
      <w:r w:rsidRPr="00D04FDF">
        <w:rPr>
          <w:rStyle w:val="Strong"/>
          <w:rFonts w:asciiTheme="majorBidi" w:hAnsiTheme="majorBidi" w:cstheme="majorBidi"/>
          <w:sz w:val="24"/>
          <w:szCs w:val="24"/>
          <w:lang w:val="en-GB"/>
        </w:rPr>
        <w:t xml:space="preserve">Examples of </w:t>
      </w:r>
      <w:r w:rsidR="0029387A">
        <w:rPr>
          <w:rStyle w:val="Strong"/>
          <w:rFonts w:asciiTheme="majorBidi" w:hAnsiTheme="majorBidi" w:cstheme="majorBidi"/>
          <w:sz w:val="24"/>
          <w:szCs w:val="24"/>
          <w:lang w:val="en-GB"/>
        </w:rPr>
        <w:t>k</w:t>
      </w:r>
      <w:r w:rsidRPr="00D04FDF">
        <w:rPr>
          <w:rStyle w:val="Strong"/>
          <w:rFonts w:asciiTheme="majorBidi" w:hAnsiTheme="majorBidi" w:cstheme="majorBidi"/>
          <w:sz w:val="24"/>
          <w:szCs w:val="24"/>
          <w:lang w:val="en-GB"/>
        </w:rPr>
        <w:t xml:space="preserve">ey </w:t>
      </w:r>
      <w:r w:rsidR="0029387A">
        <w:rPr>
          <w:rStyle w:val="Strong"/>
          <w:rFonts w:asciiTheme="majorBidi" w:hAnsiTheme="majorBidi" w:cstheme="majorBidi"/>
          <w:sz w:val="24"/>
          <w:szCs w:val="24"/>
          <w:lang w:val="en-GB"/>
        </w:rPr>
        <w:t>i</w:t>
      </w:r>
      <w:r w:rsidRPr="00D04FDF">
        <w:rPr>
          <w:rStyle w:val="Strong"/>
          <w:rFonts w:asciiTheme="majorBidi" w:hAnsiTheme="majorBidi" w:cstheme="majorBidi"/>
          <w:sz w:val="24"/>
          <w:szCs w:val="24"/>
          <w:lang w:val="en-GB"/>
        </w:rPr>
        <w:t xml:space="preserve">nternational </w:t>
      </w:r>
      <w:r w:rsidR="0029387A">
        <w:rPr>
          <w:rStyle w:val="Strong"/>
          <w:rFonts w:asciiTheme="majorBidi" w:hAnsiTheme="majorBidi" w:cstheme="majorBidi"/>
          <w:sz w:val="24"/>
          <w:szCs w:val="24"/>
          <w:lang w:val="en-GB"/>
        </w:rPr>
        <w:t>p</w:t>
      </w:r>
      <w:r w:rsidRPr="00D04FDF">
        <w:rPr>
          <w:rStyle w:val="Strong"/>
          <w:rFonts w:asciiTheme="majorBidi" w:hAnsiTheme="majorBidi" w:cstheme="majorBidi"/>
          <w:sz w:val="24"/>
          <w:szCs w:val="24"/>
          <w:lang w:val="en-GB"/>
        </w:rPr>
        <w:t>layers:</w:t>
      </w:r>
    </w:p>
    <w:p w14:paraId="131082E5" w14:textId="77777777" w:rsidR="0077354A" w:rsidRPr="00F05B96" w:rsidRDefault="0077354A" w:rsidP="00483AF1">
      <w:pPr>
        <w:spacing w:line="360" w:lineRule="auto"/>
        <w:jc w:val="both"/>
        <w:rPr>
          <w:rStyle w:val="Strong"/>
          <w:rFonts w:asciiTheme="majorBidi" w:hAnsiTheme="majorBidi" w:cstheme="majorBidi"/>
          <w:b w:val="0"/>
          <w:bCs w:val="0"/>
          <w:sz w:val="24"/>
          <w:szCs w:val="24"/>
          <w:lang w:val="en-GB"/>
        </w:rPr>
      </w:pPr>
      <w:r w:rsidRPr="00F05B96">
        <w:rPr>
          <w:rStyle w:val="Strong"/>
          <w:rFonts w:asciiTheme="majorBidi" w:hAnsiTheme="majorBidi" w:cstheme="majorBidi"/>
          <w:b w:val="0"/>
          <w:bCs w:val="0"/>
          <w:sz w:val="24"/>
          <w:szCs w:val="24"/>
          <w:lang w:val="en-GB"/>
        </w:rPr>
        <w:t>Food: Nestlé, Unilever, Mondelez, Barilla.</w:t>
      </w:r>
    </w:p>
    <w:p w14:paraId="7B7A56CA" w14:textId="77777777" w:rsidR="0077354A" w:rsidRPr="00F05B96" w:rsidRDefault="0077354A" w:rsidP="00483AF1">
      <w:pPr>
        <w:spacing w:line="360" w:lineRule="auto"/>
        <w:jc w:val="both"/>
        <w:rPr>
          <w:rStyle w:val="Strong"/>
          <w:rFonts w:asciiTheme="majorBidi" w:hAnsiTheme="majorBidi" w:cstheme="majorBidi"/>
          <w:b w:val="0"/>
          <w:bCs w:val="0"/>
          <w:sz w:val="24"/>
          <w:szCs w:val="24"/>
          <w:lang w:val="en-GB"/>
        </w:rPr>
      </w:pPr>
      <w:r w:rsidRPr="00F05B96">
        <w:rPr>
          <w:rStyle w:val="Strong"/>
          <w:rFonts w:asciiTheme="majorBidi" w:hAnsiTheme="majorBidi" w:cstheme="majorBidi"/>
          <w:b w:val="0"/>
          <w:bCs w:val="0"/>
          <w:sz w:val="24"/>
          <w:szCs w:val="24"/>
          <w:lang w:val="en-GB"/>
        </w:rPr>
        <w:t>Beauty: L’Oréal, Maybelline, Garnier, Korean brands like Innisfree, Missha.</w:t>
      </w:r>
    </w:p>
    <w:p w14:paraId="1F608E27" w14:textId="77777777" w:rsidR="0077354A" w:rsidRPr="00F05B96" w:rsidRDefault="0077354A" w:rsidP="00483AF1">
      <w:pPr>
        <w:spacing w:line="360" w:lineRule="auto"/>
        <w:jc w:val="both"/>
        <w:rPr>
          <w:rStyle w:val="Strong"/>
          <w:rFonts w:asciiTheme="majorBidi" w:hAnsiTheme="majorBidi" w:cstheme="majorBidi"/>
          <w:b w:val="0"/>
          <w:bCs w:val="0"/>
          <w:sz w:val="24"/>
          <w:szCs w:val="24"/>
          <w:lang w:val="en-GB"/>
        </w:rPr>
      </w:pPr>
      <w:r w:rsidRPr="00F05B96">
        <w:rPr>
          <w:rStyle w:val="Strong"/>
          <w:rFonts w:asciiTheme="majorBidi" w:hAnsiTheme="majorBidi" w:cstheme="majorBidi"/>
          <w:b w:val="0"/>
          <w:bCs w:val="0"/>
          <w:sz w:val="24"/>
          <w:szCs w:val="24"/>
          <w:lang w:val="en-GB"/>
        </w:rPr>
        <w:t>Fashion: Zara, H&amp;M, Bershka, Sephora (for cosmetics).</w:t>
      </w:r>
    </w:p>
    <w:p w14:paraId="44CFE6BE" w14:textId="23EC0E9F" w:rsidR="00C3174C" w:rsidRPr="00161F6E" w:rsidRDefault="0077354A" w:rsidP="00161F6E">
      <w:pPr>
        <w:spacing w:line="360" w:lineRule="auto"/>
        <w:jc w:val="center"/>
        <w:rPr>
          <w:rStyle w:val="Strong"/>
          <w:rFonts w:asciiTheme="majorBidi" w:hAnsiTheme="majorBidi" w:cstheme="majorBidi"/>
          <w:sz w:val="24"/>
          <w:szCs w:val="24"/>
          <w:lang w:val="en-GB"/>
        </w:rPr>
      </w:pPr>
      <w:r w:rsidRPr="00D04FDF">
        <w:rPr>
          <w:rStyle w:val="Strong"/>
          <w:rFonts w:asciiTheme="majorBidi" w:hAnsiTheme="majorBidi" w:cstheme="majorBidi"/>
          <w:sz w:val="24"/>
          <w:szCs w:val="24"/>
          <w:lang w:val="en-GB"/>
        </w:rPr>
        <w:t>Table</w:t>
      </w:r>
      <w:r w:rsidR="004A38BD">
        <w:rPr>
          <w:rStyle w:val="Strong"/>
          <w:rFonts w:asciiTheme="majorBidi" w:hAnsiTheme="majorBidi" w:cstheme="majorBidi"/>
          <w:sz w:val="24"/>
          <w:szCs w:val="24"/>
          <w:lang w:val="en-GB"/>
        </w:rPr>
        <w:t xml:space="preserve"> 2</w:t>
      </w:r>
      <w:r w:rsidRPr="00D04FDF">
        <w:rPr>
          <w:rStyle w:val="Strong"/>
          <w:rFonts w:asciiTheme="majorBidi" w:hAnsiTheme="majorBidi" w:cstheme="majorBidi"/>
          <w:sz w:val="24"/>
          <w:szCs w:val="24"/>
          <w:lang w:val="en-GB"/>
        </w:rPr>
        <w:t xml:space="preserve">: </w:t>
      </w:r>
      <w:r w:rsidRPr="00D04FDF">
        <w:rPr>
          <w:rStyle w:val="fadeinm1hgl8"/>
          <w:rFonts w:asciiTheme="majorBidi" w:hAnsiTheme="majorBidi" w:cstheme="majorBidi"/>
          <w:b/>
          <w:bCs/>
          <w:sz w:val="24"/>
          <w:szCs w:val="24"/>
          <w:lang w:val="en-GB"/>
        </w:rPr>
        <w:t>Comparison Between Local and International Brands in the Turkish Market</w:t>
      </w:r>
    </w:p>
    <w:tbl>
      <w:tblPr>
        <w:tblW w:w="9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5"/>
        <w:gridCol w:w="3644"/>
        <w:gridCol w:w="3832"/>
      </w:tblGrid>
      <w:tr w:rsidR="0077354A" w:rsidRPr="00D04FDF" w14:paraId="568597AC" w14:textId="77777777" w:rsidTr="00161F6E">
        <w:trPr>
          <w:trHeight w:val="170"/>
          <w:tblHeader/>
          <w:tblCellSpacing w:w="15" w:type="dxa"/>
        </w:trPr>
        <w:tc>
          <w:tcPr>
            <w:tcW w:w="0" w:type="auto"/>
            <w:vAlign w:val="center"/>
            <w:hideMark/>
          </w:tcPr>
          <w:p w14:paraId="27872A1F"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Aspect</w:t>
            </w:r>
          </w:p>
        </w:tc>
        <w:tc>
          <w:tcPr>
            <w:tcW w:w="0" w:type="auto"/>
            <w:vAlign w:val="center"/>
            <w:hideMark/>
          </w:tcPr>
          <w:p w14:paraId="0767B531"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Local Brands</w:t>
            </w:r>
          </w:p>
        </w:tc>
        <w:tc>
          <w:tcPr>
            <w:tcW w:w="0" w:type="auto"/>
            <w:vAlign w:val="center"/>
            <w:hideMark/>
          </w:tcPr>
          <w:p w14:paraId="309EC8AE"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International Brands</w:t>
            </w:r>
          </w:p>
        </w:tc>
      </w:tr>
      <w:tr w:rsidR="0077354A" w:rsidRPr="00FB2AD1" w14:paraId="4A78AB4D" w14:textId="77777777" w:rsidTr="00161F6E">
        <w:trPr>
          <w:trHeight w:val="170"/>
          <w:tblCellSpacing w:w="15" w:type="dxa"/>
        </w:trPr>
        <w:tc>
          <w:tcPr>
            <w:tcW w:w="0" w:type="auto"/>
            <w:vAlign w:val="center"/>
            <w:hideMark/>
          </w:tcPr>
          <w:p w14:paraId="5E1880DE"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Pricing</w:t>
            </w:r>
          </w:p>
        </w:tc>
        <w:tc>
          <w:tcPr>
            <w:tcW w:w="0" w:type="auto"/>
            <w:vAlign w:val="center"/>
            <w:hideMark/>
          </w:tcPr>
          <w:p w14:paraId="6D14A740"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Competitive, often cheaper</w:t>
            </w:r>
          </w:p>
        </w:tc>
        <w:tc>
          <w:tcPr>
            <w:tcW w:w="0" w:type="auto"/>
            <w:vAlign w:val="center"/>
            <w:hideMark/>
          </w:tcPr>
          <w:p w14:paraId="4C6143F3"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Usually higher, but seen as premium</w:t>
            </w:r>
          </w:p>
        </w:tc>
      </w:tr>
      <w:tr w:rsidR="0077354A" w:rsidRPr="00FB2AD1" w14:paraId="4DA9BBE4" w14:textId="77777777" w:rsidTr="00161F6E">
        <w:trPr>
          <w:trHeight w:val="170"/>
          <w:tblCellSpacing w:w="15" w:type="dxa"/>
        </w:trPr>
        <w:tc>
          <w:tcPr>
            <w:tcW w:w="0" w:type="auto"/>
            <w:vAlign w:val="center"/>
            <w:hideMark/>
          </w:tcPr>
          <w:p w14:paraId="125083A4"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Distribution</w:t>
            </w:r>
          </w:p>
        </w:tc>
        <w:tc>
          <w:tcPr>
            <w:tcW w:w="0" w:type="auto"/>
            <w:vAlign w:val="center"/>
            <w:hideMark/>
          </w:tcPr>
          <w:p w14:paraId="35D6D5D0"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Strong local retail and supermarket reach</w:t>
            </w:r>
          </w:p>
        </w:tc>
        <w:tc>
          <w:tcPr>
            <w:tcW w:w="0" w:type="auto"/>
            <w:vAlign w:val="center"/>
            <w:hideMark/>
          </w:tcPr>
          <w:p w14:paraId="0DD55EFD"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Focus on malls, online, and premium stores</w:t>
            </w:r>
          </w:p>
        </w:tc>
      </w:tr>
      <w:tr w:rsidR="0077354A" w:rsidRPr="00FB2AD1" w14:paraId="249586A0" w14:textId="77777777" w:rsidTr="00161F6E">
        <w:trPr>
          <w:trHeight w:val="170"/>
          <w:tblCellSpacing w:w="15" w:type="dxa"/>
        </w:trPr>
        <w:tc>
          <w:tcPr>
            <w:tcW w:w="0" w:type="auto"/>
            <w:vAlign w:val="center"/>
            <w:hideMark/>
          </w:tcPr>
          <w:p w14:paraId="039A0B93"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Consumer Trust</w:t>
            </w:r>
          </w:p>
        </w:tc>
        <w:tc>
          <w:tcPr>
            <w:tcW w:w="0" w:type="auto"/>
            <w:vAlign w:val="center"/>
            <w:hideMark/>
          </w:tcPr>
          <w:p w14:paraId="47BAAF8A"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High for traditional/local foods</w:t>
            </w:r>
          </w:p>
        </w:tc>
        <w:tc>
          <w:tcPr>
            <w:tcW w:w="0" w:type="auto"/>
            <w:vAlign w:val="center"/>
            <w:hideMark/>
          </w:tcPr>
          <w:p w14:paraId="5FED1041"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High for cosmetics &amp; lifestyle products</w:t>
            </w:r>
          </w:p>
        </w:tc>
      </w:tr>
      <w:tr w:rsidR="0077354A" w:rsidRPr="00D04FDF" w14:paraId="68CB69E7" w14:textId="77777777" w:rsidTr="00161F6E">
        <w:trPr>
          <w:trHeight w:val="170"/>
          <w:tblCellSpacing w:w="15" w:type="dxa"/>
        </w:trPr>
        <w:tc>
          <w:tcPr>
            <w:tcW w:w="0" w:type="auto"/>
            <w:vAlign w:val="center"/>
            <w:hideMark/>
          </w:tcPr>
          <w:p w14:paraId="175A6904"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Marketing</w:t>
            </w:r>
          </w:p>
        </w:tc>
        <w:tc>
          <w:tcPr>
            <w:tcW w:w="0" w:type="auto"/>
            <w:vAlign w:val="center"/>
            <w:hideMark/>
          </w:tcPr>
          <w:p w14:paraId="027B7D79"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Focused on Turkish identity &amp; nostalgia</w:t>
            </w:r>
          </w:p>
        </w:tc>
        <w:tc>
          <w:tcPr>
            <w:tcW w:w="0" w:type="auto"/>
            <w:vAlign w:val="center"/>
            <w:hideMark/>
          </w:tcPr>
          <w:p w14:paraId="56893537"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Focus on global image, trendiness</w:t>
            </w:r>
          </w:p>
        </w:tc>
      </w:tr>
    </w:tbl>
    <w:p w14:paraId="5EAABB7A" w14:textId="49D33515" w:rsidR="0077354A" w:rsidRPr="00D04FDF" w:rsidRDefault="0077354A" w:rsidP="00C16403">
      <w:pPr>
        <w:spacing w:line="360" w:lineRule="auto"/>
        <w:jc w:val="center"/>
        <w:rPr>
          <w:rFonts w:asciiTheme="majorBidi" w:hAnsiTheme="majorBidi" w:cstheme="majorBidi"/>
          <w:sz w:val="24"/>
          <w:szCs w:val="24"/>
          <w:lang w:val="en-GB"/>
        </w:rPr>
      </w:pPr>
      <w:r w:rsidRPr="00C16403">
        <w:rPr>
          <w:rFonts w:asciiTheme="majorBidi" w:hAnsiTheme="majorBidi" w:cstheme="majorBidi"/>
          <w:b/>
          <w:bCs/>
          <w:sz w:val="24"/>
          <w:szCs w:val="24"/>
          <w:lang w:val="en-GB"/>
        </w:rPr>
        <w:t>Source:</w:t>
      </w:r>
      <w:r w:rsidRPr="00D04FDF">
        <w:rPr>
          <w:rStyle w:val="FootnoteReference"/>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 xml:space="preserve">Developed by the </w:t>
      </w:r>
      <w:r w:rsidR="00C16403">
        <w:rPr>
          <w:rStyle w:val="fadeinm1hgl8"/>
          <w:rFonts w:asciiTheme="majorBidi" w:hAnsiTheme="majorBidi" w:cstheme="majorBidi"/>
          <w:sz w:val="24"/>
          <w:szCs w:val="24"/>
          <w:lang w:val="en-GB"/>
        </w:rPr>
        <w:t>students</w:t>
      </w:r>
    </w:p>
    <w:p w14:paraId="56E71B20" w14:textId="06B5A0E4" w:rsidR="0077354A" w:rsidRPr="00D04FDF" w:rsidRDefault="0077354A" w:rsidP="00483AF1">
      <w:pPr>
        <w:spacing w:line="360" w:lineRule="auto"/>
        <w:jc w:val="both"/>
        <w:rPr>
          <w:rFonts w:asciiTheme="majorBidi" w:hAnsiTheme="majorBidi" w:cstheme="majorBidi"/>
          <w:b/>
          <w:bCs/>
          <w:sz w:val="24"/>
          <w:szCs w:val="24"/>
          <w:lang w:val="en-GB"/>
        </w:rPr>
      </w:pPr>
      <w:r w:rsidRPr="00D04FDF">
        <w:rPr>
          <w:rFonts w:asciiTheme="majorBidi" w:hAnsiTheme="majorBidi" w:cstheme="majorBidi"/>
          <w:b/>
          <w:bCs/>
          <w:sz w:val="24"/>
          <w:szCs w:val="24"/>
          <w:lang w:val="en-GB"/>
        </w:rPr>
        <w:t>2</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 xml:space="preserve">4. </w:t>
      </w:r>
      <w:r w:rsidRPr="00BB2F8D">
        <w:rPr>
          <w:rStyle w:val="Heading4Char"/>
        </w:rPr>
        <w:t>Factors That Influence Competition</w:t>
      </w:r>
      <w:r w:rsidRPr="00D04FDF">
        <w:rPr>
          <w:rFonts w:asciiTheme="majorBidi" w:hAnsiTheme="majorBidi" w:cstheme="majorBidi"/>
          <w:b/>
          <w:bCs/>
          <w:sz w:val="24"/>
          <w:szCs w:val="24"/>
          <w:lang w:val="en-GB"/>
        </w:rPr>
        <w:t>:</w:t>
      </w:r>
    </w:p>
    <w:p w14:paraId="7B08725D" w14:textId="6131061B" w:rsidR="0077354A" w:rsidRPr="00D04FDF" w:rsidRDefault="0077354A" w:rsidP="00483AF1">
      <w:pPr>
        <w:spacing w:line="360" w:lineRule="auto"/>
        <w:jc w:val="both"/>
        <w:rPr>
          <w:rFonts w:asciiTheme="majorBidi" w:hAnsiTheme="majorBidi" w:cstheme="majorBidi"/>
          <w:sz w:val="24"/>
          <w:szCs w:val="24"/>
          <w:lang w:val="en-GB"/>
        </w:rPr>
      </w:pPr>
      <w:r w:rsidRPr="00D04FDF">
        <w:rPr>
          <w:rFonts w:asciiTheme="majorBidi" w:hAnsiTheme="majorBidi" w:cstheme="majorBidi"/>
          <w:b/>
          <w:bCs/>
          <w:sz w:val="24"/>
          <w:szCs w:val="24"/>
          <w:lang w:val="en-GB"/>
        </w:rPr>
        <w:t>2</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4</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 xml:space="preserve">1. </w:t>
      </w:r>
      <w:r w:rsidRPr="00BB2F8D">
        <w:rPr>
          <w:rStyle w:val="Heading5Char"/>
          <w:rFonts w:eastAsiaTheme="minorHAnsi"/>
        </w:rPr>
        <w:t>Price consciousness</w:t>
      </w:r>
      <w:r w:rsidRPr="00D04FDF">
        <w:rPr>
          <w:rFonts w:asciiTheme="majorBidi" w:hAnsiTheme="majorBidi" w:cstheme="majorBidi"/>
          <w:b/>
          <w:bCs/>
          <w:sz w:val="24"/>
          <w:szCs w:val="24"/>
          <w:lang w:val="en-GB"/>
        </w:rPr>
        <w:t>:</w:t>
      </w:r>
      <w:r w:rsidRPr="00D04FDF">
        <w:rPr>
          <w:rStyle w:val="FootnoteReference"/>
          <w:rFonts w:asciiTheme="majorBidi" w:hAnsiTheme="majorBidi" w:cstheme="majorBidi"/>
          <w:sz w:val="24"/>
          <w:szCs w:val="24"/>
          <w:lang w:val="en-GB"/>
        </w:rPr>
        <w:t xml:space="preserve"> </w:t>
      </w:r>
    </w:p>
    <w:p w14:paraId="0E184E87" w14:textId="0030AFBE"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Price sensitivity refers to the extent to which consumers prioritize finding lower prices when making purchasing decisions. Highly price-sensitive consumers are more likely to compare prices across different stores and actively seek out the best deals</w:t>
      </w:r>
      <w:r w:rsidR="0077354A" w:rsidRPr="00D04FDF">
        <w:rPr>
          <w:rStyle w:val="FootnoteReference"/>
          <w:rFonts w:asciiTheme="majorBidi" w:hAnsiTheme="majorBidi" w:cstheme="majorBidi"/>
          <w:sz w:val="24"/>
          <w:szCs w:val="24"/>
          <w:lang w:val="en-GB"/>
        </w:rPr>
        <w:footnoteReference w:id="150"/>
      </w:r>
      <w:r>
        <w:rPr>
          <w:rStyle w:val="fadeinm1hgl8"/>
          <w:rFonts w:asciiTheme="majorBidi" w:hAnsiTheme="majorBidi" w:cstheme="majorBidi"/>
          <w:sz w:val="24"/>
          <w:szCs w:val="24"/>
          <w:lang w:val="en-GB"/>
        </w:rPr>
        <w:t>.</w:t>
      </w:r>
    </w:p>
    <w:p w14:paraId="55894485" w14:textId="129307DA" w:rsidR="0077354A" w:rsidRPr="00D04FDF" w:rsidRDefault="0077354A" w:rsidP="00483AF1">
      <w:pPr>
        <w:spacing w:line="360" w:lineRule="auto"/>
        <w:jc w:val="both"/>
        <w:rPr>
          <w:rFonts w:asciiTheme="majorBidi" w:hAnsiTheme="majorBidi" w:cstheme="majorBidi"/>
          <w:b/>
          <w:bCs/>
          <w:sz w:val="24"/>
          <w:szCs w:val="24"/>
          <w:lang w:val="en-GB"/>
        </w:rPr>
      </w:pPr>
      <w:r w:rsidRPr="00D04FDF">
        <w:rPr>
          <w:rFonts w:asciiTheme="majorBidi" w:hAnsiTheme="majorBidi" w:cstheme="majorBidi"/>
          <w:b/>
          <w:bCs/>
          <w:sz w:val="24"/>
          <w:szCs w:val="24"/>
          <w:lang w:val="en-GB"/>
        </w:rPr>
        <w:t>2</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4</w:t>
      </w:r>
      <w:r w:rsidR="000B5D06">
        <w:rPr>
          <w:rFonts w:asciiTheme="majorBidi" w:hAnsiTheme="majorBidi" w:cstheme="majorBidi"/>
          <w:b/>
          <w:bCs/>
          <w:sz w:val="24"/>
          <w:szCs w:val="24"/>
          <w:lang w:val="en-GB"/>
        </w:rPr>
        <w:t>.</w:t>
      </w:r>
      <w:r w:rsidRPr="00D04FDF">
        <w:rPr>
          <w:rFonts w:asciiTheme="majorBidi" w:hAnsiTheme="majorBidi" w:cstheme="majorBidi"/>
          <w:b/>
          <w:bCs/>
          <w:sz w:val="24"/>
          <w:szCs w:val="24"/>
          <w:lang w:val="en-GB"/>
        </w:rPr>
        <w:t xml:space="preserve">2. </w:t>
      </w:r>
      <w:r w:rsidRPr="00BB2F8D">
        <w:rPr>
          <w:rStyle w:val="Heading5Char"/>
          <w:rFonts w:eastAsiaTheme="minorHAnsi"/>
        </w:rPr>
        <w:t>Domestic-foreign product sensitivity</w:t>
      </w:r>
      <w:r w:rsidRPr="00D04FDF">
        <w:rPr>
          <w:rFonts w:asciiTheme="majorBidi" w:hAnsiTheme="majorBidi" w:cstheme="majorBidi"/>
          <w:b/>
          <w:bCs/>
          <w:sz w:val="24"/>
          <w:szCs w:val="24"/>
          <w:lang w:val="en-GB"/>
        </w:rPr>
        <w:t>:</w:t>
      </w:r>
    </w:p>
    <w:p w14:paraId="0E1673FE" w14:textId="4AB94789" w:rsidR="0077354A" w:rsidRPr="00D04FDF" w:rsidRDefault="00FD7333" w:rsidP="00483AF1">
      <w:pPr>
        <w:spacing w:line="360" w:lineRule="auto"/>
        <w:jc w:val="both"/>
        <w:rPr>
          <w:rStyle w:val="fadeinm1hgl8"/>
          <w:rFonts w:asciiTheme="majorBidi" w:hAnsiTheme="majorBidi" w:cstheme="majorBidi"/>
          <w:sz w:val="24"/>
          <w:szCs w:val="24"/>
          <w:lang w:val="en-GB"/>
        </w:rPr>
      </w:pPr>
      <w:r>
        <w:rPr>
          <w:rFonts w:asciiTheme="majorBidi" w:hAnsiTheme="majorBidi" w:cstheme="majorBidi"/>
          <w:b/>
          <w:bCs/>
          <w:sz w:val="24"/>
          <w:szCs w:val="24"/>
          <w:lang w:val="en-GB"/>
        </w:rPr>
        <w:t xml:space="preserve">  </w:t>
      </w:r>
      <w:r w:rsidR="0077354A" w:rsidRPr="00D04FDF">
        <w:rPr>
          <w:rFonts w:asciiTheme="majorBidi" w:hAnsiTheme="majorBidi" w:cstheme="majorBidi"/>
          <w:b/>
          <w:bCs/>
          <w:sz w:val="24"/>
          <w:szCs w:val="24"/>
          <w:lang w:val="en-GB"/>
        </w:rPr>
        <w:t xml:space="preserve"> </w:t>
      </w:r>
      <w:r w:rsidR="0077354A" w:rsidRPr="00D04FDF">
        <w:rPr>
          <w:rStyle w:val="fadeinm1hgl8"/>
          <w:rFonts w:asciiTheme="majorBidi" w:hAnsiTheme="majorBidi" w:cstheme="majorBidi"/>
          <w:sz w:val="24"/>
          <w:szCs w:val="24"/>
          <w:lang w:val="en-GB"/>
        </w:rPr>
        <w:t>Consumer perceptions of local versus foreign products also significantly influence how prices are evaluated. This sensitivity can shape purchasing behavior and impact brand preferences, ultimately affecting consumer choices in the marketplace</w:t>
      </w:r>
      <w:r w:rsidR="0077354A" w:rsidRPr="00D04FDF">
        <w:rPr>
          <w:rStyle w:val="FootnoteReference"/>
          <w:rFonts w:asciiTheme="majorBidi" w:hAnsiTheme="majorBidi" w:cstheme="majorBidi"/>
          <w:sz w:val="24"/>
          <w:szCs w:val="24"/>
          <w:lang w:val="en-GB"/>
        </w:rPr>
        <w:footnoteReference w:id="151"/>
      </w:r>
      <w:r>
        <w:rPr>
          <w:rStyle w:val="fadeinm1hgl8"/>
          <w:rFonts w:asciiTheme="majorBidi" w:hAnsiTheme="majorBidi" w:cstheme="majorBidi"/>
          <w:sz w:val="24"/>
          <w:szCs w:val="24"/>
          <w:lang w:val="en-GB"/>
        </w:rPr>
        <w:t>.</w:t>
      </w:r>
    </w:p>
    <w:p w14:paraId="0E6C8A4E" w14:textId="682B78EA" w:rsidR="0077354A" w:rsidRPr="00D04FDF" w:rsidRDefault="0077354A" w:rsidP="00483AF1">
      <w:pPr>
        <w:spacing w:line="360" w:lineRule="auto"/>
        <w:jc w:val="both"/>
        <w:rPr>
          <w:rStyle w:val="fadeinm1hgl8"/>
          <w:rFonts w:asciiTheme="majorBidi" w:hAnsiTheme="majorBidi" w:cstheme="majorBidi"/>
          <w:b/>
          <w:bCs/>
          <w:sz w:val="24"/>
          <w:szCs w:val="24"/>
          <w:lang w:val="en-GB"/>
        </w:rPr>
      </w:pPr>
      <w:r w:rsidRPr="00D04FDF">
        <w:rPr>
          <w:rStyle w:val="fadeinm1hgl8"/>
          <w:rFonts w:asciiTheme="majorBidi" w:hAnsiTheme="majorBidi" w:cstheme="majorBidi"/>
          <w:b/>
          <w:bCs/>
          <w:sz w:val="24"/>
          <w:szCs w:val="24"/>
          <w:lang w:val="en-GB"/>
        </w:rPr>
        <w:t>2</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4</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 xml:space="preserve">3. </w:t>
      </w:r>
      <w:r w:rsidRPr="00BB2F8D">
        <w:rPr>
          <w:rStyle w:val="Heading5Char"/>
          <w:rFonts w:eastAsiaTheme="minorHAnsi"/>
        </w:rPr>
        <w:t>Quality and Packaging</w:t>
      </w:r>
      <w:r w:rsidRPr="00D04FDF">
        <w:rPr>
          <w:rStyle w:val="fadeinm1hgl8"/>
          <w:rFonts w:asciiTheme="majorBidi" w:hAnsiTheme="majorBidi" w:cstheme="majorBidi"/>
          <w:b/>
          <w:bCs/>
          <w:sz w:val="24"/>
          <w:szCs w:val="24"/>
          <w:lang w:val="en-GB"/>
        </w:rPr>
        <w:t>:</w:t>
      </w:r>
    </w:p>
    <w:p w14:paraId="75027A32" w14:textId="58D6221D"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Data from the Automotive Distributors Association (ADA) in 2016 indicated that Turkish consumers place strong importance on the quality and trustworthiness of the products they purchase, highlighting their preference for well-made and dependable goods</w:t>
      </w:r>
      <w:r w:rsidR="0077354A" w:rsidRPr="00D04FDF">
        <w:rPr>
          <w:rStyle w:val="FootnoteReference"/>
          <w:rFonts w:asciiTheme="majorBidi" w:hAnsiTheme="majorBidi" w:cstheme="majorBidi"/>
          <w:sz w:val="24"/>
          <w:szCs w:val="24"/>
          <w:lang w:val="en-GB"/>
        </w:rPr>
        <w:footnoteReference w:id="152"/>
      </w:r>
      <w:r>
        <w:rPr>
          <w:rStyle w:val="fadeinm1hgl8"/>
          <w:rFonts w:asciiTheme="majorBidi" w:hAnsiTheme="majorBidi" w:cstheme="majorBidi"/>
          <w:sz w:val="24"/>
          <w:szCs w:val="24"/>
          <w:lang w:val="en-GB"/>
        </w:rPr>
        <w:t>.</w:t>
      </w:r>
    </w:p>
    <w:p w14:paraId="7B16C247" w14:textId="08AC16A8"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Packaging has become a key element in contemporary marketing strategies, playing a vital role in attracting consumers and conveying brand value</w:t>
      </w:r>
      <w:r w:rsidR="0077354A" w:rsidRPr="00D04FDF">
        <w:rPr>
          <w:rStyle w:val="FootnoteReference"/>
          <w:rFonts w:asciiTheme="majorBidi" w:hAnsiTheme="majorBidi" w:cstheme="majorBidi"/>
          <w:sz w:val="24"/>
          <w:szCs w:val="24"/>
          <w:lang w:val="en-GB"/>
        </w:rPr>
        <w:footnoteReference w:id="153"/>
      </w:r>
      <w:r>
        <w:rPr>
          <w:rStyle w:val="fadeinm1hgl8"/>
          <w:rFonts w:asciiTheme="majorBidi" w:hAnsiTheme="majorBidi" w:cstheme="majorBidi"/>
          <w:sz w:val="24"/>
          <w:szCs w:val="24"/>
          <w:lang w:val="en-GB"/>
        </w:rPr>
        <w:t>.</w:t>
      </w:r>
    </w:p>
    <w:p w14:paraId="33281036" w14:textId="0AE3E3DD" w:rsidR="0077354A" w:rsidRPr="00D04FDF" w:rsidRDefault="00FD7333"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A general interpretation of the findings suggests that Turkish consumers place significant value on the protective, informative, and communicative roles of packaging. It not only safeguards the product from physical and mechanical damage but also helps maintain its overall quality</w:t>
      </w:r>
      <w:r w:rsidR="0077354A" w:rsidRPr="00D04FDF">
        <w:rPr>
          <w:rStyle w:val="FootnoteReference"/>
          <w:rFonts w:asciiTheme="majorBidi" w:hAnsiTheme="majorBidi" w:cstheme="majorBidi"/>
          <w:sz w:val="24"/>
          <w:szCs w:val="24"/>
          <w:lang w:val="en-GB"/>
        </w:rPr>
        <w:footnoteReference w:id="154"/>
      </w:r>
      <w:r>
        <w:rPr>
          <w:rStyle w:val="fadeinm1hgl8"/>
          <w:rFonts w:asciiTheme="majorBidi" w:hAnsiTheme="majorBidi" w:cstheme="majorBidi"/>
          <w:sz w:val="24"/>
          <w:szCs w:val="24"/>
          <w:lang w:val="en-GB"/>
        </w:rPr>
        <w:t>.</w:t>
      </w:r>
    </w:p>
    <w:p w14:paraId="2302A92E" w14:textId="3C544AAB" w:rsidR="0077354A" w:rsidRPr="00D04FDF" w:rsidRDefault="0077354A" w:rsidP="00C86599">
      <w:pPr>
        <w:spacing w:line="360" w:lineRule="auto"/>
        <w:jc w:val="both"/>
        <w:rPr>
          <w:rStyle w:val="fadeinm1hgl8"/>
          <w:rFonts w:asciiTheme="majorBidi" w:hAnsiTheme="majorBidi" w:cstheme="majorBidi"/>
          <w:b/>
          <w:bCs/>
          <w:sz w:val="24"/>
          <w:szCs w:val="24"/>
          <w:lang w:val="en-GB"/>
        </w:rPr>
      </w:pPr>
      <w:r w:rsidRPr="00D04FDF">
        <w:rPr>
          <w:rStyle w:val="fadeinm1hgl8"/>
          <w:rFonts w:asciiTheme="majorBidi" w:hAnsiTheme="majorBidi" w:cstheme="majorBidi"/>
          <w:b/>
          <w:bCs/>
          <w:sz w:val="24"/>
          <w:szCs w:val="24"/>
          <w:lang w:val="en-GB"/>
        </w:rPr>
        <w:t>2</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4</w:t>
      </w:r>
      <w:r w:rsidR="000B5D06">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 xml:space="preserve">4. </w:t>
      </w:r>
      <w:r w:rsidRPr="00BB2F8D">
        <w:rPr>
          <w:rStyle w:val="Heading5Char"/>
          <w:rFonts w:eastAsiaTheme="minorHAnsi"/>
        </w:rPr>
        <w:t>Brand Loyalty</w:t>
      </w:r>
      <w:r w:rsidRPr="00D04FDF">
        <w:rPr>
          <w:rStyle w:val="fadeinm1hgl8"/>
          <w:rFonts w:asciiTheme="majorBidi" w:hAnsiTheme="majorBidi" w:cstheme="majorBidi"/>
          <w:b/>
          <w:bCs/>
          <w:sz w:val="24"/>
          <w:szCs w:val="24"/>
          <w:lang w:val="en-GB"/>
        </w:rPr>
        <w:t>:</w:t>
      </w:r>
    </w:p>
    <w:p w14:paraId="38212114" w14:textId="609A1996" w:rsidR="0077354A" w:rsidRPr="00D04FDF" w:rsidRDefault="00FD7333" w:rsidP="00C86599">
      <w:pPr>
        <w:spacing w:line="360" w:lineRule="auto"/>
        <w:jc w:val="both"/>
        <w:rPr>
          <w:rFonts w:asciiTheme="majorBidi" w:hAnsiTheme="majorBidi" w:cstheme="majorBidi"/>
          <w:b/>
          <w:bCs/>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Brands play a vital role in shaping consumer loyalty and influencing purchasing decisions within the marketing process. Companies use branding as a strategic tool to build lasting connections with their customers. From the consumer’s perspective, a brand offers quick insights into both the product and the company behind it. It conveys a specific image and personality, which helps shape how consumers perceive and ultimately choose product</w:t>
      </w:r>
      <w:r w:rsidR="0077354A" w:rsidRPr="00D04FDF">
        <w:rPr>
          <w:rStyle w:val="FootnoteReference"/>
          <w:rFonts w:asciiTheme="majorBidi" w:hAnsiTheme="majorBidi" w:cstheme="majorBidi"/>
          <w:sz w:val="24"/>
          <w:szCs w:val="24"/>
          <w:lang w:val="en-GB"/>
        </w:rPr>
        <w:footnoteReference w:id="155"/>
      </w:r>
      <w:r w:rsidR="00C3174C">
        <w:rPr>
          <w:rStyle w:val="fadeinm1hgl8"/>
          <w:rFonts w:asciiTheme="majorBidi" w:hAnsiTheme="majorBidi" w:cstheme="majorBidi"/>
          <w:sz w:val="24"/>
          <w:szCs w:val="24"/>
          <w:lang w:val="en-GB"/>
        </w:rPr>
        <w:t>.</w:t>
      </w:r>
    </w:p>
    <w:p w14:paraId="69FECE29" w14:textId="091D225C" w:rsidR="0077354A" w:rsidRPr="00D04FDF" w:rsidRDefault="0077354A" w:rsidP="00483AF1">
      <w:pPr>
        <w:spacing w:line="360" w:lineRule="auto"/>
        <w:jc w:val="both"/>
        <w:rPr>
          <w:rStyle w:val="fadeinm1hgl8"/>
          <w:rFonts w:asciiTheme="majorBidi" w:hAnsiTheme="majorBidi" w:cstheme="majorBidi"/>
          <w:b/>
          <w:bCs/>
          <w:sz w:val="24"/>
          <w:szCs w:val="24"/>
          <w:lang w:val="en-GB"/>
        </w:rPr>
      </w:pPr>
      <w:r w:rsidRPr="00D04FDF">
        <w:rPr>
          <w:rStyle w:val="fadeinm1hgl8"/>
          <w:rFonts w:asciiTheme="majorBidi" w:hAnsiTheme="majorBidi" w:cstheme="majorBidi"/>
          <w:b/>
          <w:bCs/>
          <w:sz w:val="24"/>
          <w:szCs w:val="24"/>
          <w:lang w:val="en-GB"/>
        </w:rPr>
        <w:t>2</w:t>
      </w:r>
      <w:r w:rsidR="0029387A">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4</w:t>
      </w:r>
      <w:r w:rsidR="0029387A">
        <w:rPr>
          <w:rStyle w:val="fadeinm1hgl8"/>
          <w:rFonts w:asciiTheme="majorBidi" w:hAnsiTheme="majorBidi" w:cstheme="majorBidi"/>
          <w:b/>
          <w:bCs/>
          <w:sz w:val="24"/>
          <w:szCs w:val="24"/>
          <w:lang w:val="en-GB"/>
        </w:rPr>
        <w:t>.</w:t>
      </w:r>
      <w:r w:rsidRPr="00D04FDF">
        <w:rPr>
          <w:rStyle w:val="fadeinm1hgl8"/>
          <w:rFonts w:asciiTheme="majorBidi" w:hAnsiTheme="majorBidi" w:cstheme="majorBidi"/>
          <w:b/>
          <w:bCs/>
          <w:sz w:val="24"/>
          <w:szCs w:val="24"/>
          <w:lang w:val="en-GB"/>
        </w:rPr>
        <w:t xml:space="preserve">5. </w:t>
      </w:r>
      <w:r w:rsidRPr="00BB2F8D">
        <w:rPr>
          <w:rStyle w:val="Heading5Char"/>
          <w:rFonts w:eastAsiaTheme="minorHAnsi"/>
        </w:rPr>
        <w:t>Digital &amp; Social Media</w:t>
      </w:r>
      <w:r w:rsidRPr="00D04FDF">
        <w:rPr>
          <w:rStyle w:val="fadeinm1hgl8"/>
          <w:rFonts w:asciiTheme="majorBidi" w:hAnsiTheme="majorBidi" w:cstheme="majorBidi"/>
          <w:b/>
          <w:bCs/>
          <w:sz w:val="24"/>
          <w:szCs w:val="24"/>
          <w:lang w:val="en-GB"/>
        </w:rPr>
        <w:t>:</w:t>
      </w:r>
    </w:p>
    <w:p w14:paraId="6F37E930" w14:textId="7EC79AC6" w:rsidR="0077354A" w:rsidRPr="00D04FDF" w:rsidRDefault="00C3174C"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Given these changes, companies are increasingly compelled to integrate social media into their communication strategies and brand development efforts, making social media marketing an essential component of their overall marketing approach</w:t>
      </w:r>
      <w:r w:rsidR="0077354A" w:rsidRPr="00D04FDF">
        <w:rPr>
          <w:rStyle w:val="FootnoteReference"/>
          <w:rFonts w:asciiTheme="majorBidi" w:hAnsiTheme="majorBidi" w:cstheme="majorBidi"/>
          <w:sz w:val="24"/>
          <w:szCs w:val="24"/>
          <w:lang w:val="en-GB"/>
        </w:rPr>
        <w:footnoteReference w:id="156"/>
      </w:r>
      <w:r>
        <w:rPr>
          <w:rStyle w:val="fadeinm1hgl8"/>
          <w:rFonts w:asciiTheme="majorBidi" w:hAnsiTheme="majorBidi" w:cstheme="majorBidi"/>
          <w:sz w:val="24"/>
          <w:szCs w:val="24"/>
          <w:lang w:val="en-GB"/>
        </w:rPr>
        <w:t>.</w:t>
      </w:r>
    </w:p>
    <w:p w14:paraId="4EF9BEAA" w14:textId="1DE4E55B" w:rsidR="0077354A" w:rsidRPr="00D04FDF" w:rsidRDefault="00C3174C" w:rsidP="00483AF1">
      <w:pPr>
        <w:spacing w:line="360" w:lineRule="auto"/>
        <w:jc w:val="both"/>
        <w:rPr>
          <w:rStyle w:val="fadeinm1hgl8"/>
          <w:rFonts w:asciiTheme="majorBidi" w:hAnsiTheme="majorBidi" w:cstheme="majorBidi"/>
          <w:sz w:val="24"/>
          <w:szCs w:val="24"/>
          <w:lang w:val="en-GB"/>
        </w:rPr>
      </w:pPr>
      <w:r>
        <w:rPr>
          <w:rStyle w:val="fadeinm1hgl8"/>
          <w:rFonts w:asciiTheme="majorBidi" w:hAnsiTheme="majorBidi" w:cstheme="majorBidi"/>
          <w:sz w:val="24"/>
          <w:szCs w:val="24"/>
          <w:lang w:val="en-GB"/>
        </w:rPr>
        <w:t xml:space="preserve">   </w:t>
      </w:r>
      <w:r w:rsidR="0077354A" w:rsidRPr="00D04FDF">
        <w:rPr>
          <w:rStyle w:val="fadeinm1hgl8"/>
          <w:rFonts w:asciiTheme="majorBidi" w:hAnsiTheme="majorBidi" w:cstheme="majorBidi"/>
          <w:sz w:val="24"/>
          <w:szCs w:val="24"/>
          <w:lang w:val="en-GB"/>
        </w:rPr>
        <w:t>Today, Turkey has rapidly advanced in the realm of social media and has emerged as one of the leading countries in this digital landscape, rivaling even the most developed nations</w:t>
      </w:r>
      <w:r w:rsidR="0077354A" w:rsidRPr="00D04FDF">
        <w:rPr>
          <w:rStyle w:val="FootnoteReference"/>
          <w:rFonts w:asciiTheme="majorBidi" w:hAnsiTheme="majorBidi" w:cstheme="majorBidi"/>
          <w:sz w:val="24"/>
          <w:szCs w:val="24"/>
          <w:lang w:val="en-GB"/>
        </w:rPr>
        <w:footnoteReference w:id="157"/>
      </w:r>
      <w:r>
        <w:rPr>
          <w:rStyle w:val="fadeinm1hgl8"/>
          <w:rFonts w:asciiTheme="majorBidi" w:hAnsiTheme="majorBidi" w:cstheme="majorBidi"/>
          <w:sz w:val="24"/>
          <w:szCs w:val="24"/>
          <w:lang w:val="en-GB"/>
        </w:rPr>
        <w:t>.</w:t>
      </w:r>
    </w:p>
    <w:p w14:paraId="5E144CB5" w14:textId="6FB2E008" w:rsidR="0077354A" w:rsidRPr="00D04FDF" w:rsidRDefault="00C3174C" w:rsidP="00483AF1">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 xml:space="preserve">International and local brands alike compete heavily on platforms like Instagram and Trendyol (Turkey’s equivalent of Amazon). </w:t>
      </w:r>
    </w:p>
    <w:p w14:paraId="4BCFAA7F" w14:textId="08C26FBC" w:rsidR="0077354A" w:rsidRPr="0029387A" w:rsidRDefault="00E2463C" w:rsidP="00413B73">
      <w:pPr>
        <w:pStyle w:val="ListParagraph"/>
        <w:numPr>
          <w:ilvl w:val="0"/>
          <w:numId w:val="87"/>
        </w:numPr>
        <w:spacing w:line="360" w:lineRule="auto"/>
        <w:jc w:val="both"/>
        <w:rPr>
          <w:rFonts w:asciiTheme="majorBidi" w:hAnsiTheme="majorBidi" w:cstheme="majorBidi"/>
          <w:b/>
          <w:bCs/>
          <w:sz w:val="24"/>
          <w:szCs w:val="24"/>
          <w:lang w:val="en-GB"/>
        </w:rPr>
      </w:pPr>
      <w:bookmarkStart w:id="257" w:name="_Toc200720048"/>
      <w:bookmarkStart w:id="258" w:name="_Toc200721689"/>
      <w:r w:rsidRPr="00BB2F8D">
        <w:rPr>
          <w:rStyle w:val="Heading3Char"/>
        </w:rPr>
        <w:t>F</w:t>
      </w:r>
      <w:r w:rsidR="0077354A" w:rsidRPr="00BB2F8D">
        <w:rPr>
          <w:rStyle w:val="Heading3Char"/>
        </w:rPr>
        <w:t>inancial challenges to export to turkey</w:t>
      </w:r>
      <w:bookmarkEnd w:id="257"/>
      <w:bookmarkEnd w:id="258"/>
      <w:r w:rsidR="0077354A" w:rsidRPr="0029387A">
        <w:rPr>
          <w:rFonts w:asciiTheme="majorBidi" w:hAnsiTheme="majorBidi" w:cstheme="majorBidi"/>
          <w:b/>
          <w:bCs/>
          <w:sz w:val="24"/>
          <w:szCs w:val="24"/>
          <w:lang w:val="en-GB"/>
        </w:rPr>
        <w:t>:</w:t>
      </w:r>
    </w:p>
    <w:p w14:paraId="6067A0B6" w14:textId="06D79508" w:rsidR="0077354A" w:rsidRPr="00D04FDF" w:rsidRDefault="00C3174C" w:rsidP="00483AF1">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While exporting to Turkey presents valuable opportunities, it also involves specific financial risks that exporters must carefully consider. Among the most critical are currency fluctuations and the choice of payment methods</w:t>
      </w:r>
      <w:r w:rsidR="0077354A" w:rsidRPr="00D04FDF">
        <w:rPr>
          <w:rStyle w:val="FootnoteReference"/>
          <w:rFonts w:asciiTheme="majorBidi" w:hAnsiTheme="majorBidi" w:cstheme="majorBidi"/>
          <w:lang w:val="en-GB"/>
        </w:rPr>
        <w:footnoteReference w:id="158"/>
      </w:r>
      <w:r>
        <w:rPr>
          <w:rStyle w:val="fadeinm1hgl8"/>
          <w:rFonts w:asciiTheme="majorBidi" w:hAnsiTheme="majorBidi" w:cstheme="majorBidi"/>
          <w:lang w:val="en-GB"/>
        </w:rPr>
        <w:t>.</w:t>
      </w:r>
    </w:p>
    <w:p w14:paraId="028D5025" w14:textId="23DB0B20" w:rsidR="0077354A" w:rsidRPr="00D04FDF" w:rsidRDefault="00E2463C" w:rsidP="00E2463C">
      <w:pPr>
        <w:pStyle w:val="NormalWeb"/>
        <w:numPr>
          <w:ilvl w:val="1"/>
          <w:numId w:val="19"/>
        </w:numPr>
        <w:spacing w:line="360" w:lineRule="auto"/>
        <w:jc w:val="both"/>
        <w:rPr>
          <w:rStyle w:val="fadeinm1hgl8"/>
          <w:rFonts w:asciiTheme="majorBidi" w:hAnsiTheme="majorBidi" w:cstheme="majorBidi"/>
          <w:b/>
          <w:bCs/>
          <w:lang w:val="en-GB"/>
        </w:rPr>
      </w:pPr>
      <w:r>
        <w:rPr>
          <w:rStyle w:val="fadeinm1hgl8"/>
          <w:rFonts w:asciiTheme="majorBidi" w:hAnsiTheme="majorBidi" w:cstheme="majorBidi"/>
          <w:b/>
          <w:bCs/>
          <w:lang w:val="en-GB"/>
        </w:rPr>
        <w:t xml:space="preserve"> </w:t>
      </w:r>
      <w:bookmarkStart w:id="259" w:name="_Toc200720049"/>
      <w:bookmarkStart w:id="260" w:name="_Toc200721690"/>
      <w:r w:rsidR="0077354A" w:rsidRPr="00BB2F8D">
        <w:rPr>
          <w:rStyle w:val="Heading4Char"/>
        </w:rPr>
        <w:t xml:space="preserve">Exchange </w:t>
      </w:r>
      <w:r w:rsidRPr="00BB2F8D">
        <w:rPr>
          <w:rStyle w:val="Heading4Char"/>
        </w:rPr>
        <w:t>r</w:t>
      </w:r>
      <w:r w:rsidR="0077354A" w:rsidRPr="00BB2F8D">
        <w:rPr>
          <w:rStyle w:val="Heading4Char"/>
        </w:rPr>
        <w:t xml:space="preserve">ate </w:t>
      </w:r>
      <w:r w:rsidRPr="00BB2F8D">
        <w:rPr>
          <w:rStyle w:val="Heading4Char"/>
        </w:rPr>
        <w:t>v</w:t>
      </w:r>
      <w:r w:rsidR="0077354A" w:rsidRPr="00BB2F8D">
        <w:rPr>
          <w:rStyle w:val="Heading4Char"/>
        </w:rPr>
        <w:t>olatility (Currency Risk)</w:t>
      </w:r>
      <w:bookmarkEnd w:id="259"/>
      <w:bookmarkEnd w:id="260"/>
      <w:r w:rsidR="0077354A" w:rsidRPr="00D04FDF">
        <w:rPr>
          <w:rStyle w:val="fadeinm1hgl8"/>
          <w:rFonts w:asciiTheme="majorBidi" w:hAnsiTheme="majorBidi" w:cstheme="majorBidi"/>
          <w:b/>
          <w:bCs/>
          <w:lang w:val="en-GB"/>
        </w:rPr>
        <w:t>:</w:t>
      </w:r>
    </w:p>
    <w:p w14:paraId="02484FBF" w14:textId="149F7F1E" w:rsidR="0077354A" w:rsidRPr="00D04FDF" w:rsidRDefault="00C3174C" w:rsidP="00483AF1">
      <w:pPr>
        <w:pStyle w:val="NormalWeb"/>
        <w:spacing w:line="360" w:lineRule="auto"/>
        <w:jc w:val="both"/>
        <w:rPr>
          <w:rFonts w:asciiTheme="majorBidi" w:hAnsiTheme="majorBidi" w:cstheme="majorBidi"/>
          <w:lang w:val="en-GB"/>
        </w:rPr>
      </w:pPr>
      <w:r>
        <w:rPr>
          <w:rStyle w:val="fadeinm1hgl8"/>
          <w:rFonts w:asciiTheme="majorBidi" w:hAnsiTheme="majorBidi" w:cstheme="majorBidi"/>
          <w:lang w:val="en-GB"/>
        </w:rPr>
        <w:t xml:space="preserve">   </w:t>
      </w:r>
      <w:r w:rsidR="0077354A" w:rsidRPr="00D04FDF">
        <w:rPr>
          <w:rStyle w:val="fadeinm1hgl8"/>
          <w:rFonts w:asciiTheme="majorBidi" w:hAnsiTheme="majorBidi" w:cstheme="majorBidi"/>
          <w:lang w:val="en-GB"/>
        </w:rPr>
        <w:t>Turkey's highly volatile exchange rate environment poses considerable challenges for foreign exporters. When the Turkish lira is expected to appreciate, it tends to reduce the country’s export competitiveness, discouraging investment and trade. Conversely, unexpected depreciation may temporarily support exports, but it often leads to declines in real output, consumer spending, and investment. These exchange rate shocks have delayed and uneven effects, contributing to overall market uncertainty. In addition, frequent structural changes and ongoing inflation add to the complexity, making Turkey a financially unstable and unpredictable market for exporters</w:t>
      </w:r>
      <w:r w:rsidR="0077354A" w:rsidRPr="00D04FDF">
        <w:rPr>
          <w:rStyle w:val="FootnoteReference"/>
          <w:rFonts w:asciiTheme="majorBidi" w:hAnsiTheme="majorBidi" w:cstheme="majorBidi"/>
          <w:lang w:val="en-GB"/>
        </w:rPr>
        <w:footnoteReference w:id="159"/>
      </w:r>
      <w:r>
        <w:rPr>
          <w:rStyle w:val="fadeinm1hgl8"/>
          <w:rFonts w:asciiTheme="majorBidi" w:hAnsiTheme="majorBidi" w:cstheme="majorBidi"/>
          <w:lang w:val="en-GB"/>
        </w:rPr>
        <w:t>.</w:t>
      </w:r>
    </w:p>
    <w:p w14:paraId="76EA6D41" w14:textId="101AC9DD" w:rsidR="00E2463C" w:rsidRDefault="00E2463C" w:rsidP="00E2463C">
      <w:pPr>
        <w:pStyle w:val="ListParagraph"/>
        <w:numPr>
          <w:ilvl w:val="1"/>
          <w:numId w:val="19"/>
        </w:numPr>
        <w:spacing w:line="360" w:lineRule="auto"/>
        <w:jc w:val="both"/>
        <w:rPr>
          <w:rStyle w:val="fadeinm1hgl8"/>
          <w:rFonts w:asciiTheme="majorBidi" w:hAnsiTheme="majorBidi" w:cstheme="majorBidi"/>
          <w:b/>
          <w:bCs/>
          <w:sz w:val="24"/>
          <w:szCs w:val="24"/>
          <w:lang w:val="en-GB"/>
        </w:rPr>
      </w:pPr>
      <w:r>
        <w:rPr>
          <w:rStyle w:val="fadeinm1hgl8"/>
          <w:rFonts w:asciiTheme="majorBidi" w:hAnsiTheme="majorBidi" w:cstheme="majorBidi"/>
          <w:b/>
          <w:bCs/>
          <w:sz w:val="24"/>
          <w:szCs w:val="24"/>
          <w:lang w:val="en-GB"/>
        </w:rPr>
        <w:t xml:space="preserve"> </w:t>
      </w:r>
      <w:bookmarkStart w:id="261" w:name="_Toc200720050"/>
      <w:bookmarkStart w:id="262" w:name="_Toc200721691"/>
      <w:r w:rsidR="0077354A" w:rsidRPr="00BB2F8D">
        <w:rPr>
          <w:rStyle w:val="Heading4Char"/>
        </w:rPr>
        <w:t xml:space="preserve">Payment </w:t>
      </w:r>
      <w:r w:rsidRPr="00BB2F8D">
        <w:rPr>
          <w:rStyle w:val="Heading4Char"/>
        </w:rPr>
        <w:t>m</w:t>
      </w:r>
      <w:r w:rsidR="0077354A" w:rsidRPr="00BB2F8D">
        <w:rPr>
          <w:rStyle w:val="Heading4Char"/>
        </w:rPr>
        <w:t xml:space="preserve">ethods and </w:t>
      </w:r>
      <w:r w:rsidRPr="00BB2F8D">
        <w:rPr>
          <w:rStyle w:val="Heading4Char"/>
        </w:rPr>
        <w:t>a</w:t>
      </w:r>
      <w:r w:rsidR="0077354A" w:rsidRPr="00BB2F8D">
        <w:rPr>
          <w:rStyle w:val="Heading4Char"/>
        </w:rPr>
        <w:t xml:space="preserve">ssociated </w:t>
      </w:r>
      <w:r w:rsidRPr="00BB2F8D">
        <w:rPr>
          <w:rStyle w:val="Heading4Char"/>
        </w:rPr>
        <w:t>r</w:t>
      </w:r>
      <w:r w:rsidR="0077354A" w:rsidRPr="00BB2F8D">
        <w:rPr>
          <w:rStyle w:val="Heading4Char"/>
        </w:rPr>
        <w:t>isks</w:t>
      </w:r>
      <w:bookmarkEnd w:id="261"/>
      <w:bookmarkEnd w:id="262"/>
      <w:r w:rsidR="0077354A" w:rsidRPr="00E2463C">
        <w:rPr>
          <w:rStyle w:val="fadeinm1hgl8"/>
          <w:rFonts w:asciiTheme="majorBidi" w:hAnsiTheme="majorBidi" w:cstheme="majorBidi"/>
          <w:b/>
          <w:bCs/>
          <w:sz w:val="24"/>
          <w:szCs w:val="24"/>
          <w:lang w:val="en-GB"/>
        </w:rPr>
        <w:t xml:space="preserve">: </w:t>
      </w:r>
    </w:p>
    <w:p w14:paraId="2B27FDA0" w14:textId="4305B4C0" w:rsidR="0077354A" w:rsidRPr="00E2463C" w:rsidRDefault="00E2463C" w:rsidP="00E2463C">
      <w:pPr>
        <w:spacing w:line="360" w:lineRule="auto"/>
        <w:jc w:val="both"/>
        <w:rPr>
          <w:rFonts w:asciiTheme="majorBidi" w:hAnsiTheme="majorBidi" w:cstheme="majorBidi"/>
          <w:b/>
          <w:bCs/>
          <w:sz w:val="24"/>
          <w:szCs w:val="24"/>
          <w:lang w:val="en-GB"/>
        </w:rPr>
      </w:pPr>
      <w:r>
        <w:rPr>
          <w:rStyle w:val="fadeinm1hgl8"/>
          <w:rFonts w:asciiTheme="majorBidi" w:hAnsiTheme="majorBidi" w:cstheme="majorBidi"/>
          <w:sz w:val="24"/>
          <w:szCs w:val="24"/>
          <w:lang w:val="en-GB"/>
        </w:rPr>
        <w:t xml:space="preserve">   </w:t>
      </w:r>
      <w:r w:rsidR="0077354A" w:rsidRPr="00E2463C">
        <w:rPr>
          <w:rStyle w:val="fadeinm1hgl8"/>
          <w:rFonts w:asciiTheme="majorBidi" w:hAnsiTheme="majorBidi" w:cstheme="majorBidi"/>
          <w:sz w:val="24"/>
          <w:szCs w:val="24"/>
          <w:lang w:val="en-GB"/>
        </w:rPr>
        <w:t>Trade finance plays a crucial role in</w:t>
      </w:r>
      <w:r w:rsidRPr="00E2463C">
        <w:rPr>
          <w:rStyle w:val="fadeinm1hgl8"/>
          <w:rFonts w:asciiTheme="majorBidi" w:hAnsiTheme="majorBidi" w:cstheme="majorBidi"/>
          <w:sz w:val="24"/>
          <w:szCs w:val="24"/>
          <w:lang w:val="en-GB"/>
        </w:rPr>
        <w:t xml:space="preserve"> </w:t>
      </w:r>
      <w:r w:rsidR="0077354A" w:rsidRPr="00E2463C">
        <w:rPr>
          <w:rStyle w:val="fadeinm1hgl8"/>
          <w:rFonts w:asciiTheme="majorBidi" w:hAnsiTheme="majorBidi" w:cstheme="majorBidi"/>
          <w:sz w:val="24"/>
          <w:szCs w:val="24"/>
          <w:lang w:val="en-GB"/>
        </w:rPr>
        <w:t>facilitating international commerce, with over 90% of global transactions supported by various forms of trade financing, most commonly on a short-term basis.</w:t>
      </w:r>
      <w:r w:rsidR="0077354A" w:rsidRPr="00D04FDF">
        <w:rPr>
          <w:rStyle w:val="FootnoteReference"/>
          <w:rFonts w:asciiTheme="majorBidi" w:hAnsiTheme="majorBidi" w:cstheme="majorBidi"/>
          <w:sz w:val="24"/>
          <w:szCs w:val="24"/>
          <w:lang w:val="en-GB"/>
        </w:rPr>
        <w:footnoteReference w:id="160"/>
      </w:r>
    </w:p>
    <w:p w14:paraId="2EC1E698" w14:textId="25FCE509" w:rsidR="0077354A" w:rsidRPr="0024056C" w:rsidRDefault="0077354A" w:rsidP="0024056C">
      <w:pPr>
        <w:spacing w:line="360" w:lineRule="auto"/>
        <w:jc w:val="both"/>
        <w:rPr>
          <w:rStyle w:val="fadeinm1hgl8"/>
          <w:rFonts w:asciiTheme="majorBidi" w:hAnsiTheme="majorBidi" w:cstheme="majorBidi"/>
          <w:sz w:val="24"/>
          <w:szCs w:val="24"/>
          <w:lang w:val="en-GB"/>
        </w:rPr>
      </w:pPr>
      <w:r w:rsidRPr="00D04FDF">
        <w:rPr>
          <w:rStyle w:val="fadeinm1hgl8"/>
          <w:rFonts w:asciiTheme="majorBidi" w:hAnsiTheme="majorBidi" w:cstheme="majorBidi"/>
          <w:sz w:val="24"/>
          <w:szCs w:val="24"/>
          <w:lang w:val="en-GB"/>
        </w:rPr>
        <w:t>Turkey encounters notable financial difficulties concerning payment methods and export-related risks. The global financial crisis of 2008–2009 further restricted access to cost-effective trade financing, prompting banks to reduce credit availability while raising borrowing costs. As a result, many Turkish companies particularly small and emerging exporters face limited financing options, making them more exposed in international trade. These challenges underscore the importance of strengthening financial infrastructure and developing risk management solutions to support export growth and diversification</w:t>
      </w:r>
      <w:r w:rsidRPr="00D04FDF">
        <w:rPr>
          <w:rStyle w:val="FootnoteReference"/>
          <w:rFonts w:asciiTheme="majorBidi" w:hAnsiTheme="majorBidi" w:cstheme="majorBidi"/>
          <w:sz w:val="24"/>
          <w:szCs w:val="24"/>
          <w:lang w:val="en-GB"/>
        </w:rPr>
        <w:footnoteReference w:id="161"/>
      </w:r>
      <w:r w:rsidR="00C16403">
        <w:rPr>
          <w:rStyle w:val="fadeinm1hgl8"/>
          <w:rFonts w:asciiTheme="majorBidi" w:hAnsiTheme="majorBidi" w:cstheme="majorBidi"/>
          <w:sz w:val="24"/>
          <w:szCs w:val="24"/>
          <w:lang w:val="en-GB"/>
        </w:rPr>
        <w:t>.</w:t>
      </w:r>
    </w:p>
    <w:p w14:paraId="00477097" w14:textId="76D3D09A" w:rsidR="00C3174C" w:rsidRPr="00C16403" w:rsidRDefault="0077354A" w:rsidP="00C3174C">
      <w:pPr>
        <w:spacing w:line="360" w:lineRule="auto"/>
        <w:jc w:val="center"/>
        <w:rPr>
          <w:rStyle w:val="fadeinm1hgl8"/>
          <w:rFonts w:asciiTheme="majorBidi" w:hAnsiTheme="majorBidi" w:cstheme="majorBidi"/>
          <w:sz w:val="24"/>
          <w:szCs w:val="24"/>
          <w:lang w:val="en-GB"/>
        </w:rPr>
      </w:pPr>
      <w:r w:rsidRPr="00D04FDF">
        <w:rPr>
          <w:rStyle w:val="fadeinm1hgl8"/>
          <w:rFonts w:asciiTheme="majorBidi" w:hAnsiTheme="majorBidi" w:cstheme="majorBidi"/>
          <w:b/>
          <w:bCs/>
          <w:sz w:val="24"/>
          <w:szCs w:val="24"/>
          <w:lang w:val="en-GB"/>
        </w:rPr>
        <w:t>Table</w:t>
      </w:r>
      <w:r w:rsidR="004A38BD">
        <w:rPr>
          <w:rStyle w:val="fadeinm1hgl8"/>
          <w:rFonts w:asciiTheme="majorBidi" w:hAnsiTheme="majorBidi" w:cstheme="majorBidi"/>
          <w:b/>
          <w:bCs/>
          <w:sz w:val="24"/>
          <w:szCs w:val="24"/>
          <w:lang w:val="en-GB"/>
        </w:rPr>
        <w:t xml:space="preserve"> 3</w:t>
      </w:r>
      <w:r w:rsidRPr="00D04FDF">
        <w:rPr>
          <w:rStyle w:val="fadeinm1hgl8"/>
          <w:rFonts w:asciiTheme="majorBidi" w:hAnsiTheme="majorBidi" w:cstheme="majorBidi"/>
          <w:b/>
          <w:bCs/>
          <w:sz w:val="24"/>
          <w:szCs w:val="24"/>
          <w:lang w:val="en-GB"/>
        </w:rPr>
        <w:t xml:space="preserve">: </w:t>
      </w:r>
      <w:r w:rsidRPr="00C16403">
        <w:rPr>
          <w:rStyle w:val="fadeinm1hgl8"/>
          <w:rFonts w:asciiTheme="majorBidi" w:hAnsiTheme="majorBidi" w:cstheme="majorBidi"/>
          <w:sz w:val="24"/>
          <w:szCs w:val="24"/>
          <w:lang w:val="en-GB"/>
        </w:rPr>
        <w:t>Comparison of Export Payment Methods and Their Risk Levels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3"/>
        <w:gridCol w:w="1185"/>
        <w:gridCol w:w="5654"/>
      </w:tblGrid>
      <w:tr w:rsidR="0077354A" w:rsidRPr="00D04FDF" w14:paraId="2B3CF68F" w14:textId="77777777" w:rsidTr="00A03AB7">
        <w:trPr>
          <w:tblHeader/>
          <w:tblCellSpacing w:w="15" w:type="dxa"/>
        </w:trPr>
        <w:tc>
          <w:tcPr>
            <w:tcW w:w="0" w:type="auto"/>
            <w:vAlign w:val="center"/>
            <w:hideMark/>
          </w:tcPr>
          <w:p w14:paraId="34770C37"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Method</w:t>
            </w:r>
          </w:p>
        </w:tc>
        <w:tc>
          <w:tcPr>
            <w:tcW w:w="0" w:type="auto"/>
            <w:vAlign w:val="center"/>
            <w:hideMark/>
          </w:tcPr>
          <w:p w14:paraId="561C588B"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Risk Level</w:t>
            </w:r>
          </w:p>
        </w:tc>
        <w:tc>
          <w:tcPr>
            <w:tcW w:w="0" w:type="auto"/>
            <w:vAlign w:val="center"/>
            <w:hideMark/>
          </w:tcPr>
          <w:p w14:paraId="187DC00A" w14:textId="77777777" w:rsidR="0077354A" w:rsidRPr="00D04FDF" w:rsidRDefault="0077354A" w:rsidP="00C16403">
            <w:pPr>
              <w:spacing w:after="0" w:line="360" w:lineRule="auto"/>
              <w:jc w:val="center"/>
              <w:rPr>
                <w:rFonts w:asciiTheme="majorBidi" w:eastAsia="Times New Roman" w:hAnsiTheme="majorBidi" w:cstheme="majorBidi"/>
                <w:b/>
                <w:bCs/>
                <w:sz w:val="24"/>
                <w:szCs w:val="24"/>
                <w:lang w:eastAsia="fr-FR"/>
              </w:rPr>
            </w:pPr>
            <w:r w:rsidRPr="00D04FDF">
              <w:rPr>
                <w:rFonts w:asciiTheme="majorBidi" w:eastAsia="Times New Roman" w:hAnsiTheme="majorBidi" w:cstheme="majorBidi"/>
                <w:b/>
                <w:bCs/>
                <w:sz w:val="24"/>
                <w:szCs w:val="24"/>
                <w:lang w:eastAsia="fr-FR"/>
              </w:rPr>
              <w:t>Notes</w:t>
            </w:r>
          </w:p>
        </w:tc>
      </w:tr>
      <w:tr w:rsidR="0077354A" w:rsidRPr="00FB2AD1" w14:paraId="354DBF88" w14:textId="77777777" w:rsidTr="00A03AB7">
        <w:trPr>
          <w:tblCellSpacing w:w="15" w:type="dxa"/>
        </w:trPr>
        <w:tc>
          <w:tcPr>
            <w:tcW w:w="0" w:type="auto"/>
            <w:vAlign w:val="center"/>
            <w:hideMark/>
          </w:tcPr>
          <w:p w14:paraId="5CCB84E5"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Advance Payment</w:t>
            </w:r>
          </w:p>
        </w:tc>
        <w:tc>
          <w:tcPr>
            <w:tcW w:w="0" w:type="auto"/>
            <w:vAlign w:val="center"/>
            <w:hideMark/>
          </w:tcPr>
          <w:p w14:paraId="06B620D5" w14:textId="780591E5"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Low for you</w:t>
            </w:r>
          </w:p>
        </w:tc>
        <w:tc>
          <w:tcPr>
            <w:tcW w:w="0" w:type="auto"/>
            <w:vAlign w:val="center"/>
            <w:hideMark/>
          </w:tcPr>
          <w:p w14:paraId="1416447A"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Best option, but some buyers may resist it.</w:t>
            </w:r>
          </w:p>
        </w:tc>
      </w:tr>
      <w:tr w:rsidR="0077354A" w:rsidRPr="00FB2AD1" w14:paraId="55ECAABC" w14:textId="77777777" w:rsidTr="00A03AB7">
        <w:trPr>
          <w:tblCellSpacing w:w="15" w:type="dxa"/>
        </w:trPr>
        <w:tc>
          <w:tcPr>
            <w:tcW w:w="0" w:type="auto"/>
            <w:vAlign w:val="center"/>
            <w:hideMark/>
          </w:tcPr>
          <w:p w14:paraId="02B99BA0"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Letter of Credit (LC)</w:t>
            </w:r>
          </w:p>
        </w:tc>
        <w:tc>
          <w:tcPr>
            <w:tcW w:w="0" w:type="auto"/>
            <w:vAlign w:val="center"/>
            <w:hideMark/>
          </w:tcPr>
          <w:p w14:paraId="25940D16" w14:textId="08BAE5F9"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Moderate</w:t>
            </w:r>
          </w:p>
        </w:tc>
        <w:tc>
          <w:tcPr>
            <w:tcW w:w="0" w:type="auto"/>
            <w:vAlign w:val="center"/>
            <w:hideMark/>
          </w:tcPr>
          <w:p w14:paraId="3BC6D52B"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Offers security for both sides but involves bank fees and complex paperwork.</w:t>
            </w:r>
          </w:p>
        </w:tc>
      </w:tr>
      <w:tr w:rsidR="0077354A" w:rsidRPr="00FB2AD1" w14:paraId="4142FB4A" w14:textId="77777777" w:rsidTr="00A03AB7">
        <w:trPr>
          <w:tblCellSpacing w:w="15" w:type="dxa"/>
        </w:trPr>
        <w:tc>
          <w:tcPr>
            <w:tcW w:w="0" w:type="auto"/>
            <w:vAlign w:val="center"/>
            <w:hideMark/>
          </w:tcPr>
          <w:p w14:paraId="735EDF83"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Open Account</w:t>
            </w:r>
          </w:p>
        </w:tc>
        <w:tc>
          <w:tcPr>
            <w:tcW w:w="0" w:type="auto"/>
            <w:vAlign w:val="center"/>
            <w:hideMark/>
          </w:tcPr>
          <w:p w14:paraId="19B1900A" w14:textId="0515249A"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High</w:t>
            </w:r>
          </w:p>
        </w:tc>
        <w:tc>
          <w:tcPr>
            <w:tcW w:w="0" w:type="auto"/>
            <w:vAlign w:val="center"/>
            <w:hideMark/>
          </w:tcPr>
          <w:p w14:paraId="4BEF9564"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You ship first, then wait for payment—high risk unless trust is established.</w:t>
            </w:r>
          </w:p>
        </w:tc>
      </w:tr>
      <w:tr w:rsidR="0077354A" w:rsidRPr="00FB2AD1" w14:paraId="48E0AB2C" w14:textId="77777777" w:rsidTr="00A03AB7">
        <w:trPr>
          <w:tblCellSpacing w:w="15" w:type="dxa"/>
        </w:trPr>
        <w:tc>
          <w:tcPr>
            <w:tcW w:w="0" w:type="auto"/>
            <w:vAlign w:val="center"/>
            <w:hideMark/>
          </w:tcPr>
          <w:p w14:paraId="41AF172E" w14:textId="77777777"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b/>
                <w:bCs/>
                <w:sz w:val="24"/>
                <w:szCs w:val="24"/>
                <w:lang w:eastAsia="fr-FR"/>
              </w:rPr>
              <w:t>Documentary Collection</w:t>
            </w:r>
          </w:p>
        </w:tc>
        <w:tc>
          <w:tcPr>
            <w:tcW w:w="0" w:type="auto"/>
            <w:vAlign w:val="center"/>
            <w:hideMark/>
          </w:tcPr>
          <w:p w14:paraId="75191C9E" w14:textId="1729E2B1" w:rsidR="0077354A" w:rsidRPr="00D04FDF" w:rsidRDefault="0077354A" w:rsidP="00C16403">
            <w:pPr>
              <w:spacing w:after="0" w:line="360" w:lineRule="auto"/>
              <w:jc w:val="center"/>
              <w:rPr>
                <w:rFonts w:asciiTheme="majorBidi" w:eastAsia="Times New Roman" w:hAnsiTheme="majorBidi" w:cstheme="majorBidi"/>
                <w:sz w:val="24"/>
                <w:szCs w:val="24"/>
                <w:lang w:eastAsia="fr-FR"/>
              </w:rPr>
            </w:pPr>
            <w:r w:rsidRPr="00D04FDF">
              <w:rPr>
                <w:rFonts w:asciiTheme="majorBidi" w:eastAsia="Times New Roman" w:hAnsiTheme="majorBidi" w:cstheme="majorBidi"/>
                <w:sz w:val="24"/>
                <w:szCs w:val="24"/>
                <w:lang w:eastAsia="fr-FR"/>
              </w:rPr>
              <w:t>Moderate</w:t>
            </w:r>
          </w:p>
        </w:tc>
        <w:tc>
          <w:tcPr>
            <w:tcW w:w="0" w:type="auto"/>
            <w:vAlign w:val="center"/>
            <w:hideMark/>
          </w:tcPr>
          <w:p w14:paraId="5F6BE297" w14:textId="77777777" w:rsidR="0077354A" w:rsidRPr="00D04FDF" w:rsidRDefault="0077354A" w:rsidP="00C16403">
            <w:pPr>
              <w:spacing w:after="0" w:line="360" w:lineRule="auto"/>
              <w:jc w:val="center"/>
              <w:rPr>
                <w:rFonts w:asciiTheme="majorBidi" w:eastAsia="Times New Roman" w:hAnsiTheme="majorBidi" w:cstheme="majorBidi"/>
                <w:sz w:val="24"/>
                <w:szCs w:val="24"/>
                <w:lang w:val="en-GB" w:eastAsia="fr-FR"/>
              </w:rPr>
            </w:pPr>
            <w:r w:rsidRPr="00D04FDF">
              <w:rPr>
                <w:rFonts w:asciiTheme="majorBidi" w:eastAsia="Times New Roman" w:hAnsiTheme="majorBidi" w:cstheme="majorBidi"/>
                <w:sz w:val="24"/>
                <w:szCs w:val="24"/>
                <w:lang w:val="en-GB" w:eastAsia="fr-FR"/>
              </w:rPr>
              <w:t>Less secure than LCs, but cheaper. Payment is made against shipping documents.</w:t>
            </w:r>
          </w:p>
        </w:tc>
      </w:tr>
    </w:tbl>
    <w:p w14:paraId="0142CDD6" w14:textId="048EDECA" w:rsidR="0077354A" w:rsidRDefault="0077354A" w:rsidP="0024056C">
      <w:pPr>
        <w:spacing w:line="360" w:lineRule="auto"/>
        <w:jc w:val="center"/>
        <w:rPr>
          <w:rFonts w:asciiTheme="majorBidi" w:hAnsiTheme="majorBidi" w:cstheme="majorBidi"/>
          <w:sz w:val="24"/>
          <w:szCs w:val="24"/>
          <w:lang w:val="en-GB"/>
        </w:rPr>
      </w:pPr>
      <w:r w:rsidRPr="00C16403">
        <w:rPr>
          <w:rFonts w:asciiTheme="majorBidi" w:hAnsiTheme="majorBidi" w:cstheme="majorBidi"/>
          <w:b/>
          <w:bCs/>
          <w:sz w:val="24"/>
          <w:szCs w:val="24"/>
          <w:lang w:val="en-GB"/>
        </w:rPr>
        <w:t>Source:</w:t>
      </w:r>
      <w:r w:rsidRPr="00D04FDF">
        <w:rPr>
          <w:rStyle w:val="FootnoteReference"/>
          <w:rFonts w:asciiTheme="majorBidi" w:hAnsiTheme="majorBidi" w:cstheme="majorBidi"/>
          <w:sz w:val="24"/>
          <w:szCs w:val="24"/>
          <w:lang w:val="en-GB"/>
        </w:rPr>
        <w:t xml:space="preserve"> </w:t>
      </w:r>
      <w:r w:rsidRPr="00D04FDF">
        <w:rPr>
          <w:rStyle w:val="fadeinm1hgl8"/>
          <w:rFonts w:asciiTheme="majorBidi" w:hAnsiTheme="majorBidi" w:cstheme="majorBidi"/>
          <w:sz w:val="24"/>
          <w:szCs w:val="24"/>
          <w:lang w:val="en-GB"/>
        </w:rPr>
        <w:t>Developed by the</w:t>
      </w:r>
      <w:r w:rsidR="00C16403">
        <w:rPr>
          <w:rStyle w:val="fadeinm1hgl8"/>
          <w:rFonts w:asciiTheme="majorBidi" w:hAnsiTheme="majorBidi" w:cstheme="majorBidi"/>
          <w:sz w:val="24"/>
          <w:szCs w:val="24"/>
          <w:lang w:val="en-GB"/>
        </w:rPr>
        <w:t xml:space="preserve"> students</w:t>
      </w:r>
    </w:p>
    <w:p w14:paraId="7B19BA7F" w14:textId="77777777" w:rsidR="00C3174C" w:rsidRDefault="00C3174C" w:rsidP="00471016">
      <w:pPr>
        <w:spacing w:line="360" w:lineRule="auto"/>
        <w:jc w:val="both"/>
        <w:rPr>
          <w:rFonts w:asciiTheme="majorBidi" w:hAnsiTheme="majorBidi" w:cstheme="majorBidi"/>
          <w:b/>
          <w:bCs/>
          <w:sz w:val="24"/>
          <w:szCs w:val="24"/>
          <w:lang w:val="en-GB"/>
        </w:rPr>
      </w:pPr>
    </w:p>
    <w:p w14:paraId="238E60A0" w14:textId="0EBAA557" w:rsidR="00C3174C" w:rsidRPr="00150121" w:rsidRDefault="00150121" w:rsidP="00471016">
      <w:pPr>
        <w:spacing w:line="360" w:lineRule="auto"/>
        <w:jc w:val="both"/>
        <w:rPr>
          <w:rFonts w:asciiTheme="majorBidi" w:hAnsiTheme="majorBidi" w:cstheme="majorBidi"/>
          <w:b/>
          <w:bCs/>
          <w:sz w:val="24"/>
          <w:szCs w:val="24"/>
          <w:lang w:val="en-GB"/>
        </w:rPr>
      </w:pPr>
      <w:r w:rsidRPr="00150121">
        <w:rPr>
          <w:rFonts w:asciiTheme="majorBidi" w:hAnsiTheme="majorBidi" w:cstheme="majorBidi"/>
          <w:sz w:val="24"/>
          <w:szCs w:val="24"/>
          <w:lang w:val="en-GB"/>
        </w:rPr>
        <w:t>In conclusion, overcoming cultural, competitive, and financial challenges is crucial for Algerian exporters aiming to succeed in the Turkish market. Addressing these barriers can enhance their chances of long-term integration and expansion.</w:t>
      </w:r>
    </w:p>
    <w:p w14:paraId="14ED0F28" w14:textId="77777777" w:rsidR="00C3174C" w:rsidRDefault="00C3174C" w:rsidP="00471016">
      <w:pPr>
        <w:spacing w:line="360" w:lineRule="auto"/>
        <w:jc w:val="both"/>
        <w:rPr>
          <w:rFonts w:asciiTheme="majorBidi" w:hAnsiTheme="majorBidi" w:cstheme="majorBidi"/>
          <w:b/>
          <w:bCs/>
          <w:sz w:val="24"/>
          <w:szCs w:val="24"/>
          <w:lang w:val="en-GB"/>
        </w:rPr>
      </w:pPr>
    </w:p>
    <w:p w14:paraId="5DB64A06" w14:textId="77777777" w:rsidR="00C3174C" w:rsidRDefault="00C3174C" w:rsidP="00471016">
      <w:pPr>
        <w:spacing w:line="360" w:lineRule="auto"/>
        <w:jc w:val="both"/>
        <w:rPr>
          <w:rFonts w:asciiTheme="majorBidi" w:hAnsiTheme="majorBidi" w:cstheme="majorBidi"/>
          <w:b/>
          <w:bCs/>
          <w:sz w:val="24"/>
          <w:szCs w:val="24"/>
          <w:lang w:val="en-GB"/>
        </w:rPr>
      </w:pPr>
    </w:p>
    <w:p w14:paraId="57FB0F3D" w14:textId="77777777" w:rsidR="00C3174C" w:rsidRDefault="00C3174C" w:rsidP="00471016">
      <w:pPr>
        <w:spacing w:line="360" w:lineRule="auto"/>
        <w:jc w:val="both"/>
        <w:rPr>
          <w:rFonts w:asciiTheme="majorBidi" w:hAnsiTheme="majorBidi" w:cstheme="majorBidi"/>
          <w:b/>
          <w:bCs/>
          <w:sz w:val="24"/>
          <w:szCs w:val="24"/>
          <w:lang w:val="en-GB"/>
        </w:rPr>
      </w:pPr>
    </w:p>
    <w:p w14:paraId="558837D1" w14:textId="77777777" w:rsidR="00C3174C" w:rsidRDefault="00C3174C" w:rsidP="00471016">
      <w:pPr>
        <w:spacing w:line="360" w:lineRule="auto"/>
        <w:jc w:val="both"/>
        <w:rPr>
          <w:rFonts w:asciiTheme="majorBidi" w:hAnsiTheme="majorBidi" w:cstheme="majorBidi"/>
          <w:b/>
          <w:bCs/>
          <w:sz w:val="24"/>
          <w:szCs w:val="24"/>
          <w:lang w:val="en-GB"/>
        </w:rPr>
      </w:pPr>
    </w:p>
    <w:p w14:paraId="4BD80B59" w14:textId="1A9D642E" w:rsidR="00BB2F8D" w:rsidRDefault="00BB2F8D">
      <w:pPr>
        <w:rPr>
          <w:rFonts w:asciiTheme="majorBidi" w:hAnsiTheme="majorBidi" w:cstheme="majorBidi"/>
          <w:b/>
          <w:bCs/>
          <w:sz w:val="24"/>
          <w:szCs w:val="24"/>
          <w:lang w:val="en-GB"/>
        </w:rPr>
      </w:pPr>
      <w:r>
        <w:rPr>
          <w:rFonts w:asciiTheme="majorBidi" w:hAnsiTheme="majorBidi" w:cstheme="majorBidi"/>
          <w:b/>
          <w:bCs/>
          <w:sz w:val="24"/>
          <w:szCs w:val="24"/>
          <w:lang w:val="en-GB"/>
        </w:rPr>
        <w:br w:type="page"/>
      </w:r>
    </w:p>
    <w:p w14:paraId="7ADF2FFA" w14:textId="67C1412E" w:rsidR="0077354A" w:rsidRPr="00D04FDF" w:rsidRDefault="0077354A" w:rsidP="00471016">
      <w:pPr>
        <w:spacing w:line="360" w:lineRule="auto"/>
        <w:jc w:val="both"/>
        <w:rPr>
          <w:rFonts w:asciiTheme="majorBidi" w:hAnsiTheme="majorBidi" w:cstheme="majorBidi"/>
          <w:b/>
          <w:bCs/>
          <w:sz w:val="24"/>
          <w:szCs w:val="24"/>
          <w:lang w:val="en-GB"/>
        </w:rPr>
      </w:pPr>
      <w:bookmarkStart w:id="264" w:name="_Toc200720051"/>
      <w:bookmarkStart w:id="265" w:name="_Toc200721692"/>
      <w:r w:rsidRPr="00BB2F8D">
        <w:rPr>
          <w:rStyle w:val="Heading2Char"/>
          <w:rFonts w:eastAsiaTheme="minorHAnsi"/>
        </w:rPr>
        <w:t>Conclusion</w:t>
      </w:r>
      <w:bookmarkEnd w:id="264"/>
      <w:bookmarkEnd w:id="265"/>
      <w:r w:rsidRPr="00D04FDF">
        <w:rPr>
          <w:rFonts w:asciiTheme="majorBidi" w:hAnsiTheme="majorBidi" w:cstheme="majorBidi"/>
          <w:b/>
          <w:bCs/>
          <w:sz w:val="24"/>
          <w:szCs w:val="24"/>
          <w:lang w:val="en-GB"/>
        </w:rPr>
        <w:t>:</w:t>
      </w:r>
    </w:p>
    <w:p w14:paraId="3CD7CFC1" w14:textId="1F969822" w:rsidR="00D176A7" w:rsidRDefault="00C3174C" w:rsidP="00471016">
      <w:pPr>
        <w:spacing w:line="360" w:lineRule="auto"/>
        <w:jc w:val="both"/>
        <w:rPr>
          <w:rFonts w:asciiTheme="majorBidi" w:hAnsiTheme="majorBidi" w:cstheme="majorBidi"/>
          <w:sz w:val="24"/>
          <w:szCs w:val="24"/>
          <w:lang w:val="en-GB"/>
        </w:rPr>
        <w:sectPr w:rsidR="00D176A7">
          <w:headerReference w:type="default" r:id="rId27"/>
          <w:footerReference w:type="default" r:id="rId28"/>
          <w:pgSz w:w="11906" w:h="16838"/>
          <w:pgMar w:top="1417" w:right="1417" w:bottom="1417" w:left="1417" w:header="708" w:footer="708" w:gutter="0"/>
          <w:cols w:space="708"/>
          <w:docGrid w:linePitch="360"/>
        </w:sectPr>
      </w:pPr>
      <w:r>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Exportation is a multifaceted endeavor that goes beyond merely shipping goods across borders; it requires a deep understanding of international trade dynamics, compliance with regulatory frameworks, and the agility to navigate market-specific challenges. This chapter has shown how the export process unfolds, from strategic planning and documentation to dealing with logistical and financial complexities. It also highlighted the importance of aligning products with the expectations of foreign consumers and adapting to the competitive landscape. In contexts where geopolitical shifts or consumer movements disrupt traditional trade patterns, local producers can seize new opportunities</w:t>
      </w:r>
      <w:r w:rsidR="00E2463C">
        <w:rPr>
          <w:rFonts w:asciiTheme="majorBidi" w:hAnsiTheme="majorBidi" w:cstheme="majorBidi"/>
          <w:sz w:val="24"/>
          <w:szCs w:val="24"/>
          <w:lang w:val="en-GB"/>
        </w:rPr>
        <w:t xml:space="preserve"> </w:t>
      </w:r>
      <w:r w:rsidR="0077354A" w:rsidRPr="00D04FDF">
        <w:rPr>
          <w:rFonts w:asciiTheme="majorBidi" w:hAnsiTheme="majorBidi" w:cstheme="majorBidi"/>
          <w:sz w:val="24"/>
          <w:szCs w:val="24"/>
          <w:lang w:val="en-GB"/>
        </w:rPr>
        <w:t>provided they are equipped with the right knowledge and strategies. These foundational insights set the stage for examining how specific external factors, such as boycotts, may serve as catalysts for expanding into alternative international markets.</w:t>
      </w:r>
    </w:p>
    <w:p w14:paraId="5F409496" w14:textId="77B02DBE" w:rsidR="0077354A" w:rsidRPr="00D04FDF" w:rsidRDefault="0077354A" w:rsidP="00471016">
      <w:pPr>
        <w:spacing w:line="360" w:lineRule="auto"/>
        <w:jc w:val="both"/>
        <w:rPr>
          <w:rFonts w:asciiTheme="majorBidi" w:hAnsiTheme="majorBidi" w:cstheme="majorBidi"/>
          <w:sz w:val="24"/>
          <w:szCs w:val="24"/>
          <w:lang w:val="en-GB"/>
        </w:rPr>
      </w:pPr>
    </w:p>
    <w:p w14:paraId="38CAFE13" w14:textId="77777777" w:rsidR="00DC5DDA" w:rsidRDefault="00DC5DDA" w:rsidP="00DC5DDA">
      <w:pPr>
        <w:spacing w:line="360" w:lineRule="auto"/>
        <w:jc w:val="center"/>
        <w:rPr>
          <w:rFonts w:asciiTheme="majorBidi" w:hAnsiTheme="majorBidi" w:cstheme="majorBidi"/>
          <w:b/>
          <w:bCs/>
          <w:sz w:val="96"/>
          <w:szCs w:val="96"/>
          <w:lang w:val="en-GB"/>
        </w:rPr>
      </w:pPr>
    </w:p>
    <w:p w14:paraId="7ED4B134" w14:textId="77777777" w:rsidR="0024056C" w:rsidRDefault="0024056C" w:rsidP="00DC5DDA">
      <w:pPr>
        <w:spacing w:line="360" w:lineRule="auto"/>
        <w:jc w:val="center"/>
        <w:rPr>
          <w:rFonts w:asciiTheme="majorBidi" w:hAnsiTheme="majorBidi" w:cstheme="majorBidi"/>
          <w:b/>
          <w:bCs/>
          <w:sz w:val="96"/>
          <w:szCs w:val="96"/>
          <w:lang w:val="en-GB"/>
        </w:rPr>
      </w:pPr>
    </w:p>
    <w:p w14:paraId="7E7A8DE1" w14:textId="77777777" w:rsidR="00D176A7" w:rsidRDefault="00D176A7" w:rsidP="00D176A7">
      <w:pPr>
        <w:spacing w:line="360" w:lineRule="auto"/>
        <w:rPr>
          <w:rFonts w:asciiTheme="majorBidi" w:hAnsiTheme="majorBidi" w:cstheme="majorBidi"/>
          <w:b/>
          <w:bCs/>
          <w:sz w:val="96"/>
          <w:szCs w:val="96"/>
          <w:lang w:val="en-GB"/>
        </w:rPr>
      </w:pPr>
    </w:p>
    <w:p w14:paraId="38091D92" w14:textId="5D7800E8" w:rsidR="00D75D3D" w:rsidRDefault="00DC5DDA" w:rsidP="00BB2F8D">
      <w:pPr>
        <w:pStyle w:val="Heading1"/>
      </w:pPr>
      <w:bookmarkStart w:id="266" w:name="_Toc200720052"/>
      <w:bookmarkStart w:id="267" w:name="_Toc200721693"/>
      <w:r w:rsidRPr="00DC5DDA">
        <w:t xml:space="preserve">Chapter </w:t>
      </w:r>
      <w:r w:rsidR="00D36F5B">
        <w:t>0</w:t>
      </w:r>
      <w:r w:rsidRPr="00DC5DDA">
        <w:t>3</w:t>
      </w:r>
      <w:bookmarkEnd w:id="266"/>
      <w:bookmarkEnd w:id="267"/>
      <w:r w:rsidR="00D36F5B">
        <w:t xml:space="preserve">: </w:t>
      </w:r>
      <w:r w:rsidR="00D36F5B" w:rsidRPr="006B1405">
        <w:rPr>
          <w:b w:val="0"/>
          <w:bCs w:val="0"/>
        </w:rPr>
        <w:t>Market Research</w:t>
      </w:r>
      <w:r w:rsidR="001548C7" w:rsidRPr="006B1405">
        <w:rPr>
          <w:b w:val="0"/>
          <w:bCs w:val="0"/>
        </w:rPr>
        <w:t xml:space="preserve"> (Empirical study)</w:t>
      </w:r>
    </w:p>
    <w:p w14:paraId="79581329" w14:textId="77777777" w:rsidR="00D75D3D" w:rsidRDefault="00D75D3D" w:rsidP="00DC5DDA">
      <w:pPr>
        <w:spacing w:line="360" w:lineRule="auto"/>
        <w:jc w:val="center"/>
        <w:rPr>
          <w:rFonts w:asciiTheme="majorBidi" w:hAnsiTheme="majorBidi" w:cstheme="majorBidi"/>
          <w:b/>
          <w:bCs/>
          <w:sz w:val="96"/>
          <w:szCs w:val="96"/>
          <w:lang w:val="en-GB"/>
        </w:rPr>
      </w:pPr>
    </w:p>
    <w:p w14:paraId="3F2FE998" w14:textId="77777777" w:rsidR="00D75D3D" w:rsidRDefault="00D75D3D" w:rsidP="00DC5DDA">
      <w:pPr>
        <w:spacing w:line="360" w:lineRule="auto"/>
        <w:jc w:val="center"/>
        <w:rPr>
          <w:rFonts w:asciiTheme="majorBidi" w:hAnsiTheme="majorBidi" w:cstheme="majorBidi"/>
          <w:b/>
          <w:bCs/>
          <w:sz w:val="96"/>
          <w:szCs w:val="96"/>
          <w:lang w:val="en-GB"/>
        </w:rPr>
      </w:pPr>
    </w:p>
    <w:p w14:paraId="66680135" w14:textId="77777777" w:rsidR="000A57CD" w:rsidRDefault="000A57CD" w:rsidP="00400926">
      <w:pPr>
        <w:pStyle w:val="NormalWeb"/>
        <w:spacing w:line="360" w:lineRule="auto"/>
        <w:rPr>
          <w:rStyle w:val="Strong"/>
          <w:lang w:val="en-GB"/>
        </w:rPr>
      </w:pPr>
    </w:p>
    <w:p w14:paraId="78FD5D2E" w14:textId="77777777" w:rsidR="000A57CD" w:rsidRDefault="000A57CD" w:rsidP="00400926">
      <w:pPr>
        <w:pStyle w:val="NormalWeb"/>
        <w:spacing w:line="360" w:lineRule="auto"/>
        <w:rPr>
          <w:rStyle w:val="Strong"/>
          <w:lang w:val="en-GB"/>
        </w:rPr>
      </w:pPr>
    </w:p>
    <w:p w14:paraId="34A09B94" w14:textId="77777777" w:rsidR="00D176A7" w:rsidRDefault="00D176A7" w:rsidP="00400926">
      <w:pPr>
        <w:pStyle w:val="NormalWeb"/>
        <w:spacing w:line="360" w:lineRule="auto"/>
        <w:rPr>
          <w:rStyle w:val="Strong"/>
          <w:lang w:val="en-GB"/>
        </w:rPr>
        <w:sectPr w:rsidR="00D176A7">
          <w:headerReference w:type="default" r:id="rId29"/>
          <w:footerReference w:type="default" r:id="rId30"/>
          <w:pgSz w:w="11906" w:h="16838"/>
          <w:pgMar w:top="1417" w:right="1417" w:bottom="1417" w:left="1417" w:header="708" w:footer="708" w:gutter="0"/>
          <w:cols w:space="708"/>
          <w:docGrid w:linePitch="360"/>
        </w:sectPr>
      </w:pPr>
    </w:p>
    <w:p w14:paraId="62F44255" w14:textId="03281B01" w:rsidR="006C55DD" w:rsidRPr="00BB2F8D" w:rsidRDefault="006C55DD" w:rsidP="00BB2F8D">
      <w:pPr>
        <w:pStyle w:val="Heading2"/>
        <w:rPr>
          <w:b w:val="0"/>
          <w:bCs w:val="0"/>
        </w:rPr>
      </w:pPr>
      <w:bookmarkStart w:id="268" w:name="_Toc200720053"/>
      <w:bookmarkStart w:id="269" w:name="_Toc200721694"/>
      <w:r w:rsidRPr="00BB2F8D">
        <w:rPr>
          <w:rStyle w:val="Strong"/>
          <w:b/>
          <w:bCs/>
        </w:rPr>
        <w:t>Introduction</w:t>
      </w:r>
      <w:bookmarkEnd w:id="268"/>
      <w:bookmarkEnd w:id="269"/>
    </w:p>
    <w:p w14:paraId="4FA1B4C2" w14:textId="0E1283D5" w:rsidR="006C55DD" w:rsidRPr="006C55DD" w:rsidRDefault="00C3174C" w:rsidP="00C16403">
      <w:pPr>
        <w:pStyle w:val="NormalWeb"/>
        <w:spacing w:line="360" w:lineRule="auto"/>
        <w:jc w:val="both"/>
        <w:rPr>
          <w:lang w:val="en-GB"/>
        </w:rPr>
      </w:pPr>
      <w:r>
        <w:rPr>
          <w:lang w:val="en-GB"/>
        </w:rPr>
        <w:t xml:space="preserve">   </w:t>
      </w:r>
      <w:r w:rsidR="006C55DD" w:rsidRPr="006C55DD">
        <w:rPr>
          <w:lang w:val="en-GB"/>
        </w:rPr>
        <w:t>This final chapter of our thesis is dedicated to the empirical investigation, where we bring theory into practice. After establishing a comprehensive theoretical foundation in the previous chapters, we now focus on the real-world application of those concepts through a rigorous field study. This chapter serves as the cornerstone that links all parts of our research by validating or challenging our assumptions with tangible data. It represents the culmination of our academic effort, where abstract ideas meet concrete evidence.</w:t>
      </w:r>
    </w:p>
    <w:p w14:paraId="09A05650" w14:textId="71AD52D3" w:rsidR="006C55DD" w:rsidRPr="006C55DD" w:rsidRDefault="00C3174C" w:rsidP="00C16403">
      <w:pPr>
        <w:pStyle w:val="NormalWeb"/>
        <w:spacing w:line="360" w:lineRule="auto"/>
        <w:jc w:val="both"/>
        <w:rPr>
          <w:lang w:val="en-GB"/>
        </w:rPr>
      </w:pPr>
      <w:r>
        <w:rPr>
          <w:lang w:val="en-GB"/>
        </w:rPr>
        <w:t xml:space="preserve">   </w:t>
      </w:r>
      <w:r w:rsidR="006C55DD" w:rsidRPr="006C55DD">
        <w:rPr>
          <w:lang w:val="en-GB"/>
        </w:rPr>
        <w:t>The empirical study is particularly crucial for evaluating how Algerian skincare products</w:t>
      </w:r>
      <w:r w:rsidR="006C55DD">
        <w:rPr>
          <w:lang w:val="en-GB"/>
        </w:rPr>
        <w:t xml:space="preserve"> </w:t>
      </w:r>
      <w:r w:rsidR="006C55DD" w:rsidRPr="006C55DD">
        <w:rPr>
          <w:lang w:val="en-GB"/>
        </w:rPr>
        <w:t xml:space="preserve">specifically those by the company </w:t>
      </w:r>
      <w:r w:rsidR="006C55DD" w:rsidRPr="006C55DD">
        <w:rPr>
          <w:rStyle w:val="Emphasis"/>
          <w:i w:val="0"/>
          <w:iCs w:val="0"/>
          <w:lang w:val="en-GB"/>
        </w:rPr>
        <w:t>Proderma</w:t>
      </w:r>
      <w:r w:rsidR="006C55DD">
        <w:rPr>
          <w:lang w:val="en-GB"/>
        </w:rPr>
        <w:t xml:space="preserve"> </w:t>
      </w:r>
      <w:r w:rsidR="006C55DD" w:rsidRPr="006C55DD">
        <w:rPr>
          <w:lang w:val="en-GB"/>
        </w:rPr>
        <w:t>can find their place in the Turkish market, especially in the context of changing consumer behaviors influenced by boycott movements. Through this lens, we examine not only market dynamics but also the relevance of creativity, innovation, and product differentiation in driving export success.</w:t>
      </w:r>
    </w:p>
    <w:p w14:paraId="671BFAC0" w14:textId="6D716033" w:rsidR="006C55DD" w:rsidRPr="006C55DD" w:rsidRDefault="00C3174C" w:rsidP="00C16403">
      <w:pPr>
        <w:pStyle w:val="NormalWeb"/>
        <w:spacing w:line="360" w:lineRule="auto"/>
        <w:jc w:val="both"/>
        <w:rPr>
          <w:lang w:val="en-GB"/>
        </w:rPr>
      </w:pPr>
      <w:r>
        <w:rPr>
          <w:lang w:val="en-GB"/>
        </w:rPr>
        <w:t xml:space="preserve">   </w:t>
      </w:r>
      <w:r w:rsidR="006C55DD" w:rsidRPr="006C55DD">
        <w:rPr>
          <w:lang w:val="en-GB"/>
        </w:rPr>
        <w:t>To achieve this, we conducted a detailed survey targeting Turkish consumers, aiming to analyze their openness to alternatives and their purchasing motivations in a politically and economically complex context. This chapter is structured around several key elements: an overview of the host company (Proderma), the research methodology, a description of the selected sample, and the design of the questionnaire. We then outline our data analysis techniques and measurement tools, leading to a thorough presentation of the survey results.</w:t>
      </w:r>
    </w:p>
    <w:p w14:paraId="376F80BA" w14:textId="7D14D33D" w:rsidR="006C55DD" w:rsidRPr="006C55DD" w:rsidRDefault="00C3174C" w:rsidP="00C16403">
      <w:pPr>
        <w:pStyle w:val="NormalWeb"/>
        <w:spacing w:line="360" w:lineRule="auto"/>
        <w:jc w:val="both"/>
        <w:rPr>
          <w:lang w:val="en-GB"/>
        </w:rPr>
      </w:pPr>
      <w:r>
        <w:rPr>
          <w:lang w:val="en-GB"/>
        </w:rPr>
        <w:t xml:space="preserve">   </w:t>
      </w:r>
      <w:r w:rsidR="006C55DD" w:rsidRPr="006C55DD">
        <w:rPr>
          <w:lang w:val="en-GB"/>
        </w:rPr>
        <w:t>The methodology adopted is primarily quantitative,</w:t>
      </w:r>
      <w:r w:rsidR="006C55DD">
        <w:rPr>
          <w:lang w:val="en-GB"/>
        </w:rPr>
        <w:t xml:space="preserve"> </w:t>
      </w:r>
      <w:r w:rsidR="006C55DD" w:rsidRPr="006C55DD">
        <w:rPr>
          <w:lang w:val="en-GB"/>
        </w:rPr>
        <w:t>q</w:t>
      </w:r>
      <w:r w:rsidR="006C55DD">
        <w:rPr>
          <w:lang w:val="en-GB"/>
        </w:rPr>
        <w:t xml:space="preserve">ualitative, exploration, </w:t>
      </w:r>
      <w:r w:rsidR="006C55DD" w:rsidRPr="006C55DD">
        <w:rPr>
          <w:lang w:val="en-GB"/>
        </w:rPr>
        <w:t>enabling us to capture patterns and correlations between consumer attitudes and key product attributes such as price, quality, cultural alignment, and availability. These variables are essential in assessing the potential success of Algerian exports in a competitive market like Turkey. The following sections will delve into each component of our empirical process and conclude with an interpretation of the findings, thus answering our central research question and testing our hypotheses.</w:t>
      </w:r>
    </w:p>
    <w:p w14:paraId="4AB951D3" w14:textId="77777777" w:rsidR="006C55DD" w:rsidRDefault="006C55DD" w:rsidP="0009045B">
      <w:pPr>
        <w:pStyle w:val="Paragraphedeliste1"/>
        <w:spacing w:before="240" w:beforeAutospacing="0" w:after="240" w:afterAutospacing="0" w:line="360" w:lineRule="auto"/>
        <w:jc w:val="both"/>
        <w:rPr>
          <w:rFonts w:asciiTheme="majorBidi" w:hAnsiTheme="majorBidi" w:cstheme="majorBidi"/>
          <w:b/>
          <w:bCs/>
          <w:lang w:val="en-GB"/>
        </w:rPr>
      </w:pPr>
    </w:p>
    <w:p w14:paraId="7F92E25F" w14:textId="77777777" w:rsidR="006C55DD" w:rsidRDefault="006C55DD" w:rsidP="0009045B">
      <w:pPr>
        <w:pStyle w:val="Paragraphedeliste1"/>
        <w:spacing w:before="240" w:beforeAutospacing="0" w:after="240" w:afterAutospacing="0" w:line="360" w:lineRule="auto"/>
        <w:jc w:val="both"/>
        <w:rPr>
          <w:rFonts w:asciiTheme="majorBidi" w:hAnsiTheme="majorBidi" w:cstheme="majorBidi"/>
          <w:b/>
          <w:bCs/>
          <w:lang w:val="en-GB"/>
        </w:rPr>
      </w:pPr>
    </w:p>
    <w:p w14:paraId="39AF2A62" w14:textId="77777777" w:rsidR="006C55DD" w:rsidRDefault="006C55DD" w:rsidP="0009045B">
      <w:pPr>
        <w:pStyle w:val="Paragraphedeliste1"/>
        <w:spacing w:before="240" w:beforeAutospacing="0" w:after="240" w:afterAutospacing="0" w:line="360" w:lineRule="auto"/>
        <w:jc w:val="both"/>
        <w:rPr>
          <w:rFonts w:asciiTheme="majorBidi" w:hAnsiTheme="majorBidi" w:cstheme="majorBidi"/>
          <w:b/>
          <w:bCs/>
          <w:lang w:val="en-GB"/>
        </w:rPr>
      </w:pPr>
    </w:p>
    <w:p w14:paraId="793B8B0B" w14:textId="77777777" w:rsidR="006C55DD" w:rsidRDefault="006C55DD" w:rsidP="0009045B">
      <w:pPr>
        <w:pStyle w:val="Paragraphedeliste1"/>
        <w:spacing w:before="240" w:beforeAutospacing="0" w:after="240" w:afterAutospacing="0" w:line="360" w:lineRule="auto"/>
        <w:jc w:val="both"/>
        <w:rPr>
          <w:rFonts w:asciiTheme="majorBidi" w:hAnsiTheme="majorBidi" w:cstheme="majorBidi"/>
          <w:b/>
          <w:bCs/>
          <w:lang w:val="en-GB"/>
        </w:rPr>
      </w:pPr>
    </w:p>
    <w:p w14:paraId="61D53357" w14:textId="77777777" w:rsidR="00400926" w:rsidRDefault="00400926" w:rsidP="0009045B">
      <w:pPr>
        <w:pStyle w:val="Paragraphedeliste1"/>
        <w:spacing w:before="240" w:beforeAutospacing="0" w:after="240" w:afterAutospacing="0" w:line="360" w:lineRule="auto"/>
        <w:jc w:val="both"/>
        <w:rPr>
          <w:rFonts w:asciiTheme="majorBidi" w:hAnsiTheme="majorBidi" w:cstheme="majorBidi"/>
          <w:b/>
          <w:bCs/>
          <w:lang w:val="en-GB"/>
        </w:rPr>
      </w:pPr>
    </w:p>
    <w:p w14:paraId="0ADE8EB6" w14:textId="47CE2997" w:rsidR="00C3174C" w:rsidRDefault="00D75D3D" w:rsidP="00BB2F8D">
      <w:pPr>
        <w:pStyle w:val="Heading2"/>
      </w:pPr>
      <w:bookmarkStart w:id="270" w:name="_Toc200720054"/>
      <w:bookmarkStart w:id="271" w:name="_Toc200721695"/>
      <w:r w:rsidRPr="00C16403">
        <w:t>Section</w:t>
      </w:r>
      <w:r w:rsidR="00C3174C">
        <w:t xml:space="preserve"> 0</w:t>
      </w:r>
      <w:r w:rsidRPr="00C16403">
        <w:t>1:</w:t>
      </w:r>
      <w:r w:rsidR="00B34685">
        <w:t xml:space="preserve"> </w:t>
      </w:r>
      <w:r w:rsidRPr="00C16403">
        <w:t xml:space="preserve">General </w:t>
      </w:r>
      <w:r w:rsidR="0004637B">
        <w:t>p</w:t>
      </w:r>
      <w:r w:rsidRPr="00C16403">
        <w:t>resentation</w:t>
      </w:r>
      <w:r w:rsidR="0004637B">
        <w:t xml:space="preserve"> </w:t>
      </w:r>
      <w:r w:rsidRPr="00C16403">
        <w:t xml:space="preserve">of the </w:t>
      </w:r>
      <w:r w:rsidR="0004637B">
        <w:t>h</w:t>
      </w:r>
      <w:r w:rsidRPr="00C16403">
        <w:t xml:space="preserve">ost </w:t>
      </w:r>
      <w:r w:rsidR="0004637B">
        <w:t>o</w:t>
      </w:r>
      <w:r w:rsidRPr="00C16403">
        <w:t xml:space="preserve">rganization and </w:t>
      </w:r>
      <w:r w:rsidR="0004637B">
        <w:t>m</w:t>
      </w:r>
      <w:r w:rsidRPr="00C16403">
        <w:t xml:space="preserve">ethodological </w:t>
      </w:r>
      <w:r w:rsidR="0004637B">
        <w:t>a</w:t>
      </w:r>
      <w:r w:rsidRPr="00C16403">
        <w:t>pproach</w:t>
      </w:r>
      <w:bookmarkEnd w:id="270"/>
      <w:bookmarkEnd w:id="271"/>
    </w:p>
    <w:p w14:paraId="08F32A1A" w14:textId="5892A493" w:rsidR="0004637B" w:rsidRPr="0004637B" w:rsidRDefault="0004637B" w:rsidP="0004637B">
      <w:pPr>
        <w:pStyle w:val="Paragraphedeliste1"/>
        <w:numPr>
          <w:ilvl w:val="1"/>
          <w:numId w:val="16"/>
        </w:numPr>
        <w:spacing w:before="240" w:beforeAutospacing="0" w:after="240" w:afterAutospacing="0" w:line="360" w:lineRule="auto"/>
        <w:jc w:val="both"/>
        <w:rPr>
          <w:rStyle w:val="Strong"/>
          <w:rFonts w:asciiTheme="majorBidi" w:hAnsiTheme="majorBidi" w:cstheme="majorBidi"/>
          <w:b w:val="0"/>
          <w:bCs w:val="0"/>
          <w:lang w:val="en-GB"/>
        </w:rPr>
      </w:pPr>
      <w:bookmarkStart w:id="272" w:name="_Toc200720055"/>
      <w:bookmarkStart w:id="273" w:name="_Toc200721696"/>
      <w:r w:rsidRPr="00BB2F8D">
        <w:rPr>
          <w:rStyle w:val="Heading3Char"/>
        </w:rPr>
        <w:t>General Presentation of the Host Organizatio</w:t>
      </w:r>
      <w:bookmarkEnd w:id="272"/>
      <w:bookmarkEnd w:id="273"/>
      <w:r w:rsidRPr="0004637B">
        <w:rPr>
          <w:rFonts w:asciiTheme="majorBidi" w:hAnsiTheme="majorBidi" w:cstheme="majorBidi"/>
          <w:b/>
          <w:bCs/>
          <w:lang w:val="en-GB"/>
        </w:rPr>
        <w:t>n</w:t>
      </w:r>
    </w:p>
    <w:p w14:paraId="421C2F0D" w14:textId="2D38AF1F" w:rsidR="00D75D3D" w:rsidRPr="007F5EEF" w:rsidRDefault="0004637B" w:rsidP="00413B73">
      <w:pPr>
        <w:pStyle w:val="NormalWeb"/>
        <w:numPr>
          <w:ilvl w:val="1"/>
          <w:numId w:val="88"/>
        </w:numPr>
        <w:spacing w:line="360" w:lineRule="auto"/>
        <w:rPr>
          <w:rFonts w:asciiTheme="majorBidi" w:hAnsiTheme="majorBidi" w:cstheme="majorBidi"/>
          <w:lang w:val="en-GB"/>
        </w:rPr>
      </w:pPr>
      <w:r>
        <w:rPr>
          <w:rStyle w:val="Strong"/>
          <w:rFonts w:asciiTheme="majorBidi" w:hAnsiTheme="majorBidi" w:cstheme="majorBidi"/>
          <w:lang w:val="en-GB"/>
        </w:rPr>
        <w:t xml:space="preserve"> </w:t>
      </w:r>
      <w:bookmarkStart w:id="274" w:name="_Toc200720056"/>
      <w:bookmarkStart w:id="275" w:name="_Toc200721697"/>
      <w:r w:rsidR="00D75D3D" w:rsidRPr="00BB2F8D">
        <w:rPr>
          <w:rStyle w:val="Heading4Char"/>
        </w:rPr>
        <w:t>Company Introductio</w:t>
      </w:r>
      <w:bookmarkEnd w:id="274"/>
      <w:bookmarkEnd w:id="275"/>
      <w:r w:rsidR="00D75D3D" w:rsidRPr="007F5EEF">
        <w:rPr>
          <w:rStyle w:val="Strong"/>
          <w:rFonts w:asciiTheme="majorBidi" w:hAnsiTheme="majorBidi" w:cstheme="majorBidi"/>
          <w:lang w:val="en-GB"/>
        </w:rPr>
        <w:t>n</w:t>
      </w:r>
    </w:p>
    <w:p w14:paraId="4E45E3C2" w14:textId="322A9A77" w:rsidR="00D75D3D" w:rsidRDefault="00C3174C" w:rsidP="00C3174C">
      <w:pPr>
        <w:pStyle w:val="NormalWeb"/>
        <w:spacing w:line="360" w:lineRule="auto"/>
        <w:jc w:val="both"/>
        <w:rPr>
          <w:rFonts w:asciiTheme="majorBidi" w:hAnsiTheme="majorBidi" w:cstheme="majorBidi"/>
          <w:lang w:val="en-GB"/>
        </w:rPr>
      </w:pPr>
      <w:r>
        <w:rPr>
          <w:rFonts w:asciiTheme="majorBidi" w:hAnsiTheme="majorBidi" w:cstheme="majorBidi"/>
          <w:lang w:val="en-GB"/>
        </w:rPr>
        <w:t xml:space="preserve">   </w:t>
      </w:r>
      <w:r w:rsidR="00D75D3D" w:rsidRPr="007F5EEF">
        <w:rPr>
          <w:rFonts w:asciiTheme="majorBidi" w:hAnsiTheme="majorBidi" w:cstheme="majorBidi"/>
          <w:lang w:val="en-GB"/>
        </w:rPr>
        <w:t>SARL-PRODERMA is a company with more than 150 employees, established on 23/07/2003 by Mr. Zakaria Habib. This unit holds a prominent position in the field of manufacturing pharmaceutical, para-pharmaceutical, and dermatological cosmetic products, with a production capacity of 5 tons per day. It combines both the headquarters and the production site, which covers an area of more than 4,500 square meters, and has a structure that complies with the regulatory standards of the Ministry of Health.</w:t>
      </w:r>
    </w:p>
    <w:p w14:paraId="3094A4C5" w14:textId="4BEF785A" w:rsidR="00D75D3D" w:rsidRPr="007F5EEF" w:rsidRDefault="0009045B" w:rsidP="0009045B">
      <w:pPr>
        <w:pStyle w:val="NormalWeb"/>
        <w:spacing w:line="360" w:lineRule="auto"/>
        <w:rPr>
          <w:rFonts w:asciiTheme="majorBidi" w:hAnsiTheme="majorBidi" w:cstheme="majorBidi"/>
          <w:lang w:val="en-GB"/>
        </w:rPr>
      </w:pPr>
      <w:r w:rsidRPr="0009045B">
        <w:rPr>
          <w:lang w:val="en-GB"/>
        </w:rPr>
        <w:t>Made by: Laboratoire Proderma,</w:t>
      </w:r>
      <w:r w:rsidRPr="0009045B">
        <w:rPr>
          <w:lang w:val="en-GB"/>
        </w:rPr>
        <w:br/>
        <w:t>Industrial Zone No. 02, Lot 217, Melkawi Group</w:t>
      </w:r>
      <w:r w:rsidRPr="0009045B">
        <w:rPr>
          <w:lang w:val="en-GB"/>
        </w:rPr>
        <w:br/>
        <w:t>No. 199, Sidi Bel Abbès, Algeria.</w:t>
      </w:r>
      <w:r w:rsidRPr="0009045B">
        <w:rPr>
          <w:lang w:val="en-GB"/>
        </w:rPr>
        <w:br/>
        <w:t xml:space="preserve">Website: </w:t>
      </w:r>
      <w:hyperlink r:id="rId31" w:tgtFrame="_new" w:history="1">
        <w:r w:rsidRPr="0009045B">
          <w:rPr>
            <w:rStyle w:val="Hyperlink"/>
            <w:lang w:val="en-GB"/>
          </w:rPr>
          <w:t>www.proderma-dz.com</w:t>
        </w:r>
      </w:hyperlink>
      <w:r w:rsidRPr="0009045B">
        <w:rPr>
          <w:lang w:val="en-GB"/>
        </w:rPr>
        <w:br/>
        <w:t>E-mail: proderma.dz@gmail.com</w:t>
      </w:r>
      <w:r w:rsidRPr="0009045B">
        <w:rPr>
          <w:lang w:val="en-GB"/>
        </w:rPr>
        <w:br/>
        <w:t>Mobile: 05 60 00 18 01</w:t>
      </w:r>
      <w:r w:rsidRPr="0009045B">
        <w:rPr>
          <w:lang w:val="en-GB"/>
        </w:rPr>
        <w:br/>
        <w:t>Commercial registration number: 610 obtained from the Ministry of Commerce.</w:t>
      </w:r>
    </w:p>
    <w:p w14:paraId="5181DFEC" w14:textId="7DE3D90C" w:rsidR="00D75D3D" w:rsidRPr="007F5EEF" w:rsidRDefault="00D75D3D" w:rsidP="008042F5">
      <w:pPr>
        <w:jc w:val="center"/>
        <w:rPr>
          <w:rFonts w:asciiTheme="majorBidi" w:hAnsiTheme="majorBidi" w:cstheme="majorBidi"/>
          <w:noProof/>
          <w:sz w:val="24"/>
          <w:szCs w:val="24"/>
          <w:lang w:val="en-GB"/>
        </w:rPr>
      </w:pPr>
      <w:r w:rsidRPr="007F5EEF">
        <w:rPr>
          <w:rFonts w:asciiTheme="majorBidi" w:hAnsiTheme="majorBidi" w:cstheme="majorBidi"/>
          <w:b/>
          <w:bCs/>
          <w:noProof/>
          <w:sz w:val="24"/>
          <w:szCs w:val="24"/>
          <w:lang w:val="en-GB"/>
        </w:rPr>
        <w:t>Figure</w:t>
      </w:r>
      <w:r w:rsidR="00436E06">
        <w:rPr>
          <w:rFonts w:asciiTheme="majorBidi" w:hAnsiTheme="majorBidi" w:cstheme="majorBidi"/>
          <w:b/>
          <w:bCs/>
          <w:noProof/>
          <w:sz w:val="24"/>
          <w:szCs w:val="24"/>
          <w:lang w:val="en-GB"/>
        </w:rPr>
        <w:t xml:space="preserve"> 6</w:t>
      </w:r>
      <w:r w:rsidRPr="007F5EEF">
        <w:rPr>
          <w:rFonts w:asciiTheme="majorBidi" w:hAnsiTheme="majorBidi" w:cstheme="majorBidi"/>
          <w:b/>
          <w:bCs/>
          <w:noProof/>
          <w:sz w:val="24"/>
          <w:szCs w:val="24"/>
          <w:lang w:val="en-GB"/>
        </w:rPr>
        <w:t>:</w:t>
      </w:r>
      <w:r w:rsidRPr="007F5EEF">
        <w:rPr>
          <w:rFonts w:asciiTheme="majorBidi" w:hAnsiTheme="majorBidi" w:cstheme="majorBidi"/>
          <w:sz w:val="24"/>
          <w:szCs w:val="24"/>
        </w:rPr>
        <w:t xml:space="preserve"> Logo of Proderma Dermocosmétique</w:t>
      </w:r>
    </w:p>
    <w:p w14:paraId="7E785013" w14:textId="77777777" w:rsidR="00D75D3D" w:rsidRPr="007F5EEF" w:rsidRDefault="00D75D3D" w:rsidP="008042F5">
      <w:pPr>
        <w:jc w:val="center"/>
        <w:rPr>
          <w:rFonts w:asciiTheme="majorBidi" w:hAnsiTheme="majorBidi" w:cstheme="majorBidi"/>
          <w:sz w:val="24"/>
          <w:szCs w:val="24"/>
          <w:lang w:val="en-GB"/>
        </w:rPr>
      </w:pPr>
      <w:r w:rsidRPr="007F5EEF">
        <w:rPr>
          <w:rFonts w:asciiTheme="majorBidi" w:hAnsiTheme="majorBidi" w:cstheme="majorBidi"/>
          <w:noProof/>
          <w:sz w:val="24"/>
          <w:szCs w:val="24"/>
          <w:lang w:val="en-GB"/>
        </w:rPr>
        <w:drawing>
          <wp:inline distT="0" distB="0" distL="0" distR="0" wp14:anchorId="7E16C721" wp14:editId="4AE23207">
            <wp:extent cx="2143125" cy="2143125"/>
            <wp:effectExtent l="304800" t="304800" r="333375" b="33337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2">
                      <a:extLst>
                        <a:ext uri="{28A0092B-C50C-407E-A947-70E740481C1C}">
                          <a14:useLocalDpi xmlns:a14="http://schemas.microsoft.com/office/drawing/2010/main" val="0"/>
                        </a:ext>
                      </a:extLst>
                    </a:blip>
                    <a:stretch>
                      <a:fillRect/>
                    </a:stretch>
                  </pic:blipFill>
                  <pic:spPr>
                    <a:xfrm>
                      <a:off x="0" y="0"/>
                      <a:ext cx="2143125" cy="21431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68A4E5F5" w14:textId="65168AAD" w:rsidR="00D75D3D" w:rsidRPr="00D75D3D" w:rsidRDefault="00D75D3D" w:rsidP="003C7B35">
      <w:pPr>
        <w:jc w:val="center"/>
        <w:rPr>
          <w:rStyle w:val="Hyperlink"/>
          <w:rFonts w:asciiTheme="majorBidi" w:hAnsiTheme="majorBidi" w:cstheme="majorBidi"/>
          <w:sz w:val="24"/>
          <w:szCs w:val="24"/>
          <w:lang w:val="en-GB"/>
        </w:rPr>
      </w:pPr>
      <w:r w:rsidRPr="007F5EEF">
        <w:rPr>
          <w:rFonts w:asciiTheme="majorBidi" w:hAnsiTheme="majorBidi" w:cstheme="majorBidi"/>
          <w:sz w:val="24"/>
          <w:szCs w:val="24"/>
        </w:rPr>
        <w:t xml:space="preserve">Source: </w:t>
      </w:r>
      <w:r w:rsidRPr="007F5EEF">
        <w:rPr>
          <w:rStyle w:val="Strong"/>
          <w:rFonts w:asciiTheme="majorBidi" w:hAnsiTheme="majorBidi" w:cstheme="majorBidi"/>
          <w:sz w:val="24"/>
          <w:szCs w:val="24"/>
        </w:rPr>
        <w:t>Proderma Laboratoires Dérmo-Cosmétique.</w:t>
      </w:r>
      <w:r w:rsidRPr="000A57CD">
        <w:rPr>
          <w:rFonts w:asciiTheme="majorBidi" w:hAnsiTheme="majorBidi" w:cstheme="majorBidi"/>
          <w:sz w:val="24"/>
          <w:szCs w:val="24"/>
        </w:rPr>
        <w:t xml:space="preserve"> </w:t>
      </w:r>
      <w:r w:rsidRPr="007F5EEF">
        <w:rPr>
          <w:rStyle w:val="Emphasis"/>
          <w:rFonts w:asciiTheme="majorBidi" w:hAnsiTheme="majorBidi" w:cstheme="majorBidi"/>
          <w:sz w:val="24"/>
          <w:szCs w:val="24"/>
          <w:lang w:val="en-GB"/>
        </w:rPr>
        <w:t>Facebook page</w:t>
      </w:r>
      <w:r w:rsidRPr="007F5EEF">
        <w:rPr>
          <w:rFonts w:asciiTheme="majorBidi" w:hAnsiTheme="majorBidi" w:cstheme="majorBidi"/>
          <w:sz w:val="24"/>
          <w:szCs w:val="24"/>
          <w:lang w:val="en-GB"/>
        </w:rPr>
        <w:t xml:space="preserve">. Facebook. Retrieved May 27, 2025, from </w:t>
      </w:r>
      <w:hyperlink r:id="rId33" w:tgtFrame="_new" w:history="1">
        <w:r w:rsidRPr="007F5EEF">
          <w:rPr>
            <w:rStyle w:val="Hyperlink"/>
            <w:rFonts w:asciiTheme="majorBidi" w:hAnsiTheme="majorBidi" w:cstheme="majorBidi"/>
            <w:sz w:val="24"/>
            <w:szCs w:val="24"/>
            <w:lang w:val="en-GB"/>
          </w:rPr>
          <w:t>https://www.facebook.com/PRODERMA.Laboratoires/</w:t>
        </w:r>
      </w:hyperlink>
    </w:p>
    <w:p w14:paraId="1916C7FD" w14:textId="77777777" w:rsidR="00D75D3D" w:rsidRDefault="00D75D3D" w:rsidP="00C248A7">
      <w:pPr>
        <w:jc w:val="center"/>
        <w:rPr>
          <w:rFonts w:asciiTheme="majorBidi" w:hAnsiTheme="majorBidi" w:cstheme="majorBidi"/>
          <w:b/>
          <w:bCs/>
          <w:noProof/>
          <w:sz w:val="24"/>
          <w:szCs w:val="24"/>
          <w:lang w:val="en-GB"/>
        </w:rPr>
      </w:pPr>
    </w:p>
    <w:p w14:paraId="12EC7678" w14:textId="77777777" w:rsidR="00436E06" w:rsidRDefault="00436E06" w:rsidP="0009045B">
      <w:pPr>
        <w:rPr>
          <w:rFonts w:asciiTheme="majorBidi" w:hAnsiTheme="majorBidi" w:cstheme="majorBidi"/>
          <w:b/>
          <w:bCs/>
          <w:noProof/>
          <w:sz w:val="24"/>
          <w:szCs w:val="24"/>
          <w:lang w:val="en-GB"/>
        </w:rPr>
      </w:pPr>
    </w:p>
    <w:p w14:paraId="175983CE" w14:textId="7E6F776C" w:rsidR="00D75D3D" w:rsidRPr="007F5EEF" w:rsidRDefault="00D75D3D" w:rsidP="00C248A7">
      <w:pPr>
        <w:jc w:val="center"/>
        <w:rPr>
          <w:rFonts w:asciiTheme="majorBidi" w:hAnsiTheme="majorBidi" w:cstheme="majorBidi"/>
          <w:noProof/>
          <w:sz w:val="24"/>
          <w:szCs w:val="24"/>
          <w:lang w:val="en-GB"/>
        </w:rPr>
      </w:pPr>
      <w:r w:rsidRPr="007F5EEF">
        <w:rPr>
          <w:rFonts w:asciiTheme="majorBidi" w:hAnsiTheme="majorBidi" w:cstheme="majorBidi"/>
          <w:b/>
          <w:bCs/>
          <w:noProof/>
          <w:sz w:val="24"/>
          <w:szCs w:val="24"/>
          <w:lang w:val="en-GB"/>
        </w:rPr>
        <w:t>Figure</w:t>
      </w:r>
      <w:r w:rsidR="00436E06">
        <w:rPr>
          <w:rFonts w:asciiTheme="majorBidi" w:hAnsiTheme="majorBidi" w:cstheme="majorBidi"/>
          <w:b/>
          <w:bCs/>
          <w:noProof/>
          <w:sz w:val="24"/>
          <w:szCs w:val="24"/>
          <w:lang w:val="en-GB"/>
        </w:rPr>
        <w:t xml:space="preserve"> 7</w:t>
      </w:r>
      <w:r w:rsidRPr="007F5EEF">
        <w:rPr>
          <w:rFonts w:asciiTheme="majorBidi" w:hAnsiTheme="majorBidi" w:cstheme="majorBidi"/>
          <w:b/>
          <w:bCs/>
          <w:noProof/>
          <w:sz w:val="24"/>
          <w:szCs w:val="24"/>
          <w:lang w:val="en-GB"/>
        </w:rPr>
        <w:t>:</w:t>
      </w:r>
      <w:r w:rsidRPr="007F5EEF">
        <w:rPr>
          <w:rFonts w:asciiTheme="majorBidi" w:hAnsiTheme="majorBidi" w:cstheme="majorBidi"/>
          <w:noProof/>
          <w:sz w:val="24"/>
          <w:szCs w:val="24"/>
          <w:lang w:val="en-GB"/>
        </w:rPr>
        <w:t xml:space="preserve"> </w:t>
      </w:r>
      <w:r w:rsidRPr="007F5EEF">
        <w:rPr>
          <w:rStyle w:val="Emphasis"/>
          <w:rFonts w:asciiTheme="majorBidi" w:hAnsiTheme="majorBidi" w:cstheme="majorBidi"/>
          <w:sz w:val="24"/>
          <w:szCs w:val="24"/>
          <w:lang w:val="en-GB"/>
        </w:rPr>
        <w:t>Instagram QR Code for Proderma Algeria (@proderma.algeria)</w:t>
      </w:r>
    </w:p>
    <w:p w14:paraId="60223F1D" w14:textId="77777777" w:rsidR="00D75D3D" w:rsidRPr="007F5EEF" w:rsidRDefault="00D75D3D" w:rsidP="00C248A7">
      <w:pPr>
        <w:jc w:val="center"/>
        <w:rPr>
          <w:rFonts w:asciiTheme="majorBidi" w:hAnsiTheme="majorBidi" w:cstheme="majorBidi"/>
          <w:noProof/>
          <w:sz w:val="24"/>
          <w:szCs w:val="24"/>
          <w:lang w:val="en-GB"/>
        </w:rPr>
      </w:pPr>
      <w:r w:rsidRPr="007F5EEF">
        <w:rPr>
          <w:rFonts w:asciiTheme="majorBidi" w:hAnsiTheme="majorBidi" w:cstheme="majorBidi"/>
          <w:noProof/>
          <w:sz w:val="24"/>
          <w:szCs w:val="24"/>
          <w:lang w:val="en-GB"/>
        </w:rPr>
        <w:drawing>
          <wp:inline distT="0" distB="0" distL="0" distR="0" wp14:anchorId="62A605E4" wp14:editId="163CE362">
            <wp:extent cx="1974850" cy="2082325"/>
            <wp:effectExtent l="171450" t="171450" r="177800" b="18478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34">
                      <a:extLst>
                        <a:ext uri="{28A0092B-C50C-407E-A947-70E740481C1C}">
                          <a14:useLocalDpi xmlns:a14="http://schemas.microsoft.com/office/drawing/2010/main" val="0"/>
                        </a:ext>
                      </a:extLst>
                    </a:blip>
                    <a:srcRect l="15369" t="28009" r="15155" b="38165"/>
                    <a:stretch/>
                  </pic:blipFill>
                  <pic:spPr bwMode="auto">
                    <a:xfrm>
                      <a:off x="0" y="0"/>
                      <a:ext cx="1987586" cy="2095754"/>
                    </a:xfrm>
                    <a:prstGeom prst="rect">
                      <a:avLst/>
                    </a:prstGeom>
                    <a:solidFill>
                      <a:srgbClr val="FFFFFF">
                        <a:shade val="85000"/>
                      </a:srgbClr>
                    </a:solidFill>
                    <a:ln w="190500" cap="rnd" cmpd="sng" algn="ctr">
                      <a:solidFill>
                        <a:srgbClr val="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1CDC2E1A" w14:textId="2AEC95CA" w:rsidR="00D75D3D" w:rsidRPr="007F5EEF" w:rsidRDefault="00D75D3D" w:rsidP="00C248A7">
      <w:pPr>
        <w:jc w:val="center"/>
        <w:rPr>
          <w:rFonts w:asciiTheme="majorBidi" w:hAnsiTheme="majorBidi" w:cstheme="majorBidi"/>
          <w:noProof/>
          <w:sz w:val="24"/>
          <w:szCs w:val="24"/>
          <w:lang w:val="en-GB"/>
        </w:rPr>
      </w:pPr>
      <w:r w:rsidRPr="007F5EEF">
        <w:rPr>
          <w:rStyle w:val="Strong"/>
          <w:rFonts w:asciiTheme="majorBidi" w:hAnsiTheme="majorBidi" w:cstheme="majorBidi"/>
          <w:sz w:val="24"/>
          <w:szCs w:val="24"/>
          <w:lang w:val="en-GB"/>
        </w:rPr>
        <w:t>Source: Proderma Algeria</w:t>
      </w:r>
      <w:r w:rsidRPr="007F5EEF">
        <w:rPr>
          <w:rFonts w:asciiTheme="majorBidi" w:hAnsiTheme="majorBidi" w:cstheme="majorBidi"/>
          <w:sz w:val="24"/>
          <w:szCs w:val="24"/>
          <w:lang w:val="en-GB"/>
        </w:rPr>
        <w:t xml:space="preserve">. </w:t>
      </w:r>
      <w:r w:rsidRPr="007F5EEF">
        <w:rPr>
          <w:rStyle w:val="Emphasis"/>
          <w:rFonts w:asciiTheme="majorBidi" w:hAnsiTheme="majorBidi" w:cstheme="majorBidi"/>
          <w:sz w:val="24"/>
          <w:szCs w:val="24"/>
          <w:lang w:val="en-GB"/>
        </w:rPr>
        <w:t>Instagram profile</w:t>
      </w:r>
      <w:r w:rsidRPr="007F5EEF">
        <w:rPr>
          <w:rFonts w:asciiTheme="majorBidi" w:hAnsiTheme="majorBidi" w:cstheme="majorBidi"/>
          <w:sz w:val="24"/>
          <w:szCs w:val="24"/>
          <w:lang w:val="en-GB"/>
        </w:rPr>
        <w:t xml:space="preserve">. Instagram. Retrieved May 27, 2025, from </w:t>
      </w:r>
      <w:hyperlink r:id="rId35" w:tgtFrame="_new" w:history="1">
        <w:r w:rsidRPr="007F5EEF">
          <w:rPr>
            <w:rStyle w:val="Hyperlink"/>
            <w:rFonts w:asciiTheme="majorBidi" w:hAnsiTheme="majorBidi" w:cstheme="majorBidi"/>
            <w:sz w:val="24"/>
            <w:szCs w:val="24"/>
            <w:lang w:val="en-GB"/>
          </w:rPr>
          <w:t>https://www.instagram.com/proderma.algeria/</w:t>
        </w:r>
      </w:hyperlink>
    </w:p>
    <w:p w14:paraId="45E16ADF" w14:textId="209155D7" w:rsidR="00D75D3D" w:rsidRPr="0004637B" w:rsidRDefault="0004637B" w:rsidP="00413B73">
      <w:pPr>
        <w:pStyle w:val="ListParagraph"/>
        <w:numPr>
          <w:ilvl w:val="1"/>
          <w:numId w:val="88"/>
        </w:numPr>
        <w:spacing w:before="100" w:beforeAutospacing="1" w:after="100" w:afterAutospacing="1" w:line="360" w:lineRule="auto"/>
        <w:rPr>
          <w:rFonts w:asciiTheme="majorBidi" w:eastAsia="Times New Roman" w:hAnsiTheme="majorBidi" w:cstheme="majorBidi"/>
          <w:sz w:val="24"/>
          <w:szCs w:val="24"/>
          <w:lang w:val="en-GB" w:eastAsia="fr-FR"/>
        </w:rPr>
      </w:pPr>
      <w:r>
        <w:rPr>
          <w:rFonts w:asciiTheme="majorBidi" w:eastAsia="Times New Roman" w:hAnsiTheme="majorBidi" w:cstheme="majorBidi"/>
          <w:b/>
          <w:bCs/>
          <w:sz w:val="24"/>
          <w:szCs w:val="24"/>
          <w:lang w:val="en-GB" w:eastAsia="fr-FR"/>
        </w:rPr>
        <w:t xml:space="preserve"> </w:t>
      </w:r>
      <w:bookmarkStart w:id="276" w:name="_Toc200720057"/>
      <w:bookmarkStart w:id="277" w:name="_Toc200721698"/>
      <w:r w:rsidR="00D75D3D" w:rsidRPr="00BB2F8D">
        <w:rPr>
          <w:rStyle w:val="Heading4Char"/>
        </w:rPr>
        <w:t>Objective of PRODERMA Company</w:t>
      </w:r>
      <w:bookmarkEnd w:id="276"/>
      <w:bookmarkEnd w:id="277"/>
      <w:r w:rsidR="00D75D3D" w:rsidRPr="0004637B">
        <w:rPr>
          <w:rFonts w:asciiTheme="majorBidi" w:eastAsia="Times New Roman" w:hAnsiTheme="majorBidi" w:cstheme="majorBidi"/>
          <w:b/>
          <w:bCs/>
          <w:sz w:val="24"/>
          <w:szCs w:val="24"/>
          <w:lang w:val="en-GB" w:eastAsia="fr-FR"/>
        </w:rPr>
        <w:t>:</w:t>
      </w:r>
    </w:p>
    <w:p w14:paraId="73CDB52A"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Creating direct and permanent job opportunities.</w:t>
      </w:r>
    </w:p>
    <w:p w14:paraId="35AC0964"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Generating added value.</w:t>
      </w:r>
    </w:p>
    <w:p w14:paraId="23F101FE"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Reducing the import bill.</w:t>
      </w:r>
    </w:p>
    <w:p w14:paraId="6FE63DBE"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Diversifying products and making them easily accessible in local markets.</w:t>
      </w:r>
    </w:p>
    <w:p w14:paraId="6EDBA55F"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Contributing to the tax revenues of the concerned province.</w:t>
      </w:r>
    </w:p>
    <w:p w14:paraId="7B641762"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Significantly improving the living standards of directly benefiting households.</w:t>
      </w:r>
    </w:p>
    <w:p w14:paraId="49E1FDC4" w14:textId="77777777" w:rsidR="00D75D3D" w:rsidRPr="00746FAC" w:rsidRDefault="00D75D3D" w:rsidP="0009045B">
      <w:pPr>
        <w:numPr>
          <w:ilvl w:val="0"/>
          <w:numId w:val="31"/>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Encouraging local production.</w:t>
      </w:r>
    </w:p>
    <w:p w14:paraId="7DD12915" w14:textId="1857754C" w:rsidR="00D75D3D" w:rsidRPr="00B34685" w:rsidRDefault="00D75D3D" w:rsidP="00413B73">
      <w:pPr>
        <w:pStyle w:val="ListParagraph"/>
        <w:numPr>
          <w:ilvl w:val="1"/>
          <w:numId w:val="88"/>
        </w:numPr>
        <w:spacing w:before="100" w:beforeAutospacing="1" w:after="100" w:afterAutospacing="1" w:line="360" w:lineRule="auto"/>
        <w:rPr>
          <w:rFonts w:asciiTheme="majorBidi" w:eastAsia="Times New Roman" w:hAnsiTheme="majorBidi" w:cstheme="majorBidi"/>
          <w:sz w:val="24"/>
          <w:szCs w:val="24"/>
          <w:lang w:eastAsia="fr-FR"/>
        </w:rPr>
      </w:pPr>
      <w:r w:rsidRPr="00B34685">
        <w:rPr>
          <w:rFonts w:asciiTheme="majorBidi" w:eastAsia="Times New Roman" w:hAnsiTheme="majorBidi" w:cstheme="majorBidi"/>
          <w:b/>
          <w:bCs/>
          <w:sz w:val="24"/>
          <w:szCs w:val="24"/>
          <w:lang w:eastAsia="fr-FR"/>
        </w:rPr>
        <w:t xml:space="preserve"> </w:t>
      </w:r>
      <w:bookmarkStart w:id="278" w:name="_Toc200720058"/>
      <w:bookmarkStart w:id="279" w:name="_Toc200721699"/>
      <w:r w:rsidRPr="00BB2F8D">
        <w:rPr>
          <w:rStyle w:val="Heading4Char"/>
        </w:rPr>
        <w:t>Equipment and Products Used</w:t>
      </w:r>
      <w:bookmarkEnd w:id="278"/>
      <w:bookmarkEnd w:id="279"/>
      <w:r w:rsidRPr="00B34685">
        <w:rPr>
          <w:rFonts w:asciiTheme="majorBidi" w:eastAsia="Times New Roman" w:hAnsiTheme="majorBidi" w:cstheme="majorBidi"/>
          <w:b/>
          <w:bCs/>
          <w:sz w:val="24"/>
          <w:szCs w:val="24"/>
          <w:lang w:eastAsia="fr-FR"/>
        </w:rPr>
        <w:t>:</w:t>
      </w:r>
    </w:p>
    <w:p w14:paraId="5C220583"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Production line for liquid forms (filling, capping, labeling).</w:t>
      </w:r>
    </w:p>
    <w:p w14:paraId="203A483C"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Filling line for semi-liquid forms (filling, sealing, tube closing).</w:t>
      </w:r>
    </w:p>
    <w:p w14:paraId="76F1F0DF"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Storage tanks and processing tanks.</w:t>
      </w:r>
    </w:p>
    <w:p w14:paraId="3AB29B5D"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Water treatment plant.</w:t>
      </w:r>
    </w:p>
    <w:p w14:paraId="70FF1E77"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Alcohol storage containers with a capacity of 3.5 cubic meters.</w:t>
      </w:r>
    </w:p>
    <w:p w14:paraId="0640B9B7" w14:textId="77777777" w:rsidR="00D75D3D" w:rsidRPr="00746FAC" w:rsidRDefault="00D75D3D" w:rsidP="0009045B">
      <w:pPr>
        <w:numPr>
          <w:ilvl w:val="0"/>
          <w:numId w:val="32"/>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Transportation means: vehicles and trucks.</w:t>
      </w:r>
    </w:p>
    <w:p w14:paraId="7C2145F8" w14:textId="5EE3700B" w:rsidR="00D75D3D" w:rsidRPr="00B34685" w:rsidRDefault="00D75D3D" w:rsidP="00413B73">
      <w:pPr>
        <w:pStyle w:val="ListParagraph"/>
        <w:numPr>
          <w:ilvl w:val="1"/>
          <w:numId w:val="88"/>
        </w:numPr>
        <w:spacing w:before="100" w:beforeAutospacing="1" w:after="100" w:afterAutospacing="1" w:line="360" w:lineRule="auto"/>
        <w:rPr>
          <w:rFonts w:asciiTheme="majorBidi" w:eastAsia="Times New Roman" w:hAnsiTheme="majorBidi" w:cstheme="majorBidi"/>
          <w:sz w:val="24"/>
          <w:szCs w:val="24"/>
          <w:lang w:val="en-GB" w:eastAsia="fr-FR"/>
        </w:rPr>
      </w:pPr>
      <w:r w:rsidRPr="00B34685">
        <w:rPr>
          <w:rFonts w:asciiTheme="majorBidi" w:eastAsia="Times New Roman" w:hAnsiTheme="majorBidi" w:cstheme="majorBidi"/>
          <w:b/>
          <w:bCs/>
          <w:sz w:val="24"/>
          <w:szCs w:val="24"/>
          <w:lang w:val="en-GB" w:eastAsia="fr-FR"/>
        </w:rPr>
        <w:t xml:space="preserve"> </w:t>
      </w:r>
      <w:bookmarkStart w:id="280" w:name="_Toc200720059"/>
      <w:bookmarkStart w:id="281" w:name="_Toc200721700"/>
      <w:r w:rsidRPr="00BB2F8D">
        <w:rPr>
          <w:rStyle w:val="Heading4Char"/>
        </w:rPr>
        <w:t>Company Infrastructure</w:t>
      </w:r>
      <w:bookmarkEnd w:id="280"/>
      <w:bookmarkEnd w:id="281"/>
      <w:r w:rsidRPr="00B34685">
        <w:rPr>
          <w:rFonts w:asciiTheme="majorBidi" w:eastAsia="Times New Roman" w:hAnsiTheme="majorBidi" w:cstheme="majorBidi"/>
          <w:b/>
          <w:bCs/>
          <w:sz w:val="24"/>
          <w:szCs w:val="24"/>
          <w:lang w:val="en-GB" w:eastAsia="fr-FR"/>
        </w:rPr>
        <w:t>:</w:t>
      </w:r>
    </w:p>
    <w:p w14:paraId="2386268B"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PRODERMA Company consists of:</w:t>
      </w:r>
    </w:p>
    <w:p w14:paraId="6C816840"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b/>
          <w:bCs/>
          <w:sz w:val="24"/>
          <w:szCs w:val="24"/>
          <w:lang w:eastAsia="fr-FR"/>
        </w:rPr>
        <w:t>Administrative Department:</w:t>
      </w:r>
    </w:p>
    <w:p w14:paraId="3B896393" w14:textId="77777777" w:rsidR="00D75D3D" w:rsidRPr="00746FAC" w:rsidRDefault="00D75D3D" w:rsidP="0009045B">
      <w:pPr>
        <w:numPr>
          <w:ilvl w:val="0"/>
          <w:numId w:val="33"/>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Accounting and financial services.</w:t>
      </w:r>
    </w:p>
    <w:p w14:paraId="20BDCFDA" w14:textId="77777777" w:rsidR="00D75D3D" w:rsidRPr="00746FAC" w:rsidRDefault="00D75D3D" w:rsidP="0009045B">
      <w:pPr>
        <w:numPr>
          <w:ilvl w:val="0"/>
          <w:numId w:val="33"/>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Human resources management service.</w:t>
      </w:r>
    </w:p>
    <w:p w14:paraId="2CDBA2AE" w14:textId="77777777" w:rsidR="00D75D3D" w:rsidRPr="00746FAC" w:rsidRDefault="00D75D3D" w:rsidP="0009045B">
      <w:pPr>
        <w:numPr>
          <w:ilvl w:val="0"/>
          <w:numId w:val="33"/>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Secretarial services.</w:t>
      </w:r>
    </w:p>
    <w:p w14:paraId="00FCC7CE"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b/>
          <w:bCs/>
          <w:sz w:val="24"/>
          <w:szCs w:val="24"/>
          <w:lang w:eastAsia="fr-FR"/>
        </w:rPr>
        <w:t>Sales Department:</w:t>
      </w:r>
    </w:p>
    <w:p w14:paraId="7C89CE19" w14:textId="77777777" w:rsidR="00D75D3D" w:rsidRPr="00746FAC" w:rsidRDefault="00D75D3D" w:rsidP="0009045B">
      <w:pPr>
        <w:numPr>
          <w:ilvl w:val="0"/>
          <w:numId w:val="34"/>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Purchasing, sales, and marketing.</w:t>
      </w:r>
    </w:p>
    <w:p w14:paraId="4DB491FD"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b/>
          <w:bCs/>
          <w:sz w:val="24"/>
          <w:szCs w:val="24"/>
          <w:lang w:eastAsia="fr-FR"/>
        </w:rPr>
        <w:t>Production Department:</w:t>
      </w:r>
    </w:p>
    <w:p w14:paraId="2351747F" w14:textId="77777777" w:rsidR="00D75D3D" w:rsidRPr="00746FAC" w:rsidRDefault="00D75D3D" w:rsidP="0009045B">
      <w:pPr>
        <w:numPr>
          <w:ilvl w:val="0"/>
          <w:numId w:val="35"/>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Preparatory units:</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Soap unit</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Animal food production unit</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Two preparation units (White Rooms)</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Two conditioning rooms</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Water treatment station</w:t>
      </w:r>
    </w:p>
    <w:p w14:paraId="06EF00F6"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b/>
          <w:bCs/>
          <w:sz w:val="24"/>
          <w:szCs w:val="24"/>
          <w:lang w:val="en-GB" w:eastAsia="fr-FR"/>
        </w:rPr>
        <w:t>Warehouses:</w:t>
      </w:r>
      <w:r w:rsidRPr="00746FAC">
        <w:rPr>
          <w:rFonts w:asciiTheme="majorBidi" w:eastAsia="Times New Roman" w:hAnsiTheme="majorBidi" w:cstheme="majorBidi"/>
          <w:sz w:val="24"/>
          <w:szCs w:val="24"/>
          <w:lang w:val="en-GB" w:eastAsia="fr-FR"/>
        </w:rPr>
        <w:br/>
        <w:t>There are three warehouses:</w:t>
      </w:r>
    </w:p>
    <w:p w14:paraId="1A048229" w14:textId="77777777" w:rsidR="00D75D3D" w:rsidRPr="00746FAC" w:rsidRDefault="00D75D3D" w:rsidP="0009045B">
      <w:pPr>
        <w:numPr>
          <w:ilvl w:val="0"/>
          <w:numId w:val="36"/>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Raw materials warehouse</w:t>
      </w:r>
    </w:p>
    <w:p w14:paraId="3A02197D" w14:textId="77777777" w:rsidR="00D75D3D" w:rsidRPr="00746FAC" w:rsidRDefault="00D75D3D" w:rsidP="0009045B">
      <w:pPr>
        <w:numPr>
          <w:ilvl w:val="0"/>
          <w:numId w:val="36"/>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Packaging warehouse</w:t>
      </w:r>
    </w:p>
    <w:p w14:paraId="7D98ABE5" w14:textId="77777777" w:rsidR="00D75D3D" w:rsidRPr="00746FAC" w:rsidRDefault="00D75D3D" w:rsidP="0009045B">
      <w:pPr>
        <w:numPr>
          <w:ilvl w:val="0"/>
          <w:numId w:val="36"/>
        </w:num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Finished products warehouse</w:t>
      </w:r>
    </w:p>
    <w:p w14:paraId="65076813" w14:textId="77777777" w:rsidR="00D75D3D" w:rsidRPr="00746FAC" w:rsidRDefault="00D75D3D" w:rsidP="0009045B">
      <w:pPr>
        <w:spacing w:before="100" w:beforeAutospacing="1" w:after="100" w:afterAutospacing="1"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b/>
          <w:bCs/>
          <w:sz w:val="24"/>
          <w:szCs w:val="24"/>
          <w:lang w:eastAsia="fr-FR"/>
        </w:rPr>
        <w:t>Laboratory:</w:t>
      </w:r>
    </w:p>
    <w:p w14:paraId="1740C6D7" w14:textId="2223A48B" w:rsidR="00B4091D" w:rsidRPr="00C3174C" w:rsidRDefault="00D75D3D" w:rsidP="00C3174C">
      <w:pPr>
        <w:numPr>
          <w:ilvl w:val="0"/>
          <w:numId w:val="37"/>
        </w:numPr>
        <w:spacing w:before="100" w:beforeAutospacing="1" w:after="100" w:afterAutospacing="1"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Analysis and quality control unit:</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Physical and chemical analyses</w:t>
      </w:r>
      <w:r w:rsidRPr="00746FAC">
        <w:rPr>
          <w:rFonts w:asciiTheme="majorBidi" w:eastAsia="Times New Roman" w:hAnsiTheme="majorBidi" w:cstheme="majorBidi"/>
          <w:sz w:val="24"/>
          <w:szCs w:val="24"/>
          <w:lang w:val="en-GB" w:eastAsia="fr-FR"/>
        </w:rPr>
        <w:br/>
      </w:r>
      <w:r w:rsidRPr="00746FAC">
        <w:rPr>
          <w:rFonts w:ascii="Segoe UI Symbol" w:eastAsia="Times New Roman" w:hAnsi="Segoe UI Symbol" w:cs="Segoe UI Symbol"/>
          <w:sz w:val="24"/>
          <w:szCs w:val="24"/>
          <w:lang w:val="en-GB" w:eastAsia="fr-FR"/>
        </w:rPr>
        <w:t>✓</w:t>
      </w:r>
      <w:r w:rsidRPr="00746FAC">
        <w:rPr>
          <w:rFonts w:asciiTheme="majorBidi" w:eastAsia="Times New Roman" w:hAnsiTheme="majorBidi" w:cstheme="majorBidi"/>
          <w:sz w:val="24"/>
          <w:szCs w:val="24"/>
          <w:lang w:val="en-GB" w:eastAsia="fr-FR"/>
        </w:rPr>
        <w:t xml:space="preserve"> Microbiological analyses</w:t>
      </w:r>
      <w:r w:rsidR="00C3174C">
        <w:rPr>
          <w:rFonts w:asciiTheme="majorBidi" w:eastAsia="Times New Roman" w:hAnsiTheme="majorBidi" w:cstheme="majorBidi"/>
          <w:sz w:val="24"/>
          <w:szCs w:val="24"/>
          <w:lang w:val="en-GB" w:eastAsia="fr-FR"/>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383"/>
      </w:tblGrid>
      <w:tr w:rsidR="0009045B" w:rsidRPr="00FB2AD1" w14:paraId="0B428311" w14:textId="77777777" w:rsidTr="00282F4E">
        <w:trPr>
          <w:tblHeader/>
          <w:tblCellSpacing w:w="15" w:type="dxa"/>
          <w:jc w:val="center"/>
        </w:trPr>
        <w:tc>
          <w:tcPr>
            <w:tcW w:w="0" w:type="auto"/>
            <w:vAlign w:val="center"/>
            <w:hideMark/>
          </w:tcPr>
          <w:p w14:paraId="6C543BCA" w14:textId="77777777" w:rsidR="00C3174C" w:rsidRDefault="00C3174C" w:rsidP="00C3174C">
            <w:pPr>
              <w:spacing w:after="0" w:line="360" w:lineRule="auto"/>
              <w:rPr>
                <w:rFonts w:ascii="Times New Roman" w:eastAsia="Times New Roman" w:hAnsi="Times New Roman" w:cs="Times New Roman"/>
                <w:b/>
                <w:bCs/>
                <w:sz w:val="24"/>
                <w:szCs w:val="24"/>
                <w:lang w:val="en-GB" w:eastAsia="fr-FR"/>
              </w:rPr>
            </w:pPr>
          </w:p>
          <w:p w14:paraId="220DECCF" w14:textId="4C6C2856" w:rsidR="0009045B" w:rsidRPr="00BD67EF" w:rsidRDefault="0009045B" w:rsidP="00C3174C">
            <w:pPr>
              <w:spacing w:after="0" w:line="360" w:lineRule="auto"/>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 xml:space="preserve">Table 4: </w:t>
            </w:r>
            <w:r w:rsidRPr="00E52576">
              <w:rPr>
                <w:rFonts w:ascii="Times New Roman" w:eastAsia="Times New Roman" w:hAnsi="Times New Roman" w:cs="Times New Roman"/>
                <w:sz w:val="24"/>
                <w:szCs w:val="24"/>
                <w:lang w:val="en-GB" w:eastAsia="fr-FR"/>
              </w:rPr>
              <w:t>Products Manufactured by the Unit</w:t>
            </w:r>
          </w:p>
        </w:tc>
      </w:tr>
    </w:tbl>
    <w:tbl>
      <w:tblPr>
        <w:tblStyle w:val="PlainTable1"/>
        <w:tblW w:w="0" w:type="auto"/>
        <w:tblLook w:val="04A0" w:firstRow="1" w:lastRow="0" w:firstColumn="1" w:lastColumn="0" w:noHBand="0" w:noVBand="1"/>
      </w:tblPr>
      <w:tblGrid>
        <w:gridCol w:w="2984"/>
        <w:gridCol w:w="6078"/>
      </w:tblGrid>
      <w:tr w:rsidR="00D75D3D" w:rsidRPr="00746FAC" w14:paraId="71EF7119" w14:textId="77777777" w:rsidTr="00746F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A97DC6" w14:textId="77777777" w:rsidR="00D75D3D" w:rsidRPr="00746FAC" w:rsidRDefault="00D75D3D" w:rsidP="0009045B">
            <w:pPr>
              <w:spacing w:line="360" w:lineRule="auto"/>
              <w:jc w:val="center"/>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Products Manufactured by the Unit</w:t>
            </w:r>
          </w:p>
        </w:tc>
        <w:tc>
          <w:tcPr>
            <w:tcW w:w="0" w:type="auto"/>
            <w:hideMark/>
          </w:tcPr>
          <w:p w14:paraId="034B119D" w14:textId="77777777" w:rsidR="00D75D3D" w:rsidRPr="00746FAC" w:rsidRDefault="00D75D3D" w:rsidP="0009045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Description</w:t>
            </w:r>
          </w:p>
        </w:tc>
      </w:tr>
      <w:tr w:rsidR="00D75D3D" w:rsidRPr="00FB2AD1" w14:paraId="374F0B48" w14:textId="77777777" w:rsidTr="00746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D2CDB7" w14:textId="77777777" w:rsidR="00D75D3D" w:rsidRPr="00746FAC" w:rsidRDefault="00D75D3D" w:rsidP="0009045B">
            <w:pPr>
              <w:spacing w:line="360" w:lineRule="auto"/>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Products against microorganisms in tissues</w:t>
            </w:r>
          </w:p>
        </w:tc>
        <w:tc>
          <w:tcPr>
            <w:tcW w:w="0" w:type="auto"/>
            <w:hideMark/>
          </w:tcPr>
          <w:p w14:paraId="772A92CF" w14:textId="77777777" w:rsidR="00D75D3D" w:rsidRPr="00746FAC" w:rsidRDefault="00D75D3D" w:rsidP="0009045B">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Such as 90% surgical alcohol, 70% surgical alcohol, Dakin, hydrogen peroxide, etc.</w:t>
            </w:r>
          </w:p>
        </w:tc>
      </w:tr>
      <w:tr w:rsidR="00D75D3D" w:rsidRPr="00FB2AD1" w14:paraId="7F40C59B" w14:textId="77777777" w:rsidTr="00746FAC">
        <w:tc>
          <w:tcPr>
            <w:cnfStyle w:val="001000000000" w:firstRow="0" w:lastRow="0" w:firstColumn="1" w:lastColumn="0" w:oddVBand="0" w:evenVBand="0" w:oddHBand="0" w:evenHBand="0" w:firstRowFirstColumn="0" w:firstRowLastColumn="0" w:lastRowFirstColumn="0" w:lastRowLastColumn="0"/>
            <w:tcW w:w="0" w:type="auto"/>
            <w:hideMark/>
          </w:tcPr>
          <w:p w14:paraId="6E709B33"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Main disinfectants and germicides</w:t>
            </w:r>
          </w:p>
        </w:tc>
        <w:tc>
          <w:tcPr>
            <w:tcW w:w="0" w:type="auto"/>
            <w:hideMark/>
          </w:tcPr>
          <w:p w14:paraId="70FEEFC1" w14:textId="77777777" w:rsidR="00D75D3D" w:rsidRPr="00746FAC" w:rsidRDefault="00D75D3D" w:rsidP="0009045B">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Intended for use in hospital environments, such as: floor cleaning liquid, Dermacool hand sanitizer gel, DSF liquid hand soap, etc.</w:t>
            </w:r>
          </w:p>
        </w:tc>
      </w:tr>
      <w:tr w:rsidR="00D75D3D" w:rsidRPr="00746FAC" w14:paraId="66FEDB0C" w14:textId="77777777" w:rsidTr="00746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E9CD4E"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Hygiene and disinfectant products</w:t>
            </w:r>
          </w:p>
        </w:tc>
        <w:tc>
          <w:tcPr>
            <w:tcW w:w="0" w:type="auto"/>
            <w:hideMark/>
          </w:tcPr>
          <w:p w14:paraId="0E762F3C" w14:textId="77777777" w:rsidR="00D75D3D" w:rsidRPr="00746FAC" w:rsidRDefault="00D75D3D" w:rsidP="0009045B">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fr-FR"/>
              </w:rPr>
            </w:pPr>
          </w:p>
        </w:tc>
      </w:tr>
      <w:tr w:rsidR="00D75D3D" w:rsidRPr="00FB2AD1" w14:paraId="5ACEFE9B" w14:textId="77777777" w:rsidTr="00746FAC">
        <w:tc>
          <w:tcPr>
            <w:cnfStyle w:val="001000000000" w:firstRow="0" w:lastRow="0" w:firstColumn="1" w:lastColumn="0" w:oddVBand="0" w:evenVBand="0" w:oddHBand="0" w:evenHBand="0" w:firstRowFirstColumn="0" w:firstRowLastColumn="0" w:lastRowFirstColumn="0" w:lastRowLastColumn="0"/>
            <w:tcW w:w="0" w:type="auto"/>
            <w:hideMark/>
          </w:tcPr>
          <w:p w14:paraId="5A265BC9"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Moisturizing creams</w:t>
            </w:r>
          </w:p>
        </w:tc>
        <w:tc>
          <w:tcPr>
            <w:tcW w:w="0" w:type="auto"/>
            <w:hideMark/>
          </w:tcPr>
          <w:p w14:paraId="0C9C149A" w14:textId="77777777" w:rsidR="00D75D3D" w:rsidRPr="00746FAC" w:rsidRDefault="00D75D3D" w:rsidP="0009045B">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Cosmetic emulsions that help prevent dry skin: Vaseline, Polydremyl hand cream.</w:t>
            </w:r>
          </w:p>
        </w:tc>
      </w:tr>
      <w:tr w:rsidR="00D75D3D" w:rsidRPr="00FB2AD1" w14:paraId="232F420A" w14:textId="77777777" w:rsidTr="00746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0A7605"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Oils</w:t>
            </w:r>
          </w:p>
        </w:tc>
        <w:tc>
          <w:tcPr>
            <w:tcW w:w="0" w:type="auto"/>
            <w:hideMark/>
          </w:tcPr>
          <w:p w14:paraId="765E855D" w14:textId="77777777" w:rsidR="00D75D3D" w:rsidRPr="00746FAC" w:rsidRDefault="00D75D3D" w:rsidP="0009045B">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Fatty substances extracted from oilseed plants: almond oil, vaseline oil, castor oil, etc.</w:t>
            </w:r>
          </w:p>
        </w:tc>
      </w:tr>
      <w:tr w:rsidR="00D75D3D" w:rsidRPr="00FB2AD1" w14:paraId="79D8F545" w14:textId="77777777" w:rsidTr="00746FAC">
        <w:tc>
          <w:tcPr>
            <w:cnfStyle w:val="001000000000" w:firstRow="0" w:lastRow="0" w:firstColumn="1" w:lastColumn="0" w:oddVBand="0" w:evenVBand="0" w:oddHBand="0" w:evenHBand="0" w:firstRowFirstColumn="0" w:firstRowLastColumn="0" w:lastRowFirstColumn="0" w:lastRowLastColumn="0"/>
            <w:tcW w:w="0" w:type="auto"/>
            <w:hideMark/>
          </w:tcPr>
          <w:p w14:paraId="670539D8"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Gels</w:t>
            </w:r>
          </w:p>
        </w:tc>
        <w:tc>
          <w:tcPr>
            <w:tcW w:w="0" w:type="auto"/>
            <w:hideMark/>
          </w:tcPr>
          <w:p w14:paraId="4E8906DC" w14:textId="77777777" w:rsidR="00D75D3D" w:rsidRPr="00746FAC" w:rsidRDefault="00D75D3D" w:rsidP="0009045B">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GB" w:eastAsia="fr-FR"/>
              </w:rPr>
            </w:pPr>
            <w:r w:rsidRPr="00746FAC">
              <w:rPr>
                <w:rFonts w:asciiTheme="majorBidi" w:eastAsia="Times New Roman" w:hAnsiTheme="majorBidi" w:cstheme="majorBidi"/>
                <w:sz w:val="24"/>
                <w:szCs w:val="24"/>
                <w:lang w:val="en-GB" w:eastAsia="fr-FR"/>
              </w:rPr>
              <w:t>Semi-solid dosage forms: soothing massage gel, intimate gel, echographic gel.</w:t>
            </w:r>
          </w:p>
        </w:tc>
      </w:tr>
      <w:tr w:rsidR="00D75D3D" w:rsidRPr="00746FAC" w14:paraId="633D75C3" w14:textId="77777777" w:rsidTr="00746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463F9F" w14:textId="77777777" w:rsidR="00D75D3D" w:rsidRPr="00746FAC" w:rsidRDefault="00D75D3D" w:rsidP="0009045B">
            <w:pPr>
              <w:spacing w:line="360" w:lineRule="auto"/>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Food supplements</w:t>
            </w:r>
          </w:p>
        </w:tc>
        <w:tc>
          <w:tcPr>
            <w:tcW w:w="0" w:type="auto"/>
            <w:hideMark/>
          </w:tcPr>
          <w:p w14:paraId="09036B71" w14:textId="77777777" w:rsidR="00D75D3D" w:rsidRPr="00746FAC" w:rsidRDefault="00D75D3D" w:rsidP="0009045B">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fr-FR"/>
              </w:rPr>
            </w:pPr>
            <w:r w:rsidRPr="00746FAC">
              <w:rPr>
                <w:rFonts w:asciiTheme="majorBidi" w:eastAsia="Times New Roman" w:hAnsiTheme="majorBidi" w:cstheme="majorBidi"/>
                <w:sz w:val="24"/>
                <w:szCs w:val="24"/>
                <w:lang w:eastAsia="fr-FR"/>
              </w:rPr>
              <w:t>Omelette yeast, etc.</w:t>
            </w:r>
          </w:p>
        </w:tc>
      </w:tr>
    </w:tbl>
    <w:p w14:paraId="4F49FA09" w14:textId="1659004C" w:rsidR="00D75D3D" w:rsidRPr="007F5EEF" w:rsidRDefault="005C0AF0" w:rsidP="005C0AF0">
      <w:pPr>
        <w:jc w:val="center"/>
        <w:rPr>
          <w:rFonts w:asciiTheme="majorBidi" w:hAnsiTheme="majorBidi" w:cstheme="majorBidi"/>
          <w:sz w:val="24"/>
          <w:szCs w:val="24"/>
          <w:lang w:val="en-GB"/>
        </w:rPr>
      </w:pPr>
      <w:r w:rsidRPr="000A57CD">
        <w:rPr>
          <w:rFonts w:asciiTheme="majorBidi" w:hAnsiTheme="majorBidi" w:cstheme="majorBidi"/>
          <w:b/>
          <w:bCs/>
          <w:sz w:val="24"/>
          <w:szCs w:val="24"/>
          <w:lang w:val="en-GB"/>
        </w:rPr>
        <w:t>Source</w:t>
      </w:r>
      <w:r>
        <w:rPr>
          <w:rFonts w:asciiTheme="majorBidi" w:hAnsiTheme="majorBidi" w:cstheme="majorBidi"/>
          <w:sz w:val="24"/>
          <w:szCs w:val="24"/>
          <w:lang w:val="en-GB"/>
        </w:rPr>
        <w:t>: Proderma company</w:t>
      </w:r>
    </w:p>
    <w:p w14:paraId="60084CB6" w14:textId="77777777" w:rsidR="0009045B" w:rsidRDefault="0009045B" w:rsidP="007F5EEF">
      <w:pPr>
        <w:jc w:val="center"/>
        <w:rPr>
          <w:rFonts w:asciiTheme="majorBidi" w:hAnsiTheme="majorBidi" w:cstheme="majorBidi"/>
          <w:b/>
          <w:bCs/>
          <w:sz w:val="28"/>
          <w:szCs w:val="28"/>
          <w:lang w:val="en-GB"/>
        </w:rPr>
      </w:pPr>
    </w:p>
    <w:p w14:paraId="248F0112" w14:textId="3CE83376" w:rsidR="00BB2F8D" w:rsidRDefault="00BB2F8D">
      <w:pPr>
        <w:rPr>
          <w:rFonts w:asciiTheme="majorBidi" w:hAnsiTheme="majorBidi" w:cstheme="majorBidi"/>
          <w:b/>
          <w:bCs/>
          <w:sz w:val="28"/>
          <w:szCs w:val="28"/>
          <w:lang w:val="en-GB"/>
        </w:rPr>
      </w:pPr>
      <w:r>
        <w:rPr>
          <w:rFonts w:asciiTheme="majorBidi" w:hAnsiTheme="majorBidi" w:cstheme="majorBidi"/>
          <w:b/>
          <w:bCs/>
          <w:sz w:val="28"/>
          <w:szCs w:val="28"/>
          <w:lang w:val="en-GB"/>
        </w:rPr>
        <w:br w:type="page"/>
      </w:r>
    </w:p>
    <w:p w14:paraId="640A0B67" w14:textId="4AC26049" w:rsidR="00D75D3D" w:rsidRPr="00B34685" w:rsidRDefault="00D75D3D" w:rsidP="00413B73">
      <w:pPr>
        <w:pStyle w:val="ListParagraph"/>
        <w:numPr>
          <w:ilvl w:val="1"/>
          <w:numId w:val="88"/>
        </w:numPr>
        <w:rPr>
          <w:rFonts w:asciiTheme="majorBidi" w:hAnsiTheme="majorBidi" w:cstheme="majorBidi"/>
          <w:b/>
          <w:bCs/>
          <w:sz w:val="24"/>
          <w:szCs w:val="24"/>
          <w:rtl/>
        </w:rPr>
      </w:pPr>
      <w:bookmarkStart w:id="282" w:name="_Toc200720060"/>
      <w:bookmarkStart w:id="283" w:name="_Toc200721701"/>
      <w:r w:rsidRPr="00BB2F8D">
        <w:rPr>
          <w:rStyle w:val="Heading4Char"/>
        </w:rPr>
        <w:t>Organizational Structure of the Company</w:t>
      </w:r>
      <w:bookmarkEnd w:id="282"/>
      <w:bookmarkEnd w:id="283"/>
      <w:r w:rsidR="00B34685">
        <w:rPr>
          <w:rFonts w:asciiTheme="majorBidi" w:hAnsiTheme="majorBidi" w:cstheme="majorBidi"/>
          <w:b/>
          <w:bCs/>
          <w:sz w:val="24"/>
          <w:szCs w:val="24"/>
          <w:lang w:val="en-GB"/>
        </w:rPr>
        <w:t>:</w:t>
      </w:r>
    </w:p>
    <w:p w14:paraId="706449FA" w14:textId="77777777" w:rsidR="00D75D3D" w:rsidRPr="007F5EEF" w:rsidRDefault="00D75D3D" w:rsidP="007F6B41">
      <w:pPr>
        <w:jc w:val="right"/>
        <w:rPr>
          <w:rFonts w:asciiTheme="majorBidi" w:hAnsiTheme="majorBidi" w:cstheme="majorBidi"/>
          <w:sz w:val="28"/>
          <w:szCs w:val="28"/>
          <w:rtl/>
        </w:rPr>
      </w:pPr>
    </w:p>
    <w:p w14:paraId="5276FAAC"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81792" behindDoc="0" locked="0" layoutInCell="1" allowOverlap="1" wp14:anchorId="38EBDB21" wp14:editId="4B424120">
                <wp:simplePos x="0" y="0"/>
                <wp:positionH relativeFrom="column">
                  <wp:posOffset>3847134</wp:posOffset>
                </wp:positionH>
                <wp:positionV relativeFrom="paragraph">
                  <wp:posOffset>257203</wp:posOffset>
                </wp:positionV>
                <wp:extent cx="1411633" cy="826935"/>
                <wp:effectExtent l="0" t="0" r="74295" b="49530"/>
                <wp:wrapNone/>
                <wp:docPr id="22" name="Connecteur : en angle 22"/>
                <wp:cNvGraphicFramePr/>
                <a:graphic xmlns:a="http://schemas.openxmlformats.org/drawingml/2006/main">
                  <a:graphicData uri="http://schemas.microsoft.com/office/word/2010/wordprocessingShape">
                    <wps:wsp>
                      <wps:cNvCnPr/>
                      <wps:spPr>
                        <a:xfrm>
                          <a:off x="0" y="0"/>
                          <a:ext cx="1411633" cy="826935"/>
                        </a:xfrm>
                        <a:prstGeom prst="bentConnector3">
                          <a:avLst>
                            <a:gd name="adj1" fmla="val 10013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D2CBA0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22" o:spid="_x0000_s1026" type="#_x0000_t34" style="position:absolute;margin-left:302.9pt;margin-top:20.25pt;width:111.15pt;height:65.1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" adj="21628" strokecolor="#4472c4 [3204]" strokeweight=".5pt">
                <v:stroke endarrow="block"/>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0768" behindDoc="0" locked="0" layoutInCell="1" allowOverlap="1" wp14:anchorId="47C9550C" wp14:editId="11D080D5">
                <wp:simplePos x="0" y="0"/>
                <wp:positionH relativeFrom="column">
                  <wp:posOffset>861904</wp:posOffset>
                </wp:positionH>
                <wp:positionV relativeFrom="paragraph">
                  <wp:posOffset>313633</wp:posOffset>
                </wp:positionV>
                <wp:extent cx="1084997" cy="934872"/>
                <wp:effectExtent l="76200" t="0" r="20320" b="55880"/>
                <wp:wrapNone/>
                <wp:docPr id="21" name="Connecteur : en angle 21"/>
                <wp:cNvGraphicFramePr/>
                <a:graphic xmlns:a="http://schemas.openxmlformats.org/drawingml/2006/main">
                  <a:graphicData uri="http://schemas.microsoft.com/office/word/2010/wordprocessingShape">
                    <wps:wsp>
                      <wps:cNvCnPr/>
                      <wps:spPr>
                        <a:xfrm flipH="1">
                          <a:off x="0" y="0"/>
                          <a:ext cx="1084997" cy="934872"/>
                        </a:xfrm>
                        <a:prstGeom prst="bentConnector3">
                          <a:avLst>
                            <a:gd name="adj1" fmla="val 9966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55E1776" id="Connecteur : en angle 21" o:spid="_x0000_s1026" type="#_x0000_t34" style="position:absolute;margin-left:67.85pt;margin-top:24.7pt;width:85.45pt;height:73.6pt;flip:x;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" adj="21528" strokecolor="#4472c4 [3204]" strokeweight=".5pt">
                <v:stroke endarrow="block"/>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61312" behindDoc="0" locked="0" layoutInCell="1" allowOverlap="1" wp14:anchorId="06EB2C32" wp14:editId="070B3237">
                <wp:simplePos x="0" y="0"/>
                <wp:positionH relativeFrom="column">
                  <wp:posOffset>1955602</wp:posOffset>
                </wp:positionH>
                <wp:positionV relativeFrom="paragraph">
                  <wp:posOffset>34859</wp:posOffset>
                </wp:positionV>
                <wp:extent cx="1896118" cy="504883"/>
                <wp:effectExtent l="0" t="0" r="27940" b="28575"/>
                <wp:wrapNone/>
                <wp:docPr id="37" name="Rectangle : coins arrondis 37"/>
                <wp:cNvGraphicFramePr/>
                <a:graphic xmlns:a="http://schemas.openxmlformats.org/drawingml/2006/main">
                  <a:graphicData uri="http://schemas.microsoft.com/office/word/2010/wordprocessingShape">
                    <wps:wsp>
                      <wps:cNvSpPr/>
                      <wps:spPr>
                        <a:xfrm>
                          <a:off x="0" y="0"/>
                          <a:ext cx="1896118" cy="50488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7D4850" w14:textId="77777777" w:rsidR="00D75D3D" w:rsidRPr="007F5EEF" w:rsidRDefault="00D75D3D" w:rsidP="007F6B41">
                            <w:pPr>
                              <w:jc w:val="center"/>
                              <w:rPr>
                                <w:rFonts w:asciiTheme="majorBidi" w:hAnsiTheme="majorBidi" w:cstheme="majorBidi"/>
                                <w:b/>
                                <w:bCs/>
                                <w:color w:val="F2F2F2" w:themeColor="background1" w:themeShade="F2"/>
                                <w:sz w:val="52"/>
                                <w:szCs w:val="52"/>
                                <w:lang w:bidi="ar-DZ"/>
                              </w:rPr>
                            </w:pPr>
                            <w:r w:rsidRPr="007F5EEF">
                              <w:rPr>
                                <w:rFonts w:asciiTheme="majorBidi" w:hAnsiTheme="majorBidi" w:cstheme="majorBidi"/>
                                <w:b/>
                                <w:bCs/>
                                <w:sz w:val="28"/>
                                <w:szCs w:val="28"/>
                              </w:rP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EB2C32" id="Rectangle : coins arrondis 37" o:spid="_x0000_s1027" style="position:absolute;left:0;text-align:left;margin-left:154pt;margin-top:2.75pt;width:149.3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" fillcolor="#4472c4 [3204]" strokecolor="#1f3763 [1604]" strokeweight="1pt">
                <v:stroke joinstyle="miter"/>
                <v:textbox>
                  <w:txbxContent>
                    <w:p w14:paraId="1F7D4850" w14:textId="77777777" w:rsidR="00D75D3D" w:rsidRPr="007F5EEF" w:rsidRDefault="00D75D3D" w:rsidP="007F6B41">
                      <w:pPr>
                        <w:jc w:val="center"/>
                        <w:rPr>
                          <w:rFonts w:asciiTheme="majorBidi" w:hAnsiTheme="majorBidi" w:cstheme="majorBidi"/>
                          <w:b/>
                          <w:bCs/>
                          <w:color w:val="F2F2F2" w:themeColor="background1" w:themeShade="F2"/>
                          <w:sz w:val="52"/>
                          <w:szCs w:val="52"/>
                          <w:lang w:bidi="ar-DZ"/>
                        </w:rPr>
                      </w:pPr>
                      <w:r w:rsidRPr="007F5EEF">
                        <w:rPr>
                          <w:rFonts w:asciiTheme="majorBidi" w:hAnsiTheme="majorBidi" w:cstheme="majorBidi"/>
                          <w:b/>
                          <w:bCs/>
                          <w:sz w:val="28"/>
                          <w:szCs w:val="28"/>
                        </w:rPr>
                        <w:t>General Manager</w:t>
                      </w:r>
                    </w:p>
                  </w:txbxContent>
                </v:textbox>
              </v:roundrect>
            </w:pict>
          </mc:Fallback>
        </mc:AlternateContent>
      </w:r>
    </w:p>
    <w:p w14:paraId="397B8641" w14:textId="77777777" w:rsidR="00D75D3D" w:rsidRPr="007F5EEF" w:rsidRDefault="00D75D3D" w:rsidP="007F6B41">
      <w:pPr>
        <w:jc w:val="right"/>
        <w:rPr>
          <w:rFonts w:asciiTheme="majorBidi" w:hAnsiTheme="majorBidi" w:cstheme="majorBidi"/>
          <w:sz w:val="28"/>
          <w:szCs w:val="28"/>
          <w:rtl/>
        </w:rPr>
      </w:pPr>
    </w:p>
    <w:p w14:paraId="52DA496C"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4624" behindDoc="0" locked="0" layoutInCell="1" allowOverlap="1" wp14:anchorId="5392165C" wp14:editId="2670B1F9">
                <wp:simplePos x="0" y="0"/>
                <wp:positionH relativeFrom="column">
                  <wp:posOffset>1327470</wp:posOffset>
                </wp:positionH>
                <wp:positionV relativeFrom="paragraph">
                  <wp:posOffset>2910003</wp:posOffset>
                </wp:positionV>
                <wp:extent cx="1374405" cy="319175"/>
                <wp:effectExtent l="0" t="0" r="16510" b="24130"/>
                <wp:wrapNone/>
                <wp:docPr id="14" name="Rectangle : coins arrondis 14"/>
                <wp:cNvGraphicFramePr/>
                <a:graphic xmlns:a="http://schemas.openxmlformats.org/drawingml/2006/main">
                  <a:graphicData uri="http://schemas.microsoft.com/office/word/2010/wordprocessingShape">
                    <wps:wsp>
                      <wps:cNvSpPr/>
                      <wps:spPr>
                        <a:xfrm>
                          <a:off x="0" y="0"/>
                          <a:ext cx="1374405" cy="319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9EA148" w14:textId="77777777" w:rsidR="00D75D3D" w:rsidRPr="007F5EEF" w:rsidRDefault="00D75D3D" w:rsidP="007F6B41">
                            <w:pPr>
                              <w:jc w:val="center"/>
                              <w:rPr>
                                <w:rFonts w:asciiTheme="majorBidi" w:hAnsiTheme="majorBidi" w:cstheme="majorBidi"/>
                                <w:b/>
                                <w:bCs/>
                                <w:sz w:val="28"/>
                                <w:szCs w:val="28"/>
                                <w:lang w:bidi="ar-DZ"/>
                              </w:rPr>
                            </w:pPr>
                            <w:r w:rsidRPr="007F5EEF">
                              <w:rPr>
                                <w:rFonts w:asciiTheme="majorBidi" w:hAnsiTheme="majorBidi" w:cstheme="majorBidi"/>
                                <w:b/>
                                <w:bCs/>
                                <w:sz w:val="28"/>
                                <w:szCs w:val="28"/>
                                <w:lang w:bidi="ar-DZ"/>
                              </w:rPr>
                              <w:t>Detective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2165C" id="Rectangle : coins arrondis 14" o:spid="_x0000_s1028" style="position:absolute;left:0;text-align:left;margin-left:104.55pt;margin-top:229.15pt;width:108.2pt;height:25.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" fillcolor="#4472c4 [3204]" strokecolor="#1f3763 [1604]" strokeweight="1pt">
                <v:stroke joinstyle="miter"/>
                <v:textbox>
                  <w:txbxContent>
                    <w:p w14:paraId="0C9EA148" w14:textId="77777777" w:rsidR="00D75D3D" w:rsidRPr="007F5EEF" w:rsidRDefault="00D75D3D" w:rsidP="007F6B41">
                      <w:pPr>
                        <w:jc w:val="center"/>
                        <w:rPr>
                          <w:rFonts w:asciiTheme="majorBidi" w:hAnsiTheme="majorBidi" w:cstheme="majorBidi"/>
                          <w:b/>
                          <w:bCs/>
                          <w:sz w:val="28"/>
                          <w:szCs w:val="28"/>
                          <w:lang w:bidi="ar-DZ"/>
                        </w:rPr>
                      </w:pPr>
                      <w:r w:rsidRPr="007F5EEF">
                        <w:rPr>
                          <w:rFonts w:asciiTheme="majorBidi" w:hAnsiTheme="majorBidi" w:cstheme="majorBidi"/>
                          <w:b/>
                          <w:bCs/>
                          <w:sz w:val="28"/>
                          <w:szCs w:val="28"/>
                          <w:lang w:bidi="ar-DZ"/>
                        </w:rPr>
                        <w:t>Detective</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78720" behindDoc="0" locked="0" layoutInCell="1" allowOverlap="1" wp14:anchorId="4C685C2C" wp14:editId="5AA4DF19">
                <wp:simplePos x="0" y="0"/>
                <wp:positionH relativeFrom="column">
                  <wp:posOffset>1318945</wp:posOffset>
                </wp:positionH>
                <wp:positionV relativeFrom="paragraph">
                  <wp:posOffset>3629851</wp:posOffset>
                </wp:positionV>
                <wp:extent cx="1374405" cy="319175"/>
                <wp:effectExtent l="0" t="0" r="16510" b="24130"/>
                <wp:wrapNone/>
                <wp:docPr id="19" name="Rectangle : coins arrondis 19"/>
                <wp:cNvGraphicFramePr/>
                <a:graphic xmlns:a="http://schemas.openxmlformats.org/drawingml/2006/main">
                  <a:graphicData uri="http://schemas.microsoft.com/office/word/2010/wordprocessingShape">
                    <wps:wsp>
                      <wps:cNvSpPr/>
                      <wps:spPr>
                        <a:xfrm>
                          <a:off x="0" y="0"/>
                          <a:ext cx="1374405" cy="319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095A7D"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Final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685C2C" id="Rectangle : coins arrondis 19" o:spid="_x0000_s1029" style="position:absolute;left:0;text-align:left;margin-left:103.85pt;margin-top:285.8pt;width:108.2pt;height:25.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" fillcolor="#4472c4 [3204]" strokecolor="#1f3763 [1604]" strokeweight="1pt">
                <v:stroke joinstyle="miter"/>
                <v:textbox>
                  <w:txbxContent>
                    <w:p w14:paraId="15095A7D"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Final monitoring</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62336" behindDoc="0" locked="0" layoutInCell="1" allowOverlap="1" wp14:anchorId="020F9721" wp14:editId="2B2586AF">
                <wp:simplePos x="0" y="0"/>
                <wp:positionH relativeFrom="column">
                  <wp:posOffset>216921</wp:posOffset>
                </wp:positionH>
                <wp:positionV relativeFrom="paragraph">
                  <wp:posOffset>727503</wp:posOffset>
                </wp:positionV>
                <wp:extent cx="1458552" cy="476834"/>
                <wp:effectExtent l="0" t="0" r="27940" b="19050"/>
                <wp:wrapNone/>
                <wp:docPr id="44" name="Rectangle : coins arrondis 44"/>
                <wp:cNvGraphicFramePr/>
                <a:graphic xmlns:a="http://schemas.openxmlformats.org/drawingml/2006/main">
                  <a:graphicData uri="http://schemas.microsoft.com/office/word/2010/wordprocessingShape">
                    <wps:wsp>
                      <wps:cNvSpPr/>
                      <wps:spPr>
                        <a:xfrm>
                          <a:off x="0" y="0"/>
                          <a:ext cx="1458552" cy="47683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8E89E8" w14:textId="77777777" w:rsidR="00D75D3D" w:rsidRPr="007F5EEF" w:rsidRDefault="00D75D3D" w:rsidP="007F6B41">
                            <w:pPr>
                              <w:jc w:val="center"/>
                              <w:rPr>
                                <w:rFonts w:asciiTheme="majorBidi" w:hAnsiTheme="majorBidi" w:cstheme="majorBidi"/>
                                <w:b/>
                                <w:bCs/>
                                <w:sz w:val="48"/>
                                <w:szCs w:val="48"/>
                                <w:lang w:bidi="ar-DZ"/>
                              </w:rPr>
                            </w:pPr>
                            <w:r w:rsidRPr="007F5EEF">
                              <w:rPr>
                                <w:rFonts w:asciiTheme="majorBidi" w:hAnsiTheme="majorBidi" w:cstheme="majorBidi"/>
                                <w:b/>
                                <w:bCs/>
                                <w:sz w:val="28"/>
                                <w:szCs w:val="28"/>
                              </w:rPr>
                              <w:t>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F9721" id="Rectangle : coins arrondis 44" o:spid="_x0000_s1030" style="position:absolute;left:0;text-align:left;margin-left:17.1pt;margin-top:57.3pt;width:114.85pt;height:3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" fillcolor="#4472c4 [3204]" strokecolor="#1f3763 [1604]" strokeweight="1pt">
                <v:stroke joinstyle="miter"/>
                <v:textbox>
                  <w:txbxContent>
                    <w:p w14:paraId="358E89E8" w14:textId="77777777" w:rsidR="00D75D3D" w:rsidRPr="007F5EEF" w:rsidRDefault="00D75D3D" w:rsidP="007F6B41">
                      <w:pPr>
                        <w:jc w:val="center"/>
                        <w:rPr>
                          <w:rFonts w:asciiTheme="majorBidi" w:hAnsiTheme="majorBidi" w:cstheme="majorBidi"/>
                          <w:b/>
                          <w:bCs/>
                          <w:sz w:val="48"/>
                          <w:szCs w:val="48"/>
                          <w:lang w:bidi="ar-DZ"/>
                        </w:rPr>
                      </w:pPr>
                      <w:r w:rsidRPr="007F5EEF">
                        <w:rPr>
                          <w:rFonts w:asciiTheme="majorBidi" w:hAnsiTheme="majorBidi" w:cstheme="majorBidi"/>
                          <w:b/>
                          <w:bCs/>
                          <w:sz w:val="28"/>
                          <w:szCs w:val="28"/>
                        </w:rPr>
                        <w:t>Administration</w:t>
                      </w:r>
                    </w:p>
                  </w:txbxContent>
                </v:textbox>
              </v:roundrect>
            </w:pict>
          </mc:Fallback>
        </mc:AlternateContent>
      </w:r>
    </w:p>
    <w:p w14:paraId="1B3F9DF6"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2576" behindDoc="0" locked="0" layoutInCell="1" allowOverlap="1" wp14:anchorId="59ACBC2B" wp14:editId="52BBB13C">
                <wp:simplePos x="0" y="0"/>
                <wp:positionH relativeFrom="column">
                  <wp:posOffset>4658167</wp:posOffset>
                </wp:positionH>
                <wp:positionV relativeFrom="paragraph">
                  <wp:posOffset>229234</wp:posOffset>
                </wp:positionV>
                <wp:extent cx="1374140" cy="373711"/>
                <wp:effectExtent l="0" t="0" r="16510" b="26670"/>
                <wp:wrapNone/>
                <wp:docPr id="12" name="Rectangle : coins arrondis 12"/>
                <wp:cNvGraphicFramePr/>
                <a:graphic xmlns:a="http://schemas.openxmlformats.org/drawingml/2006/main">
                  <a:graphicData uri="http://schemas.microsoft.com/office/word/2010/wordprocessingShape">
                    <wps:wsp>
                      <wps:cNvSpPr/>
                      <wps:spPr>
                        <a:xfrm>
                          <a:off x="0" y="0"/>
                          <a:ext cx="1374140" cy="37371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505D62" w14:textId="77777777" w:rsidR="00D75D3D" w:rsidRPr="007F5EEF" w:rsidRDefault="00D75D3D" w:rsidP="007F6B41">
                            <w:pPr>
                              <w:jc w:val="center"/>
                              <w:rPr>
                                <w:rFonts w:asciiTheme="majorBidi" w:hAnsiTheme="majorBidi" w:cstheme="majorBidi"/>
                                <w:b/>
                                <w:bCs/>
                                <w:sz w:val="28"/>
                                <w:szCs w:val="28"/>
                                <w:lang w:bidi="ar-DZ"/>
                              </w:rPr>
                            </w:pPr>
                            <w:r w:rsidRPr="007F5EEF">
                              <w:rPr>
                                <w:rFonts w:asciiTheme="majorBidi" w:hAnsiTheme="majorBidi" w:cstheme="majorBidi"/>
                                <w:b/>
                                <w:bCs/>
                                <w:sz w:val="28"/>
                                <w:szCs w:val="28"/>
                              </w:rPr>
                              <w:t>Production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ACBC2B" id="Rectangle : coins arrondis 12" o:spid="_x0000_s1031" style="position:absolute;left:0;text-align:left;margin-left:366.8pt;margin-top:18.05pt;width:108.2pt;height:29.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" fillcolor="#4472c4 [3204]" strokecolor="#1f3763 [1604]" strokeweight="1pt">
                <v:stroke joinstyle="miter"/>
                <v:textbox>
                  <w:txbxContent>
                    <w:p w14:paraId="0D505D62" w14:textId="77777777" w:rsidR="00D75D3D" w:rsidRPr="007F5EEF" w:rsidRDefault="00D75D3D" w:rsidP="007F6B41">
                      <w:pPr>
                        <w:jc w:val="center"/>
                        <w:rPr>
                          <w:rFonts w:asciiTheme="majorBidi" w:hAnsiTheme="majorBidi" w:cstheme="majorBidi"/>
                          <w:b/>
                          <w:bCs/>
                          <w:sz w:val="28"/>
                          <w:szCs w:val="28"/>
                          <w:lang w:bidi="ar-DZ"/>
                        </w:rPr>
                      </w:pPr>
                      <w:r w:rsidRPr="007F5EEF">
                        <w:rPr>
                          <w:rFonts w:asciiTheme="majorBidi" w:hAnsiTheme="majorBidi" w:cstheme="majorBidi"/>
                          <w:b/>
                          <w:bCs/>
                          <w:sz w:val="28"/>
                          <w:szCs w:val="28"/>
                        </w:rPr>
                        <w:t>Production</w:t>
                      </w:r>
                    </w:p>
                  </w:txbxContent>
                </v:textbox>
              </v:roundrect>
            </w:pict>
          </mc:Fallback>
        </mc:AlternateContent>
      </w:r>
    </w:p>
    <w:p w14:paraId="729BA528"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89984" behindDoc="0" locked="0" layoutInCell="1" allowOverlap="1" wp14:anchorId="058B2F0E" wp14:editId="4798E0E9">
                <wp:simplePos x="0" y="0"/>
                <wp:positionH relativeFrom="column">
                  <wp:posOffset>5299379</wp:posOffset>
                </wp:positionH>
                <wp:positionV relativeFrom="paragraph">
                  <wp:posOffset>248285</wp:posOffset>
                </wp:positionV>
                <wp:extent cx="23854" cy="1956020"/>
                <wp:effectExtent l="57150" t="0" r="71755" b="63500"/>
                <wp:wrapNone/>
                <wp:docPr id="39" name="Connecteur droit avec flèche 39"/>
                <wp:cNvGraphicFramePr/>
                <a:graphic xmlns:a="http://schemas.openxmlformats.org/drawingml/2006/main">
                  <a:graphicData uri="http://schemas.microsoft.com/office/word/2010/wordprocessingShape">
                    <wps:wsp>
                      <wps:cNvCnPr/>
                      <wps:spPr>
                        <a:xfrm>
                          <a:off x="0" y="0"/>
                          <a:ext cx="23854" cy="19560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18E6A6F7" id="_x0000_t32" coordsize="21600,21600" o:spt="32" o:oned="t" path="m,l21600,21600e" filled="f">
                <v:path arrowok="t" fillok="f" o:connecttype="none"/>
                <o:lock v:ext="edit" shapetype="t"/>
              </v:shapetype>
              <v:shape id="Connecteur droit avec flèche 39" o:spid="_x0000_s1026" type="#_x0000_t32" style="position:absolute;margin-left:417.25pt;margin-top:19.55pt;width:1.9pt;height:154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" strokecolor="#4472c4 [3204]" strokeweight=".5pt">
                <v:stroke endarrow="block" joinstyle="miter"/>
              </v:shape>
            </w:pict>
          </mc:Fallback>
        </mc:AlternateContent>
      </w:r>
    </w:p>
    <w:p w14:paraId="581BD19C" w14:textId="77777777" w:rsidR="00D75D3D" w:rsidRPr="007F5EEF" w:rsidRDefault="00D75D3D" w:rsidP="007F6B41">
      <w:pPr>
        <w:jc w:val="right"/>
        <w:rPr>
          <w:rFonts w:asciiTheme="majorBidi" w:hAnsiTheme="majorBidi" w:cstheme="majorBidi"/>
          <w:sz w:val="28"/>
          <w:szCs w:val="28"/>
          <w:rtl/>
        </w:rPr>
      </w:pPr>
    </w:p>
    <w:p w14:paraId="3E454508"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84864" behindDoc="0" locked="0" layoutInCell="1" allowOverlap="1" wp14:anchorId="4EF926A8" wp14:editId="474CD6F8">
                <wp:simplePos x="0" y="0"/>
                <wp:positionH relativeFrom="column">
                  <wp:posOffset>913102</wp:posOffset>
                </wp:positionH>
                <wp:positionV relativeFrom="paragraph">
                  <wp:posOffset>136525</wp:posOffset>
                </wp:positionV>
                <wp:extent cx="7952" cy="445135"/>
                <wp:effectExtent l="76200" t="0" r="68580" b="50165"/>
                <wp:wrapNone/>
                <wp:docPr id="30" name="Connecteur droit avec flèche 30"/>
                <wp:cNvGraphicFramePr/>
                <a:graphic xmlns:a="http://schemas.openxmlformats.org/drawingml/2006/main">
                  <a:graphicData uri="http://schemas.microsoft.com/office/word/2010/wordprocessingShape">
                    <wps:wsp>
                      <wps:cNvCnPr/>
                      <wps:spPr>
                        <a:xfrm flipH="1">
                          <a:off x="0" y="0"/>
                          <a:ext cx="7952" cy="445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08A8D27" id="Connecteur droit avec flèche 30" o:spid="_x0000_s1026" type="#_x0000_t32" style="position:absolute;margin-left:71.9pt;margin-top:10.75pt;width:.65pt;height:35.0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2816" behindDoc="0" locked="0" layoutInCell="1" allowOverlap="1" wp14:anchorId="69DFBD0F" wp14:editId="4764E7E7">
                <wp:simplePos x="0" y="0"/>
                <wp:positionH relativeFrom="column">
                  <wp:posOffset>46410</wp:posOffset>
                </wp:positionH>
                <wp:positionV relativeFrom="paragraph">
                  <wp:posOffset>152427</wp:posOffset>
                </wp:positionV>
                <wp:extent cx="1860605" cy="437321"/>
                <wp:effectExtent l="0" t="0" r="82550" b="58420"/>
                <wp:wrapNone/>
                <wp:docPr id="27" name="Connecteur : en angle 27"/>
                <wp:cNvGraphicFramePr/>
                <a:graphic xmlns:a="http://schemas.openxmlformats.org/drawingml/2006/main">
                  <a:graphicData uri="http://schemas.microsoft.com/office/word/2010/wordprocessingShape">
                    <wps:wsp>
                      <wps:cNvCnPr/>
                      <wps:spPr>
                        <a:xfrm>
                          <a:off x="0" y="0"/>
                          <a:ext cx="1860605" cy="437321"/>
                        </a:xfrm>
                        <a:prstGeom prst="bentConnector3">
                          <a:avLst>
                            <a:gd name="adj1" fmla="val 10013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23135F8" id="Connecteur : en angle 27" o:spid="_x0000_s1026" type="#_x0000_t34" style="position:absolute;margin-left:3.65pt;margin-top:12pt;width:146.5pt;height:3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" adj="21628" strokecolor="#4472c4 [3204]" strokeweight=".5pt">
                <v:stroke endarrow="block"/>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3840" behindDoc="0" locked="0" layoutInCell="1" allowOverlap="1" wp14:anchorId="052161A3" wp14:editId="6CAB6016">
                <wp:simplePos x="0" y="0"/>
                <wp:positionH relativeFrom="column">
                  <wp:posOffset>45720</wp:posOffset>
                </wp:positionH>
                <wp:positionV relativeFrom="paragraph">
                  <wp:posOffset>135559</wp:posOffset>
                </wp:positionV>
                <wp:extent cx="7951" cy="445273"/>
                <wp:effectExtent l="76200" t="0" r="68580" b="50165"/>
                <wp:wrapNone/>
                <wp:docPr id="29" name="Connecteur droit avec flèche 29"/>
                <wp:cNvGraphicFramePr/>
                <a:graphic xmlns:a="http://schemas.openxmlformats.org/drawingml/2006/main">
                  <a:graphicData uri="http://schemas.microsoft.com/office/word/2010/wordprocessingShape">
                    <wps:wsp>
                      <wps:cNvCnPr/>
                      <wps:spPr>
                        <a:xfrm flipH="1">
                          <a:off x="0" y="0"/>
                          <a:ext cx="7951" cy="4452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C996037" id="Connecteur droit avec flèche 29" o:spid="_x0000_s1026" type="#_x0000_t32" style="position:absolute;margin-left:3.6pt;margin-top:10.65pt;width:.65pt;height:35.0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" strokecolor="#4472c4 [3204]" strokeweight=".5pt">
                <v:stroke endarrow="block" joinstyle="miter"/>
              </v:shape>
            </w:pict>
          </mc:Fallback>
        </mc:AlternateContent>
      </w:r>
    </w:p>
    <w:p w14:paraId="02762B50"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64384" behindDoc="0" locked="0" layoutInCell="1" allowOverlap="1" wp14:anchorId="05921CD7" wp14:editId="5169067F">
                <wp:simplePos x="0" y="0"/>
                <wp:positionH relativeFrom="column">
                  <wp:posOffset>-461645</wp:posOffset>
                </wp:positionH>
                <wp:positionV relativeFrom="paragraph">
                  <wp:posOffset>296545</wp:posOffset>
                </wp:positionV>
                <wp:extent cx="717550" cy="476250"/>
                <wp:effectExtent l="0" t="0" r="25400" b="19050"/>
                <wp:wrapNone/>
                <wp:docPr id="7" name="Rectangle : coins arrondis 7"/>
                <wp:cNvGraphicFramePr/>
                <a:graphic xmlns:a="http://schemas.openxmlformats.org/drawingml/2006/main">
                  <a:graphicData uri="http://schemas.microsoft.com/office/word/2010/wordprocessingShape">
                    <wps:wsp>
                      <wps:cNvSpPr/>
                      <wps:spPr>
                        <a:xfrm>
                          <a:off x="0" y="0"/>
                          <a:ext cx="717550" cy="476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D57D29" w14:textId="77777777" w:rsidR="00D75D3D" w:rsidRPr="007F5EEF" w:rsidRDefault="00D75D3D" w:rsidP="007F6B41">
                            <w:pPr>
                              <w:jc w:val="center"/>
                              <w:rPr>
                                <w:rFonts w:asciiTheme="majorBidi" w:hAnsiTheme="majorBidi" w:cstheme="majorBidi"/>
                                <w:b/>
                                <w:bCs/>
                                <w:sz w:val="20"/>
                                <w:szCs w:val="20"/>
                                <w:lang w:bidi="ar-DZ"/>
                              </w:rPr>
                            </w:pPr>
                            <w:r w:rsidRPr="007F5EEF">
                              <w:rPr>
                                <w:rFonts w:asciiTheme="majorBidi" w:hAnsiTheme="majorBidi" w:cstheme="majorBidi"/>
                                <w:b/>
                                <w:bCs/>
                                <w:sz w:val="28"/>
                                <w:szCs w:val="28"/>
                                <w:lang w:bidi="ar-DZ"/>
                              </w:rPr>
                              <w:t>sale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21CD7" id="Rectangle : coins arrondis 7" o:spid="_x0000_s1032" style="position:absolute;left:0;text-align:left;margin-left:-36.35pt;margin-top:23.35pt;width:56.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" fillcolor="#4472c4 [3204]" strokecolor="#1f3763 [1604]" strokeweight="1pt">
                <v:stroke joinstyle="miter"/>
                <v:textbox>
                  <w:txbxContent>
                    <w:p w14:paraId="31D57D29" w14:textId="77777777" w:rsidR="00D75D3D" w:rsidRPr="007F5EEF" w:rsidRDefault="00D75D3D" w:rsidP="007F6B41">
                      <w:pPr>
                        <w:jc w:val="center"/>
                        <w:rPr>
                          <w:rFonts w:asciiTheme="majorBidi" w:hAnsiTheme="majorBidi" w:cstheme="majorBidi"/>
                          <w:b/>
                          <w:bCs/>
                          <w:sz w:val="20"/>
                          <w:szCs w:val="20"/>
                          <w:lang w:bidi="ar-DZ"/>
                        </w:rPr>
                      </w:pPr>
                      <w:r w:rsidRPr="007F5EEF">
                        <w:rPr>
                          <w:rFonts w:asciiTheme="majorBidi" w:hAnsiTheme="majorBidi" w:cstheme="majorBidi"/>
                          <w:b/>
                          <w:bCs/>
                          <w:sz w:val="28"/>
                          <w:szCs w:val="28"/>
                          <w:lang w:bidi="ar-DZ"/>
                        </w:rPr>
                        <w:t>sale</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65408" behindDoc="0" locked="0" layoutInCell="1" allowOverlap="1" wp14:anchorId="452B1E49" wp14:editId="2235C2CB">
                <wp:simplePos x="0" y="0"/>
                <wp:positionH relativeFrom="column">
                  <wp:posOffset>313055</wp:posOffset>
                </wp:positionH>
                <wp:positionV relativeFrom="paragraph">
                  <wp:posOffset>296545</wp:posOffset>
                </wp:positionV>
                <wp:extent cx="1111250" cy="476250"/>
                <wp:effectExtent l="0" t="0" r="12700" b="19050"/>
                <wp:wrapNone/>
                <wp:docPr id="8" name="Rectangle : coins arrondis 8"/>
                <wp:cNvGraphicFramePr/>
                <a:graphic xmlns:a="http://schemas.openxmlformats.org/drawingml/2006/main">
                  <a:graphicData uri="http://schemas.microsoft.com/office/word/2010/wordprocessingShape">
                    <wps:wsp>
                      <wps:cNvSpPr/>
                      <wps:spPr>
                        <a:xfrm>
                          <a:off x="0" y="0"/>
                          <a:ext cx="1111250" cy="476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FEF0BA"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2B1E49" id="Rectangle : coins arrondis 8" o:spid="_x0000_s1033" style="position:absolute;left:0;text-align:left;margin-left:24.65pt;margin-top:23.35pt;width:87.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" fillcolor="#4472c4 [3204]" strokecolor="#1f3763 [1604]" strokeweight="1pt">
                <v:stroke joinstyle="miter"/>
                <v:textbox>
                  <w:txbxContent>
                    <w:p w14:paraId="42FEF0BA"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Management</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66432" behindDoc="0" locked="0" layoutInCell="1" allowOverlap="1" wp14:anchorId="037EAB49" wp14:editId="2D7DB236">
                <wp:simplePos x="0" y="0"/>
                <wp:positionH relativeFrom="column">
                  <wp:posOffset>1525905</wp:posOffset>
                </wp:positionH>
                <wp:positionV relativeFrom="paragraph">
                  <wp:posOffset>315595</wp:posOffset>
                </wp:positionV>
                <wp:extent cx="1164590" cy="476250"/>
                <wp:effectExtent l="0" t="0" r="16510" b="19050"/>
                <wp:wrapNone/>
                <wp:docPr id="9" name="Rectangle : coins arrondis 9"/>
                <wp:cNvGraphicFramePr/>
                <a:graphic xmlns:a="http://schemas.openxmlformats.org/drawingml/2006/main">
                  <a:graphicData uri="http://schemas.microsoft.com/office/word/2010/wordprocessingShape">
                    <wps:wsp>
                      <wps:cNvSpPr/>
                      <wps:spPr>
                        <a:xfrm>
                          <a:off x="0" y="0"/>
                          <a:ext cx="1164590" cy="476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36561B" w14:textId="77777777" w:rsidR="00D75D3D" w:rsidRPr="007F5EEF" w:rsidRDefault="00D75D3D" w:rsidP="007F6B41">
                            <w:pPr>
                              <w:jc w:val="center"/>
                              <w:rPr>
                                <w:rFonts w:asciiTheme="majorBidi" w:hAnsiTheme="majorBidi" w:cstheme="majorBidi"/>
                                <w:b/>
                                <w:bCs/>
                                <w:sz w:val="36"/>
                                <w:szCs w:val="36"/>
                                <w:lang w:bidi="ar-DZ"/>
                              </w:rPr>
                            </w:pPr>
                            <w:r w:rsidRPr="007F5EEF">
                              <w:rPr>
                                <w:rFonts w:asciiTheme="majorBidi" w:hAnsiTheme="majorBidi" w:cstheme="majorBidi"/>
                                <w:b/>
                                <w:bCs/>
                                <w:sz w:val="24"/>
                                <w:szCs w:val="24"/>
                              </w:rPr>
                              <w:t>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7EAB49" id="Rectangle : coins arrondis 9" o:spid="_x0000_s1034" style="position:absolute;left:0;text-align:left;margin-left:120.15pt;margin-top:24.85pt;width:91.7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" fillcolor="#4472c4 [3204]" strokecolor="#1f3763 [1604]" strokeweight="1pt">
                <v:stroke joinstyle="miter"/>
                <v:textbox>
                  <w:txbxContent>
                    <w:p w14:paraId="6836561B" w14:textId="77777777" w:rsidR="00D75D3D" w:rsidRPr="007F5EEF" w:rsidRDefault="00D75D3D" w:rsidP="007F6B41">
                      <w:pPr>
                        <w:jc w:val="center"/>
                        <w:rPr>
                          <w:rFonts w:asciiTheme="majorBidi" w:hAnsiTheme="majorBidi" w:cstheme="majorBidi"/>
                          <w:b/>
                          <w:bCs/>
                          <w:sz w:val="36"/>
                          <w:szCs w:val="36"/>
                          <w:lang w:bidi="ar-DZ"/>
                        </w:rPr>
                      </w:pPr>
                      <w:r w:rsidRPr="007F5EEF">
                        <w:rPr>
                          <w:rFonts w:asciiTheme="majorBidi" w:hAnsiTheme="majorBidi" w:cstheme="majorBidi"/>
                          <w:b/>
                          <w:bCs/>
                          <w:sz w:val="24"/>
                          <w:szCs w:val="24"/>
                        </w:rPr>
                        <w:t>Procurement</w:t>
                      </w:r>
                    </w:p>
                  </w:txbxContent>
                </v:textbox>
              </v:roundrect>
            </w:pict>
          </mc:Fallback>
        </mc:AlternateContent>
      </w:r>
    </w:p>
    <w:p w14:paraId="0A6842A7" w14:textId="77777777" w:rsidR="00D75D3D" w:rsidRPr="007F5EEF" w:rsidRDefault="00D75D3D" w:rsidP="007F6B41">
      <w:pPr>
        <w:jc w:val="right"/>
        <w:rPr>
          <w:rFonts w:asciiTheme="majorBidi" w:hAnsiTheme="majorBidi" w:cstheme="majorBidi"/>
          <w:sz w:val="28"/>
          <w:szCs w:val="28"/>
          <w:rtl/>
        </w:rPr>
      </w:pPr>
    </w:p>
    <w:p w14:paraId="5CD1C90D"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85888" behindDoc="0" locked="0" layoutInCell="1" allowOverlap="1" wp14:anchorId="4A2A9F47" wp14:editId="602D4294">
                <wp:simplePos x="0" y="0"/>
                <wp:positionH relativeFrom="column">
                  <wp:posOffset>-64576</wp:posOffset>
                </wp:positionH>
                <wp:positionV relativeFrom="paragraph">
                  <wp:posOffset>180119</wp:posOffset>
                </wp:positionV>
                <wp:extent cx="45719" cy="4985468"/>
                <wp:effectExtent l="76200" t="0" r="50165" b="62865"/>
                <wp:wrapNone/>
                <wp:docPr id="31" name="Connecteur droit avec flèche 31"/>
                <wp:cNvGraphicFramePr/>
                <a:graphic xmlns:a="http://schemas.openxmlformats.org/drawingml/2006/main">
                  <a:graphicData uri="http://schemas.microsoft.com/office/word/2010/wordprocessingShape">
                    <wps:wsp>
                      <wps:cNvCnPr/>
                      <wps:spPr>
                        <a:xfrm flipH="1">
                          <a:off x="0" y="0"/>
                          <a:ext cx="45719" cy="49854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E24939C" id="Connecteur droit avec flèche 31" o:spid="_x0000_s1026" type="#_x0000_t32" style="position:absolute;margin-left:-5.1pt;margin-top:14.2pt;width:3.6pt;height:392.5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91008" behindDoc="0" locked="0" layoutInCell="1" allowOverlap="1" wp14:anchorId="43601529" wp14:editId="5818A73A">
                <wp:simplePos x="0" y="0"/>
                <wp:positionH relativeFrom="margin">
                  <wp:posOffset>1976921</wp:posOffset>
                </wp:positionH>
                <wp:positionV relativeFrom="paragraph">
                  <wp:posOffset>306457</wp:posOffset>
                </wp:positionV>
                <wp:extent cx="3342336" cy="294032"/>
                <wp:effectExtent l="38100" t="0" r="10795" b="48895"/>
                <wp:wrapNone/>
                <wp:docPr id="40" name="Connecteur : en angle 40"/>
                <wp:cNvGraphicFramePr/>
                <a:graphic xmlns:a="http://schemas.openxmlformats.org/drawingml/2006/main">
                  <a:graphicData uri="http://schemas.microsoft.com/office/word/2010/wordprocessingShape">
                    <wps:wsp>
                      <wps:cNvCnPr/>
                      <wps:spPr>
                        <a:xfrm flipH="1">
                          <a:off x="0" y="0"/>
                          <a:ext cx="3342336" cy="294032"/>
                        </a:xfrm>
                        <a:prstGeom prst="bentConnector3">
                          <a:avLst>
                            <a:gd name="adj1" fmla="val 9966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058FABD" id="Connecteur : en angle 40" o:spid="_x0000_s1026" type="#_x0000_t34" style="position:absolute;margin-left:155.65pt;margin-top:24.15pt;width:263.2pt;height:23.15pt;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" adj="21528" strokecolor="#4472c4 [3204]" strokeweight=".5pt">
                <v:stroke endarrow="block"/>
                <w10:wrap anchorx="margin"/>
              </v:shape>
            </w:pict>
          </mc:Fallback>
        </mc:AlternateContent>
      </w:r>
    </w:p>
    <w:p w14:paraId="771AD406"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63360" behindDoc="0" locked="0" layoutInCell="1" allowOverlap="1" wp14:anchorId="44D43409" wp14:editId="1BDD208D">
                <wp:simplePos x="0" y="0"/>
                <wp:positionH relativeFrom="column">
                  <wp:posOffset>4546269</wp:posOffset>
                </wp:positionH>
                <wp:positionV relativeFrom="paragraph">
                  <wp:posOffset>314325</wp:posOffset>
                </wp:positionV>
                <wp:extent cx="1457960" cy="365760"/>
                <wp:effectExtent l="0" t="0" r="27940" b="15240"/>
                <wp:wrapNone/>
                <wp:docPr id="10" name="Rectangle : coins arrondis 10"/>
                <wp:cNvGraphicFramePr/>
                <a:graphic xmlns:a="http://schemas.openxmlformats.org/drawingml/2006/main">
                  <a:graphicData uri="http://schemas.microsoft.com/office/word/2010/wordprocessingShape">
                    <wps:wsp>
                      <wps:cNvSpPr/>
                      <wps:spPr>
                        <a:xfrm>
                          <a:off x="0" y="0"/>
                          <a:ext cx="1457960" cy="3657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3D5FAB"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Production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43409" id="Rectangle : coins arrondis 10" o:spid="_x0000_s1035" style="position:absolute;left:0;text-align:left;margin-left:357.95pt;margin-top:24.75pt;width:114.8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" fillcolor="#4472c4 [3204]" strokecolor="#1f3763 [1604]" strokeweight="1pt">
                <v:stroke joinstyle="miter"/>
                <v:textbox>
                  <w:txbxContent>
                    <w:p w14:paraId="0D3D5FAB"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Production Unit</w:t>
                      </w:r>
                    </w:p>
                  </w:txbxContent>
                </v:textbox>
              </v:roundrect>
            </w:pict>
          </mc:Fallback>
        </mc:AlternateContent>
      </w:r>
    </w:p>
    <w:p w14:paraId="5B44D2B4" w14:textId="77777777" w:rsidR="00D75D3D" w:rsidRPr="007F5EEF" w:rsidRDefault="00D75D3D" w:rsidP="007F6B41">
      <w:pPr>
        <w:jc w:val="right"/>
        <w:rPr>
          <w:rFonts w:asciiTheme="majorBidi" w:hAnsiTheme="majorBidi" w:cstheme="majorBidi"/>
          <w:sz w:val="28"/>
          <w:szCs w:val="28"/>
          <w:rtl/>
        </w:rPr>
      </w:pPr>
    </w:p>
    <w:p w14:paraId="7A542C36"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703296" behindDoc="0" locked="0" layoutInCell="1" allowOverlap="1" wp14:anchorId="0D368E8D" wp14:editId="01077C16">
                <wp:simplePos x="0" y="0"/>
                <wp:positionH relativeFrom="column">
                  <wp:posOffset>1991801</wp:posOffset>
                </wp:positionH>
                <wp:positionV relativeFrom="paragraph">
                  <wp:posOffset>71423</wp:posOffset>
                </wp:positionV>
                <wp:extent cx="0" cy="286247"/>
                <wp:effectExtent l="76200" t="0" r="57150" b="57150"/>
                <wp:wrapNone/>
                <wp:docPr id="55" name="Connecteur droit avec flèche 55"/>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68013DA" id="Connecteur droit avec flèche 55" o:spid="_x0000_s1026" type="#_x0000_t32" style="position:absolute;margin-left:156.85pt;margin-top:5.6pt;width:0;height:22.5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702272" behindDoc="0" locked="0" layoutInCell="1" allowOverlap="1" wp14:anchorId="173008B3" wp14:editId="28CA710E">
                <wp:simplePos x="0" y="0"/>
                <wp:positionH relativeFrom="column">
                  <wp:posOffset>2700710</wp:posOffset>
                </wp:positionH>
                <wp:positionV relativeFrom="paragraph">
                  <wp:posOffset>45995</wp:posOffset>
                </wp:positionV>
                <wp:extent cx="1898153" cy="3208544"/>
                <wp:effectExtent l="38100" t="38100" r="26035" b="30480"/>
                <wp:wrapNone/>
                <wp:docPr id="54" name="Connecteur droit avec flèche 54"/>
                <wp:cNvGraphicFramePr/>
                <a:graphic xmlns:a="http://schemas.openxmlformats.org/drawingml/2006/main">
                  <a:graphicData uri="http://schemas.microsoft.com/office/word/2010/wordprocessingShape">
                    <wps:wsp>
                      <wps:cNvCnPr/>
                      <wps:spPr>
                        <a:xfrm flipH="1" flipV="1">
                          <a:off x="0" y="0"/>
                          <a:ext cx="1898153" cy="32085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09E8EB0" id="Connecteur droit avec flèche 54" o:spid="_x0000_s1026" type="#_x0000_t32" style="position:absolute;margin-left:212.65pt;margin-top:3.6pt;width:149.45pt;height:252.65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99200" behindDoc="0" locked="0" layoutInCell="1" allowOverlap="1" wp14:anchorId="795FE3A3" wp14:editId="6EACD996">
                <wp:simplePos x="0" y="0"/>
                <wp:positionH relativeFrom="column">
                  <wp:posOffset>5276519</wp:posOffset>
                </wp:positionH>
                <wp:positionV relativeFrom="paragraph">
                  <wp:posOffset>71120</wp:posOffset>
                </wp:positionV>
                <wp:extent cx="4638" cy="262393"/>
                <wp:effectExtent l="0" t="0" r="33655" b="23495"/>
                <wp:wrapNone/>
                <wp:docPr id="50" name="Connecteur droit 50"/>
                <wp:cNvGraphicFramePr/>
                <a:graphic xmlns:a="http://schemas.openxmlformats.org/drawingml/2006/main">
                  <a:graphicData uri="http://schemas.microsoft.com/office/word/2010/wordprocessingShape">
                    <wps:wsp>
                      <wps:cNvCnPr/>
                      <wps:spPr>
                        <a:xfrm>
                          <a:off x="0" y="0"/>
                          <a:ext cx="4638" cy="2623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29F7AF0" id="Connecteur droit 5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45pt,5.6pt" to="415.8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" strokecolor="#4472c4 [3204]" strokeweight=".5pt">
                <v:stroke joinstyle="miter"/>
              </v:lin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97152" behindDoc="0" locked="0" layoutInCell="1" allowOverlap="1" wp14:anchorId="78245157" wp14:editId="24516E91">
                <wp:simplePos x="0" y="0"/>
                <wp:positionH relativeFrom="column">
                  <wp:posOffset>5919774</wp:posOffset>
                </wp:positionH>
                <wp:positionV relativeFrom="paragraph">
                  <wp:posOffset>349885</wp:posOffset>
                </wp:positionV>
                <wp:extent cx="0" cy="286247"/>
                <wp:effectExtent l="76200" t="0" r="57150" b="57150"/>
                <wp:wrapNone/>
                <wp:docPr id="48" name="Connecteur droit avec flèche 48"/>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07102AB" id="Connecteur droit avec flèche 48" o:spid="_x0000_s1026" type="#_x0000_t32" style="position:absolute;margin-left:466.1pt;margin-top:27.55pt;width:0;height:22.5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" strokecolor="#4472c4 [3204]" strokeweight=".5pt">
                <v:stroke endarrow="block" joinstyle="miter"/>
              </v:shape>
            </w:pict>
          </mc:Fallback>
        </mc:AlternateContent>
      </w:r>
    </w:p>
    <w:p w14:paraId="0A31183E"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98176" behindDoc="0" locked="0" layoutInCell="1" allowOverlap="1" wp14:anchorId="630B832C" wp14:editId="4BB4084C">
                <wp:simplePos x="0" y="0"/>
                <wp:positionH relativeFrom="column">
                  <wp:posOffset>4578654</wp:posOffset>
                </wp:positionH>
                <wp:positionV relativeFrom="paragraph">
                  <wp:posOffset>35808</wp:posOffset>
                </wp:positionV>
                <wp:extent cx="1351004" cy="15875"/>
                <wp:effectExtent l="0" t="0" r="20955" b="22225"/>
                <wp:wrapNone/>
                <wp:docPr id="49" name="Connecteur droit 49"/>
                <wp:cNvGraphicFramePr/>
                <a:graphic xmlns:a="http://schemas.openxmlformats.org/drawingml/2006/main">
                  <a:graphicData uri="http://schemas.microsoft.com/office/word/2010/wordprocessingShape">
                    <wps:wsp>
                      <wps:cNvCnPr/>
                      <wps:spPr>
                        <a:xfrm flipH="1">
                          <a:off x="0" y="0"/>
                          <a:ext cx="1351004"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5571F665" id="Connecteur droit 49" o:spid="_x0000_s1026" style="position:absolute;flip:x;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0.5pt,2.8pt" to="466.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" strokecolor="#4472c4 [3204]" strokeweight=".5pt">
                <v:stroke joinstyle="miter"/>
              </v:lin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96128" behindDoc="0" locked="0" layoutInCell="1" allowOverlap="1" wp14:anchorId="54AF393B" wp14:editId="61335C4E">
                <wp:simplePos x="0" y="0"/>
                <wp:positionH relativeFrom="column">
                  <wp:posOffset>4565981</wp:posOffset>
                </wp:positionH>
                <wp:positionV relativeFrom="paragraph">
                  <wp:posOffset>53340</wp:posOffset>
                </wp:positionV>
                <wp:extent cx="0" cy="285750"/>
                <wp:effectExtent l="76200" t="0" r="57150" b="57150"/>
                <wp:wrapNone/>
                <wp:docPr id="47" name="Connecteur droit avec flèche 47"/>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FB211B2" id="Connecteur droit avec flèche 47" o:spid="_x0000_s1026" type="#_x0000_t32" style="position:absolute;margin-left:359.55pt;margin-top:4.2pt;width:0;height:2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Mt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" strokecolor="#4472c4 [3204]" strokeweight=".5pt">
                <v:stroke endarrow="block" joinstyle="miter"/>
              </v:shape>
            </w:pict>
          </mc:Fallback>
        </mc:AlternateContent>
      </w:r>
    </w:p>
    <w:p w14:paraId="187BC97C"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67456" behindDoc="0" locked="0" layoutInCell="1" allowOverlap="1" wp14:anchorId="0A690E4E" wp14:editId="7B568460">
                <wp:simplePos x="0" y="0"/>
                <wp:positionH relativeFrom="column">
                  <wp:posOffset>5348605</wp:posOffset>
                </wp:positionH>
                <wp:positionV relativeFrom="paragraph">
                  <wp:posOffset>15875</wp:posOffset>
                </wp:positionV>
                <wp:extent cx="1270000" cy="392430"/>
                <wp:effectExtent l="0" t="0" r="25400" b="26670"/>
                <wp:wrapNone/>
                <wp:docPr id="11" name="Rectangle : coins arrondis 11"/>
                <wp:cNvGraphicFramePr/>
                <a:graphic xmlns:a="http://schemas.openxmlformats.org/drawingml/2006/main">
                  <a:graphicData uri="http://schemas.microsoft.com/office/word/2010/wordprocessingShape">
                    <wps:wsp>
                      <wps:cNvSpPr/>
                      <wps:spPr>
                        <a:xfrm>
                          <a:off x="0" y="0"/>
                          <a:ext cx="1270000" cy="39243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2A2C71"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Raw Materials</w:t>
                            </w:r>
                            <w:r w:rsidRPr="007F5EEF">
                              <w:rPr>
                                <w:rFonts w:asciiTheme="majorBidi" w:hAnsiTheme="majorBidi" w:cstheme="majorBidi"/>
                                <w:b/>
                                <w:bCs/>
                                <w:sz w:val="32"/>
                                <w:szCs w:val="32"/>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690E4E" id="Rectangle : coins arrondis 11" o:spid="_x0000_s1036" style="position:absolute;left:0;text-align:left;margin-left:421.15pt;margin-top:1.25pt;width:100pt;height:3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" fillcolor="#4472c4 [3204]" strokecolor="#1f3763 [1604]" strokeweight="1pt">
                <v:stroke joinstyle="miter"/>
                <v:textbox>
                  <w:txbxContent>
                    <w:p w14:paraId="3F2A2C71"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Raw Materials</w:t>
                      </w:r>
                      <w:r w:rsidRPr="007F5EEF">
                        <w:rPr>
                          <w:rFonts w:asciiTheme="majorBidi" w:hAnsiTheme="majorBidi" w:cstheme="majorBidi"/>
                          <w:b/>
                          <w:bCs/>
                          <w:sz w:val="32"/>
                          <w:szCs w:val="32"/>
                          <w:rtl/>
                          <w:lang w:bidi="ar-DZ"/>
                        </w:rPr>
                        <w:t xml:space="preserve"> </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68480" behindDoc="0" locked="0" layoutInCell="1" allowOverlap="1" wp14:anchorId="41214000" wp14:editId="33A113D9">
                <wp:simplePos x="0" y="0"/>
                <wp:positionH relativeFrom="column">
                  <wp:posOffset>3545205</wp:posOffset>
                </wp:positionH>
                <wp:positionV relativeFrom="paragraph">
                  <wp:posOffset>53975</wp:posOffset>
                </wp:positionV>
                <wp:extent cx="1568450" cy="392430"/>
                <wp:effectExtent l="0" t="0" r="12700" b="26670"/>
                <wp:wrapNone/>
                <wp:docPr id="13" name="Rectangle : coins arrondis 13"/>
                <wp:cNvGraphicFramePr/>
                <a:graphic xmlns:a="http://schemas.openxmlformats.org/drawingml/2006/main">
                  <a:graphicData uri="http://schemas.microsoft.com/office/word/2010/wordprocessingShape">
                    <wps:wsp>
                      <wps:cNvSpPr/>
                      <wps:spPr>
                        <a:xfrm>
                          <a:off x="0" y="0"/>
                          <a:ext cx="1568450" cy="39243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6BAEF2"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Packing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214000" id="Rectangle : coins arrondis 13" o:spid="_x0000_s1037" style="position:absolute;left:0;text-align:left;margin-left:279.15pt;margin-top:4.25pt;width:123.5pt;height:3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" fillcolor="#4472c4 [3204]" strokecolor="#1f3763 [1604]" strokeweight="1pt">
                <v:stroke joinstyle="miter"/>
                <v:textbox>
                  <w:txbxContent>
                    <w:p w14:paraId="6F6BAEF2"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Packing department</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704320" behindDoc="0" locked="0" layoutInCell="1" allowOverlap="1" wp14:anchorId="45832920" wp14:editId="53CD7A6E">
                <wp:simplePos x="0" y="0"/>
                <wp:positionH relativeFrom="column">
                  <wp:posOffset>1988489</wp:posOffset>
                </wp:positionH>
                <wp:positionV relativeFrom="paragraph">
                  <wp:posOffset>128021</wp:posOffset>
                </wp:positionV>
                <wp:extent cx="0" cy="286247"/>
                <wp:effectExtent l="76200" t="0" r="57150" b="57150"/>
                <wp:wrapNone/>
                <wp:docPr id="56" name="Connecteur droit avec flèche 56"/>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3F0D6D2" id="Connecteur droit avec flèche 56" o:spid="_x0000_s1026" type="#_x0000_t32" style="position:absolute;margin-left:156.55pt;margin-top:10.1pt;width:0;height:22.5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" strokecolor="#4472c4 [3204]" strokeweight=".5pt">
                <v:stroke endarrow="block" joinstyle="miter"/>
              </v:shape>
            </w:pict>
          </mc:Fallback>
        </mc:AlternateContent>
      </w:r>
    </w:p>
    <w:p w14:paraId="5FED4E0C"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9744" behindDoc="0" locked="0" layoutInCell="1" allowOverlap="1" wp14:anchorId="0CDEA495" wp14:editId="545C9AB4">
                <wp:simplePos x="0" y="0"/>
                <wp:positionH relativeFrom="column">
                  <wp:posOffset>1227455</wp:posOffset>
                </wp:positionH>
                <wp:positionV relativeFrom="paragraph">
                  <wp:posOffset>163830</wp:posOffset>
                </wp:positionV>
                <wp:extent cx="1727200" cy="381663"/>
                <wp:effectExtent l="0" t="0" r="25400" b="18415"/>
                <wp:wrapNone/>
                <wp:docPr id="20" name="Rectangle : coins arrondis 20"/>
                <wp:cNvGraphicFramePr/>
                <a:graphic xmlns:a="http://schemas.openxmlformats.org/drawingml/2006/main">
                  <a:graphicData uri="http://schemas.microsoft.com/office/word/2010/wordprocessingShape">
                    <wps:wsp>
                      <wps:cNvSpPr/>
                      <wps:spPr>
                        <a:xfrm>
                          <a:off x="0" y="0"/>
                          <a:ext cx="1727200" cy="38166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55F690"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Finished product store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DEA495" id="Rectangle : coins arrondis 20" o:spid="_x0000_s1038" style="position:absolute;left:0;text-align:left;margin-left:96.65pt;margin-top:12.9pt;width:136pt;height:3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" fillcolor="#4472c4 [3204]" strokecolor="#1f3763 [1604]" strokeweight="1pt">
                <v:stroke joinstyle="miter"/>
                <v:textbox>
                  <w:txbxContent>
                    <w:p w14:paraId="1755F690"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Finished product store</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705344" behindDoc="0" locked="0" layoutInCell="1" allowOverlap="1" wp14:anchorId="7FA7DC87" wp14:editId="65C431E2">
                <wp:simplePos x="0" y="0"/>
                <wp:positionH relativeFrom="column">
                  <wp:posOffset>-15185</wp:posOffset>
                </wp:positionH>
                <wp:positionV relativeFrom="paragraph">
                  <wp:posOffset>274762</wp:posOffset>
                </wp:positionV>
                <wp:extent cx="1325853" cy="23854"/>
                <wp:effectExtent l="38100" t="76200" r="27305" b="71755"/>
                <wp:wrapNone/>
                <wp:docPr id="58" name="Connecteur droit avec flèche 58"/>
                <wp:cNvGraphicFramePr/>
                <a:graphic xmlns:a="http://schemas.openxmlformats.org/drawingml/2006/main">
                  <a:graphicData uri="http://schemas.microsoft.com/office/word/2010/wordprocessingShape">
                    <wps:wsp>
                      <wps:cNvCnPr/>
                      <wps:spPr>
                        <a:xfrm flipH="1" flipV="1">
                          <a:off x="0" y="0"/>
                          <a:ext cx="1325853" cy="238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C9E8138" id="Connecteur droit avec flèche 58" o:spid="_x0000_s1026" type="#_x0000_t32" style="position:absolute;margin-left:-1.2pt;margin-top:21.65pt;width:104.4pt;height:1.9pt;flip:x 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700224" behindDoc="0" locked="0" layoutInCell="1" allowOverlap="1" wp14:anchorId="32BA9B45" wp14:editId="3BE37CAF">
                <wp:simplePos x="0" y="0"/>
                <wp:positionH relativeFrom="column">
                  <wp:posOffset>5970905</wp:posOffset>
                </wp:positionH>
                <wp:positionV relativeFrom="paragraph">
                  <wp:posOffset>91109</wp:posOffset>
                </wp:positionV>
                <wp:extent cx="4445" cy="262255"/>
                <wp:effectExtent l="0" t="0" r="33655" b="23495"/>
                <wp:wrapNone/>
                <wp:docPr id="51" name="Connecteur droit 51"/>
                <wp:cNvGraphicFramePr/>
                <a:graphic xmlns:a="http://schemas.openxmlformats.org/drawingml/2006/main">
                  <a:graphicData uri="http://schemas.microsoft.com/office/word/2010/wordprocessingShape">
                    <wps:wsp>
                      <wps:cNvCnPr/>
                      <wps:spPr>
                        <a:xfrm>
                          <a:off x="0" y="0"/>
                          <a:ext cx="4445" cy="262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9D29976" id="Connecteur droit 5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0.15pt,7.15pt" to="470.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" strokecolor="#4472c4 [3204]" strokeweight=".5pt">
                <v:stroke joinstyle="miter"/>
              </v:lin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701248" behindDoc="0" locked="0" layoutInCell="1" allowOverlap="1" wp14:anchorId="21331E84" wp14:editId="412678BB">
                <wp:simplePos x="0" y="0"/>
                <wp:positionH relativeFrom="column">
                  <wp:posOffset>4585970</wp:posOffset>
                </wp:positionH>
                <wp:positionV relativeFrom="paragraph">
                  <wp:posOffset>87961</wp:posOffset>
                </wp:positionV>
                <wp:extent cx="4638" cy="262393"/>
                <wp:effectExtent l="0" t="0" r="33655" b="23495"/>
                <wp:wrapNone/>
                <wp:docPr id="52" name="Connecteur droit 52"/>
                <wp:cNvGraphicFramePr/>
                <a:graphic xmlns:a="http://schemas.openxmlformats.org/drawingml/2006/main">
                  <a:graphicData uri="http://schemas.microsoft.com/office/word/2010/wordprocessingShape">
                    <wps:wsp>
                      <wps:cNvCnPr/>
                      <wps:spPr>
                        <a:xfrm>
                          <a:off x="0" y="0"/>
                          <a:ext cx="4638" cy="2623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F5FE57F" id="Connecteur droit 5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1pt,6.95pt" to="361.4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" strokecolor="#4472c4 [3204]" strokeweight=".5pt">
                <v:stroke joinstyle="miter"/>
              </v:line>
            </w:pict>
          </mc:Fallback>
        </mc:AlternateContent>
      </w:r>
    </w:p>
    <w:p w14:paraId="2DD7FE73"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95104" behindDoc="0" locked="0" layoutInCell="1" allowOverlap="1" wp14:anchorId="7BF28269" wp14:editId="2181E63D">
                <wp:simplePos x="0" y="0"/>
                <wp:positionH relativeFrom="column">
                  <wp:posOffset>4602480</wp:posOffset>
                </wp:positionH>
                <wp:positionV relativeFrom="paragraph">
                  <wp:posOffset>21921</wp:posOffset>
                </wp:positionV>
                <wp:extent cx="1359673" cy="0"/>
                <wp:effectExtent l="0" t="0" r="0" b="0"/>
                <wp:wrapNone/>
                <wp:docPr id="45" name="Connecteur droit 45"/>
                <wp:cNvGraphicFramePr/>
                <a:graphic xmlns:a="http://schemas.openxmlformats.org/drawingml/2006/main">
                  <a:graphicData uri="http://schemas.microsoft.com/office/word/2010/wordprocessingShape">
                    <wps:wsp>
                      <wps:cNvCnPr/>
                      <wps:spPr>
                        <a:xfrm flipH="1">
                          <a:off x="0" y="0"/>
                          <a:ext cx="135967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1E037361" id="Connecteur droit 45"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362.4pt,1.75pt" to="469.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" strokecolor="#4472c4 [3204]" strokeweight=".5pt">
                <v:stroke joinstyle="miter"/>
              </v:lin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94080" behindDoc="0" locked="0" layoutInCell="1" allowOverlap="1" wp14:anchorId="0F6A81D0" wp14:editId="0402BF44">
                <wp:simplePos x="0" y="0"/>
                <wp:positionH relativeFrom="column">
                  <wp:posOffset>5283200</wp:posOffset>
                </wp:positionH>
                <wp:positionV relativeFrom="paragraph">
                  <wp:posOffset>23826</wp:posOffset>
                </wp:positionV>
                <wp:extent cx="0" cy="286247"/>
                <wp:effectExtent l="76200" t="0" r="57150" b="57150"/>
                <wp:wrapNone/>
                <wp:docPr id="43" name="Connecteur droit avec flèche 43"/>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496CC44" id="Connecteur droit avec flèche 43" o:spid="_x0000_s1026" type="#_x0000_t32" style="position:absolute;margin-left:416pt;margin-top:1.9pt;width:0;height:22.5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" strokecolor="#4472c4 [3204]" strokeweight=".5pt">
                <v:stroke endarrow="block" joinstyle="miter"/>
              </v:shape>
            </w:pict>
          </mc:Fallback>
        </mc:AlternateContent>
      </w:r>
    </w:p>
    <w:p w14:paraId="52493E52" w14:textId="77777777" w:rsidR="00D75D3D" w:rsidRPr="007F5EEF" w:rsidRDefault="00D75D3D" w:rsidP="007F6B41">
      <w:pPr>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69504" behindDoc="0" locked="0" layoutInCell="1" allowOverlap="1" wp14:anchorId="787037BE" wp14:editId="04175C07">
                <wp:simplePos x="0" y="0"/>
                <wp:positionH relativeFrom="column">
                  <wp:posOffset>4607980</wp:posOffset>
                </wp:positionH>
                <wp:positionV relativeFrom="paragraph">
                  <wp:posOffset>27667</wp:posOffset>
                </wp:positionV>
                <wp:extent cx="1374405" cy="319175"/>
                <wp:effectExtent l="0" t="0" r="16510" b="24130"/>
                <wp:wrapNone/>
                <wp:docPr id="15" name="Rectangle : coins arrondis 15"/>
                <wp:cNvGraphicFramePr/>
                <a:graphic xmlns:a="http://schemas.openxmlformats.org/drawingml/2006/main">
                  <a:graphicData uri="http://schemas.microsoft.com/office/word/2010/wordprocessingShape">
                    <wps:wsp>
                      <wps:cNvSpPr/>
                      <wps:spPr>
                        <a:xfrm>
                          <a:off x="0" y="0"/>
                          <a:ext cx="1374405" cy="319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5E38D9"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7037BE" id="Rectangle : coins arrondis 15" o:spid="_x0000_s1039" style="position:absolute;left:0;text-align:left;margin-left:362.85pt;margin-top:2.2pt;width:108.2pt;height:25.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" fillcolor="#4472c4 [3204]" strokecolor="#1f3763 [1604]" strokeweight="1pt">
                <v:stroke joinstyle="miter"/>
                <v:textbox>
                  <w:txbxContent>
                    <w:p w14:paraId="645E38D9"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Preparation</w:t>
                      </w:r>
                    </w:p>
                  </w:txbxContent>
                </v:textbox>
              </v:roundrect>
            </w:pict>
          </mc:Fallback>
        </mc:AlternateContent>
      </w:r>
    </w:p>
    <w:p w14:paraId="5EE8A0A3" w14:textId="77777777" w:rsidR="00D75D3D" w:rsidRPr="007F5EEF" w:rsidRDefault="00D75D3D" w:rsidP="007F6B41">
      <w:pPr>
        <w:tabs>
          <w:tab w:val="left" w:pos="1890"/>
        </w:tabs>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93056" behindDoc="0" locked="0" layoutInCell="1" allowOverlap="1" wp14:anchorId="0F323085" wp14:editId="137C05BB">
                <wp:simplePos x="0" y="0"/>
                <wp:positionH relativeFrom="column">
                  <wp:posOffset>5296922</wp:posOffset>
                </wp:positionH>
                <wp:positionV relativeFrom="paragraph">
                  <wp:posOffset>87133</wp:posOffset>
                </wp:positionV>
                <wp:extent cx="0" cy="286247"/>
                <wp:effectExtent l="76200" t="0" r="57150" b="57150"/>
                <wp:wrapNone/>
                <wp:docPr id="42" name="Connecteur droit avec flèche 42"/>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D823897" id="Connecteur droit avec flèche 42" o:spid="_x0000_s1026" type="#_x0000_t32" style="position:absolute;margin-left:417.1pt;margin-top:6.85pt;width:0;height:22.5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" strokecolor="#4472c4 [3204]" strokeweight=".5pt">
                <v:stroke endarrow="block" joinstyle="miter"/>
              </v:shape>
            </w:pict>
          </mc:Fallback>
        </mc:AlternateContent>
      </w:r>
      <w:r w:rsidRPr="007F5EEF">
        <w:rPr>
          <w:rFonts w:asciiTheme="majorBidi" w:hAnsiTheme="majorBidi" w:cstheme="majorBidi"/>
          <w:sz w:val="28"/>
          <w:szCs w:val="28"/>
          <w:rtl/>
        </w:rPr>
        <w:tab/>
      </w:r>
    </w:p>
    <w:p w14:paraId="1D6766AF" w14:textId="77777777" w:rsidR="00D75D3D" w:rsidRPr="007F5EEF" w:rsidRDefault="00D75D3D" w:rsidP="007F6B41">
      <w:pPr>
        <w:tabs>
          <w:tab w:val="left" w:pos="1890"/>
        </w:tabs>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0528" behindDoc="0" locked="0" layoutInCell="1" allowOverlap="1" wp14:anchorId="17F49F3E" wp14:editId="1E8DCBDE">
                <wp:simplePos x="0" y="0"/>
                <wp:positionH relativeFrom="column">
                  <wp:posOffset>4608195</wp:posOffset>
                </wp:positionH>
                <wp:positionV relativeFrom="paragraph">
                  <wp:posOffset>85421</wp:posOffset>
                </wp:positionV>
                <wp:extent cx="1374405" cy="319175"/>
                <wp:effectExtent l="0" t="0" r="16510" b="24130"/>
                <wp:wrapNone/>
                <wp:docPr id="16" name="Rectangle : coins arrondis 16"/>
                <wp:cNvGraphicFramePr/>
                <a:graphic xmlns:a="http://schemas.openxmlformats.org/drawingml/2006/main">
                  <a:graphicData uri="http://schemas.microsoft.com/office/word/2010/wordprocessingShape">
                    <wps:wsp>
                      <wps:cNvSpPr/>
                      <wps:spPr>
                        <a:xfrm>
                          <a:off x="0" y="0"/>
                          <a:ext cx="1374405" cy="319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62A28E"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Packing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F49F3E" id="Rectangle : coins arrondis 16" o:spid="_x0000_s1040" style="position:absolute;left:0;text-align:left;margin-left:362.85pt;margin-top:6.75pt;width:108.2pt;height:2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" fillcolor="#4472c4 [3204]" strokecolor="#1f3763 [1604]" strokeweight="1pt">
                <v:stroke joinstyle="miter"/>
                <v:textbox>
                  <w:txbxContent>
                    <w:p w14:paraId="6062A28E"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Packing</w:t>
                      </w:r>
                    </w:p>
                  </w:txbxContent>
                </v:textbox>
              </v:roundrect>
            </w:pict>
          </mc:Fallback>
        </mc:AlternateContent>
      </w:r>
    </w:p>
    <w:p w14:paraId="22DAF668" w14:textId="77777777" w:rsidR="00D75D3D" w:rsidRPr="007F5EEF" w:rsidRDefault="00D75D3D" w:rsidP="007F6B41">
      <w:pPr>
        <w:tabs>
          <w:tab w:val="left" w:pos="1890"/>
        </w:tabs>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92032" behindDoc="0" locked="0" layoutInCell="1" allowOverlap="1" wp14:anchorId="40D2BBEB" wp14:editId="6F801004">
                <wp:simplePos x="0" y="0"/>
                <wp:positionH relativeFrom="column">
                  <wp:posOffset>5310174</wp:posOffset>
                </wp:positionH>
                <wp:positionV relativeFrom="paragraph">
                  <wp:posOffset>125288</wp:posOffset>
                </wp:positionV>
                <wp:extent cx="0" cy="286247"/>
                <wp:effectExtent l="76200" t="0" r="57150" b="57150"/>
                <wp:wrapNone/>
                <wp:docPr id="41" name="Connecteur droit avec flèche 41"/>
                <wp:cNvGraphicFramePr/>
                <a:graphic xmlns:a="http://schemas.openxmlformats.org/drawingml/2006/main">
                  <a:graphicData uri="http://schemas.microsoft.com/office/word/2010/wordprocessingShape">
                    <wps:wsp>
                      <wps:cNvCnPr/>
                      <wps:spPr>
                        <a:xfrm>
                          <a:off x="0" y="0"/>
                          <a:ext cx="0" cy="2862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F67EB66" id="Connecteur droit avec flèche 41" o:spid="_x0000_s1026" type="#_x0000_t32" style="position:absolute;margin-left:418.1pt;margin-top:9.85pt;width:0;height:22.5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" strokecolor="#4472c4 [3204]" strokeweight=".5pt">
                <v:stroke endarrow="block" joinstyle="miter"/>
              </v:shape>
            </w:pict>
          </mc:Fallback>
        </mc:AlternateContent>
      </w:r>
    </w:p>
    <w:p w14:paraId="452BBB6A" w14:textId="77777777" w:rsidR="00D75D3D" w:rsidRPr="007F5EEF" w:rsidRDefault="00D75D3D" w:rsidP="007F6B41">
      <w:pPr>
        <w:tabs>
          <w:tab w:val="left" w:pos="1890"/>
        </w:tabs>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1552" behindDoc="0" locked="0" layoutInCell="1" allowOverlap="1" wp14:anchorId="1EF36E01" wp14:editId="7BCFDC46">
                <wp:simplePos x="0" y="0"/>
                <wp:positionH relativeFrom="column">
                  <wp:posOffset>4608409</wp:posOffset>
                </wp:positionH>
                <wp:positionV relativeFrom="paragraph">
                  <wp:posOffset>136053</wp:posOffset>
                </wp:positionV>
                <wp:extent cx="1374405" cy="319175"/>
                <wp:effectExtent l="0" t="0" r="16510" b="24130"/>
                <wp:wrapNone/>
                <wp:docPr id="17" name="Rectangle : coins arrondis 17"/>
                <wp:cNvGraphicFramePr/>
                <a:graphic xmlns:a="http://schemas.openxmlformats.org/drawingml/2006/main">
                  <a:graphicData uri="http://schemas.microsoft.com/office/word/2010/wordprocessingShape">
                    <wps:wsp>
                      <wps:cNvSpPr/>
                      <wps:spPr>
                        <a:xfrm>
                          <a:off x="0" y="0"/>
                          <a:ext cx="1374405" cy="319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2F2DDD" w14:textId="77777777" w:rsidR="00D75D3D" w:rsidRPr="007F5EEF" w:rsidRDefault="00D75D3D" w:rsidP="007F6B41">
                            <w:pPr>
                              <w:jc w:val="center"/>
                              <w:rPr>
                                <w:rFonts w:asciiTheme="majorBidi" w:hAnsiTheme="majorBidi" w:cstheme="majorBidi"/>
                                <w:b/>
                                <w:bCs/>
                                <w:sz w:val="24"/>
                                <w:szCs w:val="24"/>
                                <w:rtl/>
                                <w:lang w:bidi="ar-DZ"/>
                              </w:rPr>
                            </w:pPr>
                            <w:r w:rsidRPr="007F5EEF">
                              <w:rPr>
                                <w:rFonts w:asciiTheme="majorBidi" w:hAnsiTheme="majorBidi" w:cstheme="majorBidi"/>
                                <w:b/>
                                <w:bCs/>
                                <w:sz w:val="24"/>
                                <w:szCs w:val="24"/>
                                <w:lang w:bidi="ar-DZ"/>
                              </w:rPr>
                              <w:t>Insulation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36E01" id="Rectangle : coins arrondis 17" o:spid="_x0000_s1041" style="position:absolute;left:0;text-align:left;margin-left:362.85pt;margin-top:10.7pt;width:108.2pt;height:2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" fillcolor="#4472c4 [3204]" strokecolor="#1f3763 [1604]" strokeweight="1pt">
                <v:stroke joinstyle="miter"/>
                <v:textbox>
                  <w:txbxContent>
                    <w:p w14:paraId="652F2DDD" w14:textId="77777777" w:rsidR="00D75D3D" w:rsidRPr="007F5EEF" w:rsidRDefault="00D75D3D" w:rsidP="007F6B41">
                      <w:pPr>
                        <w:jc w:val="center"/>
                        <w:rPr>
                          <w:rFonts w:asciiTheme="majorBidi" w:hAnsiTheme="majorBidi" w:cstheme="majorBidi"/>
                          <w:b/>
                          <w:bCs/>
                          <w:sz w:val="24"/>
                          <w:szCs w:val="24"/>
                          <w:rtl/>
                          <w:lang w:bidi="ar-DZ"/>
                        </w:rPr>
                      </w:pPr>
                      <w:r w:rsidRPr="007F5EEF">
                        <w:rPr>
                          <w:rFonts w:asciiTheme="majorBidi" w:hAnsiTheme="majorBidi" w:cstheme="majorBidi"/>
                          <w:b/>
                          <w:bCs/>
                          <w:sz w:val="24"/>
                          <w:szCs w:val="24"/>
                          <w:lang w:bidi="ar-DZ"/>
                        </w:rPr>
                        <w:t>Insulation</w:t>
                      </w:r>
                    </w:p>
                  </w:txbxContent>
                </v:textbox>
              </v:roundrect>
            </w:pict>
          </mc:Fallback>
        </mc:AlternateContent>
      </w:r>
    </w:p>
    <w:p w14:paraId="39C19DDC" w14:textId="77777777" w:rsidR="00D75D3D" w:rsidRPr="007F5EEF" w:rsidRDefault="00D75D3D" w:rsidP="007F6B41">
      <w:pPr>
        <w:tabs>
          <w:tab w:val="left" w:pos="1890"/>
        </w:tabs>
        <w:jc w:val="right"/>
        <w:rPr>
          <w:rFonts w:asciiTheme="majorBidi" w:hAnsiTheme="majorBidi" w:cstheme="majorBidi"/>
          <w:sz w:val="28"/>
          <w:szCs w:val="28"/>
          <w:rtl/>
        </w:rPr>
      </w:pPr>
    </w:p>
    <w:p w14:paraId="53D1DE48" w14:textId="77777777" w:rsidR="00D75D3D" w:rsidRPr="007F5EEF" w:rsidRDefault="00D75D3D" w:rsidP="007F6B41">
      <w:pPr>
        <w:tabs>
          <w:tab w:val="left" w:pos="1890"/>
        </w:tabs>
        <w:jc w:val="right"/>
        <w:rPr>
          <w:rFonts w:asciiTheme="majorBidi" w:hAnsiTheme="majorBidi" w:cstheme="majorBidi"/>
          <w:sz w:val="28"/>
          <w:szCs w:val="28"/>
          <w:rtl/>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7696" behindDoc="0" locked="0" layoutInCell="1" allowOverlap="1" wp14:anchorId="7042674E" wp14:editId="3E822188">
                <wp:simplePos x="0" y="0"/>
                <wp:positionH relativeFrom="column">
                  <wp:posOffset>1358375</wp:posOffset>
                </wp:positionH>
                <wp:positionV relativeFrom="paragraph">
                  <wp:posOffset>662497</wp:posOffset>
                </wp:positionV>
                <wp:extent cx="1065530" cy="357809"/>
                <wp:effectExtent l="0" t="0" r="20320" b="23495"/>
                <wp:wrapNone/>
                <wp:docPr id="18" name="Rectangle : coins arrondis 18"/>
                <wp:cNvGraphicFramePr/>
                <a:graphic xmlns:a="http://schemas.openxmlformats.org/drawingml/2006/main">
                  <a:graphicData uri="http://schemas.microsoft.com/office/word/2010/wordprocessingShape">
                    <wps:wsp>
                      <wps:cNvSpPr/>
                      <wps:spPr>
                        <a:xfrm>
                          <a:off x="0" y="0"/>
                          <a:ext cx="1065530" cy="35780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6E0A9E9"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Wholesale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42674E" id="Rectangle : coins arrondis 18" o:spid="_x0000_s1042" style="position:absolute;left:0;text-align:left;margin-left:106.95pt;margin-top:52.15pt;width:83.9pt;height:2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" fillcolor="#4472c4 [3204]" strokecolor="#1f3763 [1604]" strokeweight="1pt">
                <v:stroke joinstyle="miter"/>
                <v:textbox>
                  <w:txbxContent>
                    <w:p w14:paraId="26E0A9E9"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Wholesale</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8960" behindDoc="0" locked="0" layoutInCell="1" allowOverlap="1" wp14:anchorId="214D4489" wp14:editId="2C4B055A">
                <wp:simplePos x="0" y="0"/>
                <wp:positionH relativeFrom="column">
                  <wp:posOffset>3933190</wp:posOffset>
                </wp:positionH>
                <wp:positionV relativeFrom="paragraph">
                  <wp:posOffset>832485</wp:posOffset>
                </wp:positionV>
                <wp:extent cx="468630" cy="8255"/>
                <wp:effectExtent l="0" t="76200" r="26670" b="86995"/>
                <wp:wrapNone/>
                <wp:docPr id="38" name="Connecteur droit avec flèche 38"/>
                <wp:cNvGraphicFramePr/>
                <a:graphic xmlns:a="http://schemas.openxmlformats.org/drawingml/2006/main">
                  <a:graphicData uri="http://schemas.microsoft.com/office/word/2010/wordprocessingShape">
                    <wps:wsp>
                      <wps:cNvCnPr/>
                      <wps:spPr>
                        <a:xfrm flipV="1">
                          <a:off x="0" y="0"/>
                          <a:ext cx="468630" cy="82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D916AB3" id="Connecteur droit avec flèche 38" o:spid="_x0000_s1026" type="#_x0000_t32" style="position:absolute;margin-left:309.7pt;margin-top:65.55pt;width:36.9pt;height:.6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7936" behindDoc="0" locked="0" layoutInCell="1" allowOverlap="1" wp14:anchorId="55190F68" wp14:editId="3D70EE16">
                <wp:simplePos x="0" y="0"/>
                <wp:positionH relativeFrom="column">
                  <wp:posOffset>2431415</wp:posOffset>
                </wp:positionH>
                <wp:positionV relativeFrom="paragraph">
                  <wp:posOffset>843915</wp:posOffset>
                </wp:positionV>
                <wp:extent cx="397510" cy="0"/>
                <wp:effectExtent l="0" t="76200" r="21590" b="95250"/>
                <wp:wrapNone/>
                <wp:docPr id="36" name="Connecteur droit avec flèche 36"/>
                <wp:cNvGraphicFramePr/>
                <a:graphic xmlns:a="http://schemas.openxmlformats.org/drawingml/2006/main">
                  <a:graphicData uri="http://schemas.microsoft.com/office/word/2010/wordprocessingShape">
                    <wps:wsp>
                      <wps:cNvCnPr/>
                      <wps:spPr>
                        <a:xfrm>
                          <a:off x="0" y="0"/>
                          <a:ext cx="3975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1F256E2" id="Connecteur droit avec flèche 36" o:spid="_x0000_s1026" type="#_x0000_t32" style="position:absolute;margin-left:191.45pt;margin-top:66.45pt;width:31.3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86912" behindDoc="0" locked="0" layoutInCell="1" allowOverlap="1" wp14:anchorId="306A8BA6" wp14:editId="027C27FD">
                <wp:simplePos x="0" y="0"/>
                <wp:positionH relativeFrom="column">
                  <wp:posOffset>650709</wp:posOffset>
                </wp:positionH>
                <wp:positionV relativeFrom="paragraph">
                  <wp:posOffset>828592</wp:posOffset>
                </wp:positionV>
                <wp:extent cx="641737" cy="7951"/>
                <wp:effectExtent l="0" t="76200" r="25400" b="87630"/>
                <wp:wrapNone/>
                <wp:docPr id="34" name="Connecteur droit avec flèche 34"/>
                <wp:cNvGraphicFramePr/>
                <a:graphic xmlns:a="http://schemas.openxmlformats.org/drawingml/2006/main">
                  <a:graphicData uri="http://schemas.microsoft.com/office/word/2010/wordprocessingShape">
                    <wps:wsp>
                      <wps:cNvCnPr/>
                      <wps:spPr>
                        <a:xfrm flipV="1">
                          <a:off x="0" y="0"/>
                          <a:ext cx="641737" cy="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B94FC85" id="Connecteur droit avec flèche 34" o:spid="_x0000_s1026" type="#_x0000_t32" style="position:absolute;margin-left:51.25pt;margin-top:65.25pt;width:50.55pt;height:.6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" strokecolor="#4472c4 [3204]" strokeweight=".5pt">
                <v:stroke endarrow="block" joinstyle="miter"/>
              </v:shape>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75648" behindDoc="0" locked="0" layoutInCell="1" allowOverlap="1" wp14:anchorId="7016CFBA" wp14:editId="362C02F7">
                <wp:simplePos x="0" y="0"/>
                <wp:positionH relativeFrom="column">
                  <wp:posOffset>4412615</wp:posOffset>
                </wp:positionH>
                <wp:positionV relativeFrom="paragraph">
                  <wp:posOffset>671499</wp:posOffset>
                </wp:positionV>
                <wp:extent cx="1065530" cy="318770"/>
                <wp:effectExtent l="0" t="0" r="20320" b="24130"/>
                <wp:wrapNone/>
                <wp:docPr id="23" name="Rectangle : coins arrondis 23"/>
                <wp:cNvGraphicFramePr/>
                <a:graphic xmlns:a="http://schemas.openxmlformats.org/drawingml/2006/main">
                  <a:graphicData uri="http://schemas.microsoft.com/office/word/2010/wordprocessingShape">
                    <wps:wsp>
                      <wps:cNvSpPr/>
                      <wps:spPr>
                        <a:xfrm>
                          <a:off x="0" y="0"/>
                          <a:ext cx="1065530" cy="3187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CFC1D6"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Consumer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6CFBA" id="Rectangle : coins arrondis 23" o:spid="_x0000_s1043" style="position:absolute;left:0;text-align:left;margin-left:347.45pt;margin-top:52.85pt;width:83.9pt;height:2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" fillcolor="#4472c4 [3204]" strokecolor="#1f3763 [1604]" strokeweight="1pt">
                <v:stroke joinstyle="miter"/>
                <v:textbox>
                  <w:txbxContent>
                    <w:p w14:paraId="0ACFC1D6"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Consumer</w:t>
                      </w:r>
                    </w:p>
                  </w:txbxContent>
                </v:textbox>
              </v:roundrect>
            </w:pict>
          </mc:Fallback>
        </mc:AlternateContent>
      </w:r>
      <w:r w:rsidRPr="007F5EEF">
        <w:rPr>
          <w:rFonts w:asciiTheme="majorBidi" w:hAnsiTheme="majorBidi" w:cstheme="majorBidi"/>
          <w:noProof/>
          <w:sz w:val="28"/>
          <w:szCs w:val="28"/>
          <w:rtl/>
          <w:lang w:val="ar-SA"/>
        </w:rPr>
        <mc:AlternateContent>
          <mc:Choice Requires="wps">
            <w:drawing>
              <wp:anchor distT="0" distB="0" distL="114300" distR="114300" simplePos="0" relativeHeight="251676672" behindDoc="0" locked="0" layoutInCell="1" allowOverlap="1" wp14:anchorId="517A99F7" wp14:editId="67718992">
                <wp:simplePos x="0" y="0"/>
                <wp:positionH relativeFrom="column">
                  <wp:posOffset>2863850</wp:posOffset>
                </wp:positionH>
                <wp:positionV relativeFrom="paragraph">
                  <wp:posOffset>678484</wp:posOffset>
                </wp:positionV>
                <wp:extent cx="1065530" cy="318770"/>
                <wp:effectExtent l="0" t="0" r="20320" b="24130"/>
                <wp:wrapNone/>
                <wp:docPr id="24" name="Rectangle : coins arrondis 24"/>
                <wp:cNvGraphicFramePr/>
                <a:graphic xmlns:a="http://schemas.openxmlformats.org/drawingml/2006/main">
                  <a:graphicData uri="http://schemas.microsoft.com/office/word/2010/wordprocessingShape">
                    <wps:wsp>
                      <wps:cNvSpPr/>
                      <wps:spPr>
                        <a:xfrm>
                          <a:off x="0" y="0"/>
                          <a:ext cx="1065530" cy="3187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405858"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Pharmacy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A99F7" id="Rectangle : coins arrondis 24" o:spid="_x0000_s1044" style="position:absolute;left:0;text-align:left;margin-left:225.5pt;margin-top:53.4pt;width:83.9pt;height:2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" fillcolor="#4472c4 [3204]" strokecolor="#1f3763 [1604]" strokeweight="1pt">
                <v:stroke joinstyle="miter"/>
                <v:textbox>
                  <w:txbxContent>
                    <w:p w14:paraId="7F405858"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rPr>
                        <w:t>Pharmacy</w:t>
                      </w:r>
                    </w:p>
                  </w:txbxContent>
                </v:textbox>
              </v:roundrect>
            </w:pict>
          </mc:Fallback>
        </mc:AlternateContent>
      </w:r>
    </w:p>
    <w:p w14:paraId="5985B7D7" w14:textId="4EF33EB6" w:rsidR="00D75D3D" w:rsidRPr="00C3174C" w:rsidRDefault="00D75D3D" w:rsidP="00C3174C">
      <w:pPr>
        <w:tabs>
          <w:tab w:val="left" w:pos="7645"/>
        </w:tabs>
        <w:jc w:val="right"/>
        <w:rPr>
          <w:rFonts w:asciiTheme="majorBidi" w:hAnsiTheme="majorBidi" w:cstheme="majorBidi"/>
          <w:sz w:val="28"/>
          <w:szCs w:val="28"/>
          <w:lang w:val="en-GB"/>
        </w:rPr>
      </w:pPr>
      <w:r w:rsidRPr="007F5EEF">
        <w:rPr>
          <w:rFonts w:asciiTheme="majorBidi" w:hAnsiTheme="majorBidi" w:cstheme="majorBidi"/>
          <w:noProof/>
          <w:sz w:val="28"/>
          <w:szCs w:val="28"/>
          <w:rtl/>
          <w:lang w:val="ar-SA"/>
        </w:rPr>
        <mc:AlternateContent>
          <mc:Choice Requires="wps">
            <w:drawing>
              <wp:anchor distT="0" distB="0" distL="114300" distR="114300" simplePos="0" relativeHeight="251673600" behindDoc="0" locked="0" layoutInCell="1" allowOverlap="1" wp14:anchorId="09B79503" wp14:editId="62DC47F0">
                <wp:simplePos x="0" y="0"/>
                <wp:positionH relativeFrom="column">
                  <wp:posOffset>-454025</wp:posOffset>
                </wp:positionH>
                <wp:positionV relativeFrom="paragraph">
                  <wp:posOffset>344500</wp:posOffset>
                </wp:positionV>
                <wp:extent cx="1065530" cy="350520"/>
                <wp:effectExtent l="0" t="0" r="20320" b="11430"/>
                <wp:wrapNone/>
                <wp:docPr id="25" name="Rectangle : coins arrondis 25"/>
                <wp:cNvGraphicFramePr/>
                <a:graphic xmlns:a="http://schemas.openxmlformats.org/drawingml/2006/main">
                  <a:graphicData uri="http://schemas.microsoft.com/office/word/2010/wordprocessingShape">
                    <wps:wsp>
                      <wps:cNvSpPr/>
                      <wps:spPr>
                        <a:xfrm>
                          <a:off x="0" y="0"/>
                          <a:ext cx="1065530" cy="350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19BBCC"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distribution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79503" id="Rectangle : coins arrondis 25" o:spid="_x0000_s1045" style="position:absolute;left:0;text-align:left;margin-left:-35.75pt;margin-top:27.15pt;width:83.9pt;height:2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" fillcolor="#4472c4 [3204]" strokecolor="#1f3763 [1604]" strokeweight="1pt">
                <v:stroke joinstyle="miter"/>
                <v:textbox>
                  <w:txbxContent>
                    <w:p w14:paraId="6B19BBCC" w14:textId="77777777" w:rsidR="00D75D3D" w:rsidRPr="007F5EEF" w:rsidRDefault="00D75D3D" w:rsidP="007F6B41">
                      <w:pPr>
                        <w:jc w:val="center"/>
                        <w:rPr>
                          <w:rFonts w:asciiTheme="majorBidi" w:hAnsiTheme="majorBidi" w:cstheme="majorBidi"/>
                          <w:b/>
                          <w:bCs/>
                          <w:sz w:val="24"/>
                          <w:szCs w:val="24"/>
                          <w:lang w:bidi="ar-DZ"/>
                        </w:rPr>
                      </w:pPr>
                      <w:r w:rsidRPr="007F5EEF">
                        <w:rPr>
                          <w:rFonts w:asciiTheme="majorBidi" w:hAnsiTheme="majorBidi" w:cstheme="majorBidi"/>
                          <w:b/>
                          <w:bCs/>
                          <w:sz w:val="24"/>
                          <w:szCs w:val="24"/>
                          <w:lang w:bidi="ar-DZ"/>
                        </w:rPr>
                        <w:t>distribution</w:t>
                      </w:r>
                    </w:p>
                  </w:txbxContent>
                </v:textbox>
              </v:roundrect>
            </w:pict>
          </mc:Fallback>
        </mc:AlternateContent>
      </w:r>
      <w:r w:rsidRPr="007F5EEF">
        <w:rPr>
          <w:rFonts w:asciiTheme="majorBidi" w:hAnsiTheme="majorBidi" w:cstheme="majorBidi"/>
          <w:sz w:val="28"/>
          <w:szCs w:val="28"/>
          <w:rtl/>
        </w:rPr>
        <w:tab/>
      </w:r>
    </w:p>
    <w:p w14:paraId="1358D9E6" w14:textId="0CED3E8D" w:rsidR="00B34685" w:rsidRPr="0004637B" w:rsidRDefault="0004637B" w:rsidP="00413B73">
      <w:pPr>
        <w:pStyle w:val="ListParagraph"/>
        <w:numPr>
          <w:ilvl w:val="1"/>
          <w:numId w:val="88"/>
        </w:numPr>
        <w:jc w:val="both"/>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bookmarkStart w:id="284" w:name="_Toc200720061"/>
      <w:bookmarkStart w:id="285" w:name="_Toc200721702"/>
      <w:r w:rsidR="00B34685" w:rsidRPr="00BB2F8D">
        <w:rPr>
          <w:rStyle w:val="Heading4Char"/>
        </w:rPr>
        <w:t>Some products</w:t>
      </w:r>
      <w:bookmarkEnd w:id="284"/>
      <w:bookmarkEnd w:id="285"/>
      <w:r w:rsidR="00B34685" w:rsidRPr="0004637B">
        <w:rPr>
          <w:rFonts w:asciiTheme="majorBidi" w:hAnsiTheme="majorBidi" w:cstheme="majorBidi"/>
          <w:b/>
          <w:bCs/>
          <w:sz w:val="24"/>
          <w:szCs w:val="24"/>
          <w:lang w:val="en-GB"/>
        </w:rPr>
        <w:t xml:space="preserve">: </w:t>
      </w:r>
    </w:p>
    <w:p w14:paraId="054A2297" w14:textId="570FC72C" w:rsidR="00B91AFC" w:rsidRDefault="00436E06" w:rsidP="00B91AFC">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Figure 8:</w:t>
      </w:r>
      <w:r w:rsidR="00E52576" w:rsidRPr="0009045B">
        <w:rPr>
          <w:lang w:val="en-GB"/>
        </w:rPr>
        <w:t xml:space="preserve"> </w:t>
      </w:r>
      <w:r w:rsidR="00E52576" w:rsidRPr="00E52576">
        <w:rPr>
          <w:rFonts w:asciiTheme="majorBidi" w:hAnsiTheme="majorBidi" w:cstheme="majorBidi"/>
          <w:sz w:val="24"/>
          <w:szCs w:val="24"/>
          <w:lang w:val="en-GB"/>
        </w:rPr>
        <w:t>Proderma lightening cream</w:t>
      </w:r>
    </w:p>
    <w:p w14:paraId="2C2A1EE2" w14:textId="56A7FAB7" w:rsidR="00436E06" w:rsidRDefault="00D75D3D" w:rsidP="00436E06">
      <w:pPr>
        <w:jc w:val="center"/>
        <w:rPr>
          <w:rFonts w:asciiTheme="majorBidi" w:hAnsiTheme="majorBidi" w:cstheme="majorBidi"/>
          <w:b/>
          <w:bCs/>
          <w:noProof/>
          <w:sz w:val="24"/>
          <w:szCs w:val="24"/>
          <w:lang w:val="en-GB"/>
        </w:rPr>
      </w:pPr>
      <w:r w:rsidRPr="007F5EEF">
        <w:rPr>
          <w:rFonts w:asciiTheme="majorBidi" w:hAnsiTheme="majorBidi" w:cstheme="majorBidi"/>
          <w:b/>
          <w:bCs/>
          <w:noProof/>
          <w:sz w:val="24"/>
          <w:szCs w:val="24"/>
          <w:lang w:val="en-GB"/>
        </w:rPr>
        <w:drawing>
          <wp:inline distT="0" distB="0" distL="0" distR="0" wp14:anchorId="37C0B6B4" wp14:editId="46055C05">
            <wp:extent cx="2164715" cy="3098800"/>
            <wp:effectExtent l="0" t="0" r="6985" b="635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rotWithShape="1">
                    <a:blip r:embed="rId36">
                      <a:extLst>
                        <a:ext uri="{28A0092B-C50C-407E-A947-70E740481C1C}">
                          <a14:useLocalDpi xmlns:a14="http://schemas.microsoft.com/office/drawing/2010/main" val="0"/>
                        </a:ext>
                      </a:extLst>
                    </a:blip>
                    <a:srcRect t="3547" b="14021"/>
                    <a:stretch/>
                  </pic:blipFill>
                  <pic:spPr bwMode="auto">
                    <a:xfrm>
                      <a:off x="0" y="0"/>
                      <a:ext cx="2173688" cy="3111645"/>
                    </a:xfrm>
                    <a:prstGeom prst="rect">
                      <a:avLst/>
                    </a:prstGeom>
                    <a:ln>
                      <a:noFill/>
                    </a:ln>
                    <a:extLst>
                      <a:ext uri="{53640926-AAD7-44D8-BBD7-CCE9431645EC}">
                        <a14:shadowObscured xmlns:a14="http://schemas.microsoft.com/office/drawing/2010/main"/>
                      </a:ext>
                    </a:extLst>
                  </pic:spPr>
                </pic:pic>
              </a:graphicData>
            </a:graphic>
          </wp:inline>
        </w:drawing>
      </w:r>
    </w:p>
    <w:p w14:paraId="45495F0C" w14:textId="64B99E16" w:rsidR="00B91AFC" w:rsidRPr="00B91AFC" w:rsidRDefault="00B91AFC" w:rsidP="00C3174C">
      <w:pPr>
        <w:jc w:val="center"/>
        <w:rPr>
          <w:rFonts w:asciiTheme="majorBidi" w:hAnsiTheme="majorBidi" w:cstheme="majorBidi"/>
          <w:noProof/>
          <w:sz w:val="24"/>
          <w:szCs w:val="24"/>
          <w:lang w:val="en-GB"/>
        </w:rPr>
      </w:pPr>
      <w:r w:rsidRPr="0004637B">
        <w:rPr>
          <w:rFonts w:asciiTheme="majorBidi" w:hAnsiTheme="majorBidi" w:cstheme="majorBidi"/>
          <w:b/>
          <w:bCs/>
          <w:noProof/>
          <w:sz w:val="24"/>
          <w:szCs w:val="24"/>
          <w:lang w:val="en-GB"/>
        </w:rPr>
        <w:t>Source:</w:t>
      </w:r>
      <w:r w:rsidRPr="00B91AFC">
        <w:rPr>
          <w:rFonts w:asciiTheme="majorBidi" w:hAnsiTheme="majorBidi" w:cstheme="majorBidi"/>
          <w:noProof/>
          <w:sz w:val="24"/>
          <w:szCs w:val="24"/>
          <w:lang w:val="en-GB"/>
        </w:rPr>
        <w:t xml:space="preserve"> Proderma company </w:t>
      </w:r>
    </w:p>
    <w:p w14:paraId="05A52438" w14:textId="2B6B369C" w:rsidR="00B91AFC" w:rsidRPr="00B91AFC" w:rsidRDefault="00436E06" w:rsidP="00B91AFC">
      <w:pPr>
        <w:jc w:val="center"/>
        <w:rPr>
          <w:rFonts w:asciiTheme="majorBidi" w:hAnsiTheme="majorBidi" w:cstheme="majorBidi"/>
          <w:noProof/>
          <w:sz w:val="24"/>
          <w:szCs w:val="24"/>
          <w:lang w:val="en-GB"/>
        </w:rPr>
      </w:pPr>
      <w:r>
        <w:rPr>
          <w:rFonts w:asciiTheme="majorBidi" w:hAnsiTheme="majorBidi" w:cstheme="majorBidi"/>
          <w:b/>
          <w:bCs/>
          <w:noProof/>
          <w:sz w:val="24"/>
          <w:szCs w:val="24"/>
          <w:lang w:val="en-GB"/>
        </w:rPr>
        <w:t xml:space="preserve">Figure </w:t>
      </w:r>
      <w:r w:rsidR="00E52576">
        <w:rPr>
          <w:rFonts w:asciiTheme="majorBidi" w:hAnsiTheme="majorBidi" w:cstheme="majorBidi"/>
          <w:b/>
          <w:bCs/>
          <w:noProof/>
          <w:sz w:val="24"/>
          <w:szCs w:val="24"/>
          <w:lang w:val="en-GB"/>
        </w:rPr>
        <w:t xml:space="preserve">9: </w:t>
      </w:r>
      <w:r w:rsidR="00E52576" w:rsidRPr="00E52576">
        <w:rPr>
          <w:rFonts w:asciiTheme="majorBidi" w:hAnsiTheme="majorBidi" w:cstheme="majorBidi"/>
          <w:noProof/>
          <w:sz w:val="24"/>
          <w:szCs w:val="24"/>
          <w:lang w:val="en-GB"/>
        </w:rPr>
        <w:t>Proderma soothing massage gel</w:t>
      </w:r>
    </w:p>
    <w:p w14:paraId="2CAA6B3A" w14:textId="77777777" w:rsidR="00B91AFC" w:rsidRDefault="00B91AFC" w:rsidP="00436E06">
      <w:pPr>
        <w:jc w:val="center"/>
        <w:rPr>
          <w:rFonts w:asciiTheme="majorBidi" w:hAnsiTheme="majorBidi" w:cstheme="majorBidi"/>
          <w:b/>
          <w:bCs/>
          <w:noProof/>
          <w:sz w:val="24"/>
          <w:szCs w:val="24"/>
          <w:lang w:val="en-GB"/>
        </w:rPr>
      </w:pPr>
    </w:p>
    <w:p w14:paraId="74A4B668" w14:textId="06D82259" w:rsidR="00436E06" w:rsidRDefault="00D75D3D" w:rsidP="00436E06">
      <w:pPr>
        <w:jc w:val="center"/>
        <w:rPr>
          <w:rFonts w:asciiTheme="majorBidi" w:hAnsiTheme="majorBidi" w:cstheme="majorBidi"/>
          <w:b/>
          <w:bCs/>
          <w:noProof/>
          <w:sz w:val="24"/>
          <w:szCs w:val="24"/>
          <w:lang w:val="en-GB"/>
        </w:rPr>
      </w:pPr>
      <w:r w:rsidRPr="007F5EEF">
        <w:rPr>
          <w:rFonts w:asciiTheme="majorBidi" w:hAnsiTheme="majorBidi" w:cstheme="majorBidi"/>
          <w:b/>
          <w:bCs/>
          <w:noProof/>
          <w:sz w:val="24"/>
          <w:szCs w:val="24"/>
          <w:lang w:val="en-GB"/>
        </w:rPr>
        <w:drawing>
          <wp:inline distT="0" distB="0" distL="0" distR="0" wp14:anchorId="35647A72" wp14:editId="459882A1">
            <wp:extent cx="1993899" cy="2794000"/>
            <wp:effectExtent l="0" t="0" r="6985" b="635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rotWithShape="1">
                    <a:blip r:embed="rId37">
                      <a:extLst>
                        <a:ext uri="{28A0092B-C50C-407E-A947-70E740481C1C}">
                          <a14:useLocalDpi xmlns:a14="http://schemas.microsoft.com/office/drawing/2010/main" val="0"/>
                        </a:ext>
                      </a:extLst>
                    </a:blip>
                    <a:srcRect t="3227" b="13283"/>
                    <a:stretch/>
                  </pic:blipFill>
                  <pic:spPr bwMode="auto">
                    <a:xfrm>
                      <a:off x="0" y="0"/>
                      <a:ext cx="1994597" cy="2794977"/>
                    </a:xfrm>
                    <a:prstGeom prst="rect">
                      <a:avLst/>
                    </a:prstGeom>
                    <a:ln>
                      <a:noFill/>
                    </a:ln>
                    <a:extLst>
                      <a:ext uri="{53640926-AAD7-44D8-BBD7-CCE9431645EC}">
                        <a14:shadowObscured xmlns:a14="http://schemas.microsoft.com/office/drawing/2010/main"/>
                      </a:ext>
                    </a:extLst>
                  </pic:spPr>
                </pic:pic>
              </a:graphicData>
            </a:graphic>
          </wp:inline>
        </w:drawing>
      </w:r>
    </w:p>
    <w:p w14:paraId="643A9A29" w14:textId="3FF2A741" w:rsidR="00B91AFC" w:rsidRDefault="00B91AFC" w:rsidP="00B91AFC">
      <w:pPr>
        <w:jc w:val="center"/>
        <w:rPr>
          <w:rFonts w:asciiTheme="majorBidi" w:hAnsiTheme="majorBidi" w:cstheme="majorBidi"/>
          <w:noProof/>
          <w:sz w:val="24"/>
          <w:szCs w:val="24"/>
          <w:lang w:val="en-GB"/>
        </w:rPr>
      </w:pPr>
      <w:r w:rsidRPr="0004637B">
        <w:rPr>
          <w:rFonts w:asciiTheme="majorBidi" w:hAnsiTheme="majorBidi" w:cstheme="majorBidi"/>
          <w:b/>
          <w:bCs/>
          <w:noProof/>
          <w:sz w:val="24"/>
          <w:szCs w:val="24"/>
          <w:lang w:val="en-GB"/>
        </w:rPr>
        <w:t>Source:</w:t>
      </w:r>
      <w:r w:rsidRPr="00B91AFC">
        <w:rPr>
          <w:rFonts w:asciiTheme="majorBidi" w:hAnsiTheme="majorBidi" w:cstheme="majorBidi"/>
          <w:noProof/>
          <w:sz w:val="24"/>
          <w:szCs w:val="24"/>
          <w:lang w:val="en-GB"/>
        </w:rPr>
        <w:t xml:space="preserve"> Proderma company</w:t>
      </w:r>
    </w:p>
    <w:p w14:paraId="5B074CB7" w14:textId="4216FC18" w:rsidR="00C3174C" w:rsidRDefault="00C3174C" w:rsidP="00B91AFC">
      <w:pPr>
        <w:jc w:val="center"/>
        <w:rPr>
          <w:rFonts w:asciiTheme="majorBidi" w:hAnsiTheme="majorBidi" w:cstheme="majorBidi"/>
          <w:noProof/>
          <w:sz w:val="24"/>
          <w:szCs w:val="24"/>
          <w:lang w:val="en-GB"/>
        </w:rPr>
      </w:pPr>
    </w:p>
    <w:p w14:paraId="06D208FA" w14:textId="42AF13A5" w:rsidR="00C3174C" w:rsidRDefault="00C3174C" w:rsidP="00B91AFC">
      <w:pPr>
        <w:jc w:val="center"/>
        <w:rPr>
          <w:rFonts w:asciiTheme="majorBidi" w:hAnsiTheme="majorBidi" w:cstheme="majorBidi"/>
          <w:noProof/>
          <w:sz w:val="24"/>
          <w:szCs w:val="24"/>
          <w:lang w:val="en-GB"/>
        </w:rPr>
      </w:pPr>
    </w:p>
    <w:p w14:paraId="51917CF4" w14:textId="77777777" w:rsidR="00C3174C" w:rsidRPr="00B91AFC" w:rsidRDefault="00C3174C" w:rsidP="00B91AFC">
      <w:pPr>
        <w:jc w:val="center"/>
        <w:rPr>
          <w:rFonts w:asciiTheme="majorBidi" w:hAnsiTheme="majorBidi" w:cstheme="majorBidi"/>
          <w:noProof/>
          <w:sz w:val="24"/>
          <w:szCs w:val="24"/>
          <w:lang w:val="en-GB"/>
        </w:rPr>
      </w:pPr>
    </w:p>
    <w:p w14:paraId="22FD699A" w14:textId="6EC900F3" w:rsidR="00B91AFC" w:rsidRDefault="00E52576" w:rsidP="00B91AFC">
      <w:pPr>
        <w:jc w:val="center"/>
        <w:rPr>
          <w:rFonts w:asciiTheme="majorBidi" w:hAnsiTheme="majorBidi" w:cstheme="majorBidi"/>
          <w:b/>
          <w:bCs/>
          <w:noProof/>
          <w:sz w:val="24"/>
          <w:szCs w:val="24"/>
          <w:lang w:val="en-GB"/>
        </w:rPr>
      </w:pPr>
      <w:r>
        <w:rPr>
          <w:rFonts w:asciiTheme="majorBidi" w:hAnsiTheme="majorBidi" w:cstheme="majorBidi"/>
          <w:b/>
          <w:bCs/>
          <w:noProof/>
          <w:sz w:val="24"/>
          <w:szCs w:val="24"/>
          <w:lang w:val="en-GB"/>
        </w:rPr>
        <w:t xml:space="preserve">Figure 10: </w:t>
      </w:r>
      <w:r w:rsidRPr="00E52576">
        <w:rPr>
          <w:rFonts w:asciiTheme="majorBidi" w:hAnsiTheme="majorBidi" w:cstheme="majorBidi"/>
          <w:noProof/>
          <w:sz w:val="24"/>
          <w:szCs w:val="24"/>
          <w:lang w:val="en-GB"/>
        </w:rPr>
        <w:t>Proderma lightening glycerin</w:t>
      </w:r>
    </w:p>
    <w:p w14:paraId="119AF84A" w14:textId="20958433" w:rsidR="00D75D3D" w:rsidRDefault="00D75D3D" w:rsidP="00E52576">
      <w:pPr>
        <w:jc w:val="center"/>
        <w:rPr>
          <w:rFonts w:asciiTheme="majorBidi" w:hAnsiTheme="majorBidi" w:cstheme="majorBidi"/>
          <w:b/>
          <w:bCs/>
          <w:sz w:val="24"/>
          <w:szCs w:val="24"/>
          <w:lang w:val="en-GB"/>
        </w:rPr>
      </w:pPr>
      <w:r w:rsidRPr="007F5EEF">
        <w:rPr>
          <w:rFonts w:asciiTheme="majorBidi" w:hAnsiTheme="majorBidi" w:cstheme="majorBidi"/>
          <w:b/>
          <w:bCs/>
          <w:noProof/>
          <w:sz w:val="24"/>
          <w:szCs w:val="24"/>
          <w:lang w:val="en-GB"/>
        </w:rPr>
        <w:drawing>
          <wp:inline distT="0" distB="0" distL="0" distR="0" wp14:anchorId="0768E0A6" wp14:editId="3C68EE94">
            <wp:extent cx="2007870" cy="30099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rotWithShape="1">
                    <a:blip r:embed="rId38">
                      <a:extLst>
                        <a:ext uri="{28A0092B-C50C-407E-A947-70E740481C1C}">
                          <a14:useLocalDpi xmlns:a14="http://schemas.microsoft.com/office/drawing/2010/main" val="0"/>
                        </a:ext>
                      </a:extLst>
                    </a:blip>
                    <a:srcRect t="6867" b="13714"/>
                    <a:stretch/>
                  </pic:blipFill>
                  <pic:spPr bwMode="auto">
                    <a:xfrm>
                      <a:off x="0" y="0"/>
                      <a:ext cx="2028427" cy="3040716"/>
                    </a:xfrm>
                    <a:prstGeom prst="rect">
                      <a:avLst/>
                    </a:prstGeom>
                    <a:ln>
                      <a:noFill/>
                    </a:ln>
                    <a:extLst>
                      <a:ext uri="{53640926-AAD7-44D8-BBD7-CCE9431645EC}">
                        <a14:shadowObscured xmlns:a14="http://schemas.microsoft.com/office/drawing/2010/main"/>
                      </a:ext>
                    </a:extLst>
                  </pic:spPr>
                </pic:pic>
              </a:graphicData>
            </a:graphic>
          </wp:inline>
        </w:drawing>
      </w:r>
    </w:p>
    <w:p w14:paraId="3B88E11E" w14:textId="4E9B1387" w:rsidR="007D0AA7" w:rsidRDefault="00B91AFC" w:rsidP="00B91AFC">
      <w:pPr>
        <w:jc w:val="center"/>
        <w:rPr>
          <w:rFonts w:asciiTheme="majorBidi" w:hAnsiTheme="majorBidi" w:cstheme="majorBidi"/>
          <w:noProof/>
          <w:sz w:val="24"/>
          <w:szCs w:val="24"/>
          <w:lang w:val="en-GB"/>
        </w:rPr>
      </w:pPr>
      <w:r w:rsidRPr="0004637B">
        <w:rPr>
          <w:rFonts w:asciiTheme="majorBidi" w:hAnsiTheme="majorBidi" w:cstheme="majorBidi"/>
          <w:b/>
          <w:bCs/>
          <w:noProof/>
          <w:sz w:val="24"/>
          <w:szCs w:val="24"/>
          <w:lang w:val="en-GB"/>
        </w:rPr>
        <w:t>Source:</w:t>
      </w:r>
      <w:r w:rsidRPr="00B91AFC">
        <w:rPr>
          <w:rFonts w:asciiTheme="majorBidi" w:hAnsiTheme="majorBidi" w:cstheme="majorBidi"/>
          <w:noProof/>
          <w:sz w:val="24"/>
          <w:szCs w:val="24"/>
          <w:lang w:val="en-GB"/>
        </w:rPr>
        <w:t xml:space="preserve"> Proderma company </w:t>
      </w:r>
    </w:p>
    <w:p w14:paraId="2E969A0B" w14:textId="77777777" w:rsidR="00B91AFC" w:rsidRPr="00B91AFC" w:rsidRDefault="00B91AFC" w:rsidP="00C3174C">
      <w:pPr>
        <w:rPr>
          <w:rFonts w:asciiTheme="majorBidi" w:hAnsiTheme="majorBidi" w:cstheme="majorBidi"/>
          <w:noProof/>
          <w:sz w:val="24"/>
          <w:szCs w:val="24"/>
          <w:lang w:val="en-GB"/>
        </w:rPr>
      </w:pPr>
    </w:p>
    <w:p w14:paraId="2D59B27E" w14:textId="49D71D29" w:rsidR="00B91AFC" w:rsidRDefault="00E52576" w:rsidP="00B91AFC">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 xml:space="preserve">Figure 11: </w:t>
      </w:r>
      <w:r w:rsidRPr="00E52576">
        <w:rPr>
          <w:rFonts w:asciiTheme="majorBidi" w:hAnsiTheme="majorBidi" w:cstheme="majorBidi"/>
          <w:sz w:val="24"/>
          <w:szCs w:val="24"/>
          <w:lang w:val="en-GB"/>
        </w:rPr>
        <w:t>Proderma emollient cream</w:t>
      </w:r>
    </w:p>
    <w:p w14:paraId="5C360FDB" w14:textId="77777777" w:rsidR="00B91AFC" w:rsidRDefault="00B91AFC" w:rsidP="007D0AA7">
      <w:pPr>
        <w:jc w:val="center"/>
        <w:rPr>
          <w:rFonts w:asciiTheme="majorBidi" w:hAnsiTheme="majorBidi" w:cstheme="majorBidi"/>
          <w:b/>
          <w:bCs/>
          <w:noProof/>
          <w:sz w:val="24"/>
          <w:szCs w:val="24"/>
          <w:lang w:val="en-GB"/>
        </w:rPr>
      </w:pPr>
    </w:p>
    <w:p w14:paraId="49953420" w14:textId="4D2D417C" w:rsidR="00B91AFC" w:rsidRDefault="00D75D3D" w:rsidP="007D0AA7">
      <w:pPr>
        <w:jc w:val="center"/>
        <w:rPr>
          <w:rFonts w:asciiTheme="majorBidi" w:hAnsiTheme="majorBidi" w:cstheme="majorBidi"/>
          <w:b/>
          <w:bCs/>
          <w:sz w:val="24"/>
          <w:szCs w:val="24"/>
          <w:lang w:val="en-GB"/>
        </w:rPr>
      </w:pPr>
      <w:r w:rsidRPr="007F5EEF">
        <w:rPr>
          <w:rFonts w:asciiTheme="majorBidi" w:hAnsiTheme="majorBidi" w:cstheme="majorBidi"/>
          <w:b/>
          <w:bCs/>
          <w:noProof/>
          <w:sz w:val="24"/>
          <w:szCs w:val="24"/>
          <w:lang w:val="en-GB"/>
        </w:rPr>
        <w:drawing>
          <wp:inline distT="0" distB="0" distL="0" distR="0" wp14:anchorId="6C327C1E" wp14:editId="4A0C1923">
            <wp:extent cx="1860367" cy="2895600"/>
            <wp:effectExtent l="0" t="0" r="698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rotWithShape="1">
                    <a:blip r:embed="rId39">
                      <a:extLst>
                        <a:ext uri="{28A0092B-C50C-407E-A947-70E740481C1C}">
                          <a14:useLocalDpi xmlns:a14="http://schemas.microsoft.com/office/drawing/2010/main" val="0"/>
                        </a:ext>
                      </a:extLst>
                    </a:blip>
                    <a:srcRect t="6068" b="14848"/>
                    <a:stretch/>
                  </pic:blipFill>
                  <pic:spPr bwMode="auto">
                    <a:xfrm>
                      <a:off x="0" y="0"/>
                      <a:ext cx="1881936" cy="2929171"/>
                    </a:xfrm>
                    <a:prstGeom prst="rect">
                      <a:avLst/>
                    </a:prstGeom>
                    <a:ln>
                      <a:noFill/>
                    </a:ln>
                    <a:extLst>
                      <a:ext uri="{53640926-AAD7-44D8-BBD7-CCE9431645EC}">
                        <a14:shadowObscured xmlns:a14="http://schemas.microsoft.com/office/drawing/2010/main"/>
                      </a:ext>
                    </a:extLst>
                  </pic:spPr>
                </pic:pic>
              </a:graphicData>
            </a:graphic>
          </wp:inline>
        </w:drawing>
      </w:r>
      <w:r w:rsidRPr="007F5EEF">
        <w:rPr>
          <w:rFonts w:asciiTheme="majorBidi" w:hAnsiTheme="majorBidi" w:cstheme="majorBidi"/>
          <w:b/>
          <w:bCs/>
          <w:sz w:val="24"/>
          <w:szCs w:val="24"/>
          <w:lang w:val="en-GB"/>
        </w:rPr>
        <w:t xml:space="preserve">      </w:t>
      </w:r>
    </w:p>
    <w:p w14:paraId="7BFD9201" w14:textId="77777777" w:rsidR="00B91AFC" w:rsidRPr="00B91AFC" w:rsidRDefault="00B91AFC" w:rsidP="00B91AFC">
      <w:pPr>
        <w:jc w:val="center"/>
        <w:rPr>
          <w:rFonts w:asciiTheme="majorBidi" w:hAnsiTheme="majorBidi" w:cstheme="majorBidi"/>
          <w:noProof/>
          <w:sz w:val="24"/>
          <w:szCs w:val="24"/>
          <w:lang w:val="en-GB"/>
        </w:rPr>
      </w:pPr>
      <w:r w:rsidRPr="0004637B">
        <w:rPr>
          <w:rFonts w:asciiTheme="majorBidi" w:hAnsiTheme="majorBidi" w:cstheme="majorBidi"/>
          <w:b/>
          <w:bCs/>
          <w:noProof/>
          <w:sz w:val="24"/>
          <w:szCs w:val="24"/>
          <w:lang w:val="en-GB"/>
        </w:rPr>
        <w:t>Source:</w:t>
      </w:r>
      <w:r w:rsidRPr="00B91AFC">
        <w:rPr>
          <w:rFonts w:asciiTheme="majorBidi" w:hAnsiTheme="majorBidi" w:cstheme="majorBidi"/>
          <w:noProof/>
          <w:sz w:val="24"/>
          <w:szCs w:val="24"/>
          <w:lang w:val="en-GB"/>
        </w:rPr>
        <w:t xml:space="preserve"> Proderma company </w:t>
      </w:r>
    </w:p>
    <w:p w14:paraId="49E59ABC" w14:textId="77777777" w:rsidR="00C3174C" w:rsidRDefault="00C3174C" w:rsidP="00B91AFC">
      <w:pPr>
        <w:jc w:val="center"/>
        <w:rPr>
          <w:rFonts w:asciiTheme="majorBidi" w:hAnsiTheme="majorBidi" w:cstheme="majorBidi"/>
          <w:b/>
          <w:bCs/>
          <w:sz w:val="24"/>
          <w:szCs w:val="24"/>
          <w:lang w:val="en-GB"/>
        </w:rPr>
      </w:pPr>
    </w:p>
    <w:p w14:paraId="7DB869AD" w14:textId="77777777" w:rsidR="00C3174C" w:rsidRDefault="00C3174C" w:rsidP="00B91AFC">
      <w:pPr>
        <w:jc w:val="center"/>
        <w:rPr>
          <w:rFonts w:asciiTheme="majorBidi" w:hAnsiTheme="majorBidi" w:cstheme="majorBidi"/>
          <w:b/>
          <w:bCs/>
          <w:sz w:val="24"/>
          <w:szCs w:val="24"/>
          <w:lang w:val="en-GB"/>
        </w:rPr>
      </w:pPr>
    </w:p>
    <w:p w14:paraId="2CEB3729" w14:textId="086DF764" w:rsidR="00B91AFC" w:rsidRDefault="00D75D3D" w:rsidP="00B91AFC">
      <w:pPr>
        <w:jc w:val="center"/>
        <w:rPr>
          <w:rFonts w:asciiTheme="majorBidi" w:hAnsiTheme="majorBidi" w:cstheme="majorBidi"/>
          <w:b/>
          <w:bCs/>
          <w:sz w:val="24"/>
          <w:szCs w:val="24"/>
          <w:lang w:val="en-GB"/>
        </w:rPr>
      </w:pPr>
      <w:r w:rsidRPr="007F5EEF">
        <w:rPr>
          <w:rFonts w:asciiTheme="majorBidi" w:hAnsiTheme="majorBidi" w:cstheme="majorBidi"/>
          <w:b/>
          <w:bCs/>
          <w:sz w:val="24"/>
          <w:szCs w:val="24"/>
          <w:lang w:val="en-GB"/>
        </w:rPr>
        <w:t xml:space="preserve">   </w:t>
      </w:r>
    </w:p>
    <w:p w14:paraId="27F99A36" w14:textId="2D9DE255" w:rsidR="00B91AFC" w:rsidRDefault="007D0AA7" w:rsidP="00B91AFC">
      <w:pPr>
        <w:jc w:val="center"/>
        <w:rPr>
          <w:rFonts w:asciiTheme="majorBidi" w:hAnsiTheme="majorBidi" w:cstheme="majorBidi"/>
          <w:b/>
          <w:bCs/>
          <w:noProof/>
          <w:sz w:val="24"/>
          <w:szCs w:val="24"/>
          <w:lang w:val="en-GB"/>
        </w:rPr>
      </w:pPr>
      <w:r>
        <w:rPr>
          <w:rFonts w:asciiTheme="majorBidi" w:hAnsiTheme="majorBidi" w:cstheme="majorBidi"/>
          <w:b/>
          <w:bCs/>
          <w:sz w:val="24"/>
          <w:szCs w:val="24"/>
          <w:lang w:val="en-GB"/>
        </w:rPr>
        <w:t xml:space="preserve">Figure 12: </w:t>
      </w:r>
      <w:r w:rsidRPr="007D0AA7">
        <w:rPr>
          <w:rFonts w:asciiTheme="majorBidi" w:hAnsiTheme="majorBidi" w:cstheme="majorBidi"/>
          <w:sz w:val="24"/>
          <w:szCs w:val="24"/>
          <w:lang w:val="en-GB"/>
        </w:rPr>
        <w:t>Surgical alcohol</w:t>
      </w:r>
      <w:r w:rsidR="00D75D3D" w:rsidRPr="007F5EEF">
        <w:rPr>
          <w:rFonts w:asciiTheme="majorBidi" w:hAnsiTheme="majorBidi" w:cstheme="majorBidi"/>
          <w:b/>
          <w:bCs/>
          <w:sz w:val="24"/>
          <w:szCs w:val="24"/>
          <w:lang w:val="en-GB"/>
        </w:rPr>
        <w:t xml:space="preserve">            </w:t>
      </w:r>
    </w:p>
    <w:p w14:paraId="5DCB5D83" w14:textId="0A8B95AC" w:rsidR="00B4091D" w:rsidRDefault="00D75D3D" w:rsidP="00B4091D">
      <w:pPr>
        <w:jc w:val="center"/>
        <w:rPr>
          <w:rFonts w:asciiTheme="majorBidi" w:hAnsiTheme="majorBidi"/>
          <w:sz w:val="24"/>
          <w:szCs w:val="24"/>
        </w:rPr>
      </w:pPr>
      <w:r w:rsidRPr="007F5EEF">
        <w:rPr>
          <w:rFonts w:asciiTheme="majorBidi" w:hAnsiTheme="majorBidi" w:cstheme="majorBidi"/>
          <w:b/>
          <w:bCs/>
          <w:noProof/>
          <w:sz w:val="24"/>
          <w:szCs w:val="24"/>
          <w:lang w:val="en-GB"/>
        </w:rPr>
        <w:drawing>
          <wp:inline distT="0" distB="0" distL="0" distR="0" wp14:anchorId="42D79FD6" wp14:editId="06FBF250">
            <wp:extent cx="1920875" cy="2971800"/>
            <wp:effectExtent l="0" t="0" r="317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rotWithShape="1">
                    <a:blip r:embed="rId40">
                      <a:extLst>
                        <a:ext uri="{28A0092B-C50C-407E-A947-70E740481C1C}">
                          <a14:useLocalDpi xmlns:a14="http://schemas.microsoft.com/office/drawing/2010/main" val="0"/>
                        </a:ext>
                      </a:extLst>
                    </a:blip>
                    <a:srcRect t="6297" b="11830"/>
                    <a:stretch/>
                  </pic:blipFill>
                  <pic:spPr bwMode="auto">
                    <a:xfrm>
                      <a:off x="0" y="0"/>
                      <a:ext cx="1931268" cy="2987879"/>
                    </a:xfrm>
                    <a:prstGeom prst="rect">
                      <a:avLst/>
                    </a:prstGeom>
                    <a:ln>
                      <a:noFill/>
                    </a:ln>
                    <a:extLst>
                      <a:ext uri="{53640926-AAD7-44D8-BBD7-CCE9431645EC}">
                        <a14:shadowObscured xmlns:a14="http://schemas.microsoft.com/office/drawing/2010/main"/>
                      </a:ext>
                    </a:extLst>
                  </pic:spPr>
                </pic:pic>
              </a:graphicData>
            </a:graphic>
          </wp:inline>
        </w:drawing>
      </w:r>
    </w:p>
    <w:p w14:paraId="08ED4333" w14:textId="77777777" w:rsidR="00B91AFC" w:rsidRPr="00B91AFC" w:rsidRDefault="00B91AFC" w:rsidP="00B91AFC">
      <w:pPr>
        <w:jc w:val="center"/>
        <w:rPr>
          <w:rFonts w:asciiTheme="majorBidi" w:hAnsiTheme="majorBidi" w:cstheme="majorBidi"/>
          <w:noProof/>
          <w:sz w:val="24"/>
          <w:szCs w:val="24"/>
          <w:lang w:val="en-GB"/>
        </w:rPr>
      </w:pPr>
      <w:r w:rsidRPr="0004637B">
        <w:rPr>
          <w:rFonts w:asciiTheme="majorBidi" w:hAnsiTheme="majorBidi" w:cstheme="majorBidi"/>
          <w:b/>
          <w:bCs/>
          <w:noProof/>
          <w:sz w:val="24"/>
          <w:szCs w:val="24"/>
          <w:lang w:val="en-GB"/>
        </w:rPr>
        <w:t>Source:</w:t>
      </w:r>
      <w:r w:rsidRPr="00B91AFC">
        <w:rPr>
          <w:rFonts w:asciiTheme="majorBidi" w:hAnsiTheme="majorBidi" w:cstheme="majorBidi"/>
          <w:noProof/>
          <w:sz w:val="24"/>
          <w:szCs w:val="24"/>
          <w:lang w:val="en-GB"/>
        </w:rPr>
        <w:t xml:space="preserve"> Proderma company </w:t>
      </w:r>
    </w:p>
    <w:p w14:paraId="3AF91022" w14:textId="77777777" w:rsidR="00CE40F5" w:rsidRPr="00A42018" w:rsidRDefault="00CE40F5" w:rsidP="00B91AFC">
      <w:pPr>
        <w:jc w:val="center"/>
        <w:rPr>
          <w:rFonts w:asciiTheme="majorBidi" w:hAnsiTheme="majorBidi"/>
          <w:b/>
          <w:bCs/>
          <w:sz w:val="24"/>
          <w:szCs w:val="24"/>
          <w:lang w:val="en-US"/>
        </w:rPr>
      </w:pPr>
    </w:p>
    <w:p w14:paraId="31C75778" w14:textId="5BF649DE" w:rsidR="00B4091D" w:rsidRPr="00597D09" w:rsidRDefault="0004637B" w:rsidP="00B4091D">
      <w:pPr>
        <w:rPr>
          <w:rFonts w:asciiTheme="majorBidi" w:hAnsiTheme="majorBidi"/>
          <w:b/>
          <w:bCs/>
          <w:sz w:val="24"/>
          <w:szCs w:val="24"/>
          <w:lang w:val="en-GB"/>
        </w:rPr>
      </w:pPr>
      <w:r>
        <w:rPr>
          <w:rFonts w:asciiTheme="majorBidi" w:hAnsiTheme="majorBidi"/>
          <w:b/>
          <w:bCs/>
          <w:sz w:val="24"/>
          <w:szCs w:val="24"/>
          <w:lang w:val="en-GB"/>
        </w:rPr>
        <w:t>2.</w:t>
      </w:r>
      <w:r w:rsidR="00CE6A37">
        <w:rPr>
          <w:rFonts w:asciiTheme="majorBidi" w:hAnsiTheme="majorBidi"/>
          <w:b/>
          <w:bCs/>
          <w:sz w:val="24"/>
          <w:szCs w:val="24"/>
          <w:lang w:val="en-GB"/>
        </w:rPr>
        <w:t xml:space="preserve"> </w:t>
      </w:r>
      <w:r>
        <w:rPr>
          <w:rFonts w:asciiTheme="majorBidi" w:hAnsiTheme="majorBidi"/>
          <w:b/>
          <w:bCs/>
          <w:sz w:val="24"/>
          <w:szCs w:val="24"/>
          <w:lang w:val="en-GB"/>
        </w:rPr>
        <w:t xml:space="preserve"> </w:t>
      </w:r>
      <w:r w:rsidR="00B4091D" w:rsidRPr="00BB2F8D">
        <w:rPr>
          <w:rStyle w:val="Heading3Char"/>
        </w:rPr>
        <w:t xml:space="preserve">Methodological </w:t>
      </w:r>
      <w:r w:rsidRPr="00BB2F8D">
        <w:rPr>
          <w:rStyle w:val="Heading3Char"/>
        </w:rPr>
        <w:t>a</w:t>
      </w:r>
      <w:r w:rsidR="00B4091D" w:rsidRPr="00BB2F8D">
        <w:rPr>
          <w:rStyle w:val="Heading3Char"/>
        </w:rPr>
        <w:t>pproac</w:t>
      </w:r>
      <w:r w:rsidR="00B4091D" w:rsidRPr="00597D09">
        <w:rPr>
          <w:rFonts w:asciiTheme="majorBidi" w:hAnsiTheme="majorBidi"/>
          <w:b/>
          <w:bCs/>
          <w:sz w:val="24"/>
          <w:szCs w:val="24"/>
          <w:lang w:val="en-GB"/>
        </w:rPr>
        <w:t>h</w:t>
      </w:r>
    </w:p>
    <w:p w14:paraId="146BB023" w14:textId="5D1A7B3A" w:rsidR="00B4091D" w:rsidRPr="00B4091D" w:rsidRDefault="00CE6A37" w:rsidP="00B4091D">
      <w:pPr>
        <w:rPr>
          <w:rFonts w:asciiTheme="majorBidi" w:hAnsiTheme="majorBidi" w:cstheme="majorBidi"/>
          <w:b/>
          <w:bCs/>
          <w:sz w:val="24"/>
          <w:szCs w:val="24"/>
          <w:lang w:val="en-GB"/>
        </w:rPr>
      </w:pPr>
      <w:r>
        <w:rPr>
          <w:rFonts w:asciiTheme="majorBidi" w:hAnsiTheme="majorBidi"/>
          <w:b/>
          <w:bCs/>
          <w:sz w:val="24"/>
          <w:szCs w:val="24"/>
          <w:lang w:val="en-GB"/>
        </w:rPr>
        <w:t xml:space="preserve"> </w:t>
      </w:r>
      <w:r w:rsidR="0004637B">
        <w:rPr>
          <w:rFonts w:asciiTheme="majorBidi" w:hAnsiTheme="majorBidi"/>
          <w:b/>
          <w:bCs/>
          <w:sz w:val="24"/>
          <w:szCs w:val="24"/>
          <w:lang w:val="en-GB"/>
        </w:rPr>
        <w:t xml:space="preserve"> 2.</w:t>
      </w:r>
      <w:r w:rsidR="00B4091D" w:rsidRPr="00597D09">
        <w:rPr>
          <w:rFonts w:asciiTheme="majorBidi" w:hAnsiTheme="majorBidi"/>
          <w:b/>
          <w:bCs/>
          <w:sz w:val="24"/>
          <w:szCs w:val="24"/>
          <w:lang w:val="en-GB"/>
        </w:rPr>
        <w:t xml:space="preserve">1. </w:t>
      </w:r>
      <w:r w:rsidR="00B4091D" w:rsidRPr="00BB2F8D">
        <w:rPr>
          <w:rStyle w:val="Heading4Char"/>
        </w:rPr>
        <w:t>Research Desig</w:t>
      </w:r>
      <w:r w:rsidR="00B4091D" w:rsidRPr="00597D09">
        <w:rPr>
          <w:rFonts w:asciiTheme="majorBidi" w:hAnsiTheme="majorBidi"/>
          <w:b/>
          <w:bCs/>
          <w:sz w:val="24"/>
          <w:szCs w:val="24"/>
          <w:lang w:val="en-GB"/>
        </w:rPr>
        <w:t>n</w:t>
      </w:r>
    </w:p>
    <w:p w14:paraId="0250D8C1"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This study adopts a mixed-methods research design, combining quantitative analysis with descriptive and exploratory techniques to assess the feasibility of exporting Proderma’s cosmetic and parapharmaceutical products to the Turkish market. The research is structured around two complementary levels of analysis:</w:t>
      </w:r>
    </w:p>
    <w:p w14:paraId="729813C4" w14:textId="77777777" w:rsidR="00B4091D" w:rsidRPr="00B4091D" w:rsidRDefault="00B4091D" w:rsidP="00B4091D">
      <w:pPr>
        <w:pStyle w:val="ListParagraph"/>
        <w:numPr>
          <w:ilvl w:val="0"/>
          <w:numId w:val="38"/>
        </w:numPr>
        <w:spacing w:after="200"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Macroeconomic analysis, to evaluate the Turkish economic environment and assess export risks/opportunities.</w:t>
      </w:r>
    </w:p>
    <w:p w14:paraId="4F3B3420" w14:textId="77777777" w:rsidR="00B4091D" w:rsidRPr="00B4091D" w:rsidRDefault="00B4091D" w:rsidP="00B4091D">
      <w:pPr>
        <w:pStyle w:val="ListParagraph"/>
        <w:numPr>
          <w:ilvl w:val="0"/>
          <w:numId w:val="38"/>
        </w:numPr>
        <w:spacing w:after="200"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Microeconomic analysis, to investigate Turkish consumer behavior and openness to Algerian alternatives in the context of boycott movements.</w:t>
      </w:r>
    </w:p>
    <w:p w14:paraId="1C00E41C" w14:textId="5C9AFDEB" w:rsidR="00B4091D" w:rsidRDefault="00B4091D" w:rsidP="00B9465F">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This approach enables the integration of statistical modeling, consumer perceptions, and market dynamics in order to provide a multidimensional evaluation of export potential.</w:t>
      </w:r>
    </w:p>
    <w:p w14:paraId="0EDBA19B" w14:textId="4591A1C5" w:rsidR="00B4091D" w:rsidRDefault="00B4091D" w:rsidP="00B4091D">
      <w:pPr>
        <w:spacing w:line="360" w:lineRule="auto"/>
        <w:jc w:val="both"/>
        <w:rPr>
          <w:rFonts w:asciiTheme="majorBidi" w:hAnsiTheme="majorBidi"/>
          <w:b/>
          <w:bCs/>
          <w:sz w:val="24"/>
          <w:szCs w:val="24"/>
          <w:lang w:val="en-GB"/>
        </w:rPr>
      </w:pPr>
      <w:r w:rsidRPr="00B4091D">
        <w:rPr>
          <w:rFonts w:asciiTheme="majorBidi" w:hAnsiTheme="majorBidi"/>
          <w:b/>
          <w:bCs/>
          <w:sz w:val="24"/>
          <w:szCs w:val="24"/>
          <w:lang w:val="en-GB"/>
        </w:rPr>
        <w:t>2.</w:t>
      </w:r>
      <w:r w:rsidR="00CE6A37">
        <w:rPr>
          <w:rFonts w:asciiTheme="majorBidi" w:hAnsiTheme="majorBidi"/>
          <w:b/>
          <w:bCs/>
          <w:sz w:val="24"/>
          <w:szCs w:val="24"/>
          <w:lang w:val="en-GB"/>
        </w:rPr>
        <w:t xml:space="preserve">2. </w:t>
      </w:r>
      <w:r w:rsidRPr="00B4091D">
        <w:rPr>
          <w:rFonts w:asciiTheme="majorBidi" w:hAnsiTheme="majorBidi"/>
          <w:b/>
          <w:bCs/>
          <w:sz w:val="24"/>
          <w:szCs w:val="24"/>
          <w:lang w:val="en-GB"/>
        </w:rPr>
        <w:t xml:space="preserve"> </w:t>
      </w:r>
      <w:r w:rsidRPr="00BB2F8D">
        <w:rPr>
          <w:rStyle w:val="Heading4Char"/>
        </w:rPr>
        <w:t>Data Collection Method</w:t>
      </w:r>
      <w:r w:rsidRPr="00B4091D">
        <w:rPr>
          <w:rFonts w:asciiTheme="majorBidi" w:hAnsiTheme="majorBidi"/>
          <w:b/>
          <w:bCs/>
          <w:sz w:val="24"/>
          <w:szCs w:val="24"/>
          <w:lang w:val="en-GB"/>
        </w:rPr>
        <w:t>s</w:t>
      </w:r>
    </w:p>
    <w:p w14:paraId="32C36697" w14:textId="2487AB3A" w:rsidR="00B4091D" w:rsidRPr="00B4091D" w:rsidRDefault="00B4091D" w:rsidP="00B4091D">
      <w:pPr>
        <w:spacing w:line="360" w:lineRule="auto"/>
        <w:jc w:val="both"/>
        <w:rPr>
          <w:rFonts w:asciiTheme="majorBidi" w:hAnsiTheme="majorBidi" w:cstheme="majorBidi"/>
          <w:b/>
          <w:bCs/>
          <w:sz w:val="24"/>
          <w:szCs w:val="24"/>
          <w:lang w:val="en-GB"/>
        </w:rPr>
      </w:pPr>
      <w:r w:rsidRPr="00B4091D">
        <w:rPr>
          <w:rFonts w:asciiTheme="majorBidi" w:hAnsiTheme="majorBidi"/>
          <w:b/>
          <w:bCs/>
          <w:sz w:val="24"/>
          <w:szCs w:val="24"/>
          <w:lang w:val="en-GB"/>
        </w:rPr>
        <w:t>2.</w:t>
      </w:r>
      <w:r w:rsidR="00BE588D">
        <w:rPr>
          <w:rFonts w:asciiTheme="majorBidi" w:hAnsiTheme="majorBidi"/>
          <w:b/>
          <w:bCs/>
          <w:sz w:val="24"/>
          <w:szCs w:val="24"/>
          <w:lang w:val="en-GB"/>
        </w:rPr>
        <w:t>2.</w:t>
      </w:r>
      <w:r w:rsidRPr="00B4091D">
        <w:rPr>
          <w:rFonts w:asciiTheme="majorBidi" w:hAnsiTheme="majorBidi"/>
          <w:b/>
          <w:bCs/>
          <w:sz w:val="24"/>
          <w:szCs w:val="24"/>
          <w:lang w:val="en-GB"/>
        </w:rPr>
        <w:t>1</w:t>
      </w:r>
      <w:r w:rsidR="00BE588D">
        <w:rPr>
          <w:rFonts w:asciiTheme="majorBidi" w:hAnsiTheme="majorBidi"/>
          <w:b/>
          <w:bCs/>
          <w:sz w:val="24"/>
          <w:szCs w:val="24"/>
          <w:lang w:val="en-GB"/>
        </w:rPr>
        <w:t xml:space="preserve">. </w:t>
      </w:r>
      <w:r w:rsidRPr="00B4091D">
        <w:rPr>
          <w:rFonts w:asciiTheme="majorBidi" w:hAnsiTheme="majorBidi"/>
          <w:b/>
          <w:bCs/>
          <w:sz w:val="24"/>
          <w:szCs w:val="24"/>
          <w:lang w:val="en-GB"/>
        </w:rPr>
        <w:t xml:space="preserve"> </w:t>
      </w:r>
      <w:r w:rsidRPr="00BB2F8D">
        <w:rPr>
          <w:rStyle w:val="Heading5Char"/>
          <w:rFonts w:eastAsiaTheme="minorHAnsi"/>
        </w:rPr>
        <w:t>Secondary Dat</w:t>
      </w:r>
      <w:r w:rsidRPr="00B4091D">
        <w:rPr>
          <w:rFonts w:asciiTheme="majorBidi" w:hAnsiTheme="majorBidi"/>
          <w:b/>
          <w:bCs/>
          <w:sz w:val="24"/>
          <w:szCs w:val="24"/>
          <w:lang w:val="en-GB"/>
        </w:rPr>
        <w:t>a</w:t>
      </w:r>
    </w:p>
    <w:p w14:paraId="0D4389D2"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Secondary data was collected from official international and national sources, including:</w:t>
      </w:r>
      <w:r w:rsidRPr="00B4091D">
        <w:rPr>
          <w:rFonts w:asciiTheme="majorBidi" w:hAnsiTheme="majorBidi" w:cstheme="majorBidi"/>
          <w:sz w:val="24"/>
          <w:szCs w:val="24"/>
          <w:lang w:val="en-GB"/>
        </w:rPr>
        <w:br/>
        <w:t>- World Bank, IMF, and OECD databases (for GDP, inflation, unemployment, and exchange rate in Turkey).</w:t>
      </w:r>
    </w:p>
    <w:p w14:paraId="1DEBC1EA"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Turkish Statistical Institute (TurkStat) for trade flows and import statistics.</w:t>
      </w:r>
      <w:r w:rsidRPr="00B4091D">
        <w:rPr>
          <w:rFonts w:asciiTheme="majorBidi" w:hAnsiTheme="majorBidi" w:cstheme="majorBidi"/>
          <w:sz w:val="24"/>
          <w:szCs w:val="24"/>
          <w:lang w:val="en-GB"/>
        </w:rPr>
        <w:br/>
        <w:t>- Market reports and publications on the cosmetics industry in Turkey.</w:t>
      </w:r>
      <w:r w:rsidRPr="00B4091D">
        <w:rPr>
          <w:rFonts w:asciiTheme="majorBidi" w:hAnsiTheme="majorBidi" w:cstheme="majorBidi"/>
          <w:sz w:val="24"/>
          <w:szCs w:val="24"/>
          <w:lang w:val="en-GB"/>
        </w:rPr>
        <w:br/>
        <w:t>This data supported the macroeconomic analysis, the comparative import study, and the PESTEL analysis.</w:t>
      </w:r>
    </w:p>
    <w:p w14:paraId="08B47EFF" w14:textId="3847C3EF" w:rsidR="00B4091D" w:rsidRPr="00B4091D" w:rsidRDefault="00B4091D" w:rsidP="00B4091D">
      <w:pPr>
        <w:spacing w:line="360" w:lineRule="auto"/>
        <w:jc w:val="both"/>
        <w:rPr>
          <w:rFonts w:asciiTheme="majorBidi" w:hAnsiTheme="majorBidi" w:cstheme="majorBidi"/>
          <w:b/>
          <w:bCs/>
          <w:sz w:val="24"/>
          <w:szCs w:val="24"/>
          <w:lang w:val="en-GB"/>
        </w:rPr>
      </w:pPr>
      <w:r w:rsidRPr="00B4091D">
        <w:rPr>
          <w:rFonts w:asciiTheme="majorBidi" w:hAnsiTheme="majorBidi"/>
          <w:b/>
          <w:bCs/>
          <w:sz w:val="24"/>
          <w:szCs w:val="24"/>
          <w:lang w:val="en-GB"/>
        </w:rPr>
        <w:t>2.2</w:t>
      </w:r>
      <w:r w:rsidR="00BE588D">
        <w:rPr>
          <w:rFonts w:asciiTheme="majorBidi" w:hAnsiTheme="majorBidi"/>
          <w:b/>
          <w:bCs/>
          <w:sz w:val="24"/>
          <w:szCs w:val="24"/>
          <w:lang w:val="en-GB"/>
        </w:rPr>
        <w:t>.2.</w:t>
      </w:r>
      <w:r w:rsidRPr="00B4091D">
        <w:rPr>
          <w:rFonts w:asciiTheme="majorBidi" w:hAnsiTheme="majorBidi"/>
          <w:b/>
          <w:bCs/>
          <w:sz w:val="24"/>
          <w:szCs w:val="24"/>
          <w:lang w:val="en-GB"/>
        </w:rPr>
        <w:t xml:space="preserve"> </w:t>
      </w:r>
      <w:r w:rsidRPr="00BB2F8D">
        <w:rPr>
          <w:rStyle w:val="Heading5Char"/>
          <w:rFonts w:eastAsiaTheme="minorHAnsi"/>
        </w:rPr>
        <w:t>Primary Dat</w:t>
      </w:r>
      <w:r w:rsidRPr="00B4091D">
        <w:rPr>
          <w:rFonts w:asciiTheme="majorBidi" w:hAnsiTheme="majorBidi"/>
          <w:b/>
          <w:bCs/>
          <w:sz w:val="24"/>
          <w:szCs w:val="24"/>
          <w:lang w:val="en-GB"/>
        </w:rPr>
        <w:t>a</w:t>
      </w:r>
    </w:p>
    <w:p w14:paraId="0F78AA1F"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Primary data was collected using a structured questionnaire administered to a sample of Turkish consumers. The questionnaire included:</w:t>
      </w:r>
    </w:p>
    <w:p w14:paraId="2323248E"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Demographic questions</w:t>
      </w:r>
    </w:p>
    <w:p w14:paraId="05633EDE" w14:textId="22C068BA"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Likert-scale items (1 to 5) measuring awareness of boycott, consumer motivation for boycott, trust in alternative products, effectiveness of boycott in changing habits, product quality, price competitiveness, cultural alignment, availability and accessibility, pre-boycott habits, willingness to try new alternative and key decision making factor. The questionnaire aimed to test microeconomic hypotheses and assess the likelihood of market acceptance for Proderma products.</w:t>
      </w:r>
    </w:p>
    <w:p w14:paraId="692D43F1" w14:textId="272102E9" w:rsidR="00B4091D" w:rsidRPr="00B4091D" w:rsidRDefault="00BE588D"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597D09">
        <w:rPr>
          <w:rFonts w:asciiTheme="majorBidi" w:hAnsiTheme="majorBidi"/>
          <w:b/>
          <w:bCs/>
          <w:sz w:val="24"/>
          <w:szCs w:val="24"/>
          <w:lang w:val="en-GB"/>
        </w:rPr>
        <w:t>.</w:t>
      </w:r>
      <w:r>
        <w:rPr>
          <w:rFonts w:asciiTheme="majorBidi" w:hAnsiTheme="majorBidi"/>
          <w:b/>
          <w:bCs/>
          <w:sz w:val="24"/>
          <w:szCs w:val="24"/>
          <w:lang w:val="en-GB"/>
        </w:rPr>
        <w:t>3.</w:t>
      </w:r>
      <w:r w:rsidR="00B4091D" w:rsidRPr="00597D09">
        <w:rPr>
          <w:rFonts w:asciiTheme="majorBidi" w:hAnsiTheme="majorBidi"/>
          <w:b/>
          <w:bCs/>
          <w:sz w:val="24"/>
          <w:szCs w:val="24"/>
          <w:lang w:val="en-GB"/>
        </w:rPr>
        <w:t xml:space="preserve"> </w:t>
      </w:r>
      <w:r w:rsidR="00B4091D" w:rsidRPr="00BB2F8D">
        <w:rPr>
          <w:rStyle w:val="Heading4Char"/>
        </w:rPr>
        <w:t>Sampling Method and Populatio</w:t>
      </w:r>
      <w:r w:rsidR="00B4091D" w:rsidRPr="00597D09">
        <w:rPr>
          <w:rFonts w:asciiTheme="majorBidi" w:hAnsiTheme="majorBidi"/>
          <w:b/>
          <w:bCs/>
          <w:sz w:val="24"/>
          <w:szCs w:val="24"/>
          <w:lang w:val="en-GB"/>
        </w:rPr>
        <w:t>n</w:t>
      </w:r>
    </w:p>
    <w:p w14:paraId="129B43E9" w14:textId="77777777" w:rsid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The target population includes Turkish consumers aged 18 and above, especially those active in the cosmetics and personal care market. A non-probability convenience sampling technique was used due to time and accessibility constraints.</w:t>
      </w:r>
    </w:p>
    <w:p w14:paraId="089473DC" w14:textId="6989018E"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Sample size: [208]</w:t>
      </w:r>
    </w:p>
    <w:p w14:paraId="422D6356"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Data collection tool: Google Forms / paper survey</w:t>
      </w:r>
    </w:p>
    <w:p w14:paraId="6248BEB8"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Location: Online/social media (Reddit, facebook and Linkedin) or selected Turkish urban areas.</w:t>
      </w:r>
    </w:p>
    <w:p w14:paraId="169E04F2"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Period: [Since March 15</w:t>
      </w:r>
      <w:r w:rsidRPr="00B4091D">
        <w:rPr>
          <w:rFonts w:asciiTheme="majorBidi" w:hAnsiTheme="majorBidi" w:cstheme="majorBidi"/>
          <w:sz w:val="24"/>
          <w:szCs w:val="24"/>
          <w:vertAlign w:val="superscript"/>
          <w:lang w:val="en-GB"/>
        </w:rPr>
        <w:t>th</w:t>
      </w:r>
      <w:r w:rsidRPr="00B4091D">
        <w:rPr>
          <w:rFonts w:asciiTheme="majorBidi" w:hAnsiTheme="majorBidi" w:cstheme="majorBidi"/>
          <w:sz w:val="24"/>
          <w:szCs w:val="24"/>
          <w:lang w:val="en-GB"/>
        </w:rPr>
        <w:t>, 2025 to May 15</w:t>
      </w:r>
      <w:r w:rsidRPr="00B4091D">
        <w:rPr>
          <w:rFonts w:asciiTheme="majorBidi" w:hAnsiTheme="majorBidi" w:cstheme="majorBidi"/>
          <w:sz w:val="24"/>
          <w:szCs w:val="24"/>
          <w:vertAlign w:val="superscript"/>
          <w:lang w:val="en-GB"/>
        </w:rPr>
        <w:t>th</w:t>
      </w:r>
      <w:r w:rsidRPr="00B4091D">
        <w:rPr>
          <w:rFonts w:asciiTheme="majorBidi" w:hAnsiTheme="majorBidi" w:cstheme="majorBidi"/>
          <w:sz w:val="24"/>
          <w:szCs w:val="24"/>
          <w:lang w:val="en-GB"/>
        </w:rPr>
        <w:t>, 2025]</w:t>
      </w:r>
    </w:p>
    <w:p w14:paraId="698FD787" w14:textId="0D869B33" w:rsidR="00B4091D" w:rsidRPr="00597D09" w:rsidRDefault="00084EA9" w:rsidP="00B4091D">
      <w:pPr>
        <w:spacing w:line="360" w:lineRule="auto"/>
        <w:jc w:val="both"/>
        <w:rPr>
          <w:rFonts w:asciiTheme="majorBidi" w:hAnsiTheme="majorBidi"/>
          <w:b/>
          <w:bCs/>
          <w:sz w:val="24"/>
          <w:szCs w:val="24"/>
          <w:lang w:val="en-GB"/>
        </w:rPr>
      </w:pPr>
      <w:r>
        <w:rPr>
          <w:rFonts w:asciiTheme="majorBidi" w:hAnsiTheme="majorBidi"/>
          <w:b/>
          <w:bCs/>
          <w:sz w:val="24"/>
          <w:szCs w:val="24"/>
          <w:lang w:val="en-GB"/>
        </w:rPr>
        <w:t>2.</w:t>
      </w:r>
      <w:r w:rsidR="00B4091D" w:rsidRPr="00597D09">
        <w:rPr>
          <w:rFonts w:asciiTheme="majorBidi" w:hAnsiTheme="majorBidi"/>
          <w:b/>
          <w:bCs/>
          <w:sz w:val="24"/>
          <w:szCs w:val="24"/>
          <w:lang w:val="en-GB"/>
        </w:rPr>
        <w:t xml:space="preserve">4. </w:t>
      </w:r>
      <w:r w:rsidR="00B4091D" w:rsidRPr="00BB2F8D">
        <w:rPr>
          <w:rStyle w:val="Heading4Char"/>
        </w:rPr>
        <w:t>Data Analysis Technique</w:t>
      </w:r>
      <w:r w:rsidR="00B4091D" w:rsidRPr="00597D09">
        <w:rPr>
          <w:rFonts w:asciiTheme="majorBidi" w:hAnsiTheme="majorBidi"/>
          <w:b/>
          <w:bCs/>
          <w:sz w:val="24"/>
          <w:szCs w:val="24"/>
          <w:lang w:val="en-GB"/>
        </w:rPr>
        <w:t>s</w:t>
      </w:r>
    </w:p>
    <w:p w14:paraId="4BECA4CD" w14:textId="48BCE7D0" w:rsidR="00B4091D" w:rsidRPr="00B4091D" w:rsidRDefault="00084EA9"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B4091D">
        <w:rPr>
          <w:rFonts w:asciiTheme="majorBidi" w:hAnsiTheme="majorBidi"/>
          <w:b/>
          <w:bCs/>
          <w:sz w:val="24"/>
          <w:szCs w:val="24"/>
          <w:lang w:val="en-GB"/>
        </w:rPr>
        <w:t xml:space="preserve">4.1 </w:t>
      </w:r>
      <w:r w:rsidR="00B4091D" w:rsidRPr="00BB2F8D">
        <w:rPr>
          <w:rStyle w:val="Heading5Char"/>
          <w:rFonts w:eastAsiaTheme="minorHAnsi"/>
        </w:rPr>
        <w:t>Macroeconomic Analysi</w:t>
      </w:r>
      <w:r w:rsidR="00B4091D" w:rsidRPr="00B4091D">
        <w:rPr>
          <w:rFonts w:asciiTheme="majorBidi" w:hAnsiTheme="majorBidi"/>
          <w:b/>
          <w:bCs/>
          <w:sz w:val="24"/>
          <w:szCs w:val="24"/>
          <w:lang w:val="en-GB"/>
        </w:rPr>
        <w:t>s</w:t>
      </w:r>
    </w:p>
    <w:p w14:paraId="507B3D3D"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Descriptive statistics (mean, standard deviation) for 2014–2024 macroeconomic indicators using SPSS.</w:t>
      </w:r>
    </w:p>
    <w:p w14:paraId="22E9352A"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Time series forecasting (Brown and Holt models…) to project future trends in GDP, inflation, unemployment, and exchange rate.</w:t>
      </w:r>
    </w:p>
    <w:p w14:paraId="040CA9DC"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Multiple linear regression to measure the impact of inflation, unemployment, and exchange rate on GDP, as a proxy for export feasibility.</w:t>
      </w:r>
    </w:p>
    <w:p w14:paraId="63AB5935" w14:textId="6EF0CE5F" w:rsidR="00B4091D" w:rsidRPr="00B4091D" w:rsidRDefault="00084EA9"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B4091D">
        <w:rPr>
          <w:rFonts w:asciiTheme="majorBidi" w:hAnsiTheme="majorBidi"/>
          <w:b/>
          <w:bCs/>
          <w:sz w:val="24"/>
          <w:szCs w:val="24"/>
          <w:lang w:val="en-GB"/>
        </w:rPr>
        <w:t xml:space="preserve">4.2 </w:t>
      </w:r>
      <w:r w:rsidR="00B4091D" w:rsidRPr="00BB2F8D">
        <w:rPr>
          <w:rStyle w:val="Heading5Char"/>
          <w:rFonts w:eastAsiaTheme="minorHAnsi"/>
        </w:rPr>
        <w:t>Trade Flow and Market Gap Analysi</w:t>
      </w:r>
      <w:r w:rsidR="00B4091D" w:rsidRPr="00B4091D">
        <w:rPr>
          <w:rFonts w:asciiTheme="majorBidi" w:hAnsiTheme="majorBidi"/>
          <w:b/>
          <w:bCs/>
          <w:sz w:val="24"/>
          <w:szCs w:val="24"/>
          <w:lang w:val="en-GB"/>
        </w:rPr>
        <w:t>s</w:t>
      </w:r>
    </w:p>
    <w:p w14:paraId="3F8A34EC"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Comparative analysis of Turkey’s imports from Algeria vs. the rest of the world, focused on:</w:t>
      </w:r>
    </w:p>
    <w:p w14:paraId="341D2670"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Total products</w:t>
      </w:r>
    </w:p>
    <w:p w14:paraId="5D587552" w14:textId="77777777" w:rsidR="00B4091D" w:rsidRPr="00B4091D" w:rsidRDefault="00B4091D" w:rsidP="007B53F3">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Pharmaceutical products</w:t>
      </w:r>
    </w:p>
    <w:p w14:paraId="63ADD2E9"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Essential oils and cosmetic products</w:t>
      </w:r>
    </w:p>
    <w:p w14:paraId="14AC0AE0" w14:textId="1292FA06" w:rsidR="00B4091D" w:rsidRPr="00B4091D" w:rsidRDefault="00084EA9"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B4091D">
        <w:rPr>
          <w:rFonts w:asciiTheme="majorBidi" w:hAnsiTheme="majorBidi"/>
          <w:b/>
          <w:bCs/>
          <w:sz w:val="24"/>
          <w:szCs w:val="24"/>
          <w:lang w:val="en-GB"/>
        </w:rPr>
        <w:t xml:space="preserve">4.3 </w:t>
      </w:r>
      <w:r w:rsidR="00B4091D" w:rsidRPr="00BB2F8D">
        <w:rPr>
          <w:rStyle w:val="Heading5Char"/>
          <w:rFonts w:eastAsiaTheme="minorHAnsi"/>
        </w:rPr>
        <w:t>PESTEL Analysi</w:t>
      </w:r>
      <w:r w:rsidR="00B4091D" w:rsidRPr="00B4091D">
        <w:rPr>
          <w:rFonts w:asciiTheme="majorBidi" w:hAnsiTheme="majorBidi"/>
          <w:b/>
          <w:bCs/>
          <w:sz w:val="24"/>
          <w:szCs w:val="24"/>
          <w:lang w:val="en-GB"/>
        </w:rPr>
        <w:t>s</w:t>
      </w:r>
    </w:p>
    <w:p w14:paraId="1E25EC08"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A qualitative framework was applied to assess Political, Economic, Social, Technological, Environmental, and Legal factors shaping the Turkish cosmetics market.</w:t>
      </w:r>
    </w:p>
    <w:p w14:paraId="0F645588" w14:textId="1229792E" w:rsidR="00B4091D" w:rsidRPr="00B4091D" w:rsidRDefault="00084EA9"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B4091D">
        <w:rPr>
          <w:rFonts w:asciiTheme="majorBidi" w:hAnsiTheme="majorBidi"/>
          <w:b/>
          <w:bCs/>
          <w:sz w:val="24"/>
          <w:szCs w:val="24"/>
          <w:lang w:val="en-GB"/>
        </w:rPr>
        <w:t xml:space="preserve">4.4 </w:t>
      </w:r>
      <w:r w:rsidR="00B4091D" w:rsidRPr="00BB2F8D">
        <w:rPr>
          <w:rStyle w:val="Heading5Char"/>
          <w:rFonts w:eastAsiaTheme="minorHAnsi"/>
        </w:rPr>
        <w:t>Microeconomic and Consumer Behavior Analysis</w:t>
      </w:r>
      <w:r w:rsidR="00B4091D">
        <w:rPr>
          <w:rFonts w:asciiTheme="majorBidi" w:hAnsiTheme="majorBidi"/>
          <w:b/>
          <w:bCs/>
          <w:sz w:val="24"/>
          <w:szCs w:val="24"/>
          <w:lang w:val="en-GB"/>
        </w:rPr>
        <w:t>:</w:t>
      </w:r>
    </w:p>
    <w:p w14:paraId="17320000"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Data from the questionnaire was analyzed using R and SPSS:</w:t>
      </w:r>
    </w:p>
    <w:p w14:paraId="7436BF50"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Descriptive statistics</w:t>
      </w:r>
    </w:p>
    <w:p w14:paraId="73564C8E"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Correlation matrices</w:t>
      </w:r>
    </w:p>
    <w:p w14:paraId="50C3E463" w14:textId="77777777" w:rsidR="00B4091D" w:rsidRPr="00B4091D" w:rsidRDefault="00B4091D" w:rsidP="007B53F3">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one sample T test to test hypotheses related to:</w:t>
      </w:r>
    </w:p>
    <w:p w14:paraId="061D8D19" w14:textId="77777777" w:rsidR="00B4091D" w:rsidRPr="00B4091D" w:rsidRDefault="00B4091D" w:rsidP="007B53F3">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Boycott awareness</w:t>
      </w:r>
    </w:p>
    <w:p w14:paraId="36BAB779" w14:textId="77777777" w:rsidR="00B4091D" w:rsidRPr="00B4091D" w:rsidRDefault="00B4091D" w:rsidP="007B53F3">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Trust in alternatives</w:t>
      </w:r>
    </w:p>
    <w:p w14:paraId="5918E841" w14:textId="77777777" w:rsidR="00B4091D" w:rsidRDefault="00B4091D" w:rsidP="00B4091D">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 Willigness to try new alternative.</w:t>
      </w:r>
    </w:p>
    <w:p w14:paraId="677A97C4" w14:textId="02F78CFB" w:rsidR="00B4091D" w:rsidRPr="00B4091D" w:rsidRDefault="00084EA9" w:rsidP="00B4091D">
      <w:pPr>
        <w:spacing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597D09">
        <w:rPr>
          <w:rFonts w:asciiTheme="majorBidi" w:hAnsiTheme="majorBidi"/>
          <w:b/>
          <w:bCs/>
          <w:sz w:val="24"/>
          <w:szCs w:val="24"/>
          <w:lang w:val="en-GB"/>
        </w:rPr>
        <w:t xml:space="preserve">5. </w:t>
      </w:r>
      <w:r w:rsidR="00B4091D" w:rsidRPr="00BB2F8D">
        <w:rPr>
          <w:rStyle w:val="Heading4Char"/>
        </w:rPr>
        <w:t>Research Model and Hypotheses</w:t>
      </w:r>
      <w:r w:rsidR="00B4091D" w:rsidRPr="00597D09">
        <w:rPr>
          <w:rFonts w:asciiTheme="majorBidi" w:hAnsiTheme="majorBidi"/>
          <w:b/>
          <w:bCs/>
          <w:sz w:val="24"/>
          <w:szCs w:val="24"/>
          <w:lang w:val="en-GB"/>
        </w:rPr>
        <w:t> :</w:t>
      </w:r>
    </w:p>
    <w:p w14:paraId="651D1DA2"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The study is guided by two main research models:</w:t>
      </w:r>
    </w:p>
    <w:p w14:paraId="2906AB1E" w14:textId="77777777" w:rsidR="00B4091D" w:rsidRPr="00B4091D" w:rsidRDefault="00B4091D" w:rsidP="00B4091D">
      <w:pPr>
        <w:pStyle w:val="ListParagraph"/>
        <w:numPr>
          <w:ilvl w:val="0"/>
          <w:numId w:val="39"/>
        </w:numPr>
        <w:spacing w:after="200"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Macroeconomic Hypothesis: Macroeconomic variables (GDP, inflation, unemployment, exchange rate) affect the feasibility of export.</w:t>
      </w:r>
    </w:p>
    <w:p w14:paraId="342AA337" w14:textId="77777777" w:rsidR="00B4091D" w:rsidRDefault="00B4091D" w:rsidP="00B4091D">
      <w:pPr>
        <w:pStyle w:val="ListParagraph"/>
        <w:numPr>
          <w:ilvl w:val="0"/>
          <w:numId w:val="39"/>
        </w:numPr>
        <w:spacing w:after="200"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xml:space="preserve"> Microeconomic Hypotheses: Boycott movements and product attributes (quality, price, cultural fit, availability) affect Turkish consumer behavior and their willingness to try Algerian alternatives.</w:t>
      </w:r>
    </w:p>
    <w:p w14:paraId="36A051C5" w14:textId="01702545" w:rsidR="00B4091D" w:rsidRPr="00B4091D" w:rsidRDefault="00084EA9" w:rsidP="00B4091D">
      <w:pPr>
        <w:spacing w:after="200" w:line="360" w:lineRule="auto"/>
        <w:jc w:val="both"/>
        <w:rPr>
          <w:rFonts w:asciiTheme="majorBidi" w:hAnsiTheme="majorBidi" w:cstheme="majorBidi"/>
          <w:b/>
          <w:bCs/>
          <w:sz w:val="24"/>
          <w:szCs w:val="24"/>
          <w:lang w:val="en-GB"/>
        </w:rPr>
      </w:pPr>
      <w:r>
        <w:rPr>
          <w:rFonts w:asciiTheme="majorBidi" w:hAnsiTheme="majorBidi"/>
          <w:b/>
          <w:bCs/>
          <w:sz w:val="24"/>
          <w:szCs w:val="24"/>
          <w:lang w:val="en-GB"/>
        </w:rPr>
        <w:t>2.</w:t>
      </w:r>
      <w:r w:rsidR="00B4091D" w:rsidRPr="00597D09">
        <w:rPr>
          <w:rFonts w:asciiTheme="majorBidi" w:hAnsiTheme="majorBidi"/>
          <w:b/>
          <w:bCs/>
          <w:sz w:val="24"/>
          <w:szCs w:val="24"/>
          <w:lang w:val="en-GB"/>
        </w:rPr>
        <w:t xml:space="preserve">6. </w:t>
      </w:r>
      <w:r w:rsidR="00B4091D" w:rsidRPr="00BB2F8D">
        <w:rPr>
          <w:rStyle w:val="Heading4Char"/>
        </w:rPr>
        <w:t>Limitations of the Methodology</w:t>
      </w:r>
      <w:r w:rsidR="00B4091D" w:rsidRPr="00597D09">
        <w:rPr>
          <w:rFonts w:asciiTheme="majorBidi" w:hAnsiTheme="majorBidi"/>
          <w:b/>
          <w:bCs/>
          <w:sz w:val="24"/>
          <w:szCs w:val="24"/>
          <w:lang w:val="en-GB"/>
        </w:rPr>
        <w:t>:</w:t>
      </w:r>
    </w:p>
    <w:p w14:paraId="3F6DC7E9"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The use of non-probability sampling may limit the generalizability of microeconomic findings.</w:t>
      </w:r>
      <w:r w:rsidRPr="00B4091D">
        <w:rPr>
          <w:rFonts w:asciiTheme="majorBidi" w:hAnsiTheme="majorBidi" w:cstheme="majorBidi"/>
          <w:sz w:val="24"/>
          <w:szCs w:val="24"/>
          <w:lang w:val="en-GB"/>
        </w:rPr>
        <w:br/>
        <w:t>- Time series forecasting assumes past patterns continue into the future, which may not account for sudden political or economic shocks.</w:t>
      </w:r>
    </w:p>
    <w:p w14:paraId="719B0B36" w14:textId="77777777" w:rsidR="00B4091D" w:rsidRPr="00B4091D" w:rsidRDefault="00B4091D" w:rsidP="00037571">
      <w:pPr>
        <w:spacing w:line="360" w:lineRule="auto"/>
        <w:jc w:val="both"/>
        <w:rPr>
          <w:rFonts w:asciiTheme="majorBidi" w:hAnsiTheme="majorBidi" w:cstheme="majorBidi"/>
          <w:sz w:val="24"/>
          <w:szCs w:val="24"/>
          <w:lang w:val="en-GB"/>
        </w:rPr>
      </w:pPr>
      <w:r w:rsidRPr="00B4091D">
        <w:rPr>
          <w:rFonts w:asciiTheme="majorBidi" w:hAnsiTheme="majorBidi" w:cstheme="majorBidi"/>
          <w:sz w:val="24"/>
          <w:szCs w:val="24"/>
          <w:lang w:val="en-GB"/>
        </w:rPr>
        <w:t>- Consumer responses may be influenced by social desirability bias, especially regarding boycott-related questions.</w:t>
      </w:r>
    </w:p>
    <w:p w14:paraId="3BB73270" w14:textId="77777777" w:rsidR="00D75D3D" w:rsidRPr="007F5EEF" w:rsidRDefault="00D75D3D" w:rsidP="008042F5">
      <w:pPr>
        <w:jc w:val="center"/>
        <w:rPr>
          <w:rFonts w:asciiTheme="majorBidi" w:hAnsiTheme="majorBidi" w:cstheme="majorBidi"/>
          <w:sz w:val="24"/>
          <w:szCs w:val="24"/>
          <w:lang w:val="en-GB"/>
        </w:rPr>
      </w:pPr>
    </w:p>
    <w:p w14:paraId="5F419F90" w14:textId="77777777" w:rsidR="00D75D3D" w:rsidRPr="00D75D3D" w:rsidRDefault="00D75D3D" w:rsidP="00D75D3D">
      <w:pPr>
        <w:spacing w:line="360" w:lineRule="auto"/>
        <w:rPr>
          <w:rFonts w:asciiTheme="majorBidi" w:hAnsiTheme="majorBidi" w:cstheme="majorBidi"/>
          <w:b/>
          <w:bCs/>
          <w:sz w:val="24"/>
          <w:szCs w:val="24"/>
          <w:lang w:val="en-GB"/>
        </w:rPr>
      </w:pPr>
    </w:p>
    <w:p w14:paraId="44473C03" w14:textId="77777777" w:rsidR="00D75D3D" w:rsidRDefault="00D75D3D" w:rsidP="00DC5DDA">
      <w:pPr>
        <w:spacing w:line="360" w:lineRule="auto"/>
        <w:jc w:val="center"/>
        <w:rPr>
          <w:rFonts w:asciiTheme="majorBidi" w:hAnsiTheme="majorBidi" w:cstheme="majorBidi"/>
          <w:b/>
          <w:bCs/>
          <w:sz w:val="24"/>
          <w:szCs w:val="24"/>
          <w:lang w:val="en-GB"/>
        </w:rPr>
      </w:pPr>
    </w:p>
    <w:p w14:paraId="2C279ED5" w14:textId="77777777" w:rsidR="0053256C" w:rsidRDefault="0053256C" w:rsidP="00DC5DDA">
      <w:pPr>
        <w:spacing w:line="360" w:lineRule="auto"/>
        <w:jc w:val="center"/>
        <w:rPr>
          <w:rFonts w:asciiTheme="majorBidi" w:hAnsiTheme="majorBidi" w:cstheme="majorBidi"/>
          <w:b/>
          <w:bCs/>
          <w:sz w:val="24"/>
          <w:szCs w:val="24"/>
          <w:lang w:val="en-GB"/>
        </w:rPr>
      </w:pPr>
    </w:p>
    <w:p w14:paraId="692499DF" w14:textId="77777777" w:rsidR="0053256C" w:rsidRDefault="0053256C" w:rsidP="00DC5DDA">
      <w:pPr>
        <w:spacing w:line="360" w:lineRule="auto"/>
        <w:jc w:val="center"/>
        <w:rPr>
          <w:rFonts w:asciiTheme="majorBidi" w:hAnsiTheme="majorBidi" w:cstheme="majorBidi"/>
          <w:b/>
          <w:bCs/>
          <w:sz w:val="24"/>
          <w:szCs w:val="24"/>
          <w:lang w:val="en-GB"/>
        </w:rPr>
      </w:pPr>
    </w:p>
    <w:p w14:paraId="163D89E9" w14:textId="77777777" w:rsidR="0053256C" w:rsidRDefault="0053256C" w:rsidP="00DC5DDA">
      <w:pPr>
        <w:spacing w:line="360" w:lineRule="auto"/>
        <w:jc w:val="center"/>
        <w:rPr>
          <w:rFonts w:asciiTheme="majorBidi" w:hAnsiTheme="majorBidi" w:cstheme="majorBidi"/>
          <w:b/>
          <w:bCs/>
          <w:sz w:val="24"/>
          <w:szCs w:val="24"/>
          <w:lang w:val="en-GB"/>
        </w:rPr>
      </w:pPr>
    </w:p>
    <w:p w14:paraId="27199B84" w14:textId="77777777" w:rsidR="0053256C" w:rsidRDefault="0053256C" w:rsidP="00DC5DDA">
      <w:pPr>
        <w:spacing w:line="360" w:lineRule="auto"/>
        <w:jc w:val="center"/>
        <w:rPr>
          <w:rFonts w:asciiTheme="majorBidi" w:hAnsiTheme="majorBidi" w:cstheme="majorBidi"/>
          <w:b/>
          <w:bCs/>
          <w:sz w:val="24"/>
          <w:szCs w:val="24"/>
          <w:lang w:val="en-GB"/>
        </w:rPr>
      </w:pPr>
    </w:p>
    <w:p w14:paraId="093F7DEB" w14:textId="77777777" w:rsidR="0053256C" w:rsidRDefault="0053256C" w:rsidP="00DC5DDA">
      <w:pPr>
        <w:spacing w:line="360" w:lineRule="auto"/>
        <w:jc w:val="center"/>
        <w:rPr>
          <w:rFonts w:asciiTheme="majorBidi" w:hAnsiTheme="majorBidi" w:cstheme="majorBidi"/>
          <w:b/>
          <w:bCs/>
          <w:sz w:val="24"/>
          <w:szCs w:val="24"/>
          <w:lang w:val="en-GB"/>
        </w:rPr>
      </w:pPr>
    </w:p>
    <w:p w14:paraId="7EF8BC15" w14:textId="77777777" w:rsidR="00AC1791" w:rsidRDefault="00AC1791" w:rsidP="00DC5DDA">
      <w:pPr>
        <w:spacing w:line="360" w:lineRule="auto"/>
        <w:jc w:val="center"/>
        <w:rPr>
          <w:rFonts w:asciiTheme="majorBidi" w:hAnsiTheme="majorBidi" w:cstheme="majorBidi"/>
          <w:b/>
          <w:bCs/>
          <w:sz w:val="24"/>
          <w:szCs w:val="24"/>
          <w:lang w:val="en-GB"/>
        </w:rPr>
      </w:pPr>
    </w:p>
    <w:p w14:paraId="6F157950" w14:textId="77777777" w:rsidR="00AC1791" w:rsidRDefault="00AC1791" w:rsidP="00DC5DDA">
      <w:pPr>
        <w:spacing w:line="360" w:lineRule="auto"/>
        <w:jc w:val="center"/>
        <w:rPr>
          <w:rFonts w:asciiTheme="majorBidi" w:hAnsiTheme="majorBidi" w:cstheme="majorBidi"/>
          <w:b/>
          <w:bCs/>
          <w:sz w:val="24"/>
          <w:szCs w:val="24"/>
          <w:lang w:val="en-GB"/>
        </w:rPr>
      </w:pPr>
    </w:p>
    <w:p w14:paraId="7D580102" w14:textId="77777777" w:rsidR="00AC1791" w:rsidRDefault="00AC1791" w:rsidP="00DC5DDA">
      <w:pPr>
        <w:spacing w:line="360" w:lineRule="auto"/>
        <w:jc w:val="center"/>
        <w:rPr>
          <w:rFonts w:asciiTheme="majorBidi" w:hAnsiTheme="majorBidi" w:cstheme="majorBidi"/>
          <w:b/>
          <w:bCs/>
          <w:sz w:val="24"/>
          <w:szCs w:val="24"/>
          <w:lang w:val="en-GB"/>
        </w:rPr>
      </w:pPr>
    </w:p>
    <w:p w14:paraId="0876948E" w14:textId="77777777" w:rsidR="00AC1791" w:rsidRDefault="00AC1791" w:rsidP="00DC5DDA">
      <w:pPr>
        <w:spacing w:line="360" w:lineRule="auto"/>
        <w:jc w:val="center"/>
        <w:rPr>
          <w:rFonts w:asciiTheme="majorBidi" w:hAnsiTheme="majorBidi" w:cstheme="majorBidi"/>
          <w:b/>
          <w:bCs/>
          <w:sz w:val="24"/>
          <w:szCs w:val="24"/>
          <w:lang w:val="en-GB"/>
        </w:rPr>
      </w:pPr>
    </w:p>
    <w:p w14:paraId="2015A2D2" w14:textId="77777777" w:rsidR="00AC1791" w:rsidRDefault="00AC1791" w:rsidP="00DC5DDA">
      <w:pPr>
        <w:spacing w:line="360" w:lineRule="auto"/>
        <w:jc w:val="center"/>
        <w:rPr>
          <w:rFonts w:asciiTheme="majorBidi" w:hAnsiTheme="majorBidi" w:cstheme="majorBidi"/>
          <w:b/>
          <w:bCs/>
          <w:sz w:val="24"/>
          <w:szCs w:val="24"/>
          <w:lang w:val="en-GB"/>
        </w:rPr>
      </w:pPr>
    </w:p>
    <w:p w14:paraId="1213CC06" w14:textId="77777777" w:rsidR="00AC1791" w:rsidRDefault="00AC1791" w:rsidP="00DC5DDA">
      <w:pPr>
        <w:spacing w:line="360" w:lineRule="auto"/>
        <w:jc w:val="center"/>
        <w:rPr>
          <w:rFonts w:asciiTheme="majorBidi" w:hAnsiTheme="majorBidi" w:cstheme="majorBidi"/>
          <w:b/>
          <w:bCs/>
          <w:sz w:val="24"/>
          <w:szCs w:val="24"/>
          <w:lang w:val="en-GB"/>
        </w:rPr>
      </w:pPr>
    </w:p>
    <w:p w14:paraId="76024A90" w14:textId="77777777" w:rsidR="00AC1791" w:rsidRDefault="00AC1791" w:rsidP="00DC5DDA">
      <w:pPr>
        <w:spacing w:line="360" w:lineRule="auto"/>
        <w:jc w:val="center"/>
        <w:rPr>
          <w:rFonts w:asciiTheme="majorBidi" w:hAnsiTheme="majorBidi" w:cstheme="majorBidi"/>
          <w:b/>
          <w:bCs/>
          <w:sz w:val="24"/>
          <w:szCs w:val="24"/>
          <w:lang w:val="en-GB"/>
        </w:rPr>
      </w:pPr>
    </w:p>
    <w:p w14:paraId="0875C2A6" w14:textId="77777777" w:rsidR="00B9465F" w:rsidRDefault="00B9465F" w:rsidP="00B9465F">
      <w:pPr>
        <w:spacing w:before="100" w:beforeAutospacing="1" w:after="100" w:afterAutospacing="1" w:line="360" w:lineRule="auto"/>
        <w:jc w:val="both"/>
        <w:rPr>
          <w:rFonts w:asciiTheme="majorBidi" w:hAnsiTheme="majorBidi" w:cstheme="majorBidi"/>
          <w:b/>
          <w:bCs/>
          <w:sz w:val="24"/>
          <w:szCs w:val="24"/>
          <w:lang w:val="en-GB"/>
        </w:rPr>
      </w:pPr>
    </w:p>
    <w:p w14:paraId="76020F58" w14:textId="410C1B07" w:rsidR="00AC1791" w:rsidRPr="00B9465F" w:rsidRDefault="00AC1791" w:rsidP="00BB2F8D">
      <w:pPr>
        <w:pStyle w:val="Heading2"/>
      </w:pPr>
      <w:bookmarkStart w:id="286" w:name="_Toc200720062"/>
      <w:bookmarkStart w:id="287" w:name="_Toc200721703"/>
      <w:r w:rsidRPr="00B9465F">
        <w:rPr>
          <w:lang w:val="en-US"/>
        </w:rPr>
        <w:t xml:space="preserve">Section 2: </w:t>
      </w:r>
      <w:r w:rsidRPr="00B9465F">
        <w:t>Market research</w:t>
      </w:r>
      <w:bookmarkEnd w:id="286"/>
      <w:bookmarkEnd w:id="287"/>
    </w:p>
    <w:p w14:paraId="48138E31" w14:textId="2486917D" w:rsidR="00AC1791" w:rsidRPr="00084EA9" w:rsidRDefault="00AC1791" w:rsidP="00084EA9">
      <w:pPr>
        <w:pStyle w:val="ListParagraph"/>
        <w:numPr>
          <w:ilvl w:val="2"/>
          <w:numId w:val="16"/>
        </w:numPr>
        <w:spacing w:before="100" w:beforeAutospacing="1" w:after="100" w:afterAutospacing="1" w:line="360" w:lineRule="auto"/>
        <w:jc w:val="both"/>
        <w:rPr>
          <w:rFonts w:asciiTheme="majorBidi" w:hAnsiTheme="majorBidi" w:cstheme="majorBidi"/>
          <w:b/>
          <w:bCs/>
          <w:sz w:val="24"/>
          <w:szCs w:val="24"/>
          <w:lang w:val="en-US"/>
        </w:rPr>
      </w:pPr>
      <w:bookmarkStart w:id="288" w:name="_Toc200720063"/>
      <w:bookmarkStart w:id="289" w:name="_Toc200721704"/>
      <w:r w:rsidRPr="00BB2F8D">
        <w:rPr>
          <w:rStyle w:val="Heading3Char"/>
        </w:rPr>
        <w:t>Motivations of this study</w:t>
      </w:r>
      <w:bookmarkEnd w:id="288"/>
      <w:bookmarkEnd w:id="289"/>
      <w:r w:rsidRPr="00084EA9">
        <w:rPr>
          <w:rFonts w:asciiTheme="majorBidi" w:hAnsiTheme="majorBidi" w:cstheme="majorBidi"/>
          <w:b/>
          <w:bCs/>
          <w:sz w:val="24"/>
          <w:szCs w:val="24"/>
          <w:lang w:val="en-US"/>
        </w:rPr>
        <w:t>:</w:t>
      </w:r>
    </w:p>
    <w:p w14:paraId="3142C4F2" w14:textId="67CEBFDB" w:rsidR="00AC1791" w:rsidRPr="002551A7" w:rsidRDefault="00084EA9" w:rsidP="002551A7">
      <w:pPr>
        <w:pStyle w:val="Paragraphedeliste2"/>
        <w:spacing w:line="360" w:lineRule="auto"/>
        <w:jc w:val="both"/>
        <w:rPr>
          <w:rFonts w:asciiTheme="majorBidi" w:eastAsia="Aptos" w:hAnsiTheme="majorBidi" w:cstheme="majorBidi"/>
          <w:b/>
          <w:bCs/>
          <w:lang w:val="en-GB"/>
        </w:rPr>
      </w:pPr>
      <w:r>
        <w:rPr>
          <w:rFonts w:asciiTheme="majorBidi" w:eastAsia="Aptos" w:hAnsiTheme="majorBidi" w:cstheme="majorBidi"/>
          <w:b/>
          <w:bCs/>
          <w:lang w:val="en-GB"/>
        </w:rPr>
        <w:t>1.1</w:t>
      </w:r>
      <w:r w:rsidR="00157732">
        <w:rPr>
          <w:rFonts w:asciiTheme="majorBidi" w:eastAsia="Aptos" w:hAnsiTheme="majorBidi" w:cstheme="majorBidi"/>
          <w:b/>
          <w:bCs/>
          <w:lang w:val="en-GB"/>
        </w:rPr>
        <w:t>.</w:t>
      </w:r>
      <w:r>
        <w:rPr>
          <w:rFonts w:asciiTheme="majorBidi" w:eastAsia="Aptos" w:hAnsiTheme="majorBidi" w:cstheme="majorBidi"/>
          <w:b/>
          <w:bCs/>
          <w:lang w:val="en-GB"/>
        </w:rPr>
        <w:t xml:space="preserve"> </w:t>
      </w:r>
      <w:r w:rsidR="00AC1791" w:rsidRPr="00BB2F8D">
        <w:rPr>
          <w:rStyle w:val="Heading4Char"/>
          <w:rFonts w:eastAsia="Aptos"/>
        </w:rPr>
        <w:t>Algerian Part</w:t>
      </w:r>
      <w:r w:rsidR="00AC1791" w:rsidRPr="002551A7">
        <w:rPr>
          <w:rFonts w:asciiTheme="majorBidi" w:eastAsia="Aptos" w:hAnsiTheme="majorBidi" w:cstheme="majorBidi"/>
          <w:b/>
          <w:bCs/>
          <w:lang w:val="en-GB"/>
        </w:rPr>
        <w:t xml:space="preserve">: </w:t>
      </w:r>
    </w:p>
    <w:p w14:paraId="698A34E7" w14:textId="15C95501" w:rsidR="00AC1791" w:rsidRPr="002551A7" w:rsidRDefault="00157732" w:rsidP="002551A7">
      <w:pPr>
        <w:pStyle w:val="Paragraphedeliste2"/>
        <w:spacing w:line="360" w:lineRule="auto"/>
        <w:jc w:val="both"/>
        <w:rPr>
          <w:rFonts w:asciiTheme="majorBidi" w:eastAsia="Aptos" w:hAnsiTheme="majorBidi" w:cstheme="majorBidi"/>
          <w:b/>
          <w:bCs/>
          <w:lang w:val="en-GB"/>
        </w:rPr>
      </w:pPr>
      <w:r>
        <w:rPr>
          <w:rFonts w:asciiTheme="majorBidi" w:eastAsia="Aptos" w:hAnsiTheme="majorBidi" w:cstheme="majorBidi"/>
          <w:b/>
          <w:bCs/>
          <w:lang w:val="en-GB"/>
        </w:rPr>
        <w:t xml:space="preserve">1.1.1. </w:t>
      </w:r>
      <w:r w:rsidR="00AC1791" w:rsidRPr="00BB2F8D">
        <w:rPr>
          <w:rStyle w:val="Heading5Char"/>
          <w:rFonts w:eastAsia="Aptos"/>
        </w:rPr>
        <w:t>Export Assistance and Suppor</w:t>
      </w:r>
      <w:r w:rsidR="00AC1791" w:rsidRPr="002551A7">
        <w:rPr>
          <w:rFonts w:asciiTheme="majorBidi" w:eastAsia="Aptos" w:hAnsiTheme="majorBidi" w:cstheme="majorBidi"/>
          <w:b/>
          <w:bCs/>
          <w:lang w:val="en-GB"/>
        </w:rPr>
        <w:t>t</w:t>
      </w:r>
    </w:p>
    <w:p w14:paraId="761C7C93" w14:textId="77777777" w:rsidR="00AC1791" w:rsidRPr="002551A7" w:rsidRDefault="00AC1791" w:rsidP="002551A7">
      <w:pPr>
        <w:pStyle w:val="Paragraphedeliste2"/>
        <w:spacing w:line="360" w:lineRule="auto"/>
        <w:jc w:val="both"/>
        <w:rPr>
          <w:rFonts w:asciiTheme="majorBidi" w:eastAsia="Aptos" w:hAnsiTheme="majorBidi" w:cstheme="majorBidi"/>
          <w:lang w:val="en-GB"/>
        </w:rPr>
      </w:pPr>
      <w:r w:rsidRPr="002551A7">
        <w:rPr>
          <w:rFonts w:asciiTheme="majorBidi" w:eastAsia="Aptos" w:hAnsiTheme="majorBidi" w:cstheme="majorBidi"/>
          <w:lang w:val="en-GB"/>
        </w:rPr>
        <w:t xml:space="preserve">    The exporter's guide discusses the support and assistance expected by companies engaged in export activities from the state, whether in terms of financial support, customs assistance, or facilities for exhibitions and trade fairs abroad.</w:t>
      </w:r>
    </w:p>
    <w:p w14:paraId="3DE3FA81" w14:textId="77777777" w:rsidR="00AC1791" w:rsidRPr="002551A7" w:rsidRDefault="00AC1791" w:rsidP="00413B73">
      <w:pPr>
        <w:pStyle w:val="Paragraphedeliste2"/>
        <w:numPr>
          <w:ilvl w:val="0"/>
          <w:numId w:val="63"/>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Financial Support:</w:t>
      </w:r>
      <w:r w:rsidRPr="002551A7">
        <w:rPr>
          <w:rFonts w:asciiTheme="majorBidi" w:eastAsia="Aptos" w:hAnsiTheme="majorBidi" w:cstheme="majorBidi"/>
          <w:lang w:val="en-GB"/>
        </w:rPr>
        <w:t xml:space="preserve"> The exporter's guide includes specific percentages from which exporting companies benefit as support and assistance.</w:t>
      </w:r>
    </w:p>
    <w:p w14:paraId="6E0DFE4D" w14:textId="77777777" w:rsidR="00AC1791" w:rsidRPr="002551A7" w:rsidRDefault="00AC1791" w:rsidP="00413B73">
      <w:pPr>
        <w:pStyle w:val="Paragraphedeliste2"/>
        <w:numPr>
          <w:ilvl w:val="0"/>
          <w:numId w:val="63"/>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Customs Regime Assistance:</w:t>
      </w:r>
      <w:r w:rsidRPr="002551A7">
        <w:rPr>
          <w:rFonts w:asciiTheme="majorBidi" w:eastAsia="Aptos" w:hAnsiTheme="majorBidi" w:cstheme="majorBidi"/>
          <w:lang w:val="en-GB"/>
        </w:rPr>
        <w:t xml:space="preserve"> Exporting companies benefit from economic customs regimes aimed at reducing customs clearance time and costs, such as transit, customs warehouses, temporary admission, tax-exempt restocking, and temporary export.</w:t>
      </w:r>
    </w:p>
    <w:p w14:paraId="29E1CF34" w14:textId="77777777" w:rsidR="00AC1791" w:rsidRPr="002551A7" w:rsidRDefault="00AC1791" w:rsidP="00413B73">
      <w:pPr>
        <w:pStyle w:val="Paragraphedeliste2"/>
        <w:numPr>
          <w:ilvl w:val="0"/>
          <w:numId w:val="63"/>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Facilities for Exhibitions and Trade Fairs Abroad:</w:t>
      </w:r>
      <w:r w:rsidRPr="002551A7">
        <w:rPr>
          <w:rFonts w:asciiTheme="majorBidi" w:eastAsia="Aptos" w:hAnsiTheme="majorBidi" w:cstheme="majorBidi"/>
          <w:lang w:val="en-GB"/>
        </w:rPr>
        <w:t xml:space="preserve"> Exporting companies expect the state to provide facilities for international exhibitions and trade fairs, including simplified procedures for samples intended for participation in exhibitions and trade fairs abroad (ATA Carnet).</w:t>
      </w:r>
    </w:p>
    <w:p w14:paraId="56D6C1D9" w14:textId="77777777" w:rsidR="00AC1791" w:rsidRPr="002551A7" w:rsidRDefault="00AC1791" w:rsidP="002551A7">
      <w:pPr>
        <w:pStyle w:val="Paragraphedeliste2"/>
        <w:spacing w:line="360" w:lineRule="auto"/>
        <w:jc w:val="both"/>
        <w:rPr>
          <w:rFonts w:asciiTheme="majorBidi" w:eastAsia="Aptos" w:hAnsiTheme="majorBidi" w:cstheme="majorBidi"/>
          <w:lang w:val="en-GB"/>
        </w:rPr>
      </w:pPr>
      <w:r w:rsidRPr="002551A7">
        <w:rPr>
          <w:rFonts w:asciiTheme="majorBidi" w:eastAsia="Aptos" w:hAnsiTheme="majorBidi" w:cstheme="majorBidi"/>
          <w:lang w:val="en-GB"/>
        </w:rPr>
        <w:t xml:space="preserve"> </w:t>
      </w:r>
    </w:p>
    <w:p w14:paraId="07D7985F" w14:textId="4B97BC49" w:rsidR="00AC1791" w:rsidRPr="002551A7" w:rsidRDefault="00AC1791" w:rsidP="002551A7">
      <w:pPr>
        <w:pStyle w:val="Paragraphedeliste2"/>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 xml:space="preserve">  </w:t>
      </w:r>
      <w:r w:rsidR="00157732">
        <w:rPr>
          <w:rFonts w:asciiTheme="majorBidi" w:eastAsia="Aptos" w:hAnsiTheme="majorBidi" w:cstheme="majorBidi"/>
          <w:b/>
          <w:bCs/>
          <w:lang w:val="en-GB"/>
        </w:rPr>
        <w:t>1.1.2.</w:t>
      </w:r>
      <w:r w:rsidRPr="002551A7">
        <w:rPr>
          <w:rFonts w:asciiTheme="majorBidi" w:eastAsia="Aptos" w:hAnsiTheme="majorBidi" w:cstheme="majorBidi"/>
          <w:b/>
          <w:bCs/>
          <w:lang w:val="en-GB"/>
        </w:rPr>
        <w:t xml:space="preserve"> </w:t>
      </w:r>
      <w:r w:rsidRPr="00BB2F8D">
        <w:rPr>
          <w:rStyle w:val="Heading5Char"/>
          <w:rFonts w:eastAsia="Aptos"/>
        </w:rPr>
        <w:t>Tax Incentives for Exportin</w:t>
      </w:r>
      <w:r w:rsidRPr="002551A7">
        <w:rPr>
          <w:rFonts w:asciiTheme="majorBidi" w:eastAsia="Aptos" w:hAnsiTheme="majorBidi" w:cstheme="majorBidi"/>
          <w:b/>
          <w:bCs/>
          <w:lang w:val="en-GB"/>
        </w:rPr>
        <w:t>g</w:t>
      </w:r>
    </w:p>
    <w:p w14:paraId="74FD359F" w14:textId="77777777" w:rsidR="00AC1791" w:rsidRPr="002551A7" w:rsidRDefault="00AC1791" w:rsidP="002551A7">
      <w:pPr>
        <w:pStyle w:val="Paragraphedeliste2"/>
        <w:spacing w:line="360" w:lineRule="auto"/>
        <w:jc w:val="both"/>
        <w:rPr>
          <w:rFonts w:asciiTheme="majorBidi" w:eastAsia="Aptos" w:hAnsiTheme="majorBidi" w:cstheme="majorBidi"/>
          <w:lang w:val="en-GB"/>
        </w:rPr>
      </w:pPr>
      <w:r w:rsidRPr="002551A7">
        <w:rPr>
          <w:rFonts w:asciiTheme="majorBidi" w:eastAsia="Aptos" w:hAnsiTheme="majorBidi" w:cstheme="majorBidi"/>
          <w:lang w:val="en-GB"/>
        </w:rPr>
        <w:t xml:space="preserve">   Tax exemptions are granted for export activities. The main tax benefits provided to exporters are as follows:</w:t>
      </w:r>
    </w:p>
    <w:p w14:paraId="30FF0F0C" w14:textId="0F5CB8CE" w:rsidR="00AC1791" w:rsidRPr="00EB3899" w:rsidRDefault="00AC1791" w:rsidP="00413B73">
      <w:pPr>
        <w:pStyle w:val="Paragraphedeliste2"/>
        <w:numPr>
          <w:ilvl w:val="0"/>
          <w:numId w:val="64"/>
        </w:numPr>
        <w:spacing w:line="360" w:lineRule="auto"/>
        <w:jc w:val="both"/>
        <w:rPr>
          <w:rFonts w:asciiTheme="majorBidi" w:eastAsia="Aptos" w:hAnsiTheme="majorBidi" w:cstheme="majorBidi"/>
          <w:lang w:val="en-GB"/>
        </w:rPr>
      </w:pPr>
      <w:r w:rsidRPr="00EB3899">
        <w:rPr>
          <w:rFonts w:asciiTheme="majorBidi" w:eastAsia="Aptos" w:hAnsiTheme="majorBidi" w:cstheme="majorBidi"/>
          <w:lang w:val="en-GB"/>
        </w:rPr>
        <w:t>Exemption from professional activity tax and corporate income tax</w:t>
      </w:r>
      <w:r w:rsidR="00EB3899">
        <w:rPr>
          <w:rFonts w:asciiTheme="majorBidi" w:eastAsia="Aptos" w:hAnsiTheme="majorBidi" w:cstheme="majorBidi"/>
          <w:lang w:val="en-GB"/>
        </w:rPr>
        <w:t>.</w:t>
      </w:r>
    </w:p>
    <w:p w14:paraId="43F1039E" w14:textId="77777777" w:rsidR="00AC1791" w:rsidRPr="002551A7" w:rsidRDefault="00AC1791" w:rsidP="00413B73">
      <w:pPr>
        <w:pStyle w:val="Paragraphedeliste2"/>
        <w:numPr>
          <w:ilvl w:val="0"/>
          <w:numId w:val="65"/>
        </w:numPr>
        <w:spacing w:line="360" w:lineRule="auto"/>
        <w:jc w:val="both"/>
        <w:rPr>
          <w:rFonts w:asciiTheme="majorBidi" w:eastAsia="Aptos" w:hAnsiTheme="majorBidi" w:cstheme="majorBidi"/>
          <w:lang w:val="en-GB"/>
        </w:rPr>
      </w:pPr>
      <w:r w:rsidRPr="002551A7">
        <w:rPr>
          <w:rFonts w:asciiTheme="majorBidi" w:eastAsia="Aptos" w:hAnsiTheme="majorBidi" w:cstheme="majorBidi"/>
          <w:lang w:val="en-GB"/>
        </w:rPr>
        <w:t xml:space="preserve">Exemption from professional activity tax. </w:t>
      </w:r>
    </w:p>
    <w:p w14:paraId="1024B073" w14:textId="77777777" w:rsidR="00AC1791" w:rsidRPr="002551A7" w:rsidRDefault="00AC1791" w:rsidP="002551A7">
      <w:pPr>
        <w:pStyle w:val="Paragraphedeliste2"/>
        <w:spacing w:line="360" w:lineRule="auto"/>
        <w:jc w:val="both"/>
        <w:rPr>
          <w:rFonts w:asciiTheme="majorBidi" w:eastAsia="Aptos" w:hAnsiTheme="majorBidi" w:cstheme="majorBidi"/>
          <w:lang w:val="en-GB"/>
        </w:rPr>
      </w:pPr>
      <w:r w:rsidRPr="002551A7">
        <w:rPr>
          <w:rFonts w:asciiTheme="majorBidi" w:eastAsia="Aptos" w:hAnsiTheme="majorBidi" w:cstheme="majorBidi"/>
          <w:lang w:val="en-GB"/>
        </w:rPr>
        <w:t xml:space="preserve">      02- Exemption from corporate income tax.</w:t>
      </w:r>
    </w:p>
    <w:p w14:paraId="6A91DC67" w14:textId="686BEC7F" w:rsidR="00AC1791" w:rsidRPr="00EB3899" w:rsidRDefault="00AC1791" w:rsidP="00413B73">
      <w:pPr>
        <w:pStyle w:val="Paragraphedeliste2"/>
        <w:numPr>
          <w:ilvl w:val="0"/>
          <w:numId w:val="64"/>
        </w:numPr>
        <w:spacing w:line="360" w:lineRule="auto"/>
        <w:jc w:val="both"/>
        <w:rPr>
          <w:rFonts w:asciiTheme="majorBidi" w:eastAsia="Aptos" w:hAnsiTheme="majorBidi" w:cstheme="majorBidi"/>
        </w:rPr>
      </w:pPr>
      <w:r w:rsidRPr="00EB3899">
        <w:rPr>
          <w:rFonts w:asciiTheme="majorBidi" w:eastAsia="Aptos" w:hAnsiTheme="majorBidi" w:cstheme="majorBidi"/>
        </w:rPr>
        <w:t>Exemption regarding turnover tax</w:t>
      </w:r>
      <w:r w:rsidR="00EB3899">
        <w:rPr>
          <w:rFonts w:asciiTheme="majorBidi" w:eastAsia="Aptos" w:hAnsiTheme="majorBidi" w:cstheme="majorBidi"/>
        </w:rPr>
        <w:t>.</w:t>
      </w:r>
    </w:p>
    <w:p w14:paraId="78C15732" w14:textId="77777777" w:rsidR="00AC1791" w:rsidRPr="002551A7" w:rsidRDefault="00AC1791" w:rsidP="00413B73">
      <w:pPr>
        <w:pStyle w:val="Paragraphedeliste2"/>
        <w:numPr>
          <w:ilvl w:val="0"/>
          <w:numId w:val="66"/>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Exemption from VAT:</w:t>
      </w:r>
      <w:r w:rsidRPr="002551A7">
        <w:rPr>
          <w:rFonts w:asciiTheme="majorBidi" w:eastAsia="Aptos" w:hAnsiTheme="majorBidi" w:cstheme="majorBidi"/>
          <w:lang w:val="en-GB"/>
        </w:rPr>
        <w:t xml:space="preserve"> This exemption applies to sales operations related to exported goods, Article 13 of the 2018 law on turnover tax. </w:t>
      </w:r>
    </w:p>
    <w:p w14:paraId="2C3B1C11" w14:textId="77777777" w:rsidR="00AC1791" w:rsidRPr="002551A7" w:rsidRDefault="00AC1791" w:rsidP="00413B73">
      <w:pPr>
        <w:pStyle w:val="Paragraphedeliste2"/>
        <w:numPr>
          <w:ilvl w:val="0"/>
          <w:numId w:val="66"/>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Purchases exempt from VAT:</w:t>
      </w:r>
      <w:r w:rsidRPr="002551A7">
        <w:rPr>
          <w:rFonts w:asciiTheme="majorBidi" w:eastAsia="Aptos" w:hAnsiTheme="majorBidi" w:cstheme="majorBidi"/>
          <w:lang w:val="en-GB"/>
        </w:rPr>
        <w:t xml:space="preserve"> Second paragraph of Article 42 of the turnover tax law. </w:t>
      </w:r>
    </w:p>
    <w:p w14:paraId="72B0783D" w14:textId="77777777" w:rsidR="00AC1791" w:rsidRPr="002551A7" w:rsidRDefault="00AC1791" w:rsidP="00413B73">
      <w:pPr>
        <w:pStyle w:val="Paragraphedeliste2"/>
        <w:numPr>
          <w:ilvl w:val="0"/>
          <w:numId w:val="66"/>
        </w:numPr>
        <w:spacing w:line="360" w:lineRule="auto"/>
        <w:jc w:val="both"/>
        <w:rPr>
          <w:rFonts w:asciiTheme="majorBidi" w:eastAsia="Aptos" w:hAnsiTheme="majorBidi" w:cstheme="majorBidi"/>
          <w:lang w:val="en-GB"/>
        </w:rPr>
      </w:pPr>
      <w:r w:rsidRPr="002551A7">
        <w:rPr>
          <w:rFonts w:asciiTheme="majorBidi" w:eastAsia="Aptos" w:hAnsiTheme="majorBidi" w:cstheme="majorBidi"/>
          <w:b/>
          <w:bCs/>
          <w:lang w:val="en-GB"/>
        </w:rPr>
        <w:t>VAT refund:</w:t>
      </w:r>
      <w:r w:rsidRPr="002551A7">
        <w:rPr>
          <w:rFonts w:asciiTheme="majorBidi" w:eastAsia="Aptos" w:hAnsiTheme="majorBidi" w:cstheme="majorBidi"/>
          <w:lang w:val="en-GB"/>
        </w:rPr>
        <w:t xml:space="preserve"> Articles 42 and 50 of the turnover tax law.</w:t>
      </w:r>
    </w:p>
    <w:p w14:paraId="7701A19C" w14:textId="2B5D6552" w:rsidR="00AC1791" w:rsidRPr="002551A7" w:rsidRDefault="00AC1791" w:rsidP="002551A7">
      <w:pPr>
        <w:spacing w:line="360" w:lineRule="auto"/>
        <w:jc w:val="both"/>
        <w:rPr>
          <w:rFonts w:asciiTheme="majorBidi" w:eastAsia="Aptos" w:hAnsiTheme="majorBidi" w:cstheme="majorBidi"/>
          <w:b/>
          <w:bCs/>
          <w:sz w:val="24"/>
          <w:szCs w:val="24"/>
          <w:lang w:val="en-GB"/>
        </w:rPr>
      </w:pPr>
      <w:r w:rsidRPr="002551A7">
        <w:rPr>
          <w:rFonts w:asciiTheme="majorBidi" w:eastAsia="Aptos" w:hAnsiTheme="majorBidi" w:cstheme="majorBidi"/>
          <w:b/>
          <w:bCs/>
          <w:sz w:val="24"/>
          <w:szCs w:val="24"/>
          <w:lang w:val="en-GB"/>
        </w:rPr>
        <w:t xml:space="preserve">   </w:t>
      </w:r>
      <w:r w:rsidR="00084EA9">
        <w:rPr>
          <w:rFonts w:asciiTheme="majorBidi" w:eastAsia="Aptos" w:hAnsiTheme="majorBidi" w:cstheme="majorBidi"/>
          <w:b/>
          <w:bCs/>
          <w:sz w:val="24"/>
          <w:szCs w:val="24"/>
          <w:lang w:val="en-GB"/>
        </w:rPr>
        <w:t xml:space="preserve">1.2. </w:t>
      </w:r>
      <w:r w:rsidRPr="00BB2F8D">
        <w:rPr>
          <w:rStyle w:val="Heading4Char"/>
        </w:rPr>
        <w:t>Turkish Part</w:t>
      </w:r>
      <w:r w:rsidRPr="002551A7">
        <w:rPr>
          <w:rFonts w:asciiTheme="majorBidi" w:eastAsia="Aptos" w:hAnsiTheme="majorBidi" w:cstheme="majorBidi"/>
          <w:b/>
          <w:bCs/>
          <w:sz w:val="24"/>
          <w:szCs w:val="24"/>
          <w:lang w:val="en-GB"/>
        </w:rPr>
        <w:t>:</w:t>
      </w:r>
    </w:p>
    <w:p w14:paraId="14A1DBC7" w14:textId="77777777" w:rsidR="00AC1791" w:rsidRPr="002551A7" w:rsidRDefault="00AC1791" w:rsidP="002551A7">
      <w:pPr>
        <w:spacing w:line="360" w:lineRule="auto"/>
        <w:jc w:val="both"/>
        <w:rPr>
          <w:rFonts w:asciiTheme="majorBidi" w:eastAsia="Times New Roman" w:hAnsiTheme="majorBidi" w:cstheme="majorBidi"/>
          <w:sz w:val="24"/>
          <w:szCs w:val="24"/>
          <w:lang w:val="en-GB"/>
        </w:rPr>
      </w:pPr>
      <w:r w:rsidRPr="002551A7">
        <w:rPr>
          <w:rFonts w:asciiTheme="majorBidi" w:hAnsiTheme="majorBidi" w:cstheme="majorBidi"/>
          <w:sz w:val="24"/>
          <w:szCs w:val="24"/>
          <w:lang w:val="en-GB"/>
        </w:rPr>
        <w:t xml:space="preserve">   Algerian firms have some facilitations when exporting products to Turkey due to various trade agreements and cooperation frameworks in place. Here are a few ways these facilitations work:</w:t>
      </w:r>
    </w:p>
    <w:p w14:paraId="20792FBF" w14:textId="5297E0BC" w:rsidR="00AC1791" w:rsidRPr="002551A7" w:rsidRDefault="00AC1791" w:rsidP="002551A7">
      <w:pPr>
        <w:spacing w:line="360" w:lineRule="auto"/>
        <w:jc w:val="both"/>
        <w:rPr>
          <w:rFonts w:asciiTheme="majorBidi" w:eastAsia="Times New Roman" w:hAnsiTheme="majorBidi" w:cstheme="majorBidi"/>
          <w:sz w:val="24"/>
          <w:szCs w:val="24"/>
          <w:lang w:val="en-GB"/>
        </w:rPr>
      </w:pPr>
      <w:r w:rsidRPr="002551A7">
        <w:rPr>
          <w:rFonts w:asciiTheme="majorBidi" w:hAnsiTheme="majorBidi" w:cstheme="majorBidi"/>
          <w:b/>
          <w:bCs/>
          <w:sz w:val="24"/>
          <w:szCs w:val="24"/>
          <w:lang w:val="en-GB"/>
        </w:rPr>
        <w:t>1.</w:t>
      </w:r>
      <w:r w:rsidR="00157732">
        <w:rPr>
          <w:rFonts w:asciiTheme="majorBidi" w:hAnsiTheme="majorBidi" w:cstheme="majorBidi"/>
          <w:b/>
          <w:bCs/>
          <w:sz w:val="24"/>
          <w:szCs w:val="24"/>
          <w:lang w:val="en-GB"/>
        </w:rPr>
        <w:t>2.1</w:t>
      </w:r>
      <w:r w:rsidRPr="002551A7">
        <w:rPr>
          <w:rFonts w:asciiTheme="majorBidi" w:hAnsiTheme="majorBidi" w:cstheme="majorBidi"/>
          <w:b/>
          <w:bCs/>
          <w:sz w:val="24"/>
          <w:szCs w:val="24"/>
          <w:lang w:val="en-GB"/>
        </w:rPr>
        <w:t xml:space="preserve"> </w:t>
      </w:r>
      <w:r w:rsidRPr="00BB2F8D">
        <w:rPr>
          <w:rStyle w:val="Heading5Char"/>
          <w:rFonts w:eastAsiaTheme="minorHAnsi"/>
        </w:rPr>
        <w:t>Preferential Trade Agreement (PTA</w:t>
      </w:r>
      <w:r w:rsidRPr="002551A7">
        <w:rPr>
          <w:rFonts w:asciiTheme="majorBidi" w:hAnsiTheme="majorBidi" w:cstheme="majorBidi"/>
          <w:b/>
          <w:bCs/>
          <w:sz w:val="24"/>
          <w:szCs w:val="24"/>
          <w:lang w:val="en-GB"/>
        </w:rPr>
        <w:t>)</w:t>
      </w:r>
    </w:p>
    <w:p w14:paraId="64296CAE" w14:textId="77777777" w:rsidR="00AC1791" w:rsidRPr="002551A7" w:rsidRDefault="00AC1791" w:rsidP="00413B73">
      <w:pPr>
        <w:numPr>
          <w:ilvl w:val="0"/>
          <w:numId w:val="67"/>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Algeria and Turkey have established a bilateral agreement that aims to enhance trade between the two countries. This agreement may provide tariff reductions or exemptions on specific categories of products. By taking advantage of this, Algerian exporters can often reduce the cost of bringing their goods into the Turkish market, making them more competitive.</w:t>
      </w:r>
    </w:p>
    <w:p w14:paraId="243B3531" w14:textId="5CED3E01" w:rsidR="00AC1791" w:rsidRPr="002551A7" w:rsidRDefault="00157732" w:rsidP="002551A7">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b/>
          <w:bCs/>
          <w:sz w:val="24"/>
          <w:szCs w:val="24"/>
          <w:lang w:val="en-GB"/>
        </w:rPr>
        <w:t>1.2.</w:t>
      </w:r>
      <w:r w:rsidR="00AC1791" w:rsidRPr="002551A7">
        <w:rPr>
          <w:rFonts w:asciiTheme="majorBidi" w:hAnsiTheme="majorBidi" w:cstheme="majorBidi"/>
          <w:b/>
          <w:bCs/>
          <w:sz w:val="24"/>
          <w:szCs w:val="24"/>
          <w:lang w:val="en-GB"/>
        </w:rPr>
        <w:t xml:space="preserve">2. </w:t>
      </w:r>
      <w:r w:rsidR="00AC1791" w:rsidRPr="00BB2F8D">
        <w:rPr>
          <w:rStyle w:val="Heading5Char"/>
          <w:rFonts w:eastAsiaTheme="minorHAnsi"/>
        </w:rPr>
        <w:t>A.TR Movement Certificate for Customs Benefit</w:t>
      </w:r>
      <w:r w:rsidR="00AC1791" w:rsidRPr="002551A7">
        <w:rPr>
          <w:rFonts w:asciiTheme="majorBidi" w:hAnsiTheme="majorBidi" w:cstheme="majorBidi"/>
          <w:b/>
          <w:bCs/>
          <w:sz w:val="24"/>
          <w:szCs w:val="24"/>
          <w:lang w:val="en-GB"/>
        </w:rPr>
        <w:t>s</w:t>
      </w:r>
    </w:p>
    <w:p w14:paraId="0E745472" w14:textId="77777777" w:rsidR="00AC1791" w:rsidRPr="002551A7" w:rsidRDefault="00AC1791" w:rsidP="00413B73">
      <w:pPr>
        <w:numPr>
          <w:ilvl w:val="0"/>
          <w:numId w:val="68"/>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Through Turkey’s customs union with the EU, an A.TR movement certificate allows products that meet specific requirements to enter Turkey with reduced or no customs duties. Algerian companies exporting to Turkey can often benefit from this if their products qualify, particularly when the goods are processed within the EU customs framework.</w:t>
      </w:r>
    </w:p>
    <w:p w14:paraId="1FD8635F" w14:textId="7D9B1C39" w:rsidR="00AC1791" w:rsidRPr="002551A7" w:rsidRDefault="00157732" w:rsidP="002551A7">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b/>
          <w:bCs/>
          <w:sz w:val="24"/>
          <w:szCs w:val="24"/>
        </w:rPr>
        <w:t>1.2.</w:t>
      </w:r>
      <w:r w:rsidR="00AC1791" w:rsidRPr="002551A7">
        <w:rPr>
          <w:rFonts w:asciiTheme="majorBidi" w:hAnsiTheme="majorBidi" w:cstheme="majorBidi"/>
          <w:b/>
          <w:bCs/>
          <w:sz w:val="24"/>
          <w:szCs w:val="24"/>
        </w:rPr>
        <w:t xml:space="preserve">3. </w:t>
      </w:r>
      <w:r w:rsidR="00AC1791" w:rsidRPr="00BB2F8D">
        <w:rPr>
          <w:rStyle w:val="Heading5Char"/>
          <w:rFonts w:eastAsiaTheme="minorHAnsi"/>
        </w:rPr>
        <w:t>Simplified Customs Procedure</w:t>
      </w:r>
      <w:r w:rsidR="00AC1791" w:rsidRPr="002551A7">
        <w:rPr>
          <w:rFonts w:asciiTheme="majorBidi" w:hAnsiTheme="majorBidi" w:cstheme="majorBidi"/>
          <w:b/>
          <w:bCs/>
          <w:sz w:val="24"/>
          <w:szCs w:val="24"/>
        </w:rPr>
        <w:t>s</w:t>
      </w:r>
    </w:p>
    <w:p w14:paraId="4B68F1B4" w14:textId="77777777" w:rsidR="00AC1791" w:rsidRPr="002551A7" w:rsidRDefault="00AC1791" w:rsidP="00413B73">
      <w:pPr>
        <w:numPr>
          <w:ilvl w:val="0"/>
          <w:numId w:val="69"/>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Turkish customs regulations allow certain simplified procedures for importers from countries with preferential trade arrangements. This can reduce the administrative burden on Algerian exporters, speeding up the import process and reducing delays at Turkish customs.</w:t>
      </w:r>
    </w:p>
    <w:p w14:paraId="140D5717" w14:textId="2B6D6BBB" w:rsidR="00AC1791" w:rsidRPr="002551A7" w:rsidRDefault="00157732" w:rsidP="002551A7">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b/>
          <w:bCs/>
          <w:sz w:val="24"/>
          <w:szCs w:val="24"/>
          <w:lang w:val="en-GB"/>
        </w:rPr>
        <w:t>1.2.</w:t>
      </w:r>
      <w:r w:rsidR="00AC1791" w:rsidRPr="002551A7">
        <w:rPr>
          <w:rFonts w:asciiTheme="majorBidi" w:hAnsiTheme="majorBidi" w:cstheme="majorBidi"/>
          <w:b/>
          <w:bCs/>
          <w:sz w:val="24"/>
          <w:szCs w:val="24"/>
          <w:lang w:val="en-GB"/>
        </w:rPr>
        <w:t xml:space="preserve">4. </w:t>
      </w:r>
      <w:r w:rsidR="00AC1791" w:rsidRPr="00BB2F8D">
        <w:rPr>
          <w:rStyle w:val="Heading5Char"/>
          <w:rFonts w:eastAsiaTheme="minorHAnsi"/>
        </w:rPr>
        <w:t>Access to Turkish Market Standard</w:t>
      </w:r>
      <w:r w:rsidR="00AC1791" w:rsidRPr="002551A7">
        <w:rPr>
          <w:rFonts w:asciiTheme="majorBidi" w:hAnsiTheme="majorBidi" w:cstheme="majorBidi"/>
          <w:b/>
          <w:bCs/>
          <w:sz w:val="24"/>
          <w:szCs w:val="24"/>
          <w:lang w:val="en-GB"/>
        </w:rPr>
        <w:t>s</w:t>
      </w:r>
    </w:p>
    <w:p w14:paraId="5ED2D8E2" w14:textId="77777777" w:rsidR="00AC1791" w:rsidRPr="002551A7" w:rsidRDefault="00AC1791" w:rsidP="00413B73">
      <w:pPr>
        <w:numPr>
          <w:ilvl w:val="0"/>
          <w:numId w:val="70"/>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Algeria and Turkey have been working on mutual recognition of standards and certifications, which can simplify the process for Algerian products to meet Turkish market requirements. While products must still adhere to Turkish standards, the recognition of some Algerian certifications could reduce duplication in testing or inspections.</w:t>
      </w:r>
    </w:p>
    <w:p w14:paraId="59D73389" w14:textId="6D878F83" w:rsidR="00AC1791" w:rsidRPr="002551A7" w:rsidRDefault="00157732" w:rsidP="002551A7">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b/>
          <w:bCs/>
          <w:sz w:val="24"/>
          <w:szCs w:val="24"/>
          <w:lang w:val="en-GB"/>
        </w:rPr>
        <w:t>1.2.</w:t>
      </w:r>
      <w:r w:rsidR="00AC1791" w:rsidRPr="002551A7">
        <w:rPr>
          <w:rFonts w:asciiTheme="majorBidi" w:hAnsiTheme="majorBidi" w:cstheme="majorBidi"/>
          <w:b/>
          <w:bCs/>
          <w:sz w:val="24"/>
          <w:szCs w:val="24"/>
          <w:lang w:val="en-GB"/>
        </w:rPr>
        <w:t xml:space="preserve">5. </w:t>
      </w:r>
      <w:r w:rsidR="00AC1791" w:rsidRPr="00BB2F8D">
        <w:rPr>
          <w:rStyle w:val="Heading5Char"/>
          <w:rFonts w:eastAsiaTheme="minorHAnsi"/>
        </w:rPr>
        <w:t>Turkish Investment in Algeria and Trade Tie</w:t>
      </w:r>
      <w:r w:rsidR="00AC1791" w:rsidRPr="002551A7">
        <w:rPr>
          <w:rFonts w:asciiTheme="majorBidi" w:hAnsiTheme="majorBidi" w:cstheme="majorBidi"/>
          <w:b/>
          <w:bCs/>
          <w:sz w:val="24"/>
          <w:szCs w:val="24"/>
          <w:lang w:val="en-GB"/>
        </w:rPr>
        <w:t>s</w:t>
      </w:r>
    </w:p>
    <w:p w14:paraId="2FE0FC04" w14:textId="77777777" w:rsidR="00AC1791" w:rsidRPr="002551A7" w:rsidRDefault="00AC1791" w:rsidP="00413B73">
      <w:pPr>
        <w:numPr>
          <w:ilvl w:val="0"/>
          <w:numId w:val="71"/>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Turkish investments in Algeria have created a favorable business climate and adapt closer trade ties, facilitating more straightforward export-import transactions. This relationship often encourages better access for Algerian goods in Turkey, supported by both countries’ trade ministries.</w:t>
      </w:r>
    </w:p>
    <w:p w14:paraId="6530F8D9" w14:textId="53DDB6F5" w:rsidR="00AC1791" w:rsidRPr="002551A7" w:rsidRDefault="00157732" w:rsidP="002551A7">
      <w:pPr>
        <w:spacing w:before="100" w:beforeAutospacing="1" w:after="100" w:afterAutospacing="1" w:line="360" w:lineRule="auto"/>
        <w:jc w:val="both"/>
        <w:rPr>
          <w:rFonts w:asciiTheme="majorBidi" w:hAnsiTheme="majorBidi" w:cstheme="majorBidi"/>
          <w:sz w:val="24"/>
          <w:szCs w:val="24"/>
          <w:lang w:val="en-GB"/>
        </w:rPr>
      </w:pPr>
      <w:r>
        <w:rPr>
          <w:rFonts w:asciiTheme="majorBidi" w:hAnsiTheme="majorBidi" w:cstheme="majorBidi"/>
          <w:b/>
          <w:bCs/>
          <w:sz w:val="24"/>
          <w:szCs w:val="24"/>
          <w:lang w:val="en-GB"/>
        </w:rPr>
        <w:t>1.2.</w:t>
      </w:r>
      <w:r w:rsidR="00AC1791" w:rsidRPr="002551A7">
        <w:rPr>
          <w:rFonts w:asciiTheme="majorBidi" w:hAnsiTheme="majorBidi" w:cstheme="majorBidi"/>
          <w:b/>
          <w:bCs/>
          <w:sz w:val="24"/>
          <w:szCs w:val="24"/>
          <w:lang w:val="en-GB"/>
        </w:rPr>
        <w:t xml:space="preserve">6. </w:t>
      </w:r>
      <w:r w:rsidR="00AC1791" w:rsidRPr="00BB2F8D">
        <w:rPr>
          <w:rStyle w:val="Heading5Char"/>
          <w:rFonts w:eastAsiaTheme="minorHAnsi"/>
        </w:rPr>
        <w:t>Trade Promotion and Networking Opportunitie</w:t>
      </w:r>
      <w:r w:rsidR="00AC1791" w:rsidRPr="002551A7">
        <w:rPr>
          <w:rFonts w:asciiTheme="majorBidi" w:hAnsiTheme="majorBidi" w:cstheme="majorBidi"/>
          <w:b/>
          <w:bCs/>
          <w:sz w:val="24"/>
          <w:szCs w:val="24"/>
          <w:lang w:val="en-GB"/>
        </w:rPr>
        <w:t>s</w:t>
      </w:r>
    </w:p>
    <w:p w14:paraId="5A14CB2A" w14:textId="17C1BD58" w:rsidR="00AC1791" w:rsidRPr="008F291C" w:rsidRDefault="00AC1791" w:rsidP="00413B73">
      <w:pPr>
        <w:pStyle w:val="Paragraphedeliste2"/>
        <w:numPr>
          <w:ilvl w:val="0"/>
          <w:numId w:val="72"/>
        </w:numPr>
        <w:spacing w:line="360" w:lineRule="auto"/>
        <w:jc w:val="both"/>
        <w:rPr>
          <w:rFonts w:asciiTheme="majorBidi" w:hAnsiTheme="majorBidi" w:cstheme="majorBidi"/>
          <w:lang w:val="en-GB"/>
        </w:rPr>
      </w:pPr>
      <w:r w:rsidRPr="002551A7">
        <w:rPr>
          <w:rFonts w:asciiTheme="majorBidi" w:hAnsiTheme="majorBidi" w:cstheme="majorBidi"/>
          <w:lang w:val="en-GB"/>
        </w:rPr>
        <w:t>Both countries periodically hold trade fairs, business forums, and networking events that encourage connections between Algerian exporters and Turkish buyers. Participation in these events can offer Algerian companies additional insights, partnerships, and guidance on accessing the Turkish market effectively.</w:t>
      </w:r>
    </w:p>
    <w:p w14:paraId="6AC2DEA0" w14:textId="28167A0D" w:rsidR="00AC1791" w:rsidRPr="00157732" w:rsidRDefault="00AC1791" w:rsidP="00157732">
      <w:pPr>
        <w:pStyle w:val="ListParagraph"/>
        <w:numPr>
          <w:ilvl w:val="1"/>
          <w:numId w:val="16"/>
        </w:numPr>
        <w:spacing w:before="100" w:beforeAutospacing="1" w:after="100" w:afterAutospacing="1" w:line="360" w:lineRule="auto"/>
        <w:jc w:val="both"/>
        <w:rPr>
          <w:rFonts w:asciiTheme="majorBidi" w:hAnsiTheme="majorBidi" w:cstheme="majorBidi"/>
          <w:b/>
          <w:bCs/>
          <w:sz w:val="24"/>
          <w:szCs w:val="24"/>
          <w:lang w:val="en-US"/>
        </w:rPr>
      </w:pPr>
      <w:bookmarkStart w:id="290" w:name="_Toc200720064"/>
      <w:bookmarkStart w:id="291" w:name="_Toc200721705"/>
      <w:r w:rsidRPr="00BB2F8D">
        <w:rPr>
          <w:rStyle w:val="Heading3Char"/>
        </w:rPr>
        <w:t>Macroeconomic analysis</w:t>
      </w:r>
      <w:bookmarkEnd w:id="290"/>
      <w:bookmarkEnd w:id="291"/>
      <w:r w:rsidRPr="00157732">
        <w:rPr>
          <w:rFonts w:asciiTheme="majorBidi" w:hAnsiTheme="majorBidi" w:cstheme="majorBidi"/>
          <w:b/>
          <w:bCs/>
          <w:sz w:val="24"/>
          <w:szCs w:val="24"/>
          <w:lang w:val="en-US"/>
        </w:rPr>
        <w:t>:</w:t>
      </w:r>
    </w:p>
    <w:p w14:paraId="50E38E32" w14:textId="00563E73" w:rsidR="00AC1791" w:rsidRPr="00157732" w:rsidRDefault="00AC1791" w:rsidP="00157732">
      <w:pPr>
        <w:pStyle w:val="ListParagraph"/>
        <w:numPr>
          <w:ilvl w:val="1"/>
          <w:numId w:val="39"/>
        </w:numPr>
        <w:spacing w:line="360" w:lineRule="auto"/>
        <w:jc w:val="both"/>
        <w:rPr>
          <w:rFonts w:asciiTheme="majorBidi" w:hAnsiTheme="majorBidi" w:cstheme="majorBidi"/>
          <w:b/>
          <w:bCs/>
          <w:sz w:val="24"/>
          <w:szCs w:val="24"/>
          <w:lang w:val="en-GB"/>
        </w:rPr>
      </w:pPr>
      <w:r w:rsidRPr="00157732">
        <w:rPr>
          <w:rFonts w:asciiTheme="majorBidi" w:hAnsiTheme="majorBidi" w:cstheme="majorBidi"/>
          <w:b/>
          <w:bCs/>
          <w:sz w:val="24"/>
          <w:szCs w:val="24"/>
          <w:lang w:val="en-GB"/>
        </w:rPr>
        <w:t xml:space="preserve"> </w:t>
      </w:r>
      <w:bookmarkStart w:id="292" w:name="_Toc200720065"/>
      <w:bookmarkStart w:id="293" w:name="_Toc200721706"/>
      <w:r w:rsidRPr="00BB2F8D">
        <w:rPr>
          <w:rStyle w:val="Heading4Char"/>
        </w:rPr>
        <w:t>PESTEL Analysi</w:t>
      </w:r>
      <w:bookmarkEnd w:id="292"/>
      <w:bookmarkEnd w:id="293"/>
      <w:r w:rsidRPr="00157732">
        <w:rPr>
          <w:rFonts w:asciiTheme="majorBidi" w:hAnsiTheme="majorBidi" w:cstheme="majorBidi"/>
          <w:b/>
          <w:bCs/>
          <w:sz w:val="24"/>
          <w:szCs w:val="24"/>
          <w:lang w:val="en-GB"/>
        </w:rPr>
        <w:t>s</w:t>
      </w:r>
    </w:p>
    <w:p w14:paraId="44D2E77C" w14:textId="77777777" w:rsidR="00AC1791" w:rsidRPr="002551A7" w:rsidRDefault="00AC1791" w:rsidP="002551A7">
      <w:pPr>
        <w:pStyle w:val="NormalWeb"/>
        <w:spacing w:line="360" w:lineRule="auto"/>
        <w:jc w:val="both"/>
        <w:rPr>
          <w:rFonts w:asciiTheme="majorBidi" w:hAnsiTheme="majorBidi" w:cstheme="majorBidi"/>
          <w:lang w:val="en-GB"/>
        </w:rPr>
      </w:pPr>
      <w:r w:rsidRPr="002551A7">
        <w:rPr>
          <w:rFonts w:asciiTheme="majorBidi" w:hAnsiTheme="majorBidi" w:cstheme="majorBidi"/>
          <w:lang w:val="en-GB"/>
        </w:rPr>
        <w:t xml:space="preserve">  To analyze the macro environment for local companie’s potential entry into the Turkish market, we can apply the PESTLE framework. This includes examining Political, Economic, Social, Technological, Legal, and Environmental factors. Here’s how these elements may impact the strategy and whether they can assist in capturing market share in Turkey.</w:t>
      </w:r>
    </w:p>
    <w:p w14:paraId="6A075949" w14:textId="7A574302" w:rsidR="00AC1791" w:rsidRPr="002551A7" w:rsidRDefault="004A454C" w:rsidP="002551A7">
      <w:pPr>
        <w:pStyle w:val="NormalWeb"/>
        <w:spacing w:line="360" w:lineRule="auto"/>
        <w:jc w:val="both"/>
        <w:rPr>
          <w:rFonts w:asciiTheme="majorBidi" w:hAnsiTheme="majorBidi" w:cstheme="majorBidi"/>
        </w:rPr>
      </w:pPr>
      <w:r>
        <w:rPr>
          <w:rFonts w:asciiTheme="majorBidi" w:hAnsiTheme="majorBidi" w:cstheme="majorBidi"/>
          <w:b/>
          <w:bCs/>
        </w:rPr>
        <w:t>2.</w:t>
      </w:r>
      <w:r w:rsidR="00AC1791" w:rsidRPr="002551A7">
        <w:rPr>
          <w:rFonts w:asciiTheme="majorBidi" w:hAnsiTheme="majorBidi" w:cstheme="majorBidi"/>
          <w:b/>
          <w:bCs/>
        </w:rPr>
        <w:t>1.</w:t>
      </w:r>
      <w:r w:rsidR="00157732">
        <w:rPr>
          <w:rFonts w:asciiTheme="majorBidi" w:hAnsiTheme="majorBidi" w:cstheme="majorBidi"/>
          <w:b/>
          <w:bCs/>
        </w:rPr>
        <w:t>1.</w:t>
      </w:r>
      <w:r w:rsidR="00AC1791" w:rsidRPr="002551A7">
        <w:rPr>
          <w:rFonts w:asciiTheme="majorBidi" w:hAnsiTheme="majorBidi" w:cstheme="majorBidi"/>
          <w:b/>
          <w:bCs/>
        </w:rPr>
        <w:t xml:space="preserve"> </w:t>
      </w:r>
      <w:r w:rsidR="00AC1791" w:rsidRPr="00BB2F8D">
        <w:rPr>
          <w:rStyle w:val="Heading5Char"/>
        </w:rPr>
        <w:t>Political Factor</w:t>
      </w:r>
      <w:r w:rsidR="00AC1791" w:rsidRPr="002551A7">
        <w:rPr>
          <w:rFonts w:asciiTheme="majorBidi" w:hAnsiTheme="majorBidi" w:cstheme="majorBidi"/>
          <w:b/>
          <w:bCs/>
        </w:rPr>
        <w:t>s</w:t>
      </w:r>
    </w:p>
    <w:p w14:paraId="36F92C2C" w14:textId="77777777" w:rsidR="00AC1791" w:rsidRPr="002551A7" w:rsidRDefault="00AC1791" w:rsidP="00413B73">
      <w:pPr>
        <w:numPr>
          <w:ilvl w:val="0"/>
          <w:numId w:val="73"/>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Trade Relations</w:t>
      </w:r>
      <w:r w:rsidRPr="002551A7">
        <w:rPr>
          <w:rFonts w:asciiTheme="majorBidi" w:hAnsiTheme="majorBidi" w:cstheme="majorBidi"/>
          <w:sz w:val="24"/>
          <w:szCs w:val="24"/>
          <w:lang w:val="en-GB"/>
        </w:rPr>
        <w:t>: Algeria and Turkey have friendly trade relations, with a recent history of strengthening bilateral trade agreements. This provides PRODERMA with a favorable political climate for entry, including potentially smoother trade processes.</w:t>
      </w:r>
    </w:p>
    <w:p w14:paraId="102067FB" w14:textId="77777777" w:rsidR="00AC1791" w:rsidRPr="002551A7" w:rsidRDefault="00AC1791" w:rsidP="00413B73">
      <w:pPr>
        <w:numPr>
          <w:ilvl w:val="0"/>
          <w:numId w:val="73"/>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Consumer Boycotts</w:t>
      </w:r>
      <w:r w:rsidRPr="002551A7">
        <w:rPr>
          <w:rFonts w:asciiTheme="majorBidi" w:hAnsiTheme="majorBidi" w:cstheme="majorBidi"/>
          <w:sz w:val="24"/>
          <w:szCs w:val="24"/>
          <w:lang w:val="en-GB"/>
        </w:rPr>
        <w:t>: Boycotts of certain European brands may offer PRODERMA a unique opportunity to position itself as a trusted alternative, benefiting from the political sentiment favoring local or regionally aligned brands over European ones.</w:t>
      </w:r>
    </w:p>
    <w:p w14:paraId="4641D369" w14:textId="77777777"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This political landscape is likely favorable for PRODERMA’s entry into Turkey, offering reduced resistance and even a positive reception if positioned well.</w:t>
      </w:r>
    </w:p>
    <w:p w14:paraId="66584B11" w14:textId="5E480A3A" w:rsidR="00AC1791" w:rsidRPr="002551A7" w:rsidRDefault="004A454C" w:rsidP="002551A7">
      <w:pPr>
        <w:spacing w:line="360" w:lineRule="auto"/>
        <w:jc w:val="both"/>
        <w:rPr>
          <w:rFonts w:asciiTheme="majorBidi" w:hAnsiTheme="majorBidi" w:cstheme="majorBidi"/>
          <w:sz w:val="24"/>
          <w:szCs w:val="24"/>
          <w:lang w:val="en-GB"/>
        </w:rPr>
      </w:pPr>
      <w:r>
        <w:rPr>
          <w:rFonts w:asciiTheme="majorBidi" w:hAnsiTheme="majorBidi" w:cstheme="majorBidi"/>
          <w:b/>
          <w:bCs/>
          <w:sz w:val="24"/>
          <w:szCs w:val="24"/>
        </w:rPr>
        <w:t>2.</w:t>
      </w:r>
      <w:r w:rsidR="00157732">
        <w:rPr>
          <w:rFonts w:asciiTheme="majorBidi" w:hAnsiTheme="majorBidi" w:cstheme="majorBidi"/>
          <w:b/>
          <w:bCs/>
          <w:sz w:val="24"/>
          <w:szCs w:val="24"/>
        </w:rPr>
        <w:t>1.</w:t>
      </w:r>
      <w:r w:rsidR="00AC1791" w:rsidRPr="002551A7">
        <w:rPr>
          <w:rFonts w:asciiTheme="majorBidi" w:hAnsiTheme="majorBidi" w:cstheme="majorBidi"/>
          <w:b/>
          <w:bCs/>
          <w:sz w:val="24"/>
          <w:szCs w:val="24"/>
        </w:rPr>
        <w:t xml:space="preserve">2. </w:t>
      </w:r>
      <w:r w:rsidR="00AC1791" w:rsidRPr="00BB2F8D">
        <w:rPr>
          <w:rStyle w:val="Heading5Char"/>
          <w:rFonts w:eastAsiaTheme="minorHAnsi"/>
        </w:rPr>
        <w:t>Economic Factor</w:t>
      </w:r>
      <w:r w:rsidR="00AC1791" w:rsidRPr="002551A7">
        <w:rPr>
          <w:rFonts w:asciiTheme="majorBidi" w:hAnsiTheme="majorBidi" w:cstheme="majorBidi"/>
          <w:b/>
          <w:bCs/>
          <w:sz w:val="24"/>
          <w:szCs w:val="24"/>
        </w:rPr>
        <w:t>s</w:t>
      </w:r>
    </w:p>
    <w:p w14:paraId="6444C8E7" w14:textId="77777777" w:rsidR="00AC1791" w:rsidRPr="002551A7" w:rsidRDefault="00AC1791" w:rsidP="00413B73">
      <w:pPr>
        <w:numPr>
          <w:ilvl w:val="0"/>
          <w:numId w:val="74"/>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Market Demand and Affordability</w:t>
      </w:r>
      <w:r w:rsidRPr="002551A7">
        <w:rPr>
          <w:rFonts w:asciiTheme="majorBidi" w:hAnsiTheme="majorBidi" w:cstheme="majorBidi"/>
          <w:sz w:val="24"/>
          <w:szCs w:val="24"/>
          <w:lang w:val="en-GB"/>
        </w:rPr>
        <w:t>: Turkey has a large consumer base with a significant demand for affordable food products. Economic constraints for many consumers mean that cost-effective alternatives to high-priced brands are attractive, and PRODERMA can meet this demand with competitive pricing.</w:t>
      </w:r>
    </w:p>
    <w:p w14:paraId="3DDC3E2E" w14:textId="77777777" w:rsidR="00AC1791" w:rsidRPr="002551A7" w:rsidRDefault="00AC1791" w:rsidP="00413B73">
      <w:pPr>
        <w:numPr>
          <w:ilvl w:val="0"/>
          <w:numId w:val="74"/>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Currency Fluctuations</w:t>
      </w:r>
      <w:r w:rsidRPr="002551A7">
        <w:rPr>
          <w:rFonts w:asciiTheme="majorBidi" w:hAnsiTheme="majorBidi" w:cstheme="majorBidi"/>
          <w:sz w:val="24"/>
          <w:szCs w:val="24"/>
          <w:lang w:val="en-GB"/>
        </w:rPr>
        <w:t>: The Turkish lira has faced volatility, which could impact purchasing power and operational costs. This volatility may necessitate strategic pricing or hedging measures to maintain profitability.</w:t>
      </w:r>
    </w:p>
    <w:p w14:paraId="454A32A4" w14:textId="77777777"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While currency stability is a challenge, there is a strong economic incentive for Turkish consumers to purchase affordable alternatives, which PRODERMA can leverage.</w:t>
      </w:r>
    </w:p>
    <w:p w14:paraId="4A85A5CE" w14:textId="521D1083" w:rsidR="00AC1791" w:rsidRPr="002551A7" w:rsidRDefault="004A454C" w:rsidP="002551A7">
      <w:pPr>
        <w:spacing w:line="360" w:lineRule="auto"/>
        <w:jc w:val="both"/>
        <w:rPr>
          <w:rFonts w:asciiTheme="majorBidi" w:hAnsiTheme="majorBidi" w:cstheme="majorBidi"/>
          <w:sz w:val="24"/>
          <w:szCs w:val="24"/>
          <w:lang w:val="en-GB"/>
        </w:rPr>
      </w:pPr>
      <w:r>
        <w:rPr>
          <w:rFonts w:asciiTheme="majorBidi" w:hAnsiTheme="majorBidi" w:cstheme="majorBidi"/>
          <w:b/>
          <w:bCs/>
          <w:sz w:val="24"/>
          <w:szCs w:val="24"/>
        </w:rPr>
        <w:t>2.</w:t>
      </w:r>
      <w:r w:rsidR="00157732">
        <w:rPr>
          <w:rFonts w:asciiTheme="majorBidi" w:hAnsiTheme="majorBidi" w:cstheme="majorBidi"/>
          <w:b/>
          <w:bCs/>
          <w:sz w:val="24"/>
          <w:szCs w:val="24"/>
        </w:rPr>
        <w:t>1.</w:t>
      </w:r>
      <w:r w:rsidR="00AC1791" w:rsidRPr="002551A7">
        <w:rPr>
          <w:rFonts w:asciiTheme="majorBidi" w:hAnsiTheme="majorBidi" w:cstheme="majorBidi"/>
          <w:b/>
          <w:bCs/>
          <w:sz w:val="24"/>
          <w:szCs w:val="24"/>
        </w:rPr>
        <w:t xml:space="preserve">3. </w:t>
      </w:r>
      <w:r w:rsidR="00AC1791" w:rsidRPr="00BB2F8D">
        <w:rPr>
          <w:rStyle w:val="Heading5Char"/>
          <w:rFonts w:eastAsiaTheme="minorHAnsi"/>
        </w:rPr>
        <w:t>Social Factor</w:t>
      </w:r>
      <w:r w:rsidR="00AC1791" w:rsidRPr="002551A7">
        <w:rPr>
          <w:rFonts w:asciiTheme="majorBidi" w:hAnsiTheme="majorBidi" w:cstheme="majorBidi"/>
          <w:b/>
          <w:bCs/>
          <w:sz w:val="24"/>
          <w:szCs w:val="24"/>
        </w:rPr>
        <w:t>s</w:t>
      </w:r>
    </w:p>
    <w:p w14:paraId="04369CB7" w14:textId="77777777" w:rsidR="00AC1791" w:rsidRPr="002551A7" w:rsidRDefault="00AC1791" w:rsidP="00413B73">
      <w:pPr>
        <w:numPr>
          <w:ilvl w:val="0"/>
          <w:numId w:val="75"/>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Consumer Preferences</w:t>
      </w:r>
      <w:r w:rsidRPr="002551A7">
        <w:rPr>
          <w:rFonts w:asciiTheme="majorBidi" w:hAnsiTheme="majorBidi" w:cstheme="majorBidi"/>
          <w:sz w:val="24"/>
          <w:szCs w:val="24"/>
          <w:lang w:val="en-GB"/>
        </w:rPr>
        <w:t>: Turkish consumers place value on familiar, high-quality products and are increasingly aware of ethical and cultural alignment in their purchasing choices. Products that reflect local tastes or emphasize Middle Eastern ties can hold additional appeal.</w:t>
      </w:r>
    </w:p>
    <w:p w14:paraId="3E26D9E5" w14:textId="77777777" w:rsidR="00AC1791" w:rsidRPr="002551A7" w:rsidRDefault="00AC1791" w:rsidP="00413B73">
      <w:pPr>
        <w:numPr>
          <w:ilvl w:val="0"/>
          <w:numId w:val="75"/>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Shift to Local and Regional Brands</w:t>
      </w:r>
      <w:r w:rsidRPr="002551A7">
        <w:rPr>
          <w:rFonts w:asciiTheme="majorBidi" w:hAnsiTheme="majorBidi" w:cstheme="majorBidi"/>
          <w:sz w:val="24"/>
          <w:szCs w:val="24"/>
          <w:lang w:val="en-GB"/>
        </w:rPr>
        <w:t xml:space="preserve">: Due to both boycotts and a desire to support </w:t>
      </w:r>
      <w:r w:rsidRPr="002551A7">
        <w:rPr>
          <w:rFonts w:asciiTheme="majorBidi" w:eastAsia="Aptos" w:hAnsiTheme="majorBidi" w:cstheme="majorBidi"/>
          <w:sz w:val="24"/>
          <w:szCs w:val="24"/>
          <w:lang w:val="en-GB"/>
        </w:rPr>
        <w:t>ethically aligned products that share the values of Turkish consumers</w:t>
      </w:r>
      <w:r w:rsidRPr="002551A7">
        <w:rPr>
          <w:rFonts w:asciiTheme="majorBidi" w:hAnsiTheme="majorBidi" w:cstheme="majorBidi"/>
          <w:sz w:val="24"/>
          <w:szCs w:val="24"/>
          <w:lang w:val="en-GB"/>
        </w:rPr>
        <w:t>, Turkish consumers may be more willing to try PRODERMA products over European brands, if they meet expectations for quality and taste.</w:t>
      </w:r>
    </w:p>
    <w:p w14:paraId="7381EF9E" w14:textId="77777777"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Social dynamics are highly favorable, as Turkish consumers are already inclined towards ethically aligned products, aligning well with PRODERMA’s offerings.</w:t>
      </w:r>
    </w:p>
    <w:p w14:paraId="5AD280E6" w14:textId="24801BA3" w:rsidR="00AC1791" w:rsidRPr="002551A7" w:rsidRDefault="004A454C" w:rsidP="002551A7">
      <w:pPr>
        <w:spacing w:line="360" w:lineRule="auto"/>
        <w:jc w:val="both"/>
        <w:rPr>
          <w:rFonts w:asciiTheme="majorBidi" w:hAnsiTheme="majorBidi" w:cstheme="majorBidi"/>
          <w:sz w:val="24"/>
          <w:szCs w:val="24"/>
          <w:lang w:val="en-GB"/>
        </w:rPr>
      </w:pPr>
      <w:r>
        <w:rPr>
          <w:rFonts w:asciiTheme="majorBidi" w:hAnsiTheme="majorBidi" w:cstheme="majorBidi"/>
          <w:b/>
          <w:bCs/>
          <w:sz w:val="24"/>
          <w:szCs w:val="24"/>
        </w:rPr>
        <w:t>2.</w:t>
      </w:r>
      <w:r w:rsidR="00157732">
        <w:rPr>
          <w:rFonts w:asciiTheme="majorBidi" w:hAnsiTheme="majorBidi" w:cstheme="majorBidi"/>
          <w:b/>
          <w:bCs/>
          <w:sz w:val="24"/>
          <w:szCs w:val="24"/>
        </w:rPr>
        <w:t>1.</w:t>
      </w:r>
      <w:r w:rsidR="00AC1791" w:rsidRPr="002551A7">
        <w:rPr>
          <w:rFonts w:asciiTheme="majorBidi" w:hAnsiTheme="majorBidi" w:cstheme="majorBidi"/>
          <w:b/>
          <w:bCs/>
          <w:sz w:val="24"/>
          <w:szCs w:val="24"/>
        </w:rPr>
        <w:t xml:space="preserve">4. </w:t>
      </w:r>
      <w:r w:rsidR="00AC1791" w:rsidRPr="00BB2F8D">
        <w:rPr>
          <w:rStyle w:val="Heading5Char"/>
          <w:rFonts w:eastAsiaTheme="minorHAnsi"/>
        </w:rPr>
        <w:t>Technological Factor</w:t>
      </w:r>
      <w:r w:rsidR="00AC1791" w:rsidRPr="002551A7">
        <w:rPr>
          <w:rFonts w:asciiTheme="majorBidi" w:hAnsiTheme="majorBidi" w:cstheme="majorBidi"/>
          <w:b/>
          <w:bCs/>
          <w:sz w:val="24"/>
          <w:szCs w:val="24"/>
        </w:rPr>
        <w:t>s</w:t>
      </w:r>
    </w:p>
    <w:p w14:paraId="58A7E52C" w14:textId="77777777" w:rsidR="00AC1791" w:rsidRPr="002551A7" w:rsidRDefault="00AC1791" w:rsidP="00413B73">
      <w:pPr>
        <w:numPr>
          <w:ilvl w:val="0"/>
          <w:numId w:val="76"/>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Logistics and Distribution Channels</w:t>
      </w:r>
      <w:r w:rsidRPr="002551A7">
        <w:rPr>
          <w:rFonts w:asciiTheme="majorBidi" w:hAnsiTheme="majorBidi" w:cstheme="majorBidi"/>
          <w:sz w:val="24"/>
          <w:szCs w:val="24"/>
          <w:lang w:val="en-GB"/>
        </w:rPr>
        <w:t>: Turkey has a robust logistics and retail infrastructure, making it easier for PRODERMA to distribute products effectively across the country. Digital marketing channels are also popular, allowing PRODERMA to reach target consumers more directly.</w:t>
      </w:r>
    </w:p>
    <w:p w14:paraId="3C0FBF39" w14:textId="77777777" w:rsidR="00AC1791" w:rsidRPr="002551A7" w:rsidRDefault="00AC1791" w:rsidP="00413B73">
      <w:pPr>
        <w:numPr>
          <w:ilvl w:val="0"/>
          <w:numId w:val="76"/>
        </w:numPr>
        <w:spacing w:before="100" w:beforeAutospacing="1" w:after="100" w:afterAutospacing="1" w:line="360" w:lineRule="auto"/>
        <w:jc w:val="both"/>
        <w:rPr>
          <w:rFonts w:asciiTheme="majorBidi" w:hAnsiTheme="majorBidi" w:cstheme="majorBidi"/>
          <w:sz w:val="24"/>
          <w:szCs w:val="24"/>
        </w:rPr>
      </w:pPr>
      <w:r w:rsidRPr="002551A7">
        <w:rPr>
          <w:rFonts w:asciiTheme="majorBidi" w:hAnsiTheme="majorBidi" w:cstheme="majorBidi"/>
          <w:b/>
          <w:bCs/>
          <w:sz w:val="24"/>
          <w:szCs w:val="24"/>
          <w:lang w:val="en-GB"/>
        </w:rPr>
        <w:t>Production Standards</w:t>
      </w:r>
      <w:r w:rsidRPr="002551A7">
        <w:rPr>
          <w:rFonts w:asciiTheme="majorBidi" w:hAnsiTheme="majorBidi" w:cstheme="majorBidi"/>
          <w:sz w:val="24"/>
          <w:szCs w:val="24"/>
          <w:lang w:val="en-GB"/>
        </w:rPr>
        <w:t xml:space="preserve">: Turkish consumers appreciate high production standards and may prefer products that showcase quality and adherence to food safety norms. </w:t>
      </w:r>
      <w:r w:rsidRPr="002551A7">
        <w:rPr>
          <w:rFonts w:asciiTheme="majorBidi" w:hAnsiTheme="majorBidi" w:cstheme="majorBidi"/>
          <w:sz w:val="24"/>
          <w:szCs w:val="24"/>
        </w:rPr>
        <w:t>Ensuring that PRODERMA’s production meets Turkish standards is critical.</w:t>
      </w:r>
    </w:p>
    <w:p w14:paraId="4327B94F" w14:textId="77777777"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Technological infrastructure in Turkey can support PRODERMA’s market entry, particularly through logistics and digital marketing, though adherence to food safety norms is essential.</w:t>
      </w:r>
    </w:p>
    <w:p w14:paraId="65FCF01A" w14:textId="5E7D4D3A" w:rsidR="00AC1791" w:rsidRPr="002551A7" w:rsidRDefault="004A454C" w:rsidP="002551A7">
      <w:pPr>
        <w:spacing w:line="360" w:lineRule="auto"/>
        <w:jc w:val="both"/>
        <w:rPr>
          <w:rFonts w:asciiTheme="majorBidi" w:hAnsiTheme="majorBidi" w:cstheme="majorBidi"/>
          <w:sz w:val="24"/>
          <w:szCs w:val="24"/>
          <w:lang w:val="en-GB"/>
        </w:rPr>
      </w:pPr>
      <w:r>
        <w:rPr>
          <w:rFonts w:asciiTheme="majorBidi" w:hAnsiTheme="majorBidi" w:cstheme="majorBidi"/>
          <w:b/>
          <w:bCs/>
          <w:sz w:val="24"/>
          <w:szCs w:val="24"/>
        </w:rPr>
        <w:t>2.</w:t>
      </w:r>
      <w:r w:rsidR="00157732">
        <w:rPr>
          <w:rFonts w:asciiTheme="majorBidi" w:hAnsiTheme="majorBidi" w:cstheme="majorBidi"/>
          <w:b/>
          <w:bCs/>
          <w:sz w:val="24"/>
          <w:szCs w:val="24"/>
        </w:rPr>
        <w:t>1.</w:t>
      </w:r>
      <w:r w:rsidR="00AC1791" w:rsidRPr="002551A7">
        <w:rPr>
          <w:rFonts w:asciiTheme="majorBidi" w:hAnsiTheme="majorBidi" w:cstheme="majorBidi"/>
          <w:b/>
          <w:bCs/>
          <w:sz w:val="24"/>
          <w:szCs w:val="24"/>
        </w:rPr>
        <w:t xml:space="preserve">5. </w:t>
      </w:r>
      <w:r w:rsidR="00AC1791" w:rsidRPr="00BB2F8D">
        <w:rPr>
          <w:rStyle w:val="Heading5Char"/>
          <w:rFonts w:eastAsiaTheme="minorHAnsi"/>
        </w:rPr>
        <w:t>Legal Factor</w:t>
      </w:r>
      <w:r w:rsidR="00AC1791" w:rsidRPr="002551A7">
        <w:rPr>
          <w:rFonts w:asciiTheme="majorBidi" w:hAnsiTheme="majorBidi" w:cstheme="majorBidi"/>
          <w:b/>
          <w:bCs/>
          <w:sz w:val="24"/>
          <w:szCs w:val="24"/>
        </w:rPr>
        <w:t>s</w:t>
      </w:r>
    </w:p>
    <w:p w14:paraId="3393FE92" w14:textId="77777777" w:rsidR="00AC1791" w:rsidRPr="002551A7" w:rsidRDefault="00AC1791" w:rsidP="00413B73">
      <w:pPr>
        <w:numPr>
          <w:ilvl w:val="0"/>
          <w:numId w:val="77"/>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Regulatory Compliance</w:t>
      </w:r>
      <w:r w:rsidRPr="002551A7">
        <w:rPr>
          <w:rFonts w:asciiTheme="majorBidi" w:hAnsiTheme="majorBidi" w:cstheme="majorBidi"/>
          <w:sz w:val="24"/>
          <w:szCs w:val="24"/>
          <w:lang w:val="en-GB"/>
        </w:rPr>
        <w:t>: Turkey has specific import regulations, including tariffs, labeling, and cosmetic safety requirements. PRODERMA must ensure full compliance to avoid delays or rejections at customs.</w:t>
      </w:r>
    </w:p>
    <w:p w14:paraId="4F99FACF" w14:textId="77777777" w:rsidR="00AC1791" w:rsidRPr="002551A7" w:rsidRDefault="00AC1791" w:rsidP="00413B73">
      <w:pPr>
        <w:numPr>
          <w:ilvl w:val="0"/>
          <w:numId w:val="77"/>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Intellectual Property and Branding</w:t>
      </w:r>
      <w:r w:rsidRPr="002551A7">
        <w:rPr>
          <w:rFonts w:asciiTheme="majorBidi" w:hAnsiTheme="majorBidi" w:cstheme="majorBidi"/>
          <w:sz w:val="24"/>
          <w:szCs w:val="24"/>
          <w:lang w:val="en-GB"/>
        </w:rPr>
        <w:t>: Ensuring that PRODERMA’s branding and intellectual property rights are protected in Turkey is essential to prevent counterfeits or brand confusion.</w:t>
      </w:r>
    </w:p>
    <w:p w14:paraId="6137B3E2" w14:textId="77777777"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Compliance is critical but manageable with the right legal guidance and adherence to Turkish import regulations.</w:t>
      </w:r>
    </w:p>
    <w:p w14:paraId="30FCD964" w14:textId="4B5740B1" w:rsidR="00AC1791" w:rsidRPr="002551A7" w:rsidRDefault="004A454C" w:rsidP="002551A7">
      <w:pPr>
        <w:spacing w:line="360" w:lineRule="auto"/>
        <w:jc w:val="both"/>
        <w:rPr>
          <w:rFonts w:asciiTheme="majorBidi" w:hAnsiTheme="majorBidi" w:cstheme="majorBidi"/>
          <w:sz w:val="24"/>
          <w:szCs w:val="24"/>
          <w:lang w:val="en-GB"/>
        </w:rPr>
      </w:pPr>
      <w:r>
        <w:rPr>
          <w:rFonts w:asciiTheme="majorBidi" w:hAnsiTheme="majorBidi" w:cstheme="majorBidi"/>
          <w:b/>
          <w:bCs/>
          <w:sz w:val="24"/>
          <w:szCs w:val="24"/>
        </w:rPr>
        <w:t>2.</w:t>
      </w:r>
      <w:r w:rsidR="00157732">
        <w:rPr>
          <w:rFonts w:asciiTheme="majorBidi" w:hAnsiTheme="majorBidi" w:cstheme="majorBidi"/>
          <w:b/>
          <w:bCs/>
          <w:sz w:val="24"/>
          <w:szCs w:val="24"/>
        </w:rPr>
        <w:t>1.</w:t>
      </w:r>
      <w:r w:rsidR="00AC1791" w:rsidRPr="002551A7">
        <w:rPr>
          <w:rFonts w:asciiTheme="majorBidi" w:hAnsiTheme="majorBidi" w:cstheme="majorBidi"/>
          <w:b/>
          <w:bCs/>
          <w:sz w:val="24"/>
          <w:szCs w:val="24"/>
        </w:rPr>
        <w:t xml:space="preserve">6. </w:t>
      </w:r>
      <w:r w:rsidR="00AC1791" w:rsidRPr="00BB2F8D">
        <w:rPr>
          <w:rStyle w:val="Heading5Char"/>
          <w:rFonts w:eastAsiaTheme="minorHAnsi"/>
        </w:rPr>
        <w:t>Environmental Factor</w:t>
      </w:r>
      <w:r w:rsidR="00AC1791" w:rsidRPr="002551A7">
        <w:rPr>
          <w:rFonts w:asciiTheme="majorBidi" w:hAnsiTheme="majorBidi" w:cstheme="majorBidi"/>
          <w:b/>
          <w:bCs/>
          <w:sz w:val="24"/>
          <w:szCs w:val="24"/>
        </w:rPr>
        <w:t>s</w:t>
      </w:r>
    </w:p>
    <w:p w14:paraId="6F2CA791" w14:textId="77777777" w:rsidR="00AC1791" w:rsidRPr="002551A7" w:rsidRDefault="00AC1791" w:rsidP="00413B73">
      <w:pPr>
        <w:numPr>
          <w:ilvl w:val="0"/>
          <w:numId w:val="78"/>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Sustainability Trends</w:t>
      </w:r>
      <w:r w:rsidRPr="002551A7">
        <w:rPr>
          <w:rFonts w:asciiTheme="majorBidi" w:hAnsiTheme="majorBidi" w:cstheme="majorBidi"/>
          <w:sz w:val="24"/>
          <w:szCs w:val="24"/>
          <w:lang w:val="en-GB"/>
        </w:rPr>
        <w:t>: Turkish consumers, like many globally, are increasingly interested in environmentally-friendly and sustainably-produced products. Highlighting sustainable sourcing or production practices could strengthen PRODERMA’s appeal.</w:t>
      </w:r>
    </w:p>
    <w:p w14:paraId="1F256881" w14:textId="77777777" w:rsidR="00AC1791" w:rsidRPr="002551A7" w:rsidRDefault="00AC1791" w:rsidP="00413B73">
      <w:pPr>
        <w:numPr>
          <w:ilvl w:val="0"/>
          <w:numId w:val="78"/>
        </w:numPr>
        <w:spacing w:before="100" w:beforeAutospacing="1" w:after="100" w:afterAutospacing="1"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Local Production</w:t>
      </w:r>
      <w:r w:rsidRPr="002551A7">
        <w:rPr>
          <w:rFonts w:asciiTheme="majorBidi" w:hAnsiTheme="majorBidi" w:cstheme="majorBidi"/>
          <w:sz w:val="24"/>
          <w:szCs w:val="24"/>
          <w:lang w:val="en-GB"/>
        </w:rPr>
        <w:t>: Given transportation’s environmental impact, exploring partial production in Turkey could further reinforce PRODERMA’s commitment to sustainability and help reduce costs associated with importation.</w:t>
      </w:r>
    </w:p>
    <w:p w14:paraId="19A4A8E1" w14:textId="5CD91B2B" w:rsidR="004B4B0F" w:rsidRPr="00B9465F" w:rsidRDefault="00AC1791" w:rsidP="00B9465F">
      <w:pPr>
        <w:spacing w:line="360" w:lineRule="auto"/>
        <w:jc w:val="both"/>
        <w:rPr>
          <w:rFonts w:asciiTheme="majorBidi" w:hAnsiTheme="majorBidi" w:cstheme="majorBidi"/>
          <w:sz w:val="24"/>
          <w:szCs w:val="24"/>
          <w:lang w:val="en-GB"/>
        </w:rPr>
      </w:pP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 xml:space="preserve"> Emphasizing environmental responsibility can enhance PRODERMA’s appeal, aligning with the growing demand for eco-friendly products.</w:t>
      </w:r>
    </w:p>
    <w:p w14:paraId="3EF699EB" w14:textId="613A6E41" w:rsidR="00AC1791" w:rsidRPr="002551A7" w:rsidRDefault="00AC1791" w:rsidP="002551A7">
      <w:pPr>
        <w:spacing w:line="360" w:lineRule="auto"/>
        <w:jc w:val="center"/>
        <w:rPr>
          <w:rFonts w:asciiTheme="majorBidi" w:hAnsiTheme="majorBidi" w:cstheme="majorBidi"/>
          <w:sz w:val="24"/>
          <w:szCs w:val="24"/>
          <w:lang w:val="en-GB"/>
        </w:rPr>
      </w:pPr>
      <w:r w:rsidRPr="002551A7">
        <w:rPr>
          <w:rFonts w:asciiTheme="majorBidi" w:hAnsiTheme="majorBidi" w:cstheme="majorBidi"/>
          <w:b/>
          <w:bCs/>
          <w:sz w:val="24"/>
          <w:szCs w:val="24"/>
          <w:lang w:val="en-GB"/>
        </w:rPr>
        <w:t>Figure 13:</w:t>
      </w:r>
      <w:r w:rsidRPr="002551A7">
        <w:rPr>
          <w:rFonts w:asciiTheme="majorBidi" w:hAnsiTheme="majorBidi" w:cstheme="majorBidi"/>
          <w:sz w:val="24"/>
          <w:szCs w:val="24"/>
          <w:lang w:val="en-GB"/>
        </w:rPr>
        <w:t xml:space="preserve"> Macro model</w:t>
      </w:r>
    </w:p>
    <w:p w14:paraId="157B9AD3" w14:textId="77777777" w:rsidR="00AC1791" w:rsidRPr="002551A7" w:rsidRDefault="00AC1791" w:rsidP="002551A7">
      <w:pPr>
        <w:spacing w:line="360" w:lineRule="auto"/>
        <w:jc w:val="center"/>
        <w:rPr>
          <w:rFonts w:asciiTheme="majorBidi" w:hAnsiTheme="majorBidi" w:cstheme="majorBidi"/>
          <w:sz w:val="24"/>
          <w:szCs w:val="24"/>
          <w:lang w:val="en-GB"/>
        </w:rPr>
      </w:pPr>
      <w:r w:rsidRPr="002551A7">
        <w:rPr>
          <w:rFonts w:asciiTheme="majorBidi" w:hAnsiTheme="majorBidi" w:cstheme="majorBidi"/>
          <w:noProof/>
          <w:sz w:val="24"/>
          <w:szCs w:val="24"/>
          <w:lang w:val="en-GB"/>
        </w:rPr>
        <w:drawing>
          <wp:inline distT="0" distB="0" distL="0" distR="0" wp14:anchorId="4937606C" wp14:editId="6C7ADE95">
            <wp:extent cx="3035456" cy="2502029"/>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1">
                      <a:extLst>
                        <a:ext uri="{28A0092B-C50C-407E-A947-70E740481C1C}">
                          <a14:useLocalDpi xmlns:a14="http://schemas.microsoft.com/office/drawing/2010/main" val="0"/>
                        </a:ext>
                      </a:extLst>
                    </a:blip>
                    <a:stretch>
                      <a:fillRect/>
                    </a:stretch>
                  </pic:blipFill>
                  <pic:spPr>
                    <a:xfrm>
                      <a:off x="0" y="0"/>
                      <a:ext cx="3035456" cy="2502029"/>
                    </a:xfrm>
                    <a:prstGeom prst="rect">
                      <a:avLst/>
                    </a:prstGeom>
                  </pic:spPr>
                </pic:pic>
              </a:graphicData>
            </a:graphic>
          </wp:inline>
        </w:drawing>
      </w:r>
    </w:p>
    <w:p w14:paraId="41EF4AF2" w14:textId="732A6331" w:rsidR="00AC1791" w:rsidRPr="002551A7" w:rsidRDefault="00AC1791" w:rsidP="002551A7">
      <w:pPr>
        <w:spacing w:line="360" w:lineRule="auto"/>
        <w:jc w:val="center"/>
        <w:rPr>
          <w:rFonts w:asciiTheme="majorBidi" w:hAnsiTheme="majorBidi" w:cstheme="majorBidi"/>
          <w:sz w:val="24"/>
          <w:szCs w:val="24"/>
          <w:lang w:val="en-GB"/>
        </w:rPr>
      </w:pPr>
      <w:r w:rsidRPr="000A57CD">
        <w:rPr>
          <w:rFonts w:asciiTheme="majorBidi" w:hAnsiTheme="majorBidi" w:cstheme="majorBidi"/>
          <w:b/>
          <w:bCs/>
          <w:sz w:val="24"/>
          <w:szCs w:val="24"/>
          <w:lang w:val="en-GB"/>
        </w:rPr>
        <w:t>Source:</w:t>
      </w:r>
      <w:r w:rsidRPr="002551A7">
        <w:rPr>
          <w:rFonts w:asciiTheme="majorBidi" w:hAnsiTheme="majorBidi" w:cstheme="majorBidi"/>
          <w:sz w:val="24"/>
          <w:szCs w:val="24"/>
          <w:lang w:val="en-GB"/>
        </w:rPr>
        <w:t xml:space="preserve"> Made by the students depend on smartpls 4</w:t>
      </w:r>
    </w:p>
    <w:p w14:paraId="6CA40BD5" w14:textId="22C7A13F" w:rsidR="00AC1791" w:rsidRPr="002551A7" w:rsidRDefault="00AC1791" w:rsidP="00B9465F">
      <w:pPr>
        <w:spacing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This conceptual model highlights the influence of three major macroeconomic indicators</w:t>
      </w:r>
      <w:r w:rsidR="00B9465F">
        <w:rPr>
          <w:rFonts w:asciiTheme="majorBidi" w:hAnsiTheme="majorBidi" w:cstheme="majorBidi"/>
          <w:sz w:val="24"/>
          <w:szCs w:val="24"/>
          <w:lang w:val="en-GB"/>
        </w:rPr>
        <w:t xml:space="preserve"> </w:t>
      </w:r>
      <w:r w:rsidRPr="002551A7">
        <w:rPr>
          <w:rFonts w:asciiTheme="majorBidi" w:hAnsiTheme="majorBidi" w:cstheme="majorBidi"/>
          <w:sz w:val="24"/>
          <w:szCs w:val="24"/>
          <w:lang w:val="en-GB"/>
        </w:rPr>
        <w:t>unemployment, inflation, and exchange rate</w:t>
      </w:r>
      <w:r w:rsidR="00B9465F">
        <w:rPr>
          <w:rFonts w:asciiTheme="majorBidi" w:hAnsiTheme="majorBidi" w:cstheme="majorBidi"/>
          <w:sz w:val="24"/>
          <w:szCs w:val="24"/>
          <w:lang w:val="en-GB"/>
        </w:rPr>
        <w:t xml:space="preserve"> </w:t>
      </w:r>
      <w:r w:rsidRPr="002551A7">
        <w:rPr>
          <w:rFonts w:asciiTheme="majorBidi" w:hAnsiTheme="majorBidi" w:cstheme="majorBidi"/>
          <w:sz w:val="24"/>
          <w:szCs w:val="24"/>
          <w:lang w:val="en-GB"/>
        </w:rPr>
        <w:t>on Gross Domestic Product (GDP). The selection of these variables is supported by macroeconomic theory and empirical research. Unemployment is negatively correlated with GDP, as high joblessness reflects underutilized labor resources and diminished household consumption. Inflation can have both positive and negative effects: while moderate inflation may stimulate spending, high inflation often reduces purchasing power and investment. The exchange rate affects a country’s competitiveness in international trade, with depreciation potentially boosting exports and supporting GDP growth. This model serves as a solid framework for examining the combined impact of these variables on economic performance, and provides a basis for empirical testing using time-series or panel data approaches.</w:t>
      </w:r>
    </w:p>
    <w:p w14:paraId="6C66DAB2" w14:textId="6091D77D" w:rsidR="00AC1791" w:rsidRPr="004A454C" w:rsidRDefault="004A454C" w:rsidP="004A454C">
      <w:pPr>
        <w:pStyle w:val="ListParagraph"/>
        <w:numPr>
          <w:ilvl w:val="1"/>
          <w:numId w:val="39"/>
        </w:numPr>
        <w:spacing w:before="100" w:beforeAutospacing="1" w:after="100" w:afterAutospacing="1" w:line="360" w:lineRule="auto"/>
        <w:jc w:val="both"/>
        <w:rPr>
          <w:rFonts w:asciiTheme="majorBidi" w:hAnsiTheme="majorBidi" w:cstheme="majorBidi"/>
          <w:b/>
          <w:bCs/>
          <w:color w:val="FF0000"/>
          <w:sz w:val="24"/>
          <w:szCs w:val="24"/>
          <w:lang w:val="en-US"/>
        </w:rPr>
      </w:pPr>
      <w:r>
        <w:rPr>
          <w:rFonts w:asciiTheme="majorBidi" w:eastAsia="Times New Roman" w:hAnsiTheme="majorBidi" w:cstheme="majorBidi"/>
          <w:b/>
          <w:bCs/>
          <w:sz w:val="24"/>
          <w:szCs w:val="24"/>
          <w:lang w:val="en-US" w:eastAsia="fr-FR"/>
        </w:rPr>
        <w:t xml:space="preserve"> </w:t>
      </w:r>
      <w:bookmarkStart w:id="294" w:name="_Toc200720066"/>
      <w:bookmarkStart w:id="295" w:name="_Toc200721707"/>
      <w:r w:rsidR="00AC1791" w:rsidRPr="00BB2F8D">
        <w:rPr>
          <w:rStyle w:val="Heading4Char"/>
        </w:rPr>
        <w:t>Time Series Analysis of Economic Variable</w:t>
      </w:r>
      <w:bookmarkEnd w:id="294"/>
      <w:bookmarkEnd w:id="295"/>
      <w:r w:rsidR="00AC1791" w:rsidRPr="004A454C">
        <w:rPr>
          <w:rFonts w:asciiTheme="majorBidi" w:eastAsia="Times New Roman" w:hAnsiTheme="majorBidi" w:cstheme="majorBidi"/>
          <w:b/>
          <w:bCs/>
          <w:sz w:val="24"/>
          <w:szCs w:val="24"/>
          <w:lang w:val="en-US" w:eastAsia="fr-FR"/>
        </w:rPr>
        <w:t>s</w:t>
      </w:r>
    </w:p>
    <w:p w14:paraId="40E0C34B"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This section aims to analyze the time trends of the economic variables related to the feasibility of exporting to the Turkish market, namely: Gross Domestic Product (GDP), GDP Growth, Inflation, Unemployment, and Exchange Rate. Annual data from 2014 to 2024 were used to plot the trends using SPSS software, and the results are presented in Charts 1 to 5.</w:t>
      </w:r>
    </w:p>
    <w:p w14:paraId="09B0EBFE"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lang w:val="en-US" w:eastAsia="fr-FR"/>
        </w:rPr>
      </w:pPr>
      <w:r w:rsidRPr="002551A7">
        <w:rPr>
          <w:rFonts w:asciiTheme="majorBidi" w:hAnsiTheme="majorBidi" w:cstheme="majorBidi"/>
          <w:b/>
          <w:bCs/>
          <w:noProof/>
          <w:sz w:val="24"/>
          <w:szCs w:val="24"/>
        </w:rPr>
        <w:drawing>
          <wp:anchor distT="0" distB="0" distL="114300" distR="114300" simplePos="0" relativeHeight="251707392" behindDoc="1" locked="0" layoutInCell="1" allowOverlap="1" wp14:anchorId="40B9E1AE" wp14:editId="3613AB40">
            <wp:simplePos x="0" y="0"/>
            <wp:positionH relativeFrom="margin">
              <wp:posOffset>416688</wp:posOffset>
            </wp:positionH>
            <wp:positionV relativeFrom="paragraph">
              <wp:posOffset>400171</wp:posOffset>
            </wp:positionV>
            <wp:extent cx="4696460" cy="1763395"/>
            <wp:effectExtent l="0" t="0" r="8890" b="8255"/>
            <wp:wrapTopAndBottom/>
            <wp:docPr id="59" name="Graphique 59">
              <a:extLst xmlns:a="http://schemas.openxmlformats.org/drawingml/2006/main">
                <a:ext uri="{FF2B5EF4-FFF2-40B4-BE49-F238E27FC236}">
                  <a16:creationId xmlns:a16="http://schemas.microsoft.com/office/drawing/2014/main" id="{E4D96611-5880-4803-B0B1-7F0F4CE05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Pr="002551A7">
        <w:rPr>
          <w:rFonts w:asciiTheme="majorBidi" w:eastAsia="Times New Roman" w:hAnsiTheme="majorBidi" w:cstheme="majorBidi"/>
          <w:b/>
          <w:bCs/>
          <w:sz w:val="24"/>
          <w:szCs w:val="24"/>
          <w:lang w:val="en-US" w:eastAsia="fr-FR"/>
        </w:rPr>
        <w:t>Figure 14:</w:t>
      </w:r>
      <w:r w:rsidRPr="002551A7">
        <w:rPr>
          <w:rFonts w:asciiTheme="majorBidi" w:eastAsia="Times New Roman" w:hAnsiTheme="majorBidi" w:cstheme="majorBidi"/>
          <w:sz w:val="24"/>
          <w:szCs w:val="24"/>
          <w:lang w:val="en-US" w:eastAsia="fr-FR"/>
        </w:rPr>
        <w:t xml:space="preserve"> GDP growth rate</w:t>
      </w:r>
    </w:p>
    <w:p w14:paraId="635A1749" w14:textId="552CC958" w:rsidR="00AC1791" w:rsidRPr="002551A7" w:rsidRDefault="00B9465F" w:rsidP="002551A7">
      <w:pPr>
        <w:spacing w:before="100" w:beforeAutospacing="1" w:after="100" w:afterAutospacing="1" w:line="360" w:lineRule="auto"/>
        <w:jc w:val="center"/>
        <w:rPr>
          <w:rFonts w:asciiTheme="majorBidi" w:eastAsia="Times New Roman" w:hAnsiTheme="majorBidi" w:cstheme="majorBidi"/>
          <w:sz w:val="24"/>
          <w:szCs w:val="24"/>
          <w:lang w:val="en-US" w:eastAsia="fr-FR"/>
        </w:rPr>
      </w:pPr>
      <w:r>
        <w:rPr>
          <w:rFonts w:asciiTheme="majorBidi" w:eastAsia="Times New Roman" w:hAnsiTheme="majorBidi" w:cstheme="majorBidi"/>
          <w:b/>
          <w:bCs/>
          <w:sz w:val="24"/>
          <w:szCs w:val="24"/>
          <w:lang w:val="en-US" w:eastAsia="fr-FR"/>
        </w:rPr>
        <w:t xml:space="preserve">Source: </w:t>
      </w:r>
      <w:r w:rsidR="00AC1791" w:rsidRPr="002551A7">
        <w:rPr>
          <w:rFonts w:asciiTheme="majorBidi" w:eastAsia="Times New Roman" w:hAnsiTheme="majorBidi" w:cstheme="majorBidi"/>
          <w:sz w:val="24"/>
          <w:szCs w:val="24"/>
          <w:lang w:val="en-US" w:eastAsia="fr-FR"/>
        </w:rPr>
        <w:t>Established by the students</w:t>
      </w:r>
    </w:p>
    <w:p w14:paraId="123C253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figure shows the GDP growth rate from 2014 to 2024. It is observed that the growth rate was highly volatile. In 2014, the growth rate was approximately 5%, then increased to around 6.10% in 2015, before declining to about 3% in 2016. A sharp drop occurred in 2020, with the growth rate falling to approximately 0.8% due to the pandemic. Subsequently, it rose significantly to around 11.40% in 2021 as a result of economic recovery. In 2023, the growth rate declined to about 5.10% and stabilized at approximately 3.20% in 2024. These fluctuations reflect the Turkish economy’s sensitivity to external shocks</w:t>
      </w: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and global crises.</w:t>
      </w:r>
    </w:p>
    <w:p w14:paraId="286C4C5B"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Figure 15:</w:t>
      </w:r>
      <w:r w:rsidRPr="002551A7">
        <w:rPr>
          <w:rFonts w:asciiTheme="majorBidi" w:hAnsiTheme="majorBidi" w:cstheme="majorBidi"/>
          <w:sz w:val="24"/>
          <w:szCs w:val="24"/>
          <w:lang w:val="en-US"/>
        </w:rPr>
        <w:t xml:space="preserve"> Inflation rate</w:t>
      </w:r>
    </w:p>
    <w:p w14:paraId="5DB9FA53"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08416" behindDoc="1" locked="0" layoutInCell="1" allowOverlap="1" wp14:anchorId="2B9D8454" wp14:editId="54EA4855">
            <wp:simplePos x="0" y="0"/>
            <wp:positionH relativeFrom="margin">
              <wp:align>center</wp:align>
            </wp:positionH>
            <wp:positionV relativeFrom="paragraph">
              <wp:posOffset>10491</wp:posOffset>
            </wp:positionV>
            <wp:extent cx="4834255" cy="1925955"/>
            <wp:effectExtent l="0" t="0" r="4445" b="0"/>
            <wp:wrapTight wrapText="bothSides">
              <wp:wrapPolygon edited="0">
                <wp:start x="0" y="0"/>
                <wp:lineTo x="0" y="21365"/>
                <wp:lineTo x="21535" y="21365"/>
                <wp:lineTo x="21535" y="0"/>
                <wp:lineTo x="0" y="0"/>
              </wp:wrapPolygon>
            </wp:wrapTight>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34255" cy="1925955"/>
                    </a:xfrm>
                    <a:prstGeom prst="rect">
                      <a:avLst/>
                    </a:prstGeom>
                    <a:noFill/>
                  </pic:spPr>
                </pic:pic>
              </a:graphicData>
            </a:graphic>
            <wp14:sizeRelH relativeFrom="margin">
              <wp14:pctWidth>0</wp14:pctWidth>
            </wp14:sizeRelH>
          </wp:anchor>
        </w:drawing>
      </w:r>
    </w:p>
    <w:p w14:paraId="42C535FE" w14:textId="77777777" w:rsidR="00AC1791" w:rsidRPr="002551A7" w:rsidRDefault="00AC1791" w:rsidP="002551A7">
      <w:pPr>
        <w:spacing w:line="360" w:lineRule="auto"/>
        <w:jc w:val="both"/>
        <w:rPr>
          <w:rFonts w:asciiTheme="majorBidi" w:hAnsiTheme="majorBidi" w:cstheme="majorBidi"/>
          <w:sz w:val="24"/>
          <w:szCs w:val="24"/>
          <w:lang w:val="en-US" w:bidi="ar-DZ"/>
        </w:rPr>
      </w:pPr>
    </w:p>
    <w:p w14:paraId="22B52412" w14:textId="77777777" w:rsidR="00AC1791" w:rsidRPr="002551A7" w:rsidRDefault="00AC1791" w:rsidP="002551A7">
      <w:pPr>
        <w:spacing w:line="360" w:lineRule="auto"/>
        <w:jc w:val="both"/>
        <w:rPr>
          <w:rFonts w:asciiTheme="majorBidi" w:hAnsiTheme="majorBidi" w:cstheme="majorBidi"/>
          <w:sz w:val="24"/>
          <w:szCs w:val="24"/>
          <w:lang w:val="en-US" w:bidi="ar-DZ"/>
        </w:rPr>
      </w:pPr>
    </w:p>
    <w:p w14:paraId="1A35955E" w14:textId="77777777" w:rsidR="00AC1791" w:rsidRPr="002551A7" w:rsidRDefault="00AC1791" w:rsidP="002551A7">
      <w:pPr>
        <w:spacing w:line="360" w:lineRule="auto"/>
        <w:jc w:val="both"/>
        <w:rPr>
          <w:rFonts w:asciiTheme="majorBidi" w:hAnsiTheme="majorBidi" w:cstheme="majorBidi"/>
          <w:sz w:val="24"/>
          <w:szCs w:val="24"/>
          <w:lang w:val="en-US" w:bidi="ar-DZ"/>
        </w:rPr>
      </w:pPr>
    </w:p>
    <w:p w14:paraId="14AFEDED" w14:textId="77777777" w:rsidR="00AC1791" w:rsidRPr="002551A7" w:rsidRDefault="00AC1791" w:rsidP="002551A7">
      <w:pPr>
        <w:spacing w:line="360" w:lineRule="auto"/>
        <w:jc w:val="both"/>
        <w:rPr>
          <w:rFonts w:asciiTheme="majorBidi" w:hAnsiTheme="majorBidi" w:cstheme="majorBidi"/>
          <w:sz w:val="24"/>
          <w:szCs w:val="24"/>
          <w:lang w:val="en-US" w:bidi="ar-DZ"/>
        </w:rPr>
      </w:pPr>
    </w:p>
    <w:p w14:paraId="3C47481B" w14:textId="77777777" w:rsidR="00AC1791" w:rsidRPr="002551A7" w:rsidRDefault="00AC1791" w:rsidP="002551A7">
      <w:pPr>
        <w:spacing w:line="360" w:lineRule="auto"/>
        <w:jc w:val="both"/>
        <w:rPr>
          <w:rFonts w:asciiTheme="majorBidi" w:hAnsiTheme="majorBidi" w:cstheme="majorBidi"/>
          <w:sz w:val="24"/>
          <w:szCs w:val="24"/>
          <w:lang w:val="en-US" w:bidi="ar-DZ"/>
        </w:rPr>
      </w:pPr>
    </w:p>
    <w:p w14:paraId="15A617B1" w14:textId="1BEA0A65"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bCs/>
          <w:sz w:val="24"/>
          <w:szCs w:val="24"/>
          <w:lang w:val="en-US" w:bidi="ar-DZ"/>
        </w:rPr>
        <w:t xml:space="preserve">Source: </w:t>
      </w:r>
      <w:r w:rsidR="00AC1791" w:rsidRPr="002551A7">
        <w:rPr>
          <w:rFonts w:asciiTheme="majorBidi" w:hAnsiTheme="majorBidi" w:cstheme="majorBidi"/>
          <w:sz w:val="24"/>
          <w:szCs w:val="24"/>
          <w:lang w:val="en-US" w:bidi="ar-DZ"/>
        </w:rPr>
        <w:t>Established by the students</w:t>
      </w:r>
    </w:p>
    <w:p w14:paraId="1FE799A6" w14:textId="77777777" w:rsidR="00AC1791" w:rsidRPr="002551A7" w:rsidRDefault="00AC1791" w:rsidP="002551A7">
      <w:pPr>
        <w:spacing w:line="360" w:lineRule="auto"/>
        <w:jc w:val="both"/>
        <w:rPr>
          <w:rFonts w:asciiTheme="majorBidi" w:hAnsiTheme="majorBidi" w:cstheme="majorBidi"/>
          <w:sz w:val="24"/>
          <w:szCs w:val="24"/>
          <w:rtl/>
          <w:lang w:val="en-US"/>
        </w:rPr>
      </w:pPr>
      <w:r w:rsidRPr="002551A7">
        <w:rPr>
          <w:rFonts w:asciiTheme="majorBidi" w:hAnsiTheme="majorBidi" w:cstheme="majorBidi"/>
          <w:sz w:val="24"/>
          <w:szCs w:val="24"/>
          <w:lang w:val="en-US"/>
        </w:rPr>
        <w:t xml:space="preserve">   Figure illustrates the time trend of the inflation rate. Inflation experienced significant fluctuations during the period. In 2014, the inflation rate was 8.90% and remained relatively stable until 2020, at around 12.30%. Inflation then began to rise sharply in 2021, reaching 19.60%, before surging to its peak in 2022 at approximately 72.3%, reflecting a severe economic crisis. In 2023, inflation dropped significantly to 53.90%, then increased again to 58.50% in 2024. These substantial fluctuations indicate instability in monetary policies.</w:t>
      </w:r>
      <w:r w:rsidRPr="002551A7">
        <w:rPr>
          <w:rFonts w:asciiTheme="majorBidi" w:hAnsiTheme="majorBidi" w:cstheme="majorBidi"/>
          <w:sz w:val="24"/>
          <w:szCs w:val="24"/>
          <w:lang w:val="en-US"/>
        </w:rPr>
        <w:br/>
        <w:t>The sharp variations in inflation present a major challenge for exporters, as high inflation rates (such as 72.3% in 2022) can lead to increased operating costs and reduced purchasing power.</w:t>
      </w:r>
    </w:p>
    <w:p w14:paraId="12FE3F90" w14:textId="77777777" w:rsidR="00AC1791" w:rsidRPr="002551A7" w:rsidRDefault="00AC1791" w:rsidP="002551A7">
      <w:pPr>
        <w:spacing w:line="360" w:lineRule="auto"/>
        <w:jc w:val="center"/>
        <w:rPr>
          <w:rFonts w:asciiTheme="majorBidi" w:hAnsiTheme="majorBidi" w:cstheme="majorBidi"/>
          <w:sz w:val="24"/>
          <w:szCs w:val="24"/>
          <w:rtl/>
          <w:lang w:val="en-US" w:bidi="ar-DZ"/>
        </w:rPr>
      </w:pPr>
      <w:r w:rsidRPr="002551A7">
        <w:rPr>
          <w:rFonts w:asciiTheme="majorBidi" w:hAnsiTheme="majorBidi" w:cstheme="majorBidi"/>
          <w:b/>
          <w:bCs/>
          <w:noProof/>
          <w:sz w:val="24"/>
          <w:szCs w:val="24"/>
        </w:rPr>
        <w:drawing>
          <wp:anchor distT="0" distB="0" distL="114300" distR="114300" simplePos="0" relativeHeight="251709440" behindDoc="1" locked="0" layoutInCell="1" allowOverlap="1" wp14:anchorId="3AE5B919" wp14:editId="19FAD438">
            <wp:simplePos x="0" y="0"/>
            <wp:positionH relativeFrom="margin">
              <wp:align>center</wp:align>
            </wp:positionH>
            <wp:positionV relativeFrom="paragraph">
              <wp:posOffset>213995</wp:posOffset>
            </wp:positionV>
            <wp:extent cx="4572000" cy="2166620"/>
            <wp:effectExtent l="0" t="0" r="0" b="5080"/>
            <wp:wrapTopAndBottom/>
            <wp:docPr id="61" name="Graphique 61">
              <a:extLst xmlns:a="http://schemas.openxmlformats.org/drawingml/2006/main">
                <a:ext uri="{FF2B5EF4-FFF2-40B4-BE49-F238E27FC236}">
                  <a16:creationId xmlns:a16="http://schemas.microsoft.com/office/drawing/2014/main" id="{A16C3514-2C22-4ECC-B10E-551B3BD070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V relativeFrom="margin">
              <wp14:pctHeight>0</wp14:pctHeight>
            </wp14:sizeRelV>
          </wp:anchor>
        </w:drawing>
      </w:r>
      <w:r w:rsidRPr="002551A7">
        <w:rPr>
          <w:rFonts w:asciiTheme="majorBidi" w:hAnsiTheme="majorBidi" w:cstheme="majorBidi"/>
          <w:b/>
          <w:bCs/>
          <w:sz w:val="24"/>
          <w:szCs w:val="24"/>
          <w:lang w:val="en-US" w:bidi="ar-DZ"/>
        </w:rPr>
        <w:t>Figure 16:</w:t>
      </w:r>
      <w:r w:rsidRPr="002551A7">
        <w:rPr>
          <w:rFonts w:asciiTheme="majorBidi" w:hAnsiTheme="majorBidi" w:cstheme="majorBidi"/>
          <w:sz w:val="24"/>
          <w:szCs w:val="24"/>
          <w:lang w:val="en-US" w:bidi="ar-DZ"/>
        </w:rPr>
        <w:t xml:space="preserve"> GDP</w:t>
      </w:r>
    </w:p>
    <w:p w14:paraId="3ED92B03" w14:textId="0140F469" w:rsidR="00AC1791" w:rsidRPr="002551A7" w:rsidRDefault="00B9465F" w:rsidP="002551A7">
      <w:pPr>
        <w:spacing w:line="360" w:lineRule="auto"/>
        <w:jc w:val="center"/>
        <w:rPr>
          <w:rFonts w:asciiTheme="majorBidi" w:hAnsiTheme="majorBidi" w:cstheme="majorBidi"/>
          <w:sz w:val="24"/>
          <w:szCs w:val="24"/>
          <w:rtl/>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w:t>
      </w:r>
    </w:p>
    <w:p w14:paraId="2C53F8AB"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The figure shows the time trend of Gross Domestic Product (GDP) from 2014 to 2024. It is observed that GDP experienced a general upward trend during the period. In 2014, GDP was approximately 940,000 million dollars, then slightly declined to around 960,000 million dollars in 2017. It continued decreasing, reaching its lowest point in 2020 at around 720,000 million dollars, reflecting the impact of the COVID-19 pandemic. Afterwards, a noticeable recovery began, with GDP rising to about 1,000,000 million dollars in 2022, and continuing to increase to approximately 1,323,000 million dollars in 2024. This upward trend after 2020 reflects a strong economic recovery.</w:t>
      </w:r>
    </w:p>
    <w:p w14:paraId="2C77852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tl/>
          <w:lang w:eastAsia="fr-FR"/>
        </w:rPr>
      </w:pPr>
      <w:r w:rsidRPr="002551A7">
        <w:rPr>
          <w:rFonts w:asciiTheme="majorBidi" w:eastAsia="Times New Roman" w:hAnsiTheme="majorBidi" w:cstheme="majorBidi"/>
          <w:b/>
          <w:bCs/>
          <w:sz w:val="24"/>
          <w:szCs w:val="24"/>
          <w:lang w:val="en-US" w:eastAsia="fr-FR"/>
        </w:rPr>
        <w:t>Figure 17:</w:t>
      </w:r>
      <w:r w:rsidRPr="002551A7">
        <w:rPr>
          <w:rFonts w:asciiTheme="majorBidi" w:eastAsia="Times New Roman" w:hAnsiTheme="majorBidi" w:cstheme="majorBidi"/>
          <w:sz w:val="24"/>
          <w:szCs w:val="24"/>
          <w:lang w:val="en-US" w:eastAsia="fr-FR"/>
        </w:rPr>
        <w:t xml:space="preserve"> Unemployment rate</w:t>
      </w:r>
    </w:p>
    <w:p w14:paraId="003BD228" w14:textId="2263508E" w:rsidR="00AC1791" w:rsidRPr="002551A7" w:rsidRDefault="00B9465F" w:rsidP="002551A7">
      <w:pPr>
        <w:spacing w:line="360" w:lineRule="auto"/>
        <w:jc w:val="center"/>
        <w:rPr>
          <w:rFonts w:asciiTheme="majorBidi" w:hAnsiTheme="majorBidi" w:cstheme="majorBidi"/>
          <w:sz w:val="24"/>
          <w:szCs w:val="24"/>
          <w:rtl/>
          <w:lang w:val="en-US" w:bidi="ar-DZ"/>
        </w:rPr>
      </w:pPr>
      <w:r>
        <w:rPr>
          <w:rFonts w:asciiTheme="majorBidi" w:hAnsiTheme="majorBidi" w:cstheme="majorBidi"/>
          <w:b/>
          <w:bCs/>
          <w:sz w:val="24"/>
          <w:szCs w:val="24"/>
          <w:lang w:val="en-US" w:bidi="ar-DZ"/>
        </w:rPr>
        <w:t xml:space="preserve">Source: </w:t>
      </w:r>
      <w:r w:rsidR="00AC1791" w:rsidRPr="002551A7">
        <w:rPr>
          <w:rFonts w:asciiTheme="majorBidi" w:hAnsiTheme="majorBidi" w:cstheme="majorBidi"/>
          <w:sz w:val="24"/>
          <w:szCs w:val="24"/>
          <w:lang w:val="en-US" w:bidi="ar-DZ"/>
        </w:rPr>
        <w:t>Established by the students</w:t>
      </w:r>
      <w:r w:rsidR="00AC1791" w:rsidRPr="002551A7">
        <w:rPr>
          <w:rFonts w:asciiTheme="majorBidi" w:hAnsiTheme="majorBidi" w:cstheme="majorBidi"/>
          <w:noProof/>
          <w:sz w:val="24"/>
          <w:szCs w:val="24"/>
        </w:rPr>
        <w:drawing>
          <wp:anchor distT="0" distB="0" distL="114300" distR="114300" simplePos="0" relativeHeight="251710464" behindDoc="0" locked="0" layoutInCell="1" allowOverlap="1" wp14:anchorId="46AC1D8B" wp14:editId="53F635FC">
            <wp:simplePos x="0" y="0"/>
            <wp:positionH relativeFrom="column">
              <wp:posOffset>99060</wp:posOffset>
            </wp:positionH>
            <wp:positionV relativeFrom="paragraph">
              <wp:posOffset>12065</wp:posOffset>
            </wp:positionV>
            <wp:extent cx="5812790" cy="2125345"/>
            <wp:effectExtent l="0" t="0" r="16510" b="8255"/>
            <wp:wrapTopAndBottom/>
            <wp:docPr id="62" name="Graphique 62">
              <a:extLst xmlns:a="http://schemas.openxmlformats.org/drawingml/2006/main">
                <a:ext uri="{FF2B5EF4-FFF2-40B4-BE49-F238E27FC236}">
                  <a16:creationId xmlns:a16="http://schemas.microsoft.com/office/drawing/2014/main" id="{8B247842-9FD8-4EAE-A60E-D519538F27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V relativeFrom="margin">
              <wp14:pctHeight>0</wp14:pctHeight>
            </wp14:sizeRelV>
          </wp:anchor>
        </w:drawing>
      </w:r>
    </w:p>
    <w:p w14:paraId="11FA09B9" w14:textId="77777777" w:rsidR="00AC1791" w:rsidRPr="002551A7" w:rsidRDefault="00AC1791" w:rsidP="002551A7">
      <w:pPr>
        <w:spacing w:line="360" w:lineRule="auto"/>
        <w:jc w:val="both"/>
        <w:rPr>
          <w:rFonts w:asciiTheme="majorBidi" w:hAnsiTheme="majorBidi" w:cstheme="majorBidi"/>
          <w:sz w:val="24"/>
          <w:szCs w:val="24"/>
          <w:rtl/>
          <w:lang w:val="en-US"/>
        </w:rPr>
      </w:pPr>
      <w:r w:rsidRPr="002551A7">
        <w:rPr>
          <w:rFonts w:asciiTheme="majorBidi" w:hAnsiTheme="majorBidi" w:cstheme="majorBidi"/>
          <w:sz w:val="24"/>
          <w:szCs w:val="24"/>
          <w:lang w:val="en-US"/>
        </w:rPr>
        <w:t xml:space="preserve">   The figure shows the time trend of the unemployment rate. It is observed that unemployment followed a clear downward trend. In 2014, the unemployment rate was 9.90%, slightly increasing to 10.30% in 2015, and then surging to its peak in 2019 at 13.7%. Afterwards, the unemployment rate began to decline steadily, reaching around 12% in 2021, and continued decreasing to approximately 8.7% in 2024. This downward trend reflects an improvement in the labor market after 2019.</w:t>
      </w:r>
    </w:p>
    <w:p w14:paraId="4053B2BC"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declining unemployment rate strengthens purchasing power, thereby supporting demand for imported products.</w:t>
      </w:r>
    </w:p>
    <w:p w14:paraId="65FCA4CD" w14:textId="77777777" w:rsidR="00AC1791" w:rsidRPr="002551A7" w:rsidRDefault="00AC1791" w:rsidP="002551A7">
      <w:pPr>
        <w:spacing w:line="360" w:lineRule="auto"/>
        <w:jc w:val="center"/>
        <w:rPr>
          <w:rFonts w:asciiTheme="majorBidi" w:hAnsiTheme="majorBidi" w:cstheme="majorBidi"/>
          <w:sz w:val="24"/>
          <w:szCs w:val="24"/>
          <w:rtl/>
          <w:lang w:val="en-US" w:bidi="ar-DZ"/>
        </w:rPr>
      </w:pPr>
      <w:r w:rsidRPr="002551A7">
        <w:rPr>
          <w:rFonts w:asciiTheme="majorBidi" w:hAnsiTheme="majorBidi" w:cstheme="majorBidi"/>
          <w:b/>
          <w:bCs/>
          <w:noProof/>
          <w:sz w:val="24"/>
          <w:szCs w:val="24"/>
        </w:rPr>
        <w:drawing>
          <wp:anchor distT="0" distB="0" distL="114300" distR="114300" simplePos="0" relativeHeight="251711488" behindDoc="0" locked="0" layoutInCell="1" allowOverlap="1" wp14:anchorId="2781F23E" wp14:editId="3F370B5E">
            <wp:simplePos x="0" y="0"/>
            <wp:positionH relativeFrom="margin">
              <wp:align>center</wp:align>
            </wp:positionH>
            <wp:positionV relativeFrom="paragraph">
              <wp:posOffset>266976</wp:posOffset>
            </wp:positionV>
            <wp:extent cx="4572000" cy="2075180"/>
            <wp:effectExtent l="0" t="0" r="0" b="1270"/>
            <wp:wrapTopAndBottom/>
            <wp:docPr id="63" name="Graphique 63">
              <a:extLst xmlns:a="http://schemas.openxmlformats.org/drawingml/2006/main">
                <a:ext uri="{FF2B5EF4-FFF2-40B4-BE49-F238E27FC236}">
                  <a16:creationId xmlns:a16="http://schemas.microsoft.com/office/drawing/2014/main" id="{4CCA1504-34AB-463C-B8B0-3CF4E5379C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r w:rsidRPr="002551A7">
        <w:rPr>
          <w:rFonts w:asciiTheme="majorBidi" w:hAnsiTheme="majorBidi" w:cstheme="majorBidi"/>
          <w:b/>
          <w:bCs/>
          <w:sz w:val="24"/>
          <w:szCs w:val="24"/>
          <w:lang w:val="en-US" w:bidi="ar-DZ"/>
        </w:rPr>
        <w:t>Figure 18:</w:t>
      </w:r>
      <w:r w:rsidRPr="002551A7">
        <w:rPr>
          <w:rFonts w:asciiTheme="majorBidi" w:hAnsiTheme="majorBidi" w:cstheme="majorBidi"/>
          <w:sz w:val="24"/>
          <w:szCs w:val="24"/>
          <w:lang w:val="en-US" w:bidi="ar-DZ"/>
        </w:rPr>
        <w:t xml:space="preserve"> Exchange rate</w:t>
      </w:r>
    </w:p>
    <w:p w14:paraId="284B3BF8" w14:textId="7E181C63" w:rsidR="00AC1791" w:rsidRPr="002551A7" w:rsidRDefault="00B9465F" w:rsidP="002551A7">
      <w:pPr>
        <w:spacing w:line="360" w:lineRule="auto"/>
        <w:jc w:val="center"/>
        <w:rPr>
          <w:rFonts w:asciiTheme="majorBidi" w:hAnsiTheme="majorBidi" w:cstheme="majorBidi"/>
          <w:sz w:val="24"/>
          <w:szCs w:val="24"/>
          <w:rtl/>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w:t>
      </w:r>
    </w:p>
    <w:p w14:paraId="6948575B"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The figure shows the time trend of the exchange rate (Lira/USD). It is observed that the exchange rate experienced a strong upward trend. In 2014, the exchange rate was around 2.34 Lira and remained relatively stable until 2017 at approximately 3.79 Lira. After 2018, the exchange rate began to rise significantly, reaching about 7.43 Lira in 2020. It then surged to around 30 Lira in 2023 and continued to increase to approximately 35.36 Lira in 2024. This upward trend reflects a continuous deterioration in the value of the Turkish Lira, making imported products more competitive but also increasing financial volatility risks.</w:t>
      </w:r>
    </w:p>
    <w:p w14:paraId="174C3C17" w14:textId="5B9E406C"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Recommendations</w:t>
      </w:r>
      <w:r w:rsidRPr="002551A7">
        <w:rPr>
          <w:rFonts w:asciiTheme="majorBidi" w:eastAsia="Times New Roman" w:hAnsiTheme="majorBidi" w:cstheme="majorBidi"/>
          <w:sz w:val="24"/>
          <w:szCs w:val="24"/>
          <w:lang w:val="en-US" w:eastAsia="fr-FR"/>
        </w:rPr>
        <w:br/>
      </w:r>
      <w:r w:rsidR="00C3174C">
        <w:rPr>
          <w:rFonts w:asciiTheme="majorBidi" w:eastAsia="Times New Roman" w:hAnsiTheme="majorBidi" w:cstheme="majorBidi"/>
          <w:sz w:val="24"/>
          <w:szCs w:val="24"/>
          <w:lang w:val="en-US" w:eastAsia="fr-FR"/>
        </w:rPr>
        <w:t xml:space="preserve">   </w:t>
      </w:r>
      <w:r w:rsidRPr="002551A7">
        <w:rPr>
          <w:rFonts w:asciiTheme="majorBidi" w:eastAsia="Times New Roman" w:hAnsiTheme="majorBidi" w:cstheme="majorBidi"/>
          <w:sz w:val="24"/>
          <w:szCs w:val="24"/>
          <w:lang w:val="en-US" w:eastAsia="fr-FR"/>
        </w:rPr>
        <w:t>Based on the observed trends, the following recommendations are proposed for Proderma:</w:t>
      </w:r>
    </w:p>
    <w:p w14:paraId="62AA05C3" w14:textId="77777777" w:rsidR="00AC1791" w:rsidRPr="002551A7" w:rsidRDefault="00AC1791" w:rsidP="00057285">
      <w:pPr>
        <w:numPr>
          <w:ilvl w:val="0"/>
          <w:numId w:val="40"/>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Leverage Economic Growth:</w:t>
      </w:r>
      <w:r w:rsidRPr="002551A7">
        <w:rPr>
          <w:rFonts w:asciiTheme="majorBidi" w:eastAsia="Times New Roman" w:hAnsiTheme="majorBidi" w:cstheme="majorBidi"/>
          <w:sz w:val="24"/>
          <w:szCs w:val="24"/>
          <w:lang w:val="en-US" w:eastAsia="fr-FR"/>
        </w:rPr>
        <w:t xml:space="preserve"> The upward trend in GDP supports the decision to export, with a focus on high value-added products.</w:t>
      </w:r>
    </w:p>
    <w:p w14:paraId="2FABE7A7" w14:textId="77777777" w:rsidR="00AC1791" w:rsidRPr="002551A7" w:rsidRDefault="00AC1791" w:rsidP="00057285">
      <w:pPr>
        <w:numPr>
          <w:ilvl w:val="0"/>
          <w:numId w:val="40"/>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Mitigate Inflation Risks:</w:t>
      </w:r>
      <w:r w:rsidRPr="002551A7">
        <w:rPr>
          <w:rFonts w:asciiTheme="majorBidi" w:eastAsia="Times New Roman" w:hAnsiTheme="majorBidi" w:cstheme="majorBidi"/>
          <w:sz w:val="24"/>
          <w:szCs w:val="24"/>
          <w:lang w:val="en-US" w:eastAsia="fr-FR"/>
        </w:rPr>
        <w:t xml:space="preserve"> Implement dynamic pricing strategies and collaborate with local distributors to </w:t>
      </w:r>
      <w:r w:rsidRPr="002551A7">
        <w:rPr>
          <w:rFonts w:asciiTheme="majorBidi" w:eastAsia="Times New Roman" w:hAnsiTheme="majorBidi" w:cstheme="majorBidi"/>
          <w:b/>
          <w:bCs/>
          <w:sz w:val="24"/>
          <w:szCs w:val="24"/>
          <w:lang w:val="en-US" w:eastAsia="fr-FR"/>
        </w:rPr>
        <w:t>reduce</w:t>
      </w:r>
      <w:r w:rsidRPr="002551A7">
        <w:rPr>
          <w:rFonts w:asciiTheme="majorBidi" w:eastAsia="Times New Roman" w:hAnsiTheme="majorBidi" w:cstheme="majorBidi"/>
          <w:sz w:val="24"/>
          <w:szCs w:val="24"/>
          <w:lang w:val="en-US" w:eastAsia="fr-FR"/>
        </w:rPr>
        <w:t xml:space="preserve"> operating costs.</w:t>
      </w:r>
    </w:p>
    <w:p w14:paraId="70E2B507" w14:textId="77777777" w:rsidR="00AC1791" w:rsidRPr="002551A7" w:rsidRDefault="00AC1791" w:rsidP="00057285">
      <w:pPr>
        <w:numPr>
          <w:ilvl w:val="0"/>
          <w:numId w:val="40"/>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Capitalize on Exchange Rate Increases:</w:t>
      </w:r>
      <w:r w:rsidRPr="002551A7">
        <w:rPr>
          <w:rFonts w:asciiTheme="majorBidi" w:eastAsia="Times New Roman" w:hAnsiTheme="majorBidi" w:cstheme="majorBidi"/>
          <w:sz w:val="24"/>
          <w:szCs w:val="24"/>
          <w:lang w:val="en-US" w:eastAsia="fr-FR"/>
        </w:rPr>
        <w:t xml:space="preserve"> Target periods of high exchange rates to boost exports, while using hedging contracts to mitigate exchange rate volatility.</w:t>
      </w:r>
    </w:p>
    <w:p w14:paraId="4447B2B2" w14:textId="77777777" w:rsidR="00AC1791" w:rsidRPr="002551A7" w:rsidRDefault="00AC1791" w:rsidP="00057285">
      <w:pPr>
        <w:numPr>
          <w:ilvl w:val="0"/>
          <w:numId w:val="40"/>
        </w:numPr>
        <w:spacing w:before="100" w:beforeAutospacing="1" w:after="100" w:afterAutospacing="1" w:line="360" w:lineRule="auto"/>
        <w:jc w:val="both"/>
        <w:rPr>
          <w:rFonts w:asciiTheme="majorBidi" w:eastAsia="Times New Roman" w:hAnsiTheme="majorBidi" w:cstheme="majorBidi"/>
          <w:sz w:val="24"/>
          <w:szCs w:val="24"/>
          <w:rtl/>
          <w:lang w:val="en-US" w:eastAsia="fr-FR"/>
        </w:rPr>
      </w:pPr>
      <w:r w:rsidRPr="002551A7">
        <w:rPr>
          <w:rFonts w:asciiTheme="majorBidi" w:eastAsia="Times New Roman" w:hAnsiTheme="majorBidi" w:cstheme="majorBidi"/>
          <w:b/>
          <w:bCs/>
          <w:sz w:val="24"/>
          <w:szCs w:val="24"/>
          <w:lang w:val="en-US" w:eastAsia="fr-FR"/>
        </w:rPr>
        <w:t>Monitor the Labor Market:</w:t>
      </w:r>
      <w:r w:rsidRPr="002551A7">
        <w:rPr>
          <w:rFonts w:asciiTheme="majorBidi" w:eastAsia="Times New Roman" w:hAnsiTheme="majorBidi" w:cstheme="majorBidi"/>
          <w:sz w:val="24"/>
          <w:szCs w:val="24"/>
          <w:lang w:val="en-US" w:eastAsia="fr-FR"/>
        </w:rPr>
        <w:t xml:space="preserve"> The decline in unemployment supports higher demand, but preparations should be made for potential increases in unemployment by offering competitively priced products.</w:t>
      </w:r>
    </w:p>
    <w:p w14:paraId="0D9F38E6" w14:textId="71146476" w:rsidR="00AC1791" w:rsidRPr="004A454C" w:rsidRDefault="00AC1791" w:rsidP="004A454C">
      <w:pPr>
        <w:pStyle w:val="ListParagraph"/>
        <w:numPr>
          <w:ilvl w:val="2"/>
          <w:numId w:val="39"/>
        </w:numPr>
        <w:spacing w:line="360" w:lineRule="auto"/>
        <w:jc w:val="both"/>
        <w:rPr>
          <w:rFonts w:asciiTheme="majorBidi" w:hAnsiTheme="majorBidi" w:cstheme="majorBidi"/>
          <w:b/>
          <w:bCs/>
          <w:sz w:val="24"/>
          <w:szCs w:val="24"/>
          <w:lang w:val="en-US" w:bidi="ar-DZ"/>
        </w:rPr>
      </w:pPr>
      <w:bookmarkStart w:id="296" w:name="_Toc200720067"/>
      <w:bookmarkStart w:id="297" w:name="_Toc200721708"/>
      <w:r w:rsidRPr="00BB2F8D">
        <w:rPr>
          <w:rStyle w:val="Heading5Char"/>
          <w:rFonts w:eastAsiaTheme="minorHAnsi"/>
        </w:rPr>
        <w:t>Descriptive Statistics Analysis of Economic Variable</w:t>
      </w:r>
      <w:bookmarkEnd w:id="296"/>
      <w:bookmarkEnd w:id="297"/>
      <w:r w:rsidRPr="004A454C">
        <w:rPr>
          <w:rFonts w:asciiTheme="majorBidi" w:hAnsiTheme="majorBidi" w:cstheme="majorBidi"/>
          <w:b/>
          <w:bCs/>
          <w:sz w:val="24"/>
          <w:szCs w:val="24"/>
          <w:lang w:val="en-US"/>
        </w:rPr>
        <w:t>s</w:t>
      </w:r>
    </w:p>
    <w:p w14:paraId="3056880D"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This section aims to present a descriptive statistics analysis of the economic variables relevant to the feasibility of exporting to the Turkish market, namely: Gross Domestic Product (GDP), GDP Growth, Inflation, Unemployment, and Exchange Rate. Annual data from 2014 to 2024 (number of observations = 11) were used to calculate the means, standard deviations, and minimum and maximum values for each variable using SPSS.</w:t>
      </w:r>
    </w:p>
    <w:p w14:paraId="02AE32EB" w14:textId="1B993F33" w:rsidR="00AC1791" w:rsidRPr="002551A7" w:rsidRDefault="00C3174C" w:rsidP="002551A7">
      <w:pPr>
        <w:spacing w:line="360" w:lineRule="auto"/>
        <w:rPr>
          <w:rFonts w:asciiTheme="majorBidi" w:hAnsiTheme="majorBidi" w:cstheme="majorBidi"/>
          <w:sz w:val="24"/>
          <w:szCs w:val="24"/>
          <w:lang w:val="en-US" w:bidi="ar-DZ"/>
        </w:rPr>
      </w:pPr>
      <w:r>
        <w:rPr>
          <w:rFonts w:asciiTheme="majorBidi" w:hAnsiTheme="majorBidi" w:cstheme="majorBidi"/>
          <w:sz w:val="24"/>
          <w:szCs w:val="24"/>
          <w:lang w:val="en-US" w:bidi="ar-DZ"/>
        </w:rPr>
        <w:t xml:space="preserve">   </w:t>
      </w:r>
      <w:r w:rsidR="00AC1791" w:rsidRPr="002551A7">
        <w:rPr>
          <w:rFonts w:asciiTheme="majorBidi" w:hAnsiTheme="majorBidi" w:cstheme="majorBidi"/>
          <w:sz w:val="24"/>
          <w:szCs w:val="24"/>
          <w:lang w:val="en-US" w:bidi="ar-DZ"/>
        </w:rPr>
        <w:t>Table 1 summarizes the descriptive statistics of the economic variables during the period from 2014 to 2024:</w:t>
      </w:r>
    </w:p>
    <w:p w14:paraId="6FE40CD4" w14:textId="77777777" w:rsidR="00AC1791" w:rsidRPr="002551A7" w:rsidRDefault="00AC1791" w:rsidP="002551A7">
      <w:pPr>
        <w:spacing w:line="360" w:lineRule="auto"/>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5</w:t>
      </w:r>
      <w:r w:rsidRPr="002551A7">
        <w:rPr>
          <w:rFonts w:asciiTheme="majorBidi" w:hAnsiTheme="majorBidi" w:cstheme="majorBidi"/>
          <w:sz w:val="24"/>
          <w:szCs w:val="24"/>
          <w:lang w:val="en-US" w:bidi="ar-DZ"/>
        </w:rPr>
        <w:t>: Descriptive Statistics of Economic Variables (2014–2024)</w:t>
      </w:r>
    </w:p>
    <w:tbl>
      <w:tblPr>
        <w:tblStyle w:val="TableGrid"/>
        <w:tblW w:w="0" w:type="auto"/>
        <w:jc w:val="center"/>
        <w:tblLook w:val="04A0" w:firstRow="1" w:lastRow="0" w:firstColumn="1" w:lastColumn="0" w:noHBand="0" w:noVBand="1"/>
      </w:tblPr>
      <w:tblGrid>
        <w:gridCol w:w="1795"/>
        <w:gridCol w:w="509"/>
        <w:gridCol w:w="1332"/>
        <w:gridCol w:w="1315"/>
        <w:gridCol w:w="1527"/>
        <w:gridCol w:w="2584"/>
      </w:tblGrid>
      <w:tr w:rsidR="00AC1791" w:rsidRPr="002551A7" w14:paraId="0AA9CFB7" w14:textId="77777777" w:rsidTr="00C3174C">
        <w:trPr>
          <w:trHeight w:val="285"/>
          <w:jc w:val="center"/>
        </w:trPr>
        <w:tc>
          <w:tcPr>
            <w:tcW w:w="1795" w:type="dxa"/>
            <w:noWrap/>
            <w:hideMark/>
          </w:tcPr>
          <w:p w14:paraId="1ACD0859" w14:textId="77777777" w:rsidR="00AC1791" w:rsidRPr="002551A7" w:rsidRDefault="00AC1791" w:rsidP="00C3174C">
            <w:pPr>
              <w:spacing w:line="360" w:lineRule="auto"/>
              <w:jc w:val="center"/>
              <w:rPr>
                <w:rFonts w:asciiTheme="majorBidi" w:hAnsiTheme="majorBidi" w:cstheme="majorBidi"/>
                <w:sz w:val="24"/>
                <w:szCs w:val="24"/>
                <w:lang w:val="en-US" w:bidi="ar-DZ"/>
              </w:rPr>
            </w:pPr>
          </w:p>
        </w:tc>
        <w:tc>
          <w:tcPr>
            <w:tcW w:w="509" w:type="dxa"/>
            <w:noWrap/>
            <w:hideMark/>
          </w:tcPr>
          <w:p w14:paraId="46C5F4F4"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1332" w:type="dxa"/>
            <w:noWrap/>
            <w:hideMark/>
          </w:tcPr>
          <w:p w14:paraId="33531E71"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Minimum</w:t>
            </w:r>
          </w:p>
        </w:tc>
        <w:tc>
          <w:tcPr>
            <w:tcW w:w="1315" w:type="dxa"/>
            <w:noWrap/>
            <w:hideMark/>
          </w:tcPr>
          <w:p w14:paraId="16C39AD0"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Maximum</w:t>
            </w:r>
          </w:p>
        </w:tc>
        <w:tc>
          <w:tcPr>
            <w:tcW w:w="1527" w:type="dxa"/>
            <w:noWrap/>
            <w:hideMark/>
          </w:tcPr>
          <w:p w14:paraId="6916D528"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Mean</w:t>
            </w:r>
          </w:p>
        </w:tc>
        <w:tc>
          <w:tcPr>
            <w:tcW w:w="2584" w:type="dxa"/>
            <w:noWrap/>
            <w:hideMark/>
          </w:tcPr>
          <w:p w14:paraId="2BFC5731"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Std. Deviation</w:t>
            </w:r>
          </w:p>
        </w:tc>
      </w:tr>
      <w:tr w:rsidR="00AC1791" w:rsidRPr="002551A7" w14:paraId="3B8A2494" w14:textId="77777777" w:rsidTr="00C3174C">
        <w:trPr>
          <w:trHeight w:val="285"/>
          <w:jc w:val="center"/>
        </w:trPr>
        <w:tc>
          <w:tcPr>
            <w:tcW w:w="1795" w:type="dxa"/>
            <w:noWrap/>
            <w:hideMark/>
          </w:tcPr>
          <w:p w14:paraId="2F925BF3"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GDP(M.USD)</w:t>
            </w:r>
          </w:p>
        </w:tc>
        <w:tc>
          <w:tcPr>
            <w:tcW w:w="509" w:type="dxa"/>
            <w:noWrap/>
            <w:hideMark/>
          </w:tcPr>
          <w:p w14:paraId="1CDE4329"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32" w:type="dxa"/>
            <w:noWrap/>
            <w:hideMark/>
          </w:tcPr>
          <w:p w14:paraId="15C3331F"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720338</w:t>
            </w:r>
          </w:p>
        </w:tc>
        <w:tc>
          <w:tcPr>
            <w:tcW w:w="1315" w:type="dxa"/>
            <w:noWrap/>
            <w:hideMark/>
          </w:tcPr>
          <w:p w14:paraId="7C8CDAB7"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1323255</w:t>
            </w:r>
          </w:p>
        </w:tc>
        <w:tc>
          <w:tcPr>
            <w:tcW w:w="1527" w:type="dxa"/>
            <w:noWrap/>
            <w:hideMark/>
          </w:tcPr>
          <w:p w14:paraId="42AF8FFF"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905520.6364</w:t>
            </w:r>
          </w:p>
        </w:tc>
        <w:tc>
          <w:tcPr>
            <w:tcW w:w="2584" w:type="dxa"/>
            <w:noWrap/>
            <w:hideMark/>
          </w:tcPr>
          <w:p w14:paraId="64340AAB"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174514.2149</w:t>
            </w:r>
          </w:p>
        </w:tc>
      </w:tr>
      <w:tr w:rsidR="00AC1791" w:rsidRPr="002551A7" w14:paraId="507CE486" w14:textId="77777777" w:rsidTr="00C3174C">
        <w:trPr>
          <w:trHeight w:val="285"/>
          <w:jc w:val="center"/>
        </w:trPr>
        <w:tc>
          <w:tcPr>
            <w:tcW w:w="1795" w:type="dxa"/>
            <w:noWrap/>
            <w:hideMark/>
          </w:tcPr>
          <w:p w14:paraId="3DAA0F2B"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 growth rate</w:t>
            </w:r>
          </w:p>
        </w:tc>
        <w:tc>
          <w:tcPr>
            <w:tcW w:w="509" w:type="dxa"/>
            <w:noWrap/>
            <w:hideMark/>
          </w:tcPr>
          <w:p w14:paraId="4014B073"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32" w:type="dxa"/>
            <w:noWrap/>
            <w:hideMark/>
          </w:tcPr>
          <w:p w14:paraId="74C1FEB8"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w:t>
            </w:r>
          </w:p>
        </w:tc>
        <w:tc>
          <w:tcPr>
            <w:tcW w:w="1315" w:type="dxa"/>
            <w:noWrap/>
            <w:hideMark/>
          </w:tcPr>
          <w:p w14:paraId="5155DBF8"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11.4</w:t>
            </w:r>
          </w:p>
        </w:tc>
        <w:tc>
          <w:tcPr>
            <w:tcW w:w="1527" w:type="dxa"/>
            <w:noWrap/>
            <w:hideMark/>
          </w:tcPr>
          <w:p w14:paraId="65E48E23"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4.7909</w:t>
            </w:r>
          </w:p>
        </w:tc>
        <w:tc>
          <w:tcPr>
            <w:tcW w:w="2584" w:type="dxa"/>
            <w:noWrap/>
            <w:hideMark/>
          </w:tcPr>
          <w:p w14:paraId="0C2DB4C7"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2.92556</w:t>
            </w:r>
          </w:p>
        </w:tc>
      </w:tr>
      <w:tr w:rsidR="00AC1791" w:rsidRPr="002551A7" w14:paraId="6CFC553E" w14:textId="77777777" w:rsidTr="00C3174C">
        <w:trPr>
          <w:trHeight w:val="285"/>
          <w:jc w:val="center"/>
        </w:trPr>
        <w:tc>
          <w:tcPr>
            <w:tcW w:w="1795" w:type="dxa"/>
            <w:noWrap/>
            <w:hideMark/>
          </w:tcPr>
          <w:p w14:paraId="6257C54A"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Inflation rate</w:t>
            </w:r>
          </w:p>
        </w:tc>
        <w:tc>
          <w:tcPr>
            <w:tcW w:w="509" w:type="dxa"/>
            <w:noWrap/>
            <w:hideMark/>
          </w:tcPr>
          <w:p w14:paraId="5C389534"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32" w:type="dxa"/>
            <w:noWrap/>
            <w:hideMark/>
          </w:tcPr>
          <w:p w14:paraId="01C0C642"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7.7</w:t>
            </w:r>
          </w:p>
        </w:tc>
        <w:tc>
          <w:tcPr>
            <w:tcW w:w="1315" w:type="dxa"/>
            <w:noWrap/>
            <w:hideMark/>
          </w:tcPr>
          <w:p w14:paraId="5B8287B3"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72.3</w:t>
            </w:r>
          </w:p>
        </w:tc>
        <w:tc>
          <w:tcPr>
            <w:tcW w:w="1527" w:type="dxa"/>
            <w:noWrap/>
            <w:hideMark/>
          </w:tcPr>
          <w:p w14:paraId="399CC0F0"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25.7818</w:t>
            </w:r>
          </w:p>
        </w:tc>
        <w:tc>
          <w:tcPr>
            <w:tcW w:w="2584" w:type="dxa"/>
            <w:noWrap/>
            <w:hideMark/>
          </w:tcPr>
          <w:p w14:paraId="4DA278AD"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23.65958</w:t>
            </w:r>
          </w:p>
        </w:tc>
      </w:tr>
      <w:tr w:rsidR="00AC1791" w:rsidRPr="002551A7" w14:paraId="42252589" w14:textId="77777777" w:rsidTr="00C3174C">
        <w:trPr>
          <w:trHeight w:val="285"/>
          <w:jc w:val="center"/>
        </w:trPr>
        <w:tc>
          <w:tcPr>
            <w:tcW w:w="1795" w:type="dxa"/>
            <w:noWrap/>
            <w:hideMark/>
          </w:tcPr>
          <w:p w14:paraId="275F27E8"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 xml:space="preserve">Unemployment rate </w:t>
            </w:r>
          </w:p>
        </w:tc>
        <w:tc>
          <w:tcPr>
            <w:tcW w:w="509" w:type="dxa"/>
            <w:noWrap/>
            <w:hideMark/>
          </w:tcPr>
          <w:p w14:paraId="088AB6D7"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32" w:type="dxa"/>
            <w:noWrap/>
            <w:hideMark/>
          </w:tcPr>
          <w:p w14:paraId="4C951B7D"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8.7</w:t>
            </w:r>
          </w:p>
        </w:tc>
        <w:tc>
          <w:tcPr>
            <w:tcW w:w="1315" w:type="dxa"/>
            <w:noWrap/>
            <w:hideMark/>
          </w:tcPr>
          <w:p w14:paraId="0F4C6BE5"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13.7</w:t>
            </w:r>
          </w:p>
        </w:tc>
        <w:tc>
          <w:tcPr>
            <w:tcW w:w="1527" w:type="dxa"/>
            <w:noWrap/>
            <w:hideMark/>
          </w:tcPr>
          <w:p w14:paraId="01D3EFBC"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10.9364</w:t>
            </w:r>
          </w:p>
        </w:tc>
        <w:tc>
          <w:tcPr>
            <w:tcW w:w="2584" w:type="dxa"/>
            <w:noWrap/>
            <w:hideMark/>
          </w:tcPr>
          <w:p w14:paraId="3AA0B3F9"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1.49952</w:t>
            </w:r>
          </w:p>
        </w:tc>
      </w:tr>
      <w:tr w:rsidR="00AC1791" w:rsidRPr="002551A7" w14:paraId="24790F22" w14:textId="77777777" w:rsidTr="00C3174C">
        <w:trPr>
          <w:trHeight w:val="285"/>
          <w:jc w:val="center"/>
        </w:trPr>
        <w:tc>
          <w:tcPr>
            <w:tcW w:w="1795" w:type="dxa"/>
            <w:noWrap/>
            <w:hideMark/>
          </w:tcPr>
          <w:p w14:paraId="261DCD97"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Exchange rate</w:t>
            </w:r>
          </w:p>
        </w:tc>
        <w:tc>
          <w:tcPr>
            <w:tcW w:w="509" w:type="dxa"/>
            <w:noWrap/>
            <w:hideMark/>
          </w:tcPr>
          <w:p w14:paraId="6064E502"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32" w:type="dxa"/>
            <w:noWrap/>
            <w:hideMark/>
          </w:tcPr>
          <w:p w14:paraId="19B25EB0"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2.34</w:t>
            </w:r>
          </w:p>
        </w:tc>
        <w:tc>
          <w:tcPr>
            <w:tcW w:w="1315" w:type="dxa"/>
            <w:noWrap/>
            <w:hideMark/>
          </w:tcPr>
          <w:p w14:paraId="6AE73B0F"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35.36</w:t>
            </w:r>
          </w:p>
        </w:tc>
        <w:tc>
          <w:tcPr>
            <w:tcW w:w="1527" w:type="dxa"/>
            <w:noWrap/>
            <w:hideMark/>
          </w:tcPr>
          <w:p w14:paraId="43D1A656"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11.6509</w:t>
            </w:r>
          </w:p>
        </w:tc>
        <w:tc>
          <w:tcPr>
            <w:tcW w:w="2584" w:type="dxa"/>
            <w:noWrap/>
            <w:hideMark/>
          </w:tcPr>
          <w:p w14:paraId="5CE6FCB2" w14:textId="77777777" w:rsidR="00AC1791" w:rsidRPr="002551A7" w:rsidRDefault="00AC1791" w:rsidP="00C3174C">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11.47011</w:t>
            </w:r>
          </w:p>
        </w:tc>
      </w:tr>
    </w:tbl>
    <w:p w14:paraId="5346565B" w14:textId="3F85D849"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4C6BB414" w14:textId="7083DE37" w:rsidR="00AC1791" w:rsidRPr="00B9465F" w:rsidRDefault="00AC1791" w:rsidP="00B9465F">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B9465F">
        <w:rPr>
          <w:rFonts w:asciiTheme="majorBidi" w:eastAsia="Times New Roman" w:hAnsiTheme="majorBidi" w:cstheme="majorBidi"/>
          <w:b/>
          <w:bCs/>
          <w:sz w:val="24"/>
          <w:szCs w:val="24"/>
          <w:lang w:val="en-US" w:eastAsia="fr-FR"/>
        </w:rPr>
        <w:t>Gross Domestic Product (GDP):</w:t>
      </w:r>
      <w:r w:rsidRPr="00B9465F">
        <w:rPr>
          <w:rFonts w:asciiTheme="majorBidi" w:eastAsia="Times New Roman" w:hAnsiTheme="majorBidi" w:cstheme="majorBidi"/>
          <w:sz w:val="24"/>
          <w:szCs w:val="24"/>
          <w:lang w:val="en-US" w:eastAsia="fr-FR"/>
        </w:rPr>
        <w:t xml:space="preserve"> The mean GDP is 905,520.64 M.USD, with a standard deviation of 174,514.21, indicating moderate fluctuations in GDP over the period. The minimum value was 720,338.00 (in 2020, due to the COVID-19 pandemic), while the maximum value was 1,323,255.00 (in 2024), reflecting a strong economic recovery after the crisis.</w:t>
      </w:r>
    </w:p>
    <w:p w14:paraId="5AE846FE" w14:textId="5F3D0CA4"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Growth rate:</w:t>
      </w:r>
      <w:r w:rsidRPr="002551A7">
        <w:rPr>
          <w:rFonts w:asciiTheme="majorBidi" w:eastAsia="Times New Roman" w:hAnsiTheme="majorBidi" w:cstheme="majorBidi"/>
          <w:sz w:val="24"/>
          <w:szCs w:val="24"/>
          <w:lang w:val="en-US" w:eastAsia="fr-FR"/>
        </w:rPr>
        <w:t xml:space="preserve"> The average GDP growth rate is 4.79%, with a standard deviation of 2.93, indicating noticeable fluctuations in the growth rate. The lowest value was 0.80% (in 2020), and the highest was 11.40% (in 2021, driven by post-pandemic recovery).</w:t>
      </w:r>
    </w:p>
    <w:p w14:paraId="0D585A48" w14:textId="77777777" w:rsidR="00B9465F" w:rsidRDefault="00AC1791" w:rsidP="00B9465F">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Inflation rate:</w:t>
      </w:r>
      <w:r w:rsidRPr="002551A7">
        <w:rPr>
          <w:rFonts w:asciiTheme="majorBidi" w:eastAsia="Times New Roman" w:hAnsiTheme="majorBidi" w:cstheme="majorBidi"/>
          <w:sz w:val="24"/>
          <w:szCs w:val="24"/>
          <w:lang w:val="en-US" w:eastAsia="fr-FR"/>
        </w:rPr>
        <w:t xml:space="preserve"> The average inflation rate is 25.78%, with a high standard deviation (23.66), indicating significant volatility. The minimum value was 7.70% (in 2019), and the maximum was 72.30% (in 2022), reflecting periods of hyperinflation resulting from economic instability.</w:t>
      </w:r>
    </w:p>
    <w:p w14:paraId="25BD0FA4" w14:textId="2D3CB77F" w:rsidR="00AC1791" w:rsidRPr="002551A7" w:rsidRDefault="00AC1791" w:rsidP="00B9465F">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Unemployment:</w:t>
      </w:r>
      <w:r w:rsidRPr="002551A7">
        <w:rPr>
          <w:rFonts w:asciiTheme="majorBidi" w:eastAsia="Times New Roman" w:hAnsiTheme="majorBidi" w:cstheme="majorBidi"/>
          <w:sz w:val="24"/>
          <w:szCs w:val="24"/>
          <w:lang w:val="en-US" w:eastAsia="fr-FR"/>
        </w:rPr>
        <w:t xml:space="preserve"> The average unemployment rate is 10.94%, with a low standard deviation (1.50), indicating limited fluctuations. The highest value was 13.70% (in 2019), and the lowest was 8.70% (in 2024), reflecting improvements in the labor market.</w:t>
      </w:r>
    </w:p>
    <w:p w14:paraId="610DDFE4" w14:textId="04DD1530"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Exchange rate:</w:t>
      </w:r>
      <w:r w:rsidRPr="002551A7">
        <w:rPr>
          <w:rFonts w:asciiTheme="majorBidi" w:eastAsia="Times New Roman" w:hAnsiTheme="majorBidi" w:cstheme="majorBidi"/>
          <w:sz w:val="24"/>
          <w:szCs w:val="24"/>
          <w:lang w:val="en-US" w:eastAsia="fr-FR"/>
        </w:rPr>
        <w:t xml:space="preserve"> The average exchange rate is 11.65 Lira per US Dollar, with a high standard deviation (11.47), indicating considerable volatility. The minimum value was 2.34 (in 2014), and the maximum was 35.36 (in 2024), pointing to a continuous depreciation of the Turkish Lira.</w:t>
      </w:r>
    </w:p>
    <w:p w14:paraId="6C531B72"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The descriptive statistics analysis reveals that the Turkish market is characterized by strong economic growth (average GDP of 905,520.64 M.USD), accompanied by challenges such as high inflation (average of 25.78%) and a depreciating currency (average exchange rate of 11.65). These conditions present opportunities for export but require carefully designed strategies to mitigate associated risks.</w:t>
      </w:r>
    </w:p>
    <w:p w14:paraId="4B50DAA7" w14:textId="12F2592A" w:rsidR="00AC1791" w:rsidRPr="004A454C" w:rsidRDefault="00AC1791" w:rsidP="004A454C">
      <w:pPr>
        <w:pStyle w:val="ListParagraph"/>
        <w:numPr>
          <w:ilvl w:val="2"/>
          <w:numId w:val="39"/>
        </w:numPr>
        <w:spacing w:line="360" w:lineRule="auto"/>
        <w:jc w:val="both"/>
        <w:rPr>
          <w:rFonts w:asciiTheme="majorBidi" w:hAnsiTheme="majorBidi" w:cstheme="majorBidi"/>
          <w:b/>
          <w:bCs/>
          <w:sz w:val="24"/>
          <w:szCs w:val="24"/>
          <w:lang w:val="en-US" w:bidi="ar-DZ"/>
        </w:rPr>
      </w:pPr>
      <w:bookmarkStart w:id="298" w:name="_Toc200720068"/>
      <w:bookmarkStart w:id="299" w:name="_Toc200721709"/>
      <w:r w:rsidRPr="00BB2F8D">
        <w:rPr>
          <w:rStyle w:val="Heading5Char"/>
          <w:rFonts w:eastAsiaTheme="minorHAnsi"/>
        </w:rPr>
        <w:t>Analysis of Correlation Coefficients Between Economic Variable</w:t>
      </w:r>
      <w:bookmarkEnd w:id="298"/>
      <w:bookmarkEnd w:id="299"/>
      <w:r w:rsidRPr="004A454C">
        <w:rPr>
          <w:rFonts w:asciiTheme="majorBidi" w:hAnsiTheme="majorBidi" w:cstheme="majorBidi"/>
          <w:b/>
          <w:bCs/>
          <w:sz w:val="24"/>
          <w:szCs w:val="24"/>
          <w:lang w:val="en-US" w:bidi="ar-DZ"/>
        </w:rPr>
        <w:t>s</w:t>
      </w:r>
    </w:p>
    <w:p w14:paraId="77E1046B"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This section aims to analyze the relationships between the economic variables relevant to the feasibility of exporting to the Turkish market, namely: Gross Domestic Product (GDP), GDP Growth, Inflation, Unemployment, and Exchange Rate. Pearson correlation coefficients were calculated using SPSS based on annual data from 2014 to 2024 (number of observations = 11), in order to determine the strength and direction of the relationships between the variables.</w:t>
      </w:r>
    </w:p>
    <w:p w14:paraId="0E736F37"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Table 1 summarizes the Pearson correlation coefficients between the economic variables, along with their statistical significance levels (Sig., 2-tailed):</w:t>
      </w:r>
    </w:p>
    <w:p w14:paraId="7D7E4BA5" w14:textId="546A0829" w:rsidR="00AC1791" w:rsidRDefault="00AC1791" w:rsidP="002551A7">
      <w:pPr>
        <w:spacing w:line="360" w:lineRule="auto"/>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6:</w:t>
      </w:r>
      <w:r w:rsidRPr="002551A7">
        <w:rPr>
          <w:rFonts w:asciiTheme="majorBidi" w:hAnsiTheme="majorBidi" w:cstheme="majorBidi"/>
          <w:sz w:val="24"/>
          <w:szCs w:val="24"/>
          <w:lang w:val="en-US" w:bidi="ar-DZ"/>
        </w:rPr>
        <w:t xml:space="preserve"> Pearson Correlation Coefficients Between Economic Variables</w:t>
      </w:r>
    </w:p>
    <w:p w14:paraId="02C7E9E2" w14:textId="4A644689" w:rsidR="00C3174C" w:rsidRDefault="00C3174C" w:rsidP="002551A7">
      <w:pPr>
        <w:spacing w:line="360" w:lineRule="auto"/>
        <w:jc w:val="center"/>
        <w:rPr>
          <w:rFonts w:asciiTheme="majorBidi" w:hAnsiTheme="majorBidi" w:cstheme="majorBidi"/>
          <w:sz w:val="24"/>
          <w:szCs w:val="24"/>
          <w:lang w:val="en-US" w:bidi="ar-DZ"/>
        </w:rPr>
      </w:pPr>
    </w:p>
    <w:p w14:paraId="03F2E1E6" w14:textId="17D0DCCB" w:rsidR="00C3174C" w:rsidRDefault="00C3174C" w:rsidP="002551A7">
      <w:pPr>
        <w:spacing w:line="360" w:lineRule="auto"/>
        <w:jc w:val="center"/>
        <w:rPr>
          <w:rFonts w:asciiTheme="majorBidi" w:hAnsiTheme="majorBidi" w:cstheme="majorBidi"/>
          <w:sz w:val="24"/>
          <w:szCs w:val="24"/>
          <w:lang w:val="en-US" w:bidi="ar-DZ"/>
        </w:rPr>
      </w:pPr>
    </w:p>
    <w:p w14:paraId="42B31FFA" w14:textId="6CDE978E" w:rsidR="00C3174C" w:rsidRDefault="00C3174C" w:rsidP="002551A7">
      <w:pPr>
        <w:spacing w:line="360" w:lineRule="auto"/>
        <w:jc w:val="center"/>
        <w:rPr>
          <w:rFonts w:asciiTheme="majorBidi" w:hAnsiTheme="majorBidi" w:cstheme="majorBidi"/>
          <w:sz w:val="24"/>
          <w:szCs w:val="24"/>
          <w:lang w:val="en-US" w:bidi="ar-DZ"/>
        </w:rPr>
      </w:pPr>
    </w:p>
    <w:p w14:paraId="32690558" w14:textId="01FEC409" w:rsidR="00C3174C" w:rsidRDefault="00C3174C" w:rsidP="002551A7">
      <w:pPr>
        <w:spacing w:line="360" w:lineRule="auto"/>
        <w:jc w:val="center"/>
        <w:rPr>
          <w:rFonts w:asciiTheme="majorBidi" w:hAnsiTheme="majorBidi" w:cstheme="majorBidi"/>
          <w:sz w:val="24"/>
          <w:szCs w:val="24"/>
          <w:lang w:val="en-US" w:bidi="ar-DZ"/>
        </w:rPr>
      </w:pPr>
    </w:p>
    <w:p w14:paraId="25B33030" w14:textId="664C6DA4" w:rsidR="00C3174C" w:rsidRDefault="00C3174C" w:rsidP="002551A7">
      <w:pPr>
        <w:spacing w:line="360" w:lineRule="auto"/>
        <w:jc w:val="center"/>
        <w:rPr>
          <w:rFonts w:asciiTheme="majorBidi" w:hAnsiTheme="majorBidi" w:cstheme="majorBidi"/>
          <w:sz w:val="24"/>
          <w:szCs w:val="24"/>
          <w:lang w:val="en-US" w:bidi="ar-DZ"/>
        </w:rPr>
      </w:pPr>
    </w:p>
    <w:p w14:paraId="1D171302" w14:textId="77777777" w:rsidR="00C3174C" w:rsidRPr="002551A7" w:rsidRDefault="00C3174C" w:rsidP="002551A7">
      <w:pPr>
        <w:spacing w:line="360" w:lineRule="auto"/>
        <w:jc w:val="center"/>
        <w:rPr>
          <w:rFonts w:asciiTheme="majorBidi" w:hAnsiTheme="majorBidi" w:cstheme="majorBidi"/>
          <w:sz w:val="24"/>
          <w:szCs w:val="24"/>
          <w:lang w:val="en-US" w:bidi="ar-DZ"/>
        </w:rPr>
      </w:pPr>
    </w:p>
    <w:tbl>
      <w:tblPr>
        <w:tblStyle w:val="TableGrid"/>
        <w:tblW w:w="0" w:type="auto"/>
        <w:tblLook w:val="04A0" w:firstRow="1" w:lastRow="0" w:firstColumn="1" w:lastColumn="0" w:noHBand="0" w:noVBand="1"/>
      </w:tblPr>
      <w:tblGrid>
        <w:gridCol w:w="1695"/>
        <w:gridCol w:w="1300"/>
        <w:gridCol w:w="989"/>
        <w:gridCol w:w="890"/>
        <w:gridCol w:w="1338"/>
        <w:gridCol w:w="1696"/>
        <w:gridCol w:w="1154"/>
      </w:tblGrid>
      <w:tr w:rsidR="00C3174C" w:rsidRPr="002551A7" w14:paraId="2B8FE3B5" w14:textId="77777777" w:rsidTr="00C3174C">
        <w:trPr>
          <w:trHeight w:val="285"/>
        </w:trPr>
        <w:tc>
          <w:tcPr>
            <w:tcW w:w="2993" w:type="dxa"/>
            <w:gridSpan w:val="2"/>
            <w:noWrap/>
            <w:hideMark/>
          </w:tcPr>
          <w:p w14:paraId="4D356364" w14:textId="77777777" w:rsidR="00C3174C" w:rsidRPr="002551A7" w:rsidRDefault="00C3174C" w:rsidP="002551A7">
            <w:pPr>
              <w:spacing w:line="360" w:lineRule="auto"/>
              <w:jc w:val="center"/>
              <w:rPr>
                <w:rFonts w:asciiTheme="majorBidi" w:hAnsiTheme="majorBidi" w:cstheme="majorBidi"/>
                <w:sz w:val="24"/>
                <w:szCs w:val="24"/>
                <w:lang w:val="en-US" w:bidi="ar-DZ"/>
              </w:rPr>
            </w:pPr>
          </w:p>
        </w:tc>
        <w:tc>
          <w:tcPr>
            <w:tcW w:w="987" w:type="dxa"/>
            <w:noWrap/>
            <w:hideMark/>
          </w:tcPr>
          <w:p w14:paraId="1432CD2C"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w:t>
            </w:r>
          </w:p>
        </w:tc>
        <w:tc>
          <w:tcPr>
            <w:tcW w:w="888" w:type="dxa"/>
            <w:noWrap/>
            <w:hideMark/>
          </w:tcPr>
          <w:p w14:paraId="7BF5BC4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 growth rate</w:t>
            </w:r>
          </w:p>
        </w:tc>
        <w:tc>
          <w:tcPr>
            <w:tcW w:w="1349" w:type="dxa"/>
            <w:noWrap/>
            <w:hideMark/>
          </w:tcPr>
          <w:p w14:paraId="1D4562A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Inflation rate</w:t>
            </w:r>
          </w:p>
        </w:tc>
        <w:tc>
          <w:tcPr>
            <w:tcW w:w="1693" w:type="dxa"/>
            <w:noWrap/>
            <w:hideMark/>
          </w:tcPr>
          <w:p w14:paraId="09E5D58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Unemployment rate</w:t>
            </w:r>
          </w:p>
        </w:tc>
        <w:tc>
          <w:tcPr>
            <w:tcW w:w="1152" w:type="dxa"/>
            <w:noWrap/>
            <w:hideMark/>
          </w:tcPr>
          <w:p w14:paraId="513CFBAC"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Exchange rate</w:t>
            </w:r>
          </w:p>
        </w:tc>
      </w:tr>
      <w:tr w:rsidR="00C3174C" w:rsidRPr="002551A7" w14:paraId="0A862C6B" w14:textId="77777777" w:rsidTr="00C3174C">
        <w:trPr>
          <w:trHeight w:val="285"/>
        </w:trPr>
        <w:tc>
          <w:tcPr>
            <w:tcW w:w="1694" w:type="dxa"/>
            <w:vMerge w:val="restart"/>
            <w:noWrap/>
            <w:hideMark/>
          </w:tcPr>
          <w:p w14:paraId="4A1F51A6"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w:t>
            </w:r>
          </w:p>
        </w:tc>
        <w:tc>
          <w:tcPr>
            <w:tcW w:w="1299" w:type="dxa"/>
            <w:noWrap/>
            <w:hideMark/>
          </w:tcPr>
          <w:p w14:paraId="2E8C1E4E"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Pearson Correlation</w:t>
            </w:r>
          </w:p>
        </w:tc>
        <w:tc>
          <w:tcPr>
            <w:tcW w:w="987" w:type="dxa"/>
            <w:noWrap/>
            <w:hideMark/>
          </w:tcPr>
          <w:p w14:paraId="5073575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c>
          <w:tcPr>
            <w:tcW w:w="888" w:type="dxa"/>
            <w:noWrap/>
            <w:hideMark/>
          </w:tcPr>
          <w:p w14:paraId="73EBCAD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0.01</w:t>
            </w:r>
          </w:p>
        </w:tc>
        <w:tc>
          <w:tcPr>
            <w:tcW w:w="1349" w:type="dxa"/>
            <w:noWrap/>
            <w:hideMark/>
          </w:tcPr>
          <w:p w14:paraId="37D0EF66"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0.654*</w:t>
            </w:r>
          </w:p>
        </w:tc>
        <w:tc>
          <w:tcPr>
            <w:tcW w:w="1693" w:type="dxa"/>
            <w:noWrap/>
            <w:hideMark/>
          </w:tcPr>
          <w:p w14:paraId="657CE18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-0.823**</w:t>
            </w:r>
          </w:p>
        </w:tc>
        <w:tc>
          <w:tcPr>
            <w:tcW w:w="1152" w:type="dxa"/>
            <w:noWrap/>
            <w:hideMark/>
          </w:tcPr>
          <w:p w14:paraId="02E4470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0.834**</w:t>
            </w:r>
          </w:p>
        </w:tc>
      </w:tr>
      <w:tr w:rsidR="00C3174C" w:rsidRPr="002551A7" w14:paraId="760F7166" w14:textId="77777777" w:rsidTr="00C3174C">
        <w:trPr>
          <w:trHeight w:val="285"/>
        </w:trPr>
        <w:tc>
          <w:tcPr>
            <w:tcW w:w="1694" w:type="dxa"/>
            <w:vMerge/>
            <w:noWrap/>
            <w:hideMark/>
          </w:tcPr>
          <w:p w14:paraId="5862B9EC"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5E83744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 (2-tailed)</w:t>
            </w:r>
          </w:p>
        </w:tc>
        <w:tc>
          <w:tcPr>
            <w:tcW w:w="987" w:type="dxa"/>
            <w:noWrap/>
            <w:hideMark/>
          </w:tcPr>
          <w:p w14:paraId="7410CBBD"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888" w:type="dxa"/>
            <w:noWrap/>
            <w:hideMark/>
          </w:tcPr>
          <w:p w14:paraId="43650CD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0.976</w:t>
            </w:r>
          </w:p>
        </w:tc>
        <w:tc>
          <w:tcPr>
            <w:tcW w:w="1349" w:type="dxa"/>
            <w:noWrap/>
            <w:hideMark/>
          </w:tcPr>
          <w:p w14:paraId="16AA85A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0.029</w:t>
            </w:r>
          </w:p>
        </w:tc>
        <w:tc>
          <w:tcPr>
            <w:tcW w:w="1693" w:type="dxa"/>
            <w:noWrap/>
            <w:hideMark/>
          </w:tcPr>
          <w:p w14:paraId="26D505B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0.002</w:t>
            </w:r>
          </w:p>
        </w:tc>
        <w:tc>
          <w:tcPr>
            <w:tcW w:w="1152" w:type="dxa"/>
            <w:noWrap/>
            <w:hideMark/>
          </w:tcPr>
          <w:p w14:paraId="55493F5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0.001</w:t>
            </w:r>
          </w:p>
        </w:tc>
      </w:tr>
      <w:tr w:rsidR="00C3174C" w:rsidRPr="002551A7" w14:paraId="403EADBD" w14:textId="77777777" w:rsidTr="00C3174C">
        <w:trPr>
          <w:trHeight w:val="285"/>
        </w:trPr>
        <w:tc>
          <w:tcPr>
            <w:tcW w:w="1694" w:type="dxa"/>
            <w:vMerge/>
            <w:noWrap/>
            <w:hideMark/>
          </w:tcPr>
          <w:p w14:paraId="497E47DF"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0C980C8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987" w:type="dxa"/>
            <w:noWrap/>
            <w:hideMark/>
          </w:tcPr>
          <w:p w14:paraId="4026758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888" w:type="dxa"/>
            <w:noWrap/>
            <w:hideMark/>
          </w:tcPr>
          <w:p w14:paraId="1E78BDD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49" w:type="dxa"/>
            <w:noWrap/>
            <w:hideMark/>
          </w:tcPr>
          <w:p w14:paraId="191811F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693" w:type="dxa"/>
            <w:noWrap/>
            <w:hideMark/>
          </w:tcPr>
          <w:p w14:paraId="4B74F17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152" w:type="dxa"/>
            <w:noWrap/>
            <w:hideMark/>
          </w:tcPr>
          <w:p w14:paraId="605F39F1"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r>
      <w:tr w:rsidR="00C3174C" w:rsidRPr="002551A7" w14:paraId="7835B7AC" w14:textId="77777777" w:rsidTr="00C3174C">
        <w:trPr>
          <w:trHeight w:val="285"/>
        </w:trPr>
        <w:tc>
          <w:tcPr>
            <w:tcW w:w="1694" w:type="dxa"/>
            <w:vMerge w:val="restart"/>
            <w:noWrap/>
            <w:hideMark/>
          </w:tcPr>
          <w:p w14:paraId="3F9C07AC"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GDP.growth</w:t>
            </w:r>
          </w:p>
        </w:tc>
        <w:tc>
          <w:tcPr>
            <w:tcW w:w="1299" w:type="dxa"/>
            <w:noWrap/>
            <w:hideMark/>
          </w:tcPr>
          <w:p w14:paraId="5FDF2D6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Pearson Correlation</w:t>
            </w:r>
          </w:p>
        </w:tc>
        <w:tc>
          <w:tcPr>
            <w:tcW w:w="987" w:type="dxa"/>
            <w:noWrap/>
            <w:hideMark/>
          </w:tcPr>
          <w:p w14:paraId="0FDE5D3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0.01</w:t>
            </w:r>
          </w:p>
        </w:tc>
        <w:tc>
          <w:tcPr>
            <w:tcW w:w="888" w:type="dxa"/>
            <w:noWrap/>
            <w:hideMark/>
          </w:tcPr>
          <w:p w14:paraId="60AA6CF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c>
          <w:tcPr>
            <w:tcW w:w="1349" w:type="dxa"/>
            <w:noWrap/>
            <w:hideMark/>
          </w:tcPr>
          <w:p w14:paraId="0523B1E7"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0.012</w:t>
            </w:r>
          </w:p>
        </w:tc>
        <w:tc>
          <w:tcPr>
            <w:tcW w:w="1693" w:type="dxa"/>
            <w:noWrap/>
            <w:hideMark/>
          </w:tcPr>
          <w:p w14:paraId="456CA0C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-0.192</w:t>
            </w:r>
          </w:p>
        </w:tc>
        <w:tc>
          <w:tcPr>
            <w:tcW w:w="1152" w:type="dxa"/>
            <w:noWrap/>
            <w:hideMark/>
          </w:tcPr>
          <w:p w14:paraId="7361563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0.025</w:t>
            </w:r>
          </w:p>
        </w:tc>
      </w:tr>
      <w:tr w:rsidR="00C3174C" w:rsidRPr="002551A7" w14:paraId="5C11AE89" w14:textId="77777777" w:rsidTr="00C3174C">
        <w:trPr>
          <w:trHeight w:val="285"/>
        </w:trPr>
        <w:tc>
          <w:tcPr>
            <w:tcW w:w="1694" w:type="dxa"/>
            <w:vMerge/>
            <w:noWrap/>
            <w:hideMark/>
          </w:tcPr>
          <w:p w14:paraId="3FD44223"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4CFA0DE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 (2-tailed)</w:t>
            </w:r>
          </w:p>
        </w:tc>
        <w:tc>
          <w:tcPr>
            <w:tcW w:w="987" w:type="dxa"/>
            <w:noWrap/>
            <w:hideMark/>
          </w:tcPr>
          <w:p w14:paraId="2FF46B47"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0.976</w:t>
            </w:r>
          </w:p>
        </w:tc>
        <w:tc>
          <w:tcPr>
            <w:tcW w:w="888" w:type="dxa"/>
            <w:noWrap/>
            <w:hideMark/>
          </w:tcPr>
          <w:p w14:paraId="4EC44F25"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349" w:type="dxa"/>
            <w:noWrap/>
            <w:hideMark/>
          </w:tcPr>
          <w:p w14:paraId="5C1D1BC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0.971</w:t>
            </w:r>
          </w:p>
        </w:tc>
        <w:tc>
          <w:tcPr>
            <w:tcW w:w="1693" w:type="dxa"/>
            <w:noWrap/>
            <w:hideMark/>
          </w:tcPr>
          <w:p w14:paraId="63C06DB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0.572</w:t>
            </w:r>
          </w:p>
        </w:tc>
        <w:tc>
          <w:tcPr>
            <w:tcW w:w="1152" w:type="dxa"/>
            <w:noWrap/>
            <w:hideMark/>
          </w:tcPr>
          <w:p w14:paraId="683F3644"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0.943</w:t>
            </w:r>
          </w:p>
        </w:tc>
      </w:tr>
      <w:tr w:rsidR="00C3174C" w:rsidRPr="002551A7" w14:paraId="45B5DBAB" w14:textId="77777777" w:rsidTr="00C3174C">
        <w:trPr>
          <w:trHeight w:val="285"/>
        </w:trPr>
        <w:tc>
          <w:tcPr>
            <w:tcW w:w="1694" w:type="dxa"/>
            <w:vMerge/>
            <w:noWrap/>
            <w:hideMark/>
          </w:tcPr>
          <w:p w14:paraId="2D61A3D3"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15D69844"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987" w:type="dxa"/>
            <w:noWrap/>
            <w:hideMark/>
          </w:tcPr>
          <w:p w14:paraId="649C2E8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888" w:type="dxa"/>
            <w:noWrap/>
            <w:hideMark/>
          </w:tcPr>
          <w:p w14:paraId="56B222B2"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49" w:type="dxa"/>
            <w:noWrap/>
            <w:hideMark/>
          </w:tcPr>
          <w:p w14:paraId="0AE9FA3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693" w:type="dxa"/>
            <w:noWrap/>
            <w:hideMark/>
          </w:tcPr>
          <w:p w14:paraId="4D307A2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152" w:type="dxa"/>
            <w:noWrap/>
            <w:hideMark/>
          </w:tcPr>
          <w:p w14:paraId="57CBEFA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r>
      <w:tr w:rsidR="00C3174C" w:rsidRPr="002551A7" w14:paraId="05DFBFBB" w14:textId="77777777" w:rsidTr="00C3174C">
        <w:trPr>
          <w:trHeight w:val="285"/>
        </w:trPr>
        <w:tc>
          <w:tcPr>
            <w:tcW w:w="1694" w:type="dxa"/>
            <w:vMerge w:val="restart"/>
            <w:noWrap/>
            <w:hideMark/>
          </w:tcPr>
          <w:p w14:paraId="6CB90E94"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Inflation rate</w:t>
            </w:r>
          </w:p>
        </w:tc>
        <w:tc>
          <w:tcPr>
            <w:tcW w:w="1299" w:type="dxa"/>
            <w:noWrap/>
            <w:hideMark/>
          </w:tcPr>
          <w:p w14:paraId="12712D5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Pearson Correlation</w:t>
            </w:r>
          </w:p>
        </w:tc>
        <w:tc>
          <w:tcPr>
            <w:tcW w:w="987" w:type="dxa"/>
            <w:noWrap/>
            <w:hideMark/>
          </w:tcPr>
          <w:p w14:paraId="1AE539E6"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0.654*</w:t>
            </w:r>
          </w:p>
        </w:tc>
        <w:tc>
          <w:tcPr>
            <w:tcW w:w="888" w:type="dxa"/>
            <w:noWrap/>
            <w:hideMark/>
          </w:tcPr>
          <w:p w14:paraId="66EAF77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0.012</w:t>
            </w:r>
          </w:p>
        </w:tc>
        <w:tc>
          <w:tcPr>
            <w:tcW w:w="1349" w:type="dxa"/>
            <w:noWrap/>
            <w:hideMark/>
          </w:tcPr>
          <w:p w14:paraId="5F251C1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c>
          <w:tcPr>
            <w:tcW w:w="1693" w:type="dxa"/>
            <w:noWrap/>
            <w:hideMark/>
          </w:tcPr>
          <w:p w14:paraId="2DB3D2E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-0.482</w:t>
            </w:r>
          </w:p>
        </w:tc>
        <w:tc>
          <w:tcPr>
            <w:tcW w:w="1152" w:type="dxa"/>
            <w:noWrap/>
            <w:hideMark/>
          </w:tcPr>
          <w:p w14:paraId="66AFEB3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0.866**</w:t>
            </w:r>
          </w:p>
        </w:tc>
      </w:tr>
      <w:tr w:rsidR="00C3174C" w:rsidRPr="002551A7" w14:paraId="0100077D" w14:textId="77777777" w:rsidTr="00C3174C">
        <w:trPr>
          <w:trHeight w:val="285"/>
        </w:trPr>
        <w:tc>
          <w:tcPr>
            <w:tcW w:w="1694" w:type="dxa"/>
            <w:vMerge/>
            <w:noWrap/>
            <w:hideMark/>
          </w:tcPr>
          <w:p w14:paraId="73CB0A20"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4F50595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 (2-tailed)</w:t>
            </w:r>
          </w:p>
        </w:tc>
        <w:tc>
          <w:tcPr>
            <w:tcW w:w="987" w:type="dxa"/>
            <w:noWrap/>
            <w:hideMark/>
          </w:tcPr>
          <w:p w14:paraId="58817324"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0.029</w:t>
            </w:r>
          </w:p>
        </w:tc>
        <w:tc>
          <w:tcPr>
            <w:tcW w:w="888" w:type="dxa"/>
            <w:noWrap/>
            <w:hideMark/>
          </w:tcPr>
          <w:p w14:paraId="792B1FE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0.971</w:t>
            </w:r>
          </w:p>
        </w:tc>
        <w:tc>
          <w:tcPr>
            <w:tcW w:w="1349" w:type="dxa"/>
            <w:noWrap/>
            <w:hideMark/>
          </w:tcPr>
          <w:p w14:paraId="06744D2C"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693" w:type="dxa"/>
            <w:noWrap/>
            <w:hideMark/>
          </w:tcPr>
          <w:p w14:paraId="36C1398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0.133</w:t>
            </w:r>
          </w:p>
        </w:tc>
        <w:tc>
          <w:tcPr>
            <w:tcW w:w="1152" w:type="dxa"/>
            <w:noWrap/>
            <w:hideMark/>
          </w:tcPr>
          <w:p w14:paraId="2DC8876C"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0.001</w:t>
            </w:r>
          </w:p>
        </w:tc>
      </w:tr>
      <w:tr w:rsidR="00C3174C" w:rsidRPr="002551A7" w14:paraId="2EDC8ABB" w14:textId="77777777" w:rsidTr="00C3174C">
        <w:trPr>
          <w:trHeight w:val="285"/>
        </w:trPr>
        <w:tc>
          <w:tcPr>
            <w:tcW w:w="1694" w:type="dxa"/>
            <w:vMerge/>
            <w:noWrap/>
            <w:hideMark/>
          </w:tcPr>
          <w:p w14:paraId="792C044C"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28ADD92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987" w:type="dxa"/>
            <w:noWrap/>
            <w:hideMark/>
          </w:tcPr>
          <w:p w14:paraId="3070E186"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888" w:type="dxa"/>
            <w:noWrap/>
            <w:hideMark/>
          </w:tcPr>
          <w:p w14:paraId="75888D2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49" w:type="dxa"/>
            <w:noWrap/>
            <w:hideMark/>
          </w:tcPr>
          <w:p w14:paraId="129CB35E"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693" w:type="dxa"/>
            <w:noWrap/>
            <w:hideMark/>
          </w:tcPr>
          <w:p w14:paraId="2099E3A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152" w:type="dxa"/>
            <w:noWrap/>
            <w:hideMark/>
          </w:tcPr>
          <w:p w14:paraId="4ABF7AF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r>
      <w:tr w:rsidR="00C3174C" w:rsidRPr="002551A7" w14:paraId="60B40C05" w14:textId="77777777" w:rsidTr="00C3174C">
        <w:trPr>
          <w:trHeight w:val="285"/>
        </w:trPr>
        <w:tc>
          <w:tcPr>
            <w:tcW w:w="1694" w:type="dxa"/>
            <w:vMerge w:val="restart"/>
            <w:noWrap/>
            <w:hideMark/>
          </w:tcPr>
          <w:p w14:paraId="5DC2E23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Unemployment rate</w:t>
            </w:r>
          </w:p>
        </w:tc>
        <w:tc>
          <w:tcPr>
            <w:tcW w:w="1299" w:type="dxa"/>
            <w:noWrap/>
            <w:hideMark/>
          </w:tcPr>
          <w:p w14:paraId="186DB10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Pearson Correlation</w:t>
            </w:r>
          </w:p>
        </w:tc>
        <w:tc>
          <w:tcPr>
            <w:tcW w:w="987" w:type="dxa"/>
            <w:noWrap/>
            <w:hideMark/>
          </w:tcPr>
          <w:p w14:paraId="432DFB5E"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-0.823**</w:t>
            </w:r>
          </w:p>
        </w:tc>
        <w:tc>
          <w:tcPr>
            <w:tcW w:w="888" w:type="dxa"/>
            <w:noWrap/>
            <w:hideMark/>
          </w:tcPr>
          <w:p w14:paraId="56110F1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-0.192</w:t>
            </w:r>
          </w:p>
        </w:tc>
        <w:tc>
          <w:tcPr>
            <w:tcW w:w="1349" w:type="dxa"/>
            <w:noWrap/>
            <w:hideMark/>
          </w:tcPr>
          <w:p w14:paraId="677D3CF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-0.482</w:t>
            </w:r>
          </w:p>
        </w:tc>
        <w:tc>
          <w:tcPr>
            <w:tcW w:w="1693" w:type="dxa"/>
            <w:noWrap/>
            <w:hideMark/>
          </w:tcPr>
          <w:p w14:paraId="4A99F9B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c>
          <w:tcPr>
            <w:tcW w:w="1152" w:type="dxa"/>
            <w:noWrap/>
            <w:hideMark/>
          </w:tcPr>
          <w:p w14:paraId="100D138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-0.527</w:t>
            </w:r>
          </w:p>
        </w:tc>
      </w:tr>
      <w:tr w:rsidR="00C3174C" w:rsidRPr="002551A7" w14:paraId="2116792F" w14:textId="77777777" w:rsidTr="00C3174C">
        <w:trPr>
          <w:trHeight w:val="285"/>
        </w:trPr>
        <w:tc>
          <w:tcPr>
            <w:tcW w:w="1694" w:type="dxa"/>
            <w:vMerge/>
            <w:noWrap/>
            <w:hideMark/>
          </w:tcPr>
          <w:p w14:paraId="763E090F"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44EE7E3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 (2-tailed)</w:t>
            </w:r>
          </w:p>
        </w:tc>
        <w:tc>
          <w:tcPr>
            <w:tcW w:w="987" w:type="dxa"/>
            <w:noWrap/>
            <w:hideMark/>
          </w:tcPr>
          <w:p w14:paraId="0C6C978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0.002</w:t>
            </w:r>
          </w:p>
        </w:tc>
        <w:tc>
          <w:tcPr>
            <w:tcW w:w="888" w:type="dxa"/>
            <w:noWrap/>
            <w:hideMark/>
          </w:tcPr>
          <w:p w14:paraId="3CFE4C4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0.572</w:t>
            </w:r>
          </w:p>
        </w:tc>
        <w:tc>
          <w:tcPr>
            <w:tcW w:w="1349" w:type="dxa"/>
            <w:noWrap/>
            <w:hideMark/>
          </w:tcPr>
          <w:p w14:paraId="02C0C352"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0.133</w:t>
            </w:r>
          </w:p>
        </w:tc>
        <w:tc>
          <w:tcPr>
            <w:tcW w:w="1693" w:type="dxa"/>
            <w:noWrap/>
            <w:hideMark/>
          </w:tcPr>
          <w:p w14:paraId="3811C282"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152" w:type="dxa"/>
            <w:noWrap/>
            <w:hideMark/>
          </w:tcPr>
          <w:p w14:paraId="1C5FC508"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0.095</w:t>
            </w:r>
          </w:p>
        </w:tc>
      </w:tr>
      <w:tr w:rsidR="00C3174C" w:rsidRPr="002551A7" w14:paraId="2214571D" w14:textId="77777777" w:rsidTr="00C3174C">
        <w:trPr>
          <w:trHeight w:val="285"/>
        </w:trPr>
        <w:tc>
          <w:tcPr>
            <w:tcW w:w="1694" w:type="dxa"/>
            <w:vMerge/>
            <w:noWrap/>
            <w:hideMark/>
          </w:tcPr>
          <w:p w14:paraId="7633B92B"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39539032"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987" w:type="dxa"/>
            <w:noWrap/>
            <w:hideMark/>
          </w:tcPr>
          <w:p w14:paraId="55CFA574"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888" w:type="dxa"/>
            <w:noWrap/>
            <w:hideMark/>
          </w:tcPr>
          <w:p w14:paraId="1A0B446F"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49" w:type="dxa"/>
            <w:noWrap/>
            <w:hideMark/>
          </w:tcPr>
          <w:p w14:paraId="3D4D226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693" w:type="dxa"/>
            <w:noWrap/>
            <w:hideMark/>
          </w:tcPr>
          <w:p w14:paraId="532CA4BA"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152" w:type="dxa"/>
            <w:noWrap/>
            <w:hideMark/>
          </w:tcPr>
          <w:p w14:paraId="72B843F7"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r>
      <w:tr w:rsidR="00C3174C" w:rsidRPr="002551A7" w14:paraId="74F4AFF3" w14:textId="77777777" w:rsidTr="00C3174C">
        <w:trPr>
          <w:trHeight w:val="285"/>
        </w:trPr>
        <w:tc>
          <w:tcPr>
            <w:tcW w:w="1694" w:type="dxa"/>
            <w:vMerge w:val="restart"/>
            <w:noWrap/>
            <w:hideMark/>
          </w:tcPr>
          <w:p w14:paraId="015EBB1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Exchange rate</w:t>
            </w:r>
          </w:p>
        </w:tc>
        <w:tc>
          <w:tcPr>
            <w:tcW w:w="1299" w:type="dxa"/>
            <w:noWrap/>
            <w:hideMark/>
          </w:tcPr>
          <w:p w14:paraId="2A3C4D1B"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Pearson Correlation</w:t>
            </w:r>
          </w:p>
        </w:tc>
        <w:tc>
          <w:tcPr>
            <w:tcW w:w="987" w:type="dxa"/>
            <w:noWrap/>
            <w:hideMark/>
          </w:tcPr>
          <w:p w14:paraId="6666BFE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0.834**</w:t>
            </w:r>
          </w:p>
        </w:tc>
        <w:tc>
          <w:tcPr>
            <w:tcW w:w="888" w:type="dxa"/>
            <w:noWrap/>
            <w:hideMark/>
          </w:tcPr>
          <w:p w14:paraId="0EDDD881"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0.025</w:t>
            </w:r>
          </w:p>
        </w:tc>
        <w:tc>
          <w:tcPr>
            <w:tcW w:w="1349" w:type="dxa"/>
            <w:noWrap/>
            <w:hideMark/>
          </w:tcPr>
          <w:p w14:paraId="6FC7902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0.866**</w:t>
            </w:r>
          </w:p>
        </w:tc>
        <w:tc>
          <w:tcPr>
            <w:tcW w:w="1693" w:type="dxa"/>
            <w:noWrap/>
            <w:hideMark/>
          </w:tcPr>
          <w:p w14:paraId="55F1DFF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-0.527</w:t>
            </w:r>
          </w:p>
        </w:tc>
        <w:tc>
          <w:tcPr>
            <w:tcW w:w="1152" w:type="dxa"/>
            <w:noWrap/>
            <w:hideMark/>
          </w:tcPr>
          <w:p w14:paraId="3B2AD33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r>
      <w:tr w:rsidR="00C3174C" w:rsidRPr="002551A7" w14:paraId="0DDEB780" w14:textId="77777777" w:rsidTr="00C3174C">
        <w:trPr>
          <w:trHeight w:val="285"/>
        </w:trPr>
        <w:tc>
          <w:tcPr>
            <w:tcW w:w="1694" w:type="dxa"/>
            <w:vMerge/>
            <w:noWrap/>
            <w:hideMark/>
          </w:tcPr>
          <w:p w14:paraId="6A0F0379"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5D051F15"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 (2-tailed)</w:t>
            </w:r>
          </w:p>
        </w:tc>
        <w:tc>
          <w:tcPr>
            <w:tcW w:w="987" w:type="dxa"/>
            <w:noWrap/>
            <w:hideMark/>
          </w:tcPr>
          <w:p w14:paraId="2886589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0.001</w:t>
            </w:r>
          </w:p>
        </w:tc>
        <w:tc>
          <w:tcPr>
            <w:tcW w:w="888" w:type="dxa"/>
            <w:noWrap/>
            <w:hideMark/>
          </w:tcPr>
          <w:p w14:paraId="4500C11D"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0.943</w:t>
            </w:r>
          </w:p>
        </w:tc>
        <w:tc>
          <w:tcPr>
            <w:tcW w:w="1349" w:type="dxa"/>
            <w:noWrap/>
            <w:hideMark/>
          </w:tcPr>
          <w:p w14:paraId="48FD5AD7"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0.001</w:t>
            </w:r>
          </w:p>
        </w:tc>
        <w:tc>
          <w:tcPr>
            <w:tcW w:w="1693" w:type="dxa"/>
            <w:noWrap/>
            <w:hideMark/>
          </w:tcPr>
          <w:p w14:paraId="3A92B3C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0.095</w:t>
            </w:r>
          </w:p>
        </w:tc>
        <w:tc>
          <w:tcPr>
            <w:tcW w:w="1152" w:type="dxa"/>
            <w:noWrap/>
            <w:hideMark/>
          </w:tcPr>
          <w:p w14:paraId="29070886" w14:textId="77777777" w:rsidR="00C3174C" w:rsidRPr="002551A7" w:rsidRDefault="00C3174C" w:rsidP="002551A7">
            <w:pPr>
              <w:spacing w:line="360" w:lineRule="auto"/>
              <w:jc w:val="center"/>
              <w:rPr>
                <w:rFonts w:asciiTheme="majorBidi" w:hAnsiTheme="majorBidi" w:cstheme="majorBidi"/>
                <w:sz w:val="24"/>
                <w:szCs w:val="24"/>
                <w:lang w:bidi="ar-DZ"/>
              </w:rPr>
            </w:pPr>
          </w:p>
        </w:tc>
      </w:tr>
      <w:tr w:rsidR="00C3174C" w:rsidRPr="002551A7" w14:paraId="753145EA" w14:textId="77777777" w:rsidTr="00C3174C">
        <w:trPr>
          <w:trHeight w:val="285"/>
        </w:trPr>
        <w:tc>
          <w:tcPr>
            <w:tcW w:w="1694" w:type="dxa"/>
            <w:vMerge/>
            <w:noWrap/>
            <w:hideMark/>
          </w:tcPr>
          <w:p w14:paraId="34327388" w14:textId="77777777" w:rsidR="00C3174C" w:rsidRPr="002551A7" w:rsidRDefault="00C3174C" w:rsidP="002551A7">
            <w:pPr>
              <w:spacing w:line="360" w:lineRule="auto"/>
              <w:jc w:val="center"/>
              <w:rPr>
                <w:rFonts w:asciiTheme="majorBidi" w:hAnsiTheme="majorBidi" w:cstheme="majorBidi"/>
                <w:sz w:val="24"/>
                <w:szCs w:val="24"/>
                <w:lang w:bidi="ar-DZ"/>
              </w:rPr>
            </w:pPr>
          </w:p>
        </w:tc>
        <w:tc>
          <w:tcPr>
            <w:tcW w:w="1299" w:type="dxa"/>
            <w:noWrap/>
            <w:hideMark/>
          </w:tcPr>
          <w:p w14:paraId="0E86ED92"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N</w:t>
            </w:r>
          </w:p>
        </w:tc>
        <w:tc>
          <w:tcPr>
            <w:tcW w:w="987" w:type="dxa"/>
            <w:noWrap/>
            <w:hideMark/>
          </w:tcPr>
          <w:p w14:paraId="6954A040"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888" w:type="dxa"/>
            <w:noWrap/>
            <w:hideMark/>
          </w:tcPr>
          <w:p w14:paraId="6E94A983"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349" w:type="dxa"/>
            <w:noWrap/>
            <w:hideMark/>
          </w:tcPr>
          <w:p w14:paraId="583806DE"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693" w:type="dxa"/>
            <w:noWrap/>
            <w:hideMark/>
          </w:tcPr>
          <w:p w14:paraId="786C4B49"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c>
          <w:tcPr>
            <w:tcW w:w="1152" w:type="dxa"/>
            <w:noWrap/>
            <w:hideMark/>
          </w:tcPr>
          <w:p w14:paraId="6D912B26" w14:textId="77777777" w:rsidR="00C3174C" w:rsidRPr="002551A7" w:rsidRDefault="00C3174C"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11</w:t>
            </w:r>
          </w:p>
        </w:tc>
      </w:tr>
    </w:tbl>
    <w:p w14:paraId="7E541E9C" w14:textId="0CC749A1"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7C274991" w14:textId="7BF63719"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and GDP Growth rate</w:t>
      </w:r>
      <w:r w:rsidRPr="002551A7">
        <w:rPr>
          <w:rFonts w:asciiTheme="majorBidi" w:eastAsia="Times New Roman" w:hAnsiTheme="majorBidi" w:cstheme="majorBidi"/>
          <w:sz w:val="24"/>
          <w:szCs w:val="24"/>
          <w:lang w:val="en-US" w:eastAsia="fr-FR"/>
        </w:rPr>
        <w:t>: The correlation coefficient is 0.010, indicating a very weak positive and statistically insignificant relationship (p = 0.976). This suggests that GDP growth rate is not directly associated with the overall level of GDP, possibly due to large fluctuations in the growth rate, such as the decline in 2020 and the rebound in 2021.</w:t>
      </w:r>
    </w:p>
    <w:p w14:paraId="0A3E4C78" w14:textId="02CD69A3"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and Inflation</w:t>
      </w:r>
      <w:r w:rsidRPr="002551A7">
        <w:rPr>
          <w:rFonts w:asciiTheme="majorBidi" w:eastAsia="Times New Roman" w:hAnsiTheme="majorBidi" w:cstheme="majorBidi"/>
          <w:sz w:val="24"/>
          <w:szCs w:val="24"/>
          <w:lang w:val="en-US" w:eastAsia="fr-FR"/>
        </w:rPr>
        <w:t>: The correlation coefficient is 0.654, showing a moderate positive relationship that is statistically significant at the 0.05 level (p = 0.029). This implies that higher inflation rates (e.g., 72.3% in 2022) are associated with increases in GDP, likely reflecting the inflationary impact on GDP values.</w:t>
      </w:r>
    </w:p>
    <w:p w14:paraId="130856C3" w14:textId="69DBCA0F"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and Unemployment</w:t>
      </w:r>
      <w:r w:rsidRPr="002551A7">
        <w:rPr>
          <w:rFonts w:asciiTheme="majorBidi" w:eastAsia="Times New Roman" w:hAnsiTheme="majorBidi" w:cstheme="majorBidi"/>
          <w:sz w:val="24"/>
          <w:szCs w:val="24"/>
          <w:lang w:val="en-US" w:eastAsia="fr-FR"/>
        </w:rPr>
        <w:t>: The correlation coefficient is -0.823, indicating a strong negative and statistically significant relationship at the 0.01 level (p = 0.002). A decline in unemployment (e.g., 8.7% in 2024) is associated with an increase in GDP (1,323,255 in 2024), which is consistent with economic theory, as lower unemployment typically enhances productivity and aggregate demand.</w:t>
      </w:r>
    </w:p>
    <w:p w14:paraId="41F52F09" w14:textId="3B6FF045"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and Exchange Rate</w:t>
      </w:r>
      <w:r w:rsidRPr="002551A7">
        <w:rPr>
          <w:rFonts w:asciiTheme="majorBidi" w:eastAsia="Times New Roman" w:hAnsiTheme="majorBidi" w:cstheme="majorBidi"/>
          <w:sz w:val="24"/>
          <w:szCs w:val="24"/>
          <w:lang w:val="en-US" w:eastAsia="fr-FR"/>
        </w:rPr>
        <w:t>: The correlation coefficient is 0.834, indicating a strong positive and statistically significant relationship at the 0.01 level (p = 0.001). An increase in the exchange rate (e.g., 35.36 in 2024) is associated with higher GDP, potentially reflecting the improved competitiveness of Turkish exports.</w:t>
      </w:r>
    </w:p>
    <w:p w14:paraId="761A4EF2" w14:textId="5BA33B61"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Growth and Inflation</w:t>
      </w:r>
      <w:r w:rsidRPr="002551A7">
        <w:rPr>
          <w:rFonts w:asciiTheme="majorBidi" w:eastAsia="Times New Roman" w:hAnsiTheme="majorBidi" w:cstheme="majorBidi"/>
          <w:sz w:val="24"/>
          <w:szCs w:val="24"/>
          <w:lang w:val="en-US" w:eastAsia="fr-FR"/>
        </w:rPr>
        <w:t>: The correlation coefficient is 0.012, suggesting a very weak positive and statistically insignificant relationship (p = 0.971). This indicates that GDP growth is not clearly influenced by inflation levels.</w:t>
      </w:r>
    </w:p>
    <w:p w14:paraId="6A53A295" w14:textId="68180F55"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Growth and Unemployment</w:t>
      </w:r>
      <w:r w:rsidRPr="002551A7">
        <w:rPr>
          <w:rFonts w:asciiTheme="majorBidi" w:eastAsia="Times New Roman" w:hAnsiTheme="majorBidi" w:cstheme="majorBidi"/>
          <w:sz w:val="24"/>
          <w:szCs w:val="24"/>
          <w:lang w:val="en-US" w:eastAsia="fr-FR"/>
        </w:rPr>
        <w:t>: The correlation coefficient is -0.192, suggesting a weak negative and statistically insignificant relationship (p = 0.572). Changes in the unemployment rate do not appear to be strongly linked to GDP growth.</w:t>
      </w:r>
    </w:p>
    <w:p w14:paraId="259113F5" w14:textId="7FF7ED43"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GDP Growth and Exchange Rate</w:t>
      </w:r>
      <w:r w:rsidRPr="002551A7">
        <w:rPr>
          <w:rFonts w:asciiTheme="majorBidi" w:eastAsia="Times New Roman" w:hAnsiTheme="majorBidi" w:cstheme="majorBidi"/>
          <w:sz w:val="24"/>
          <w:szCs w:val="24"/>
          <w:lang w:val="en-US" w:eastAsia="fr-FR"/>
        </w:rPr>
        <w:t>: The correlation coefficient is 0.025, indicating a very weak positive and statistically insignificant relationship (p = 0.943). This suggests that increases in the exchange rate do not directly affect GDP growth rates.</w:t>
      </w:r>
    </w:p>
    <w:p w14:paraId="49B77213" w14:textId="0AD4C0A4"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Inflation and Unemployment</w:t>
      </w:r>
      <w:r w:rsidRPr="002551A7">
        <w:rPr>
          <w:rFonts w:asciiTheme="majorBidi" w:eastAsia="Times New Roman" w:hAnsiTheme="majorBidi" w:cstheme="majorBidi"/>
          <w:sz w:val="24"/>
          <w:szCs w:val="24"/>
          <w:lang w:val="en-US" w:eastAsia="fr-FR"/>
        </w:rPr>
        <w:t>: The correlation coefficient is -0.482, indicating a weak negative but statistically insignificant relationship (p = 0.133). This suggests that periods of high inflation (e.g., 2022) were accompanied by relative declines in unemployment, although the relationship is not strong enough to be statistically significant.</w:t>
      </w:r>
    </w:p>
    <w:p w14:paraId="1DA0151A" w14:textId="309DC798"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Inflation and Exchange Rate</w:t>
      </w:r>
      <w:r w:rsidRPr="002551A7">
        <w:rPr>
          <w:rFonts w:asciiTheme="majorBidi" w:eastAsia="Times New Roman" w:hAnsiTheme="majorBidi" w:cstheme="majorBidi"/>
          <w:sz w:val="24"/>
          <w:szCs w:val="24"/>
          <w:lang w:val="en-US" w:eastAsia="fr-FR"/>
        </w:rPr>
        <w:t>: The correlation coefficient is 0.866, reflecting a  strong positive and statistically significant relationship at the 0.01 level (p = 0.001). High inflation is strongly associated with increases in the exchange rate, as expected due to the depreciation of the Turkish lira amid rising inflation.</w:t>
      </w:r>
    </w:p>
    <w:p w14:paraId="381A3C44" w14:textId="77777777" w:rsidR="004A454C" w:rsidRDefault="00AC1791" w:rsidP="004A454C">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Unemployment and Exchange Rate</w:t>
      </w:r>
      <w:r w:rsidRPr="002551A7">
        <w:rPr>
          <w:rFonts w:asciiTheme="majorBidi" w:eastAsia="Times New Roman" w:hAnsiTheme="majorBidi" w:cstheme="majorBidi"/>
          <w:sz w:val="24"/>
          <w:szCs w:val="24"/>
          <w:lang w:val="en-US" w:eastAsia="fr-FR"/>
        </w:rPr>
        <w:t>: The correlation coefficient is -0.527, indicating a moderate negative but statistically insignificant relationship (p = 0.095). Lower unemployment is associated with a higher exchange rate, although the relationship lacks strong statistical significance.</w:t>
      </w:r>
    </w:p>
    <w:p w14:paraId="05773336" w14:textId="1939C98B" w:rsidR="00AC1791" w:rsidRPr="004A454C" w:rsidRDefault="00AC1791" w:rsidP="004A454C">
      <w:pPr>
        <w:pStyle w:val="ListParagraph"/>
        <w:numPr>
          <w:ilvl w:val="2"/>
          <w:numId w:val="39"/>
        </w:numPr>
        <w:spacing w:before="100" w:beforeAutospacing="1" w:after="100" w:afterAutospacing="1" w:line="360" w:lineRule="auto"/>
        <w:jc w:val="both"/>
        <w:rPr>
          <w:rFonts w:asciiTheme="majorBidi" w:eastAsia="Times New Roman" w:hAnsiTheme="majorBidi" w:cstheme="majorBidi"/>
          <w:sz w:val="24"/>
          <w:szCs w:val="24"/>
          <w:lang w:val="en-US" w:eastAsia="fr-FR"/>
        </w:rPr>
      </w:pPr>
      <w:bookmarkStart w:id="300" w:name="_Toc200720069"/>
      <w:bookmarkStart w:id="301" w:name="_Toc200721710"/>
      <w:r w:rsidRPr="00BB2F8D">
        <w:rPr>
          <w:rStyle w:val="Heading5Char"/>
          <w:rFonts w:eastAsiaTheme="minorHAnsi"/>
        </w:rPr>
        <w:t>Multiple Regression Analysis of the Impact of Economic Variables on GD</w:t>
      </w:r>
      <w:bookmarkEnd w:id="300"/>
      <w:bookmarkEnd w:id="301"/>
      <w:r w:rsidRPr="004A454C">
        <w:rPr>
          <w:rFonts w:asciiTheme="majorBidi" w:eastAsia="Times New Roman" w:hAnsiTheme="majorBidi" w:cstheme="majorBidi"/>
          <w:b/>
          <w:bCs/>
          <w:sz w:val="24"/>
          <w:szCs w:val="24"/>
          <w:lang w:val="en-US" w:eastAsia="fr-FR"/>
        </w:rPr>
        <w:t>P</w:t>
      </w:r>
    </w:p>
    <w:p w14:paraId="10E05C90" w14:textId="77777777" w:rsidR="00821039" w:rsidRDefault="00AC1791" w:rsidP="00821039">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This section aims to examine the relationship between Gross Domestic Product (GDP) as the dependent variable and the independent variables (Inflation, Unemployment, and Exchange Rate) using multiple regression analysis. The analysis was conducted using SPSS based on annual data from 2014 to 2024 (n = 11), with the objective of determining the extent to which each economic factor influences GDP. This understanding is essential for evaluating the feasibility of exporting to the Turkish market.</w:t>
      </w:r>
    </w:p>
    <w:p w14:paraId="5E46682D" w14:textId="0D288033" w:rsidR="00AC1791" w:rsidRPr="00EB3899" w:rsidRDefault="00821039" w:rsidP="00821039">
      <w:pPr>
        <w:spacing w:before="100" w:beforeAutospacing="1" w:after="100" w:afterAutospacing="1"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b/>
          <w:bCs/>
          <w:sz w:val="24"/>
          <w:szCs w:val="24"/>
          <w:lang w:val="en-US" w:eastAsia="fr-FR"/>
        </w:rPr>
        <w:t>2.2.3.1</w:t>
      </w:r>
      <w:r w:rsidR="00AC1791" w:rsidRPr="002551A7">
        <w:rPr>
          <w:rFonts w:asciiTheme="majorBidi" w:eastAsia="Times New Roman" w:hAnsiTheme="majorBidi" w:cstheme="majorBidi"/>
          <w:b/>
          <w:bCs/>
          <w:sz w:val="24"/>
          <w:szCs w:val="24"/>
          <w:lang w:val="en-US" w:eastAsia="fr-FR"/>
        </w:rPr>
        <w:t xml:space="preserve">. </w:t>
      </w:r>
      <w:r w:rsidR="00AC1791" w:rsidRPr="00EB3899">
        <w:rPr>
          <w:rStyle w:val="Heading6Char"/>
          <w:rFonts w:cstheme="majorBidi"/>
          <w:sz w:val="24"/>
          <w:szCs w:val="24"/>
          <w:lang w:val="en-US"/>
        </w:rPr>
        <w:t>Model Descriptio</w:t>
      </w:r>
      <w:r w:rsidR="00AC1791" w:rsidRPr="00EB3899">
        <w:rPr>
          <w:rFonts w:asciiTheme="majorBidi" w:eastAsia="Times New Roman" w:hAnsiTheme="majorBidi" w:cstheme="majorBidi"/>
          <w:b/>
          <w:bCs/>
          <w:sz w:val="24"/>
          <w:szCs w:val="24"/>
          <w:lang w:val="en-US" w:eastAsia="fr-FR"/>
        </w:rPr>
        <w:t>n</w:t>
      </w:r>
    </w:p>
    <w:p w14:paraId="4E177072"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The multiple regression model is expressed by the following equation:</w:t>
      </w:r>
    </w:p>
    <w:p w14:paraId="7441A70B" w14:textId="77777777" w:rsidR="00AC1791" w:rsidRPr="002551A7" w:rsidRDefault="00AC1791" w:rsidP="002551A7">
      <w:pPr>
        <w:spacing w:after="0" w:line="360" w:lineRule="auto"/>
        <w:jc w:val="center"/>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GDP =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0</w:t>
      </w:r>
      <w:r w:rsidRPr="002551A7">
        <w:rPr>
          <w:rFonts w:asciiTheme="majorBidi" w:eastAsia="Times New Roman" w:hAnsiTheme="majorBidi" w:cstheme="majorBidi"/>
          <w:sz w:val="24"/>
          <w:szCs w:val="24"/>
          <w:lang w:val="en-US" w:eastAsia="fr-FR"/>
        </w:rPr>
        <w:t xml:space="preserve"> +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1</w:t>
      </w:r>
      <w:r w:rsidRPr="002551A7">
        <w:rPr>
          <w:rFonts w:asciiTheme="majorBidi" w:eastAsia="Times New Roman" w:hAnsiTheme="majorBidi" w:cstheme="majorBidi"/>
          <w:sz w:val="24"/>
          <w:szCs w:val="24"/>
          <w:lang w:val="en-US" w:eastAsia="fr-FR"/>
        </w:rPr>
        <w:t>​</w:t>
      </w:r>
      <w:r w:rsidRPr="002551A7">
        <w:rPr>
          <w:rFonts w:ascii="Cambria Math" w:eastAsia="Times New Roman" w:hAnsi="Cambria Math" w:cs="Cambria Math"/>
          <w:sz w:val="24"/>
          <w:szCs w:val="24"/>
          <w:lang w:val="en-US" w:eastAsia="fr-FR"/>
        </w:rPr>
        <w:t>⋅</w:t>
      </w:r>
      <w:r w:rsidRPr="002551A7">
        <w:rPr>
          <w:rFonts w:asciiTheme="majorBidi" w:eastAsia="Times New Roman" w:hAnsiTheme="majorBidi" w:cstheme="majorBidi"/>
          <w:sz w:val="24"/>
          <w:szCs w:val="24"/>
          <w:lang w:val="en-US" w:eastAsia="fr-FR"/>
        </w:rPr>
        <w:t xml:space="preserve">Inflation +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2</w:t>
      </w:r>
      <w:r w:rsidRPr="002551A7">
        <w:rPr>
          <w:rFonts w:asciiTheme="majorBidi" w:eastAsia="Times New Roman" w:hAnsiTheme="majorBidi" w:cstheme="majorBidi"/>
          <w:sz w:val="24"/>
          <w:szCs w:val="24"/>
          <w:lang w:val="en-US" w:eastAsia="fr-FR"/>
        </w:rPr>
        <w:t>​</w:t>
      </w:r>
      <w:r w:rsidRPr="002551A7">
        <w:rPr>
          <w:rFonts w:ascii="Cambria Math" w:eastAsia="Times New Roman" w:hAnsi="Cambria Math" w:cs="Cambria Math"/>
          <w:sz w:val="24"/>
          <w:szCs w:val="24"/>
          <w:lang w:val="en-US" w:eastAsia="fr-FR"/>
        </w:rPr>
        <w:t>⋅</w:t>
      </w:r>
      <w:r w:rsidRPr="002551A7">
        <w:rPr>
          <w:rFonts w:asciiTheme="majorBidi" w:eastAsia="Times New Roman" w:hAnsiTheme="majorBidi" w:cstheme="majorBidi"/>
          <w:sz w:val="24"/>
          <w:szCs w:val="24"/>
          <w:lang w:val="en-US" w:eastAsia="fr-FR"/>
        </w:rPr>
        <w:t xml:space="preserve">Unemployment +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3</w:t>
      </w:r>
      <w:r w:rsidRPr="002551A7">
        <w:rPr>
          <w:rFonts w:asciiTheme="majorBidi" w:eastAsia="Times New Roman" w:hAnsiTheme="majorBidi" w:cstheme="majorBidi"/>
          <w:sz w:val="24"/>
          <w:szCs w:val="24"/>
          <w:lang w:val="en-US" w:eastAsia="fr-FR"/>
        </w:rPr>
        <w:t>​</w:t>
      </w:r>
      <w:r w:rsidRPr="002551A7">
        <w:rPr>
          <w:rFonts w:ascii="Cambria Math" w:eastAsia="Times New Roman" w:hAnsi="Cambria Math" w:cs="Cambria Math"/>
          <w:sz w:val="24"/>
          <w:szCs w:val="24"/>
          <w:lang w:val="en-US" w:eastAsia="fr-FR"/>
        </w:rPr>
        <w:t>⋅</w:t>
      </w:r>
      <w:r w:rsidRPr="002551A7">
        <w:rPr>
          <w:rFonts w:asciiTheme="majorBidi" w:eastAsia="Times New Roman" w:hAnsiTheme="majorBidi" w:cstheme="majorBidi"/>
          <w:sz w:val="24"/>
          <w:szCs w:val="24"/>
          <w:lang w:val="en-US" w:eastAsia="fr-FR"/>
        </w:rPr>
        <w:t xml:space="preserve">Exchange Rate + </w:t>
      </w:r>
      <w:r w:rsidRPr="002551A7">
        <w:rPr>
          <w:rFonts w:asciiTheme="majorBidi" w:eastAsia="Times New Roman" w:hAnsiTheme="majorBidi" w:cstheme="majorBidi"/>
          <w:sz w:val="24"/>
          <w:szCs w:val="24"/>
          <w:lang w:eastAsia="fr-FR"/>
        </w:rPr>
        <w:t>ϵ</w:t>
      </w:r>
    </w:p>
    <w:p w14:paraId="15B244D7"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Where:</w:t>
      </w:r>
    </w:p>
    <w:p w14:paraId="730798AF" w14:textId="77777777" w:rsidR="00AC1791" w:rsidRPr="002551A7" w:rsidRDefault="00AC1791" w:rsidP="00057285">
      <w:pPr>
        <w:numPr>
          <w:ilvl w:val="0"/>
          <w:numId w:val="4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 xml:space="preserve">0 </w:t>
      </w:r>
      <w:r w:rsidRPr="002551A7">
        <w:rPr>
          <w:rFonts w:asciiTheme="majorBidi" w:eastAsia="Times New Roman" w:hAnsiTheme="majorBidi" w:cstheme="majorBidi"/>
          <w:sz w:val="24"/>
          <w:szCs w:val="24"/>
          <w:lang w:val="en-US" w:eastAsia="fr-FR"/>
        </w:rPr>
        <w:t>​ is the intercept,</w:t>
      </w:r>
    </w:p>
    <w:p w14:paraId="057974B4" w14:textId="77777777" w:rsidR="00AC1791" w:rsidRPr="002551A7" w:rsidRDefault="00AC1791" w:rsidP="00057285">
      <w:pPr>
        <w:numPr>
          <w:ilvl w:val="0"/>
          <w:numId w:val="4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1</w:t>
      </w:r>
      <w:r w:rsidRPr="002551A7">
        <w:rPr>
          <w:rFonts w:asciiTheme="majorBidi" w:eastAsia="Times New Roman" w:hAnsiTheme="majorBidi" w:cstheme="majorBidi"/>
          <w:sz w:val="24"/>
          <w:szCs w:val="24"/>
          <w:lang w:val="en-US" w:eastAsia="fr-FR"/>
        </w:rPr>
        <w:t xml:space="preserve">,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2</w:t>
      </w:r>
      <w:r w:rsidRPr="002551A7">
        <w:rPr>
          <w:rFonts w:asciiTheme="majorBidi" w:eastAsia="Times New Roman" w:hAnsiTheme="majorBidi" w:cstheme="majorBidi"/>
          <w:sz w:val="24"/>
          <w:szCs w:val="24"/>
          <w:lang w:val="en-US" w:eastAsia="fr-FR"/>
        </w:rPr>
        <w:t xml:space="preserve"> and </w:t>
      </w:r>
      <w:r w:rsidRPr="002551A7">
        <w:rPr>
          <w:rFonts w:asciiTheme="majorBidi" w:eastAsia="Times New Roman" w:hAnsiTheme="majorBidi" w:cstheme="majorBidi"/>
          <w:sz w:val="24"/>
          <w:szCs w:val="24"/>
          <w:lang w:eastAsia="fr-FR"/>
        </w:rPr>
        <w:t>β</w:t>
      </w:r>
      <w:r w:rsidRPr="002551A7">
        <w:rPr>
          <w:rFonts w:asciiTheme="majorBidi" w:eastAsia="Times New Roman" w:hAnsiTheme="majorBidi" w:cstheme="majorBidi"/>
          <w:sz w:val="24"/>
          <w:szCs w:val="24"/>
          <w:vertAlign w:val="subscript"/>
          <w:lang w:val="en-US" w:eastAsia="fr-FR"/>
        </w:rPr>
        <w:t>3</w:t>
      </w:r>
      <w:r w:rsidRPr="002551A7">
        <w:rPr>
          <w:rFonts w:asciiTheme="majorBidi" w:eastAsia="Times New Roman" w:hAnsiTheme="majorBidi" w:cstheme="majorBidi"/>
          <w:sz w:val="24"/>
          <w:szCs w:val="24"/>
          <w:lang w:val="en-US" w:eastAsia="fr-FR"/>
        </w:rPr>
        <w:t xml:space="preserve"> are the regression coefficients for Inflation, Unemployment, and Exchange Rate respectively,</w:t>
      </w:r>
    </w:p>
    <w:p w14:paraId="1F7ECC13" w14:textId="77777777" w:rsidR="00AC1791" w:rsidRPr="002551A7" w:rsidRDefault="00AC1791" w:rsidP="00057285">
      <w:pPr>
        <w:numPr>
          <w:ilvl w:val="0"/>
          <w:numId w:val="4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eastAsia="fr-FR"/>
        </w:rPr>
        <w:t>ϵ</w:t>
      </w:r>
      <w:r w:rsidRPr="002551A7">
        <w:rPr>
          <w:rFonts w:asciiTheme="majorBidi" w:eastAsia="Times New Roman" w:hAnsiTheme="majorBidi" w:cstheme="majorBidi"/>
          <w:sz w:val="24"/>
          <w:szCs w:val="24"/>
          <w:lang w:val="en-US" w:eastAsia="fr-FR"/>
        </w:rPr>
        <w:t xml:space="preserve"> represents the random error term.</w:t>
      </w:r>
    </w:p>
    <w:p w14:paraId="5E67AE98"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The "Enter" method was used to include all independent variables (Inflation, Unemployment, Exchange Rate) into the model simultaneously.</w:t>
      </w:r>
    </w:p>
    <w:p w14:paraId="4AA1F82D" w14:textId="5C9C67A6" w:rsidR="00AC1791" w:rsidRPr="002551A7" w:rsidRDefault="00821039" w:rsidP="002551A7">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r>
        <w:rPr>
          <w:rFonts w:asciiTheme="majorBidi" w:eastAsia="Times New Roman" w:hAnsiTheme="majorBidi" w:cstheme="majorBidi"/>
          <w:b/>
          <w:bCs/>
          <w:sz w:val="24"/>
          <w:szCs w:val="24"/>
          <w:lang w:val="en-US" w:eastAsia="fr-FR"/>
        </w:rPr>
        <w:t>2.2.3</w:t>
      </w:r>
      <w:r w:rsidR="00AC1791" w:rsidRPr="002551A7">
        <w:rPr>
          <w:rFonts w:asciiTheme="majorBidi" w:eastAsia="Times New Roman" w:hAnsiTheme="majorBidi" w:cstheme="majorBidi"/>
          <w:b/>
          <w:bCs/>
          <w:sz w:val="24"/>
          <w:szCs w:val="24"/>
          <w:lang w:val="en-US" w:eastAsia="fr-FR"/>
        </w:rPr>
        <w:t xml:space="preserve">.2. </w:t>
      </w:r>
      <w:r w:rsidR="00AC1791" w:rsidRPr="00BD2EAB">
        <w:rPr>
          <w:rStyle w:val="Heading6Char"/>
          <w:lang w:val="en-US"/>
        </w:rPr>
        <w:t>Model Summar</w:t>
      </w:r>
      <w:r w:rsidR="00AC1791" w:rsidRPr="00BB2F8D">
        <w:rPr>
          <w:rFonts w:asciiTheme="majorBidi" w:eastAsia="Times New Roman" w:hAnsiTheme="majorBidi" w:cstheme="majorBidi"/>
          <w:b/>
          <w:bCs/>
          <w:lang w:val="en-US" w:eastAsia="fr-FR"/>
        </w:rPr>
        <w:t>y</w:t>
      </w:r>
    </w:p>
    <w:p w14:paraId="42BAB2F6"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Table 1 presents the model fit statistics for the multiple regression model:</w:t>
      </w:r>
    </w:p>
    <w:p w14:paraId="0F704E5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b/>
          <w:bCs/>
          <w:sz w:val="24"/>
          <w:szCs w:val="24"/>
          <w:lang w:eastAsia="fr-FR"/>
        </w:rPr>
        <w:t xml:space="preserve">Table 7 </w:t>
      </w:r>
      <w:r w:rsidRPr="002551A7">
        <w:rPr>
          <w:rFonts w:asciiTheme="majorBidi" w:eastAsia="Times New Roman" w:hAnsiTheme="majorBidi" w:cstheme="majorBidi"/>
          <w:sz w:val="24"/>
          <w:szCs w:val="24"/>
          <w:lang w:eastAsia="fr-FR"/>
        </w:rPr>
        <w:t>: Model Summar</w:t>
      </w:r>
    </w:p>
    <w:tbl>
      <w:tblPr>
        <w:tblStyle w:val="TableGrid"/>
        <w:tblW w:w="0" w:type="auto"/>
        <w:tblLook w:val="04A0" w:firstRow="1" w:lastRow="0" w:firstColumn="1" w:lastColumn="0" w:noHBand="0" w:noVBand="1"/>
      </w:tblPr>
      <w:tblGrid>
        <w:gridCol w:w="1684"/>
        <w:gridCol w:w="2085"/>
        <w:gridCol w:w="1182"/>
        <w:gridCol w:w="1300"/>
        <w:gridCol w:w="2811"/>
      </w:tblGrid>
      <w:tr w:rsidR="00AC1791" w:rsidRPr="00FB2AD1" w14:paraId="10E36F80" w14:textId="77777777" w:rsidTr="00BF43C8">
        <w:trPr>
          <w:trHeight w:val="285"/>
        </w:trPr>
        <w:tc>
          <w:tcPr>
            <w:tcW w:w="1684" w:type="dxa"/>
            <w:noWrap/>
            <w:hideMark/>
          </w:tcPr>
          <w:p w14:paraId="6279A08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Model</w:t>
            </w:r>
          </w:p>
        </w:tc>
        <w:tc>
          <w:tcPr>
            <w:tcW w:w="2085" w:type="dxa"/>
            <w:noWrap/>
            <w:hideMark/>
          </w:tcPr>
          <w:p w14:paraId="6F0FC40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R</w:t>
            </w:r>
          </w:p>
        </w:tc>
        <w:tc>
          <w:tcPr>
            <w:tcW w:w="1182" w:type="dxa"/>
            <w:noWrap/>
            <w:hideMark/>
          </w:tcPr>
          <w:p w14:paraId="4AE0968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R Square</w:t>
            </w:r>
          </w:p>
        </w:tc>
        <w:tc>
          <w:tcPr>
            <w:tcW w:w="1300" w:type="dxa"/>
            <w:noWrap/>
            <w:hideMark/>
          </w:tcPr>
          <w:p w14:paraId="24FBFCFB"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Adjusted R Square</w:t>
            </w:r>
          </w:p>
        </w:tc>
        <w:tc>
          <w:tcPr>
            <w:tcW w:w="2811" w:type="dxa"/>
            <w:noWrap/>
            <w:hideMark/>
          </w:tcPr>
          <w:p w14:paraId="722502A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lang w:val="en-US"/>
              </w:rPr>
            </w:pPr>
            <w:r w:rsidRPr="002551A7">
              <w:rPr>
                <w:rFonts w:asciiTheme="majorBidi" w:eastAsia="Times New Roman" w:hAnsiTheme="majorBidi" w:cstheme="majorBidi"/>
                <w:sz w:val="24"/>
                <w:szCs w:val="24"/>
                <w:lang w:val="en-US"/>
              </w:rPr>
              <w:t>Std. Error of the Estimate</w:t>
            </w:r>
          </w:p>
        </w:tc>
      </w:tr>
      <w:tr w:rsidR="00AC1791" w:rsidRPr="002551A7" w14:paraId="21D553F1" w14:textId="77777777" w:rsidTr="00BF43C8">
        <w:trPr>
          <w:trHeight w:val="285"/>
        </w:trPr>
        <w:tc>
          <w:tcPr>
            <w:tcW w:w="1684" w:type="dxa"/>
            <w:noWrap/>
            <w:hideMark/>
          </w:tcPr>
          <w:p w14:paraId="0039493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w:t>
            </w:r>
          </w:p>
        </w:tc>
        <w:tc>
          <w:tcPr>
            <w:tcW w:w="2085" w:type="dxa"/>
            <w:noWrap/>
            <w:hideMark/>
          </w:tcPr>
          <w:p w14:paraId="30BA499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vertAlign w:val="superscript"/>
              </w:rPr>
            </w:pPr>
            <w:r w:rsidRPr="002551A7">
              <w:rPr>
                <w:rFonts w:asciiTheme="majorBidi" w:eastAsia="Times New Roman" w:hAnsiTheme="majorBidi" w:cstheme="majorBidi"/>
                <w:sz w:val="24"/>
                <w:szCs w:val="24"/>
              </w:rPr>
              <w:t>0.962</w:t>
            </w:r>
            <w:r w:rsidRPr="002551A7">
              <w:rPr>
                <w:rFonts w:asciiTheme="majorBidi" w:eastAsia="Times New Roman" w:hAnsiTheme="majorBidi" w:cstheme="majorBidi"/>
                <w:sz w:val="24"/>
                <w:szCs w:val="24"/>
                <w:vertAlign w:val="superscript"/>
              </w:rPr>
              <w:t>a</w:t>
            </w:r>
          </w:p>
        </w:tc>
        <w:tc>
          <w:tcPr>
            <w:tcW w:w="1182" w:type="dxa"/>
            <w:noWrap/>
            <w:hideMark/>
          </w:tcPr>
          <w:p w14:paraId="75A565A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0.926</w:t>
            </w:r>
          </w:p>
        </w:tc>
        <w:tc>
          <w:tcPr>
            <w:tcW w:w="1300" w:type="dxa"/>
            <w:noWrap/>
            <w:hideMark/>
          </w:tcPr>
          <w:p w14:paraId="6539399D"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0.894</w:t>
            </w:r>
          </w:p>
        </w:tc>
        <w:tc>
          <w:tcPr>
            <w:tcW w:w="2811" w:type="dxa"/>
            <w:noWrap/>
            <w:hideMark/>
          </w:tcPr>
          <w:p w14:paraId="5F6431B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56713.66321</w:t>
            </w:r>
          </w:p>
        </w:tc>
      </w:tr>
    </w:tbl>
    <w:p w14:paraId="1001F914" w14:textId="5460688C"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36BD3468" w14:textId="77777777" w:rsidR="00AC1791" w:rsidRPr="002551A7" w:rsidRDefault="00AC1791" w:rsidP="002551A7">
      <w:pPr>
        <w:spacing w:before="100" w:beforeAutospacing="1" w:after="100" w:afterAutospacing="1"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model exhibits a very strong correlation between the independent variables (Inflation, Unemployment, Exchange Rate) and the dependent variable (GDP), as indicated by an R value of 0.962. The coefficient of determination (R²) is 0.926, suggesting that approximately 92.6% of the variance in GDP is explained by the combined influence of the independent variables.</w:t>
      </w:r>
      <w:r w:rsidRPr="002551A7">
        <w:rPr>
          <w:rFonts w:asciiTheme="majorBidi" w:hAnsiTheme="majorBidi" w:cstheme="majorBidi"/>
          <w:sz w:val="24"/>
          <w:szCs w:val="24"/>
          <w:lang w:val="en-US"/>
        </w:rPr>
        <w:br/>
        <w:t>The Adjusted R² value of 0.894, which accounts for the number of predictors and sample size, confirms the robustness and generalizability of the model. The standard error of the estimate is 56,713.66, indicating that, on average, the predicted GDP values deviate from the actual values by this amount, which is relatively reasonable compared to the average GDP value (905,520.64).</w:t>
      </w:r>
    </w:p>
    <w:p w14:paraId="13903FD8" w14:textId="2D3D84CC" w:rsidR="00AC1791" w:rsidRPr="002551A7" w:rsidRDefault="00821039" w:rsidP="002551A7">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r>
        <w:rPr>
          <w:rFonts w:asciiTheme="majorBidi" w:eastAsia="Times New Roman" w:hAnsiTheme="majorBidi" w:cstheme="majorBidi"/>
          <w:b/>
          <w:bCs/>
          <w:sz w:val="24"/>
          <w:szCs w:val="24"/>
          <w:lang w:val="en-US" w:eastAsia="fr-FR"/>
        </w:rPr>
        <w:t>2.2.3</w:t>
      </w:r>
      <w:r w:rsidR="00AC1791" w:rsidRPr="002551A7">
        <w:rPr>
          <w:rFonts w:asciiTheme="majorBidi" w:eastAsia="Times New Roman" w:hAnsiTheme="majorBidi" w:cstheme="majorBidi"/>
          <w:b/>
          <w:bCs/>
          <w:sz w:val="24"/>
          <w:szCs w:val="24"/>
          <w:lang w:val="en-US" w:eastAsia="fr-FR"/>
        </w:rPr>
        <w:t xml:space="preserve">.3. </w:t>
      </w:r>
      <w:r w:rsidR="00AC1791" w:rsidRPr="00BD2EAB">
        <w:rPr>
          <w:rStyle w:val="Heading6Char"/>
          <w:lang w:val="en-US"/>
        </w:rPr>
        <w:t>Analysis of Variance (ANOVA</w:t>
      </w:r>
      <w:r w:rsidR="00AC1791" w:rsidRPr="00BB2F8D">
        <w:rPr>
          <w:rFonts w:asciiTheme="majorBidi" w:eastAsia="Times New Roman" w:hAnsiTheme="majorBidi" w:cstheme="majorBidi"/>
          <w:b/>
          <w:bCs/>
          <w:lang w:val="en-US" w:eastAsia="fr-FR"/>
        </w:rPr>
        <w:t>)</w:t>
      </w:r>
    </w:p>
    <w:p w14:paraId="1FEDEE94"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Table 2 summarizes the results of the ANOVA test, which evaluates the overall statistical significance of the regression model:</w:t>
      </w:r>
    </w:p>
    <w:p w14:paraId="72AD602C" w14:textId="2FFAB105" w:rsidR="00AC1791" w:rsidRPr="002551A7" w:rsidRDefault="00AC1791" w:rsidP="00B9465F">
      <w:pPr>
        <w:spacing w:before="100" w:beforeAutospacing="1" w:after="100" w:afterAutospacing="1"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b/>
          <w:bCs/>
          <w:sz w:val="24"/>
          <w:szCs w:val="24"/>
          <w:lang w:eastAsia="fr-FR"/>
        </w:rPr>
        <w:t>Table 8:</w:t>
      </w:r>
      <w:r w:rsidRPr="002551A7">
        <w:rPr>
          <w:rFonts w:asciiTheme="majorBidi" w:eastAsia="Times New Roman" w:hAnsiTheme="majorBidi" w:cstheme="majorBidi"/>
          <w:sz w:val="24"/>
          <w:szCs w:val="24"/>
          <w:lang w:eastAsia="fr-FR"/>
        </w:rPr>
        <w:t xml:space="preserve"> ANOVA Results</w:t>
      </w:r>
    </w:p>
    <w:tbl>
      <w:tblPr>
        <w:tblStyle w:val="TableGrid"/>
        <w:tblW w:w="0" w:type="auto"/>
        <w:tblLook w:val="04A0" w:firstRow="1" w:lastRow="0" w:firstColumn="1" w:lastColumn="0" w:noHBand="0" w:noVBand="1"/>
      </w:tblPr>
      <w:tblGrid>
        <w:gridCol w:w="1125"/>
        <w:gridCol w:w="1370"/>
        <w:gridCol w:w="1992"/>
        <w:gridCol w:w="701"/>
        <w:gridCol w:w="2133"/>
        <w:gridCol w:w="905"/>
        <w:gridCol w:w="836"/>
      </w:tblGrid>
      <w:tr w:rsidR="00AC1791" w:rsidRPr="002551A7" w14:paraId="76063D7B" w14:textId="77777777" w:rsidTr="001453AF">
        <w:trPr>
          <w:trHeight w:val="285"/>
        </w:trPr>
        <w:tc>
          <w:tcPr>
            <w:tcW w:w="1125" w:type="dxa"/>
            <w:noWrap/>
            <w:hideMark/>
          </w:tcPr>
          <w:p w14:paraId="004F7319"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Model</w:t>
            </w:r>
          </w:p>
        </w:tc>
        <w:tc>
          <w:tcPr>
            <w:tcW w:w="1370" w:type="dxa"/>
            <w:noWrap/>
            <w:hideMark/>
          </w:tcPr>
          <w:p w14:paraId="02FF23FC"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c>
          <w:tcPr>
            <w:tcW w:w="1992" w:type="dxa"/>
            <w:noWrap/>
            <w:hideMark/>
          </w:tcPr>
          <w:p w14:paraId="111419D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Sum of Squares</w:t>
            </w:r>
          </w:p>
        </w:tc>
        <w:tc>
          <w:tcPr>
            <w:tcW w:w="701" w:type="dxa"/>
            <w:noWrap/>
            <w:hideMark/>
          </w:tcPr>
          <w:p w14:paraId="4B313F0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df</w:t>
            </w:r>
          </w:p>
        </w:tc>
        <w:tc>
          <w:tcPr>
            <w:tcW w:w="2133" w:type="dxa"/>
            <w:noWrap/>
            <w:hideMark/>
          </w:tcPr>
          <w:p w14:paraId="3B4B4D30"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Mean Square</w:t>
            </w:r>
          </w:p>
        </w:tc>
        <w:tc>
          <w:tcPr>
            <w:tcW w:w="905" w:type="dxa"/>
            <w:noWrap/>
            <w:hideMark/>
          </w:tcPr>
          <w:p w14:paraId="52DD0C9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F</w:t>
            </w:r>
          </w:p>
        </w:tc>
        <w:tc>
          <w:tcPr>
            <w:tcW w:w="836" w:type="dxa"/>
            <w:noWrap/>
            <w:hideMark/>
          </w:tcPr>
          <w:p w14:paraId="0538FB1D"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Sig.</w:t>
            </w:r>
          </w:p>
        </w:tc>
      </w:tr>
      <w:tr w:rsidR="00AC1791" w:rsidRPr="002551A7" w14:paraId="69DCA8AA" w14:textId="77777777" w:rsidTr="001453AF">
        <w:trPr>
          <w:trHeight w:val="285"/>
        </w:trPr>
        <w:tc>
          <w:tcPr>
            <w:tcW w:w="1125" w:type="dxa"/>
            <w:noWrap/>
            <w:hideMark/>
          </w:tcPr>
          <w:p w14:paraId="68718F7E"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w:t>
            </w:r>
          </w:p>
        </w:tc>
        <w:tc>
          <w:tcPr>
            <w:tcW w:w="1370" w:type="dxa"/>
            <w:noWrap/>
            <w:hideMark/>
          </w:tcPr>
          <w:p w14:paraId="679ABFB2"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Regression</w:t>
            </w:r>
          </w:p>
        </w:tc>
        <w:tc>
          <w:tcPr>
            <w:tcW w:w="1992" w:type="dxa"/>
            <w:noWrap/>
            <w:hideMark/>
          </w:tcPr>
          <w:p w14:paraId="36B8F139"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2.82037E+11</w:t>
            </w:r>
          </w:p>
        </w:tc>
        <w:tc>
          <w:tcPr>
            <w:tcW w:w="701" w:type="dxa"/>
            <w:noWrap/>
            <w:hideMark/>
          </w:tcPr>
          <w:p w14:paraId="700ADE3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3</w:t>
            </w:r>
          </w:p>
        </w:tc>
        <w:tc>
          <w:tcPr>
            <w:tcW w:w="2133" w:type="dxa"/>
            <w:noWrap/>
            <w:hideMark/>
          </w:tcPr>
          <w:p w14:paraId="6BFBBAE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94012344988.467</w:t>
            </w:r>
          </w:p>
        </w:tc>
        <w:tc>
          <w:tcPr>
            <w:tcW w:w="905" w:type="dxa"/>
            <w:noWrap/>
            <w:hideMark/>
          </w:tcPr>
          <w:p w14:paraId="333DD801"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29.229</w:t>
            </w:r>
          </w:p>
        </w:tc>
        <w:tc>
          <w:tcPr>
            <w:tcW w:w="836" w:type="dxa"/>
            <w:noWrap/>
            <w:hideMark/>
          </w:tcPr>
          <w:p w14:paraId="66947F1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vertAlign w:val="superscript"/>
              </w:rPr>
            </w:pPr>
            <w:r w:rsidRPr="002551A7">
              <w:rPr>
                <w:rFonts w:asciiTheme="majorBidi" w:eastAsia="Times New Roman" w:hAnsiTheme="majorBidi" w:cstheme="majorBidi"/>
                <w:sz w:val="24"/>
                <w:szCs w:val="24"/>
              </w:rPr>
              <w:t>0.000</w:t>
            </w:r>
            <w:r w:rsidRPr="002551A7">
              <w:rPr>
                <w:rFonts w:asciiTheme="majorBidi" w:eastAsia="Times New Roman" w:hAnsiTheme="majorBidi" w:cstheme="majorBidi"/>
                <w:sz w:val="24"/>
                <w:szCs w:val="24"/>
                <w:vertAlign w:val="superscript"/>
              </w:rPr>
              <w:t>b</w:t>
            </w:r>
          </w:p>
        </w:tc>
      </w:tr>
      <w:tr w:rsidR="00AC1791" w:rsidRPr="002551A7" w14:paraId="6AD9A675" w14:textId="77777777" w:rsidTr="001453AF">
        <w:trPr>
          <w:gridBefore w:val="1"/>
          <w:wBefore w:w="1125" w:type="dxa"/>
          <w:trHeight w:val="285"/>
        </w:trPr>
        <w:tc>
          <w:tcPr>
            <w:tcW w:w="1370" w:type="dxa"/>
            <w:noWrap/>
            <w:hideMark/>
          </w:tcPr>
          <w:p w14:paraId="513F5FA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Residual</w:t>
            </w:r>
          </w:p>
        </w:tc>
        <w:tc>
          <w:tcPr>
            <w:tcW w:w="1992" w:type="dxa"/>
            <w:noWrap/>
            <w:hideMark/>
          </w:tcPr>
          <w:p w14:paraId="0745074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22515077159</w:t>
            </w:r>
          </w:p>
        </w:tc>
        <w:tc>
          <w:tcPr>
            <w:tcW w:w="701" w:type="dxa"/>
            <w:noWrap/>
            <w:hideMark/>
          </w:tcPr>
          <w:p w14:paraId="7E34C31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7</w:t>
            </w:r>
          </w:p>
        </w:tc>
        <w:tc>
          <w:tcPr>
            <w:tcW w:w="2133" w:type="dxa"/>
            <w:noWrap/>
            <w:hideMark/>
          </w:tcPr>
          <w:p w14:paraId="492D788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3216439594.164</w:t>
            </w:r>
          </w:p>
        </w:tc>
        <w:tc>
          <w:tcPr>
            <w:tcW w:w="905" w:type="dxa"/>
            <w:noWrap/>
            <w:hideMark/>
          </w:tcPr>
          <w:p w14:paraId="707613AE"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c>
          <w:tcPr>
            <w:tcW w:w="836" w:type="dxa"/>
            <w:noWrap/>
            <w:hideMark/>
          </w:tcPr>
          <w:p w14:paraId="7CDDFA5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r>
      <w:tr w:rsidR="00AC1791" w:rsidRPr="002551A7" w14:paraId="67062832" w14:textId="77777777" w:rsidTr="001453AF">
        <w:trPr>
          <w:gridBefore w:val="1"/>
          <w:wBefore w:w="1125" w:type="dxa"/>
          <w:trHeight w:val="285"/>
        </w:trPr>
        <w:tc>
          <w:tcPr>
            <w:tcW w:w="1370" w:type="dxa"/>
            <w:noWrap/>
            <w:hideMark/>
          </w:tcPr>
          <w:p w14:paraId="3AD3C207"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Total</w:t>
            </w:r>
          </w:p>
        </w:tc>
        <w:tc>
          <w:tcPr>
            <w:tcW w:w="1992" w:type="dxa"/>
            <w:noWrap/>
            <w:hideMark/>
          </w:tcPr>
          <w:p w14:paraId="68C75331"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3.04552E+11</w:t>
            </w:r>
          </w:p>
        </w:tc>
        <w:tc>
          <w:tcPr>
            <w:tcW w:w="701" w:type="dxa"/>
            <w:noWrap/>
            <w:hideMark/>
          </w:tcPr>
          <w:p w14:paraId="41CF7809"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10</w:t>
            </w:r>
          </w:p>
        </w:tc>
        <w:tc>
          <w:tcPr>
            <w:tcW w:w="2133" w:type="dxa"/>
            <w:noWrap/>
            <w:hideMark/>
          </w:tcPr>
          <w:p w14:paraId="4F3CC710"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c>
          <w:tcPr>
            <w:tcW w:w="905" w:type="dxa"/>
            <w:noWrap/>
            <w:hideMark/>
          </w:tcPr>
          <w:p w14:paraId="69AD89D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c>
          <w:tcPr>
            <w:tcW w:w="836" w:type="dxa"/>
            <w:noWrap/>
            <w:hideMark/>
          </w:tcPr>
          <w:p w14:paraId="418D5BC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p>
        </w:tc>
      </w:tr>
    </w:tbl>
    <w:p w14:paraId="7240F6A1" w14:textId="1197B281"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414270FB"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The model is statistically significant as a whole (F = 29.229, Sig. = 0.000, p &lt; 0.01), confirming that the independent variables jointly exert a significant influence on GDP.</w:t>
      </w:r>
    </w:p>
    <w:p w14:paraId="2CF515A4" w14:textId="006A3957" w:rsidR="00AC1791" w:rsidRPr="002551A7" w:rsidRDefault="00821039" w:rsidP="002551A7">
      <w:pPr>
        <w:spacing w:line="360" w:lineRule="auto"/>
        <w:jc w:val="both"/>
        <w:rPr>
          <w:rFonts w:asciiTheme="majorBidi" w:hAnsiTheme="majorBidi" w:cstheme="majorBidi"/>
          <w:b/>
          <w:bCs/>
          <w:sz w:val="24"/>
          <w:szCs w:val="24"/>
          <w:lang w:val="en-US" w:bidi="ar-DZ"/>
        </w:rPr>
      </w:pPr>
      <w:r>
        <w:rPr>
          <w:rFonts w:asciiTheme="majorBidi" w:hAnsiTheme="majorBidi" w:cstheme="majorBidi"/>
          <w:b/>
          <w:bCs/>
          <w:sz w:val="24"/>
          <w:szCs w:val="24"/>
          <w:lang w:val="en-US" w:bidi="ar-DZ"/>
        </w:rPr>
        <w:t>2.2.3.</w:t>
      </w:r>
      <w:r w:rsidR="00AC1791" w:rsidRPr="002551A7">
        <w:rPr>
          <w:rFonts w:asciiTheme="majorBidi" w:hAnsiTheme="majorBidi" w:cstheme="majorBidi"/>
          <w:b/>
          <w:bCs/>
          <w:sz w:val="24"/>
          <w:szCs w:val="24"/>
          <w:lang w:val="en-US" w:bidi="ar-DZ"/>
        </w:rPr>
        <w:t xml:space="preserve">4. </w:t>
      </w:r>
      <w:r w:rsidR="00AC1791" w:rsidRPr="00BD2EAB">
        <w:rPr>
          <w:rStyle w:val="Heading6Char"/>
          <w:lang w:val="en-US"/>
        </w:rPr>
        <w:t>Regression Coefficient</w:t>
      </w:r>
      <w:r w:rsidR="00AC1791" w:rsidRPr="00BB2F8D">
        <w:rPr>
          <w:rFonts w:asciiTheme="majorBidi" w:hAnsiTheme="majorBidi" w:cstheme="majorBidi"/>
          <w:b/>
          <w:bCs/>
          <w:lang w:val="en-US" w:bidi="ar-DZ"/>
        </w:rPr>
        <w:t>s</w:t>
      </w:r>
      <w:r w:rsidR="00AC1791" w:rsidRPr="002551A7">
        <w:rPr>
          <w:rFonts w:asciiTheme="majorBidi" w:hAnsiTheme="majorBidi" w:cstheme="majorBidi"/>
          <w:b/>
          <w:bCs/>
          <w:sz w:val="24"/>
          <w:szCs w:val="24"/>
          <w:lang w:val="en-US" w:bidi="ar-DZ"/>
        </w:rPr>
        <w:t xml:space="preserve"> </w:t>
      </w:r>
    </w:p>
    <w:p w14:paraId="514C00DB"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Table 3 presents the estimated regression coefficients for each independent variable:</w:t>
      </w:r>
    </w:p>
    <w:p w14:paraId="6BC9A7F3" w14:textId="77777777" w:rsidR="00AC1791" w:rsidRPr="002551A7" w:rsidRDefault="00AC1791" w:rsidP="002551A7">
      <w:pPr>
        <w:spacing w:line="360" w:lineRule="auto"/>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9:</w:t>
      </w:r>
      <w:r w:rsidRPr="002551A7">
        <w:rPr>
          <w:rFonts w:asciiTheme="majorBidi" w:hAnsiTheme="majorBidi" w:cstheme="majorBidi"/>
          <w:sz w:val="24"/>
          <w:szCs w:val="24"/>
          <w:lang w:val="en-US" w:bidi="ar-DZ"/>
        </w:rPr>
        <w:t xml:space="preserve"> regression coefficients</w:t>
      </w:r>
    </w:p>
    <w:tbl>
      <w:tblPr>
        <w:tblStyle w:val="TableGrid"/>
        <w:tblW w:w="0" w:type="auto"/>
        <w:tblLook w:val="04A0" w:firstRow="1" w:lastRow="0" w:firstColumn="1" w:lastColumn="0" w:noHBand="0" w:noVBand="1"/>
      </w:tblPr>
      <w:tblGrid>
        <w:gridCol w:w="1001"/>
        <w:gridCol w:w="1710"/>
        <w:gridCol w:w="1560"/>
        <w:gridCol w:w="1356"/>
        <w:gridCol w:w="1609"/>
        <w:gridCol w:w="965"/>
        <w:gridCol w:w="861"/>
      </w:tblGrid>
      <w:tr w:rsidR="00AC1791" w:rsidRPr="002551A7" w14:paraId="07D61F3E" w14:textId="77777777" w:rsidTr="00094FFB">
        <w:trPr>
          <w:trHeight w:val="2067"/>
        </w:trPr>
        <w:tc>
          <w:tcPr>
            <w:tcW w:w="1001" w:type="dxa"/>
            <w:vMerge w:val="restart"/>
            <w:noWrap/>
            <w:hideMark/>
          </w:tcPr>
          <w:p w14:paraId="323CFFAD" w14:textId="77777777" w:rsidR="00AC1791" w:rsidRPr="002551A7" w:rsidRDefault="00AC1791" w:rsidP="002551A7">
            <w:pPr>
              <w:spacing w:line="360" w:lineRule="auto"/>
              <w:jc w:val="both"/>
              <w:rPr>
                <w:rFonts w:asciiTheme="majorBidi" w:hAnsiTheme="majorBidi" w:cstheme="majorBidi"/>
                <w:sz w:val="24"/>
                <w:szCs w:val="24"/>
                <w:lang w:bidi="ar-DZ"/>
              </w:rPr>
            </w:pPr>
            <w:bookmarkStart w:id="302" w:name="RANGE!B92"/>
            <w:bookmarkStart w:id="303" w:name="_Hlk196598555" w:colFirst="2" w:colLast="6"/>
            <w:r w:rsidRPr="002551A7">
              <w:rPr>
                <w:rFonts w:asciiTheme="majorBidi" w:hAnsiTheme="majorBidi" w:cstheme="majorBidi"/>
                <w:sz w:val="24"/>
                <w:szCs w:val="24"/>
                <w:lang w:bidi="ar-DZ"/>
              </w:rPr>
              <w:t>Mode</w:t>
            </w:r>
            <w:bookmarkEnd w:id="302"/>
            <w:r w:rsidRPr="002551A7">
              <w:rPr>
                <w:rFonts w:asciiTheme="majorBidi" w:hAnsiTheme="majorBidi" w:cstheme="majorBidi"/>
                <w:sz w:val="24"/>
                <w:szCs w:val="24"/>
                <w:lang w:bidi="ar-DZ"/>
              </w:rPr>
              <w:t>l</w:t>
            </w:r>
          </w:p>
        </w:tc>
        <w:tc>
          <w:tcPr>
            <w:tcW w:w="1710" w:type="dxa"/>
            <w:vMerge w:val="restart"/>
            <w:noWrap/>
            <w:hideMark/>
          </w:tcPr>
          <w:p w14:paraId="692966FD"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p w14:paraId="7460DB43"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tc>
        <w:tc>
          <w:tcPr>
            <w:tcW w:w="2916" w:type="dxa"/>
            <w:gridSpan w:val="2"/>
            <w:noWrap/>
            <w:hideMark/>
          </w:tcPr>
          <w:p w14:paraId="42C893FF"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Unstandardized Coefficients</w:t>
            </w:r>
          </w:p>
          <w:p w14:paraId="23E284D1"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p w14:paraId="440DFDF9" w14:textId="77777777" w:rsidR="00AC1791" w:rsidRPr="002551A7" w:rsidRDefault="00AC1791" w:rsidP="002551A7">
            <w:pPr>
              <w:spacing w:line="360" w:lineRule="auto"/>
              <w:rPr>
                <w:rFonts w:asciiTheme="majorBidi" w:hAnsiTheme="majorBidi" w:cstheme="majorBidi"/>
                <w:sz w:val="24"/>
                <w:szCs w:val="24"/>
                <w:lang w:bidi="ar-DZ"/>
              </w:rPr>
            </w:pPr>
          </w:p>
          <w:p w14:paraId="67D50E33" w14:textId="77777777" w:rsidR="00AC1791" w:rsidRPr="002551A7" w:rsidRDefault="00AC1791" w:rsidP="002551A7">
            <w:pPr>
              <w:spacing w:line="360" w:lineRule="auto"/>
              <w:rPr>
                <w:rFonts w:asciiTheme="majorBidi" w:hAnsiTheme="majorBidi" w:cstheme="majorBidi"/>
                <w:sz w:val="24"/>
                <w:szCs w:val="24"/>
                <w:lang w:bidi="ar-DZ"/>
              </w:rPr>
            </w:pPr>
          </w:p>
          <w:p w14:paraId="738EA513"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1609" w:type="dxa"/>
            <w:noWrap/>
            <w:hideMark/>
          </w:tcPr>
          <w:p w14:paraId="425FAEFB"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Standardized Coefficients</w:t>
            </w:r>
          </w:p>
        </w:tc>
        <w:tc>
          <w:tcPr>
            <w:tcW w:w="965" w:type="dxa"/>
            <w:vMerge w:val="restart"/>
            <w:noWrap/>
            <w:hideMark/>
          </w:tcPr>
          <w:p w14:paraId="6BC8AE5E"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t</w:t>
            </w:r>
          </w:p>
          <w:p w14:paraId="0CD64E87"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tc>
        <w:tc>
          <w:tcPr>
            <w:tcW w:w="861" w:type="dxa"/>
            <w:vMerge w:val="restart"/>
            <w:noWrap/>
            <w:hideMark/>
          </w:tcPr>
          <w:p w14:paraId="148F469F"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Sig.</w:t>
            </w:r>
          </w:p>
          <w:p w14:paraId="5794F05E"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tc>
      </w:tr>
      <w:tr w:rsidR="00AC1791" w:rsidRPr="002551A7" w14:paraId="5506608F" w14:textId="77777777" w:rsidTr="00094FFB">
        <w:trPr>
          <w:trHeight w:val="285"/>
        </w:trPr>
        <w:tc>
          <w:tcPr>
            <w:tcW w:w="1001" w:type="dxa"/>
            <w:vMerge/>
            <w:noWrap/>
            <w:hideMark/>
          </w:tcPr>
          <w:p w14:paraId="3C793FE0"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1710" w:type="dxa"/>
            <w:vMerge/>
            <w:noWrap/>
            <w:hideMark/>
          </w:tcPr>
          <w:p w14:paraId="1294509D"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1560" w:type="dxa"/>
            <w:noWrap/>
            <w:hideMark/>
          </w:tcPr>
          <w:p w14:paraId="5EE56183"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B</w:t>
            </w:r>
          </w:p>
        </w:tc>
        <w:tc>
          <w:tcPr>
            <w:tcW w:w="1356" w:type="dxa"/>
            <w:noWrap/>
            <w:hideMark/>
          </w:tcPr>
          <w:p w14:paraId="20DACD90"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Std. Error</w:t>
            </w:r>
          </w:p>
        </w:tc>
        <w:tc>
          <w:tcPr>
            <w:tcW w:w="1609" w:type="dxa"/>
            <w:noWrap/>
            <w:hideMark/>
          </w:tcPr>
          <w:p w14:paraId="050CC12B"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Beta</w:t>
            </w:r>
          </w:p>
        </w:tc>
        <w:tc>
          <w:tcPr>
            <w:tcW w:w="965" w:type="dxa"/>
            <w:vMerge/>
            <w:noWrap/>
            <w:hideMark/>
          </w:tcPr>
          <w:p w14:paraId="555B3668"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861" w:type="dxa"/>
            <w:vMerge/>
            <w:noWrap/>
            <w:hideMark/>
          </w:tcPr>
          <w:p w14:paraId="27431EEE" w14:textId="77777777" w:rsidR="00AC1791" w:rsidRPr="002551A7" w:rsidRDefault="00AC1791" w:rsidP="002551A7">
            <w:pPr>
              <w:spacing w:line="360" w:lineRule="auto"/>
              <w:jc w:val="both"/>
              <w:rPr>
                <w:rFonts w:asciiTheme="majorBidi" w:hAnsiTheme="majorBidi" w:cstheme="majorBidi"/>
                <w:sz w:val="24"/>
                <w:szCs w:val="24"/>
                <w:lang w:bidi="ar-DZ"/>
              </w:rPr>
            </w:pPr>
          </w:p>
        </w:tc>
      </w:tr>
      <w:tr w:rsidR="00AC1791" w:rsidRPr="002551A7" w14:paraId="01C3280B" w14:textId="77777777" w:rsidTr="00094FFB">
        <w:trPr>
          <w:trHeight w:val="285"/>
        </w:trPr>
        <w:tc>
          <w:tcPr>
            <w:tcW w:w="1001" w:type="dxa"/>
            <w:vMerge w:val="restart"/>
            <w:noWrap/>
            <w:hideMark/>
          </w:tcPr>
          <w:p w14:paraId="70B32E74"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w:t>
            </w:r>
          </w:p>
        </w:tc>
        <w:tc>
          <w:tcPr>
            <w:tcW w:w="1710" w:type="dxa"/>
            <w:noWrap/>
            <w:hideMark/>
          </w:tcPr>
          <w:p w14:paraId="250A168C"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(Constant)</w:t>
            </w:r>
          </w:p>
        </w:tc>
        <w:tc>
          <w:tcPr>
            <w:tcW w:w="1560" w:type="dxa"/>
            <w:noWrap/>
            <w:hideMark/>
          </w:tcPr>
          <w:p w14:paraId="0F0FBCD3"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1511073.6</w:t>
            </w:r>
          </w:p>
        </w:tc>
        <w:tc>
          <w:tcPr>
            <w:tcW w:w="1356" w:type="dxa"/>
            <w:noWrap/>
            <w:hideMark/>
          </w:tcPr>
          <w:p w14:paraId="69CB9476"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168049.728</w:t>
            </w:r>
          </w:p>
        </w:tc>
        <w:tc>
          <w:tcPr>
            <w:tcW w:w="1609" w:type="dxa"/>
            <w:noWrap/>
            <w:hideMark/>
          </w:tcPr>
          <w:p w14:paraId="420B5A58"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tc>
        <w:tc>
          <w:tcPr>
            <w:tcW w:w="965" w:type="dxa"/>
            <w:noWrap/>
            <w:hideMark/>
          </w:tcPr>
          <w:p w14:paraId="4895B5E3"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8.992</w:t>
            </w:r>
          </w:p>
        </w:tc>
        <w:tc>
          <w:tcPr>
            <w:tcW w:w="861" w:type="dxa"/>
            <w:noWrap/>
            <w:hideMark/>
          </w:tcPr>
          <w:p w14:paraId="326FB017"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0.000</w:t>
            </w:r>
          </w:p>
        </w:tc>
      </w:tr>
      <w:tr w:rsidR="00AC1791" w:rsidRPr="002551A7" w14:paraId="79049487" w14:textId="77777777" w:rsidTr="00D76CE2">
        <w:trPr>
          <w:trHeight w:val="285"/>
        </w:trPr>
        <w:tc>
          <w:tcPr>
            <w:tcW w:w="1001" w:type="dxa"/>
            <w:vMerge/>
            <w:noWrap/>
            <w:hideMark/>
          </w:tcPr>
          <w:p w14:paraId="36E3DEA0"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1710" w:type="dxa"/>
            <w:noWrap/>
            <w:hideMark/>
          </w:tcPr>
          <w:p w14:paraId="5EE0758B"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xml:space="preserve">Inflation rate </w:t>
            </w:r>
          </w:p>
        </w:tc>
        <w:tc>
          <w:tcPr>
            <w:tcW w:w="1560" w:type="dxa"/>
            <w:noWrap/>
            <w:hideMark/>
          </w:tcPr>
          <w:p w14:paraId="640A4909"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-2443.591</w:t>
            </w:r>
          </w:p>
        </w:tc>
        <w:tc>
          <w:tcPr>
            <w:tcW w:w="1356" w:type="dxa"/>
            <w:noWrap/>
            <w:hideMark/>
          </w:tcPr>
          <w:p w14:paraId="79A0BB8D"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1520.613</w:t>
            </w:r>
          </w:p>
        </w:tc>
        <w:tc>
          <w:tcPr>
            <w:tcW w:w="1609" w:type="dxa"/>
            <w:noWrap/>
            <w:hideMark/>
          </w:tcPr>
          <w:p w14:paraId="264815E6"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-0.331</w:t>
            </w:r>
          </w:p>
        </w:tc>
        <w:tc>
          <w:tcPr>
            <w:tcW w:w="965" w:type="dxa"/>
            <w:noWrap/>
            <w:hideMark/>
          </w:tcPr>
          <w:p w14:paraId="367CCDD4"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-1.607</w:t>
            </w:r>
          </w:p>
        </w:tc>
        <w:tc>
          <w:tcPr>
            <w:tcW w:w="861" w:type="dxa"/>
            <w:noWrap/>
            <w:hideMark/>
          </w:tcPr>
          <w:p w14:paraId="6CF11D79"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0.152</w:t>
            </w:r>
          </w:p>
        </w:tc>
      </w:tr>
      <w:tr w:rsidR="00AC1791" w:rsidRPr="002551A7" w14:paraId="7B335757" w14:textId="77777777" w:rsidTr="00094FFB">
        <w:trPr>
          <w:trHeight w:val="285"/>
        </w:trPr>
        <w:tc>
          <w:tcPr>
            <w:tcW w:w="1001" w:type="dxa"/>
            <w:vMerge/>
            <w:tcBorders>
              <w:bottom w:val="nil"/>
            </w:tcBorders>
            <w:noWrap/>
            <w:hideMark/>
          </w:tcPr>
          <w:p w14:paraId="3FC2FCB3" w14:textId="77777777" w:rsidR="00AC1791" w:rsidRPr="002551A7" w:rsidRDefault="00AC1791" w:rsidP="002551A7">
            <w:pPr>
              <w:spacing w:line="360" w:lineRule="auto"/>
              <w:jc w:val="both"/>
              <w:rPr>
                <w:rFonts w:asciiTheme="majorBidi" w:hAnsiTheme="majorBidi" w:cstheme="majorBidi"/>
                <w:sz w:val="24"/>
                <w:szCs w:val="24"/>
                <w:lang w:bidi="ar-DZ"/>
              </w:rPr>
            </w:pPr>
          </w:p>
        </w:tc>
        <w:tc>
          <w:tcPr>
            <w:tcW w:w="1710" w:type="dxa"/>
            <w:noWrap/>
            <w:hideMark/>
          </w:tcPr>
          <w:p w14:paraId="36652A08"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Unemployment rate</w:t>
            </w:r>
          </w:p>
        </w:tc>
        <w:tc>
          <w:tcPr>
            <w:tcW w:w="1560" w:type="dxa"/>
            <w:noWrap/>
            <w:hideMark/>
          </w:tcPr>
          <w:p w14:paraId="620A47ED"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-63140.446</w:t>
            </w:r>
          </w:p>
        </w:tc>
        <w:tc>
          <w:tcPr>
            <w:tcW w:w="1356" w:type="dxa"/>
            <w:noWrap/>
            <w:hideMark/>
          </w:tcPr>
          <w:p w14:paraId="3F7632D4"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14102.56</w:t>
            </w:r>
          </w:p>
        </w:tc>
        <w:tc>
          <w:tcPr>
            <w:tcW w:w="1609" w:type="dxa"/>
            <w:noWrap/>
            <w:hideMark/>
          </w:tcPr>
          <w:p w14:paraId="3488BFCA"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-0.543</w:t>
            </w:r>
          </w:p>
        </w:tc>
        <w:tc>
          <w:tcPr>
            <w:tcW w:w="965" w:type="dxa"/>
            <w:noWrap/>
            <w:hideMark/>
          </w:tcPr>
          <w:p w14:paraId="7D327AE0"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-4.477</w:t>
            </w:r>
          </w:p>
        </w:tc>
        <w:tc>
          <w:tcPr>
            <w:tcW w:w="861" w:type="dxa"/>
            <w:noWrap/>
            <w:hideMark/>
          </w:tcPr>
          <w:p w14:paraId="14A0E30E"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0.003</w:t>
            </w:r>
          </w:p>
        </w:tc>
      </w:tr>
      <w:tr w:rsidR="00AC1791" w:rsidRPr="002551A7" w14:paraId="75B67FD3" w14:textId="77777777" w:rsidTr="00094FFB">
        <w:trPr>
          <w:trHeight w:val="285"/>
        </w:trPr>
        <w:tc>
          <w:tcPr>
            <w:tcW w:w="1001" w:type="dxa"/>
            <w:tcBorders>
              <w:top w:val="nil"/>
            </w:tcBorders>
            <w:noWrap/>
            <w:hideMark/>
          </w:tcPr>
          <w:p w14:paraId="7BAA9AD7"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 </w:t>
            </w:r>
          </w:p>
        </w:tc>
        <w:tc>
          <w:tcPr>
            <w:tcW w:w="1710" w:type="dxa"/>
            <w:noWrap/>
            <w:hideMark/>
          </w:tcPr>
          <w:p w14:paraId="5B031C38"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Exchange rate</w:t>
            </w:r>
          </w:p>
        </w:tc>
        <w:tc>
          <w:tcPr>
            <w:tcW w:w="1560" w:type="dxa"/>
            <w:noWrap/>
            <w:hideMark/>
          </w:tcPr>
          <w:p w14:paraId="215E82C3"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12700.65</w:t>
            </w:r>
          </w:p>
        </w:tc>
        <w:tc>
          <w:tcPr>
            <w:tcW w:w="1356" w:type="dxa"/>
            <w:noWrap/>
            <w:hideMark/>
          </w:tcPr>
          <w:p w14:paraId="41CB3454"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3233.979</w:t>
            </w:r>
          </w:p>
        </w:tc>
        <w:tc>
          <w:tcPr>
            <w:tcW w:w="1609" w:type="dxa"/>
            <w:noWrap/>
            <w:hideMark/>
          </w:tcPr>
          <w:p w14:paraId="2BA34AEA"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0.835</w:t>
            </w:r>
          </w:p>
        </w:tc>
        <w:tc>
          <w:tcPr>
            <w:tcW w:w="965" w:type="dxa"/>
            <w:noWrap/>
            <w:hideMark/>
          </w:tcPr>
          <w:p w14:paraId="327DC907"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3.927</w:t>
            </w:r>
          </w:p>
        </w:tc>
        <w:tc>
          <w:tcPr>
            <w:tcW w:w="861" w:type="dxa"/>
            <w:noWrap/>
            <w:hideMark/>
          </w:tcPr>
          <w:p w14:paraId="1E95D91A"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sz w:val="24"/>
                <w:szCs w:val="24"/>
                <w:lang w:bidi="ar-DZ"/>
              </w:rPr>
              <w:t>0.006</w:t>
            </w:r>
          </w:p>
        </w:tc>
      </w:tr>
    </w:tbl>
    <w:bookmarkEnd w:id="303"/>
    <w:p w14:paraId="7552C97F" w14:textId="03A7CB12"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0408F31E"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Constant (1,511,073.600):</w:t>
      </w:r>
      <w:r w:rsidRPr="002551A7">
        <w:rPr>
          <w:rFonts w:asciiTheme="majorBidi" w:hAnsiTheme="majorBidi" w:cstheme="majorBidi"/>
          <w:sz w:val="24"/>
          <w:szCs w:val="24"/>
          <w:lang w:val="en-US" w:bidi="ar-DZ"/>
        </w:rPr>
        <w:t xml:space="preserve"> The value of the constant is statistically significant (p = 0.000), and it represents the value of GDP when all independent variables are equal to zero.</w:t>
      </w:r>
    </w:p>
    <w:p w14:paraId="6663819D"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Inflation rate:</w:t>
      </w:r>
      <w:r w:rsidRPr="002551A7">
        <w:rPr>
          <w:rFonts w:asciiTheme="majorBidi" w:hAnsiTheme="majorBidi" w:cstheme="majorBidi"/>
          <w:sz w:val="24"/>
          <w:szCs w:val="24"/>
          <w:lang w:val="en-US" w:bidi="ar-DZ"/>
        </w:rPr>
        <w:t xml:space="preserve"> The coefficient (-2,443.591) indicates that a 1% increase in inflation rate leads to a decrease in GDP by 2,443.591 M.USD, assuming other variables remain constant. However, this effect is not statistically significant (p = 0.152 &gt; 0.05). The standardized coefficient (Beta = -0.331) indicates that inflation has a weak negative effect. The negative relationship between inflation and GDP (even though it is not strongly statistically significant) is consistent with economic expectations, as high inflation (such as 72.3% in 2022) can reduce purchasing power and negatively impact economic growth.</w:t>
      </w:r>
    </w:p>
    <w:p w14:paraId="12705B53"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Unemployment rate:</w:t>
      </w:r>
      <w:r w:rsidRPr="002551A7">
        <w:rPr>
          <w:rFonts w:asciiTheme="majorBidi" w:hAnsiTheme="majorBidi" w:cstheme="majorBidi"/>
          <w:sz w:val="24"/>
          <w:szCs w:val="24"/>
          <w:lang w:val="en-US" w:bidi="ar-DZ"/>
        </w:rPr>
        <w:t xml:space="preserve"> The coefficient (-63,140.446) indicates that a 1% increase in unemployment rate leads to a decrease in GDP by 63,140.446 M.USD, and this effect is statistically significant at the 0.01 level (p = 0.003). The standardized coefficient (Beta = -0.543) indicates that unemployment has a strong negative effect. The strong negative impact of unemployment on GDP (Beta = -0.543) is expected, as rising unemployment (such as 13.7% in 2019) reduces productivity and aggregate demand.</w:t>
      </w:r>
    </w:p>
    <w:p w14:paraId="7B6C3938"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Exchange Rate:</w:t>
      </w:r>
      <w:r w:rsidRPr="002551A7">
        <w:rPr>
          <w:rFonts w:asciiTheme="majorBidi" w:hAnsiTheme="majorBidi" w:cstheme="majorBidi"/>
          <w:sz w:val="24"/>
          <w:szCs w:val="24"/>
          <w:lang w:val="en-US" w:bidi="ar-DZ"/>
        </w:rPr>
        <w:t xml:space="preserve"> The coefficient (12,700.650) indicates that an increase in the exchange rate by 1 lira per dollar leads to an increase in GDP by 12,700.650 units, and this effect is statistically significant at the 0.01 level (p = 0.006). The standardized coefficient (Beta = 0.835) indicates that the exchange rate has a very strong positive effect. The strong positive relationship between the exchange rate and GDP (Beta = 0.835) reflects the economic reality of Turkey. An increase in the exchange rate (such as 35.36 in 2024) makes Turkish exports more competitive, boosting GDP in the short term, despite the long-term costs of the lira’s depreciation.</w:t>
      </w:r>
    </w:p>
    <w:p w14:paraId="01DC10C9"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So Multiple linear regression equation is:</w:t>
      </w:r>
    </w:p>
    <w:p w14:paraId="727C90CF" w14:textId="77777777" w:rsidR="00AC1791" w:rsidRPr="002551A7" w:rsidRDefault="00AC1791" w:rsidP="002551A7">
      <w:pPr>
        <w:spacing w:line="360" w:lineRule="auto"/>
        <w:jc w:val="center"/>
        <w:rPr>
          <w:rFonts w:asciiTheme="majorBidi" w:hAnsiTheme="majorBidi" w:cstheme="majorBidi"/>
          <w:b/>
          <w:bCs/>
          <w:sz w:val="24"/>
          <w:szCs w:val="24"/>
          <w:lang w:val="en-US" w:bidi="ar-DZ"/>
        </w:rPr>
      </w:pPr>
      <w:r w:rsidRPr="002551A7">
        <w:rPr>
          <w:rFonts w:asciiTheme="majorBidi" w:hAnsiTheme="majorBidi" w:cstheme="majorBidi"/>
          <w:b/>
          <w:bCs/>
          <w:sz w:val="24"/>
          <w:szCs w:val="24"/>
          <w:lang w:val="en-US" w:bidi="ar-DZ"/>
        </w:rPr>
        <w:t>GDP = 12700.65 x Exchange rate - 63140.446 x Unemployment rate - 2443.591 x Inflation rate + 1511073.6</w:t>
      </w:r>
    </w:p>
    <w:p w14:paraId="2FCC5255"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Overall, the model suggests that exchange rate fluctuations have a strong positive effect on GDP, while both inflation and unemployment have negative impacts, with unemployment showing a statistically significant and stronger negative effect.</w:t>
      </w:r>
    </w:p>
    <w:p w14:paraId="4C7F5E78" w14:textId="0FC4AD4D" w:rsidR="00AC1791" w:rsidRPr="00821039" w:rsidRDefault="00821039" w:rsidP="00821039">
      <w:pPr>
        <w:pStyle w:val="ListParagraph"/>
        <w:numPr>
          <w:ilvl w:val="1"/>
          <w:numId w:val="39"/>
        </w:numPr>
        <w:spacing w:before="100" w:beforeAutospacing="1" w:after="100" w:afterAutospacing="1"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b/>
          <w:bCs/>
          <w:sz w:val="24"/>
          <w:szCs w:val="24"/>
          <w:lang w:val="en-US" w:eastAsia="fr-FR"/>
        </w:rPr>
        <w:t xml:space="preserve"> </w:t>
      </w:r>
      <w:bookmarkStart w:id="304" w:name="_Toc200720070"/>
      <w:bookmarkStart w:id="305" w:name="_Toc200721711"/>
      <w:r w:rsidR="00AC1791" w:rsidRPr="00BB2F8D">
        <w:rPr>
          <w:rStyle w:val="Heading4Char"/>
        </w:rPr>
        <w:t>Forecasting Economic Variables and Analyzing Future Risks until 203</w:t>
      </w:r>
      <w:bookmarkEnd w:id="304"/>
      <w:bookmarkEnd w:id="305"/>
      <w:r w:rsidR="00AC1791" w:rsidRPr="00821039">
        <w:rPr>
          <w:rFonts w:asciiTheme="majorBidi" w:eastAsia="Times New Roman" w:hAnsiTheme="majorBidi" w:cstheme="majorBidi"/>
          <w:b/>
          <w:bCs/>
          <w:sz w:val="24"/>
          <w:szCs w:val="24"/>
          <w:lang w:val="en-US" w:eastAsia="fr-FR"/>
        </w:rPr>
        <w:t>0</w:t>
      </w:r>
    </w:p>
    <w:p w14:paraId="4D580865"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 xml:space="preserve">   </w:t>
      </w:r>
      <w:r w:rsidRPr="002551A7">
        <w:rPr>
          <w:rFonts w:asciiTheme="majorBidi" w:eastAsia="Times New Roman" w:hAnsiTheme="majorBidi" w:cstheme="majorBidi"/>
          <w:sz w:val="24"/>
          <w:szCs w:val="24"/>
          <w:lang w:val="en-US" w:eastAsia="fr-FR"/>
        </w:rPr>
        <w:t>To assess the feasibility of exporting to the Turkish market, time series analyses were conducted using SPSS to forecast the values of Gross Domestic Product (GDP), Inflation, Unemployment, and Exchange Rate for the period from 2025 to 2030. Exponential Smoothing and ARIMA models were applied based on historical data from 2014 to 2024.</w:t>
      </w:r>
    </w:p>
    <w:p w14:paraId="4546EC9F" w14:textId="2A86BDF4" w:rsidR="00AC1791" w:rsidRPr="00821039" w:rsidRDefault="00AC1791" w:rsidP="00821039">
      <w:pPr>
        <w:pStyle w:val="ListParagraph"/>
        <w:numPr>
          <w:ilvl w:val="2"/>
          <w:numId w:val="39"/>
        </w:numPr>
        <w:spacing w:line="360" w:lineRule="auto"/>
        <w:rPr>
          <w:rFonts w:asciiTheme="majorBidi" w:hAnsiTheme="majorBidi" w:cstheme="majorBidi"/>
          <w:b/>
          <w:bCs/>
          <w:sz w:val="24"/>
          <w:szCs w:val="24"/>
        </w:rPr>
      </w:pPr>
      <w:bookmarkStart w:id="306" w:name="_Toc200720071"/>
      <w:bookmarkStart w:id="307" w:name="_Toc200721712"/>
      <w:r w:rsidRPr="00BB2F8D">
        <w:rPr>
          <w:rStyle w:val="Heading5Char"/>
          <w:rFonts w:eastAsiaTheme="minorHAnsi"/>
        </w:rPr>
        <w:t>GDP forcasting</w:t>
      </w:r>
      <w:bookmarkEnd w:id="306"/>
      <w:bookmarkEnd w:id="307"/>
      <w:r w:rsidRPr="00821039">
        <w:rPr>
          <w:rFonts w:asciiTheme="majorBidi" w:hAnsiTheme="majorBidi" w:cstheme="majorBidi"/>
          <w:b/>
          <w:bCs/>
          <w:sz w:val="24"/>
          <w:szCs w:val="24"/>
        </w:rPr>
        <w:t> :</w:t>
      </w:r>
    </w:p>
    <w:p w14:paraId="4CF0791C" w14:textId="58E5411C" w:rsidR="00AC1791" w:rsidRPr="00821039" w:rsidRDefault="00821039" w:rsidP="00821039">
      <w:pPr>
        <w:spacing w:line="360" w:lineRule="auto"/>
        <w:ind w:left="360"/>
        <w:rPr>
          <w:rFonts w:asciiTheme="majorBidi" w:hAnsiTheme="majorBidi" w:cstheme="majorBidi"/>
          <w:b/>
          <w:bCs/>
          <w:sz w:val="24"/>
          <w:szCs w:val="24"/>
          <w:lang w:val="en-US"/>
        </w:rPr>
      </w:pPr>
      <w:r>
        <w:rPr>
          <w:rFonts w:asciiTheme="majorBidi" w:hAnsiTheme="majorBidi" w:cstheme="majorBidi"/>
          <w:b/>
          <w:bCs/>
          <w:sz w:val="24"/>
          <w:szCs w:val="24"/>
          <w:lang w:val="en-US"/>
        </w:rPr>
        <w:t>2.3.1.1.</w:t>
      </w:r>
      <w:r w:rsidR="00AC1791" w:rsidRPr="00821039">
        <w:rPr>
          <w:rFonts w:asciiTheme="majorBidi" w:hAnsiTheme="majorBidi" w:cstheme="majorBidi"/>
          <w:b/>
          <w:bCs/>
          <w:sz w:val="24"/>
          <w:szCs w:val="24"/>
          <w:lang w:val="en-US"/>
        </w:rPr>
        <w:t xml:space="preserve"> </w:t>
      </w:r>
      <w:r w:rsidR="00AC1791" w:rsidRPr="00BD2EAB">
        <w:rPr>
          <w:rStyle w:val="Heading6Char"/>
          <w:lang w:val="en-US"/>
        </w:rPr>
        <w:t>Model description and model fit</w:t>
      </w:r>
      <w:r w:rsidR="00AC1791" w:rsidRPr="00821039">
        <w:rPr>
          <w:rFonts w:asciiTheme="majorBidi" w:hAnsiTheme="majorBidi" w:cstheme="majorBidi"/>
          <w:b/>
          <w:bCs/>
          <w:sz w:val="24"/>
          <w:szCs w:val="24"/>
          <w:lang w:val="en-US"/>
        </w:rPr>
        <w:t>:</w:t>
      </w:r>
    </w:p>
    <w:p w14:paraId="40630FD9" w14:textId="77777777" w:rsidR="00AC1791" w:rsidRPr="002551A7" w:rsidRDefault="00AC1791" w:rsidP="00413B73">
      <w:pPr>
        <w:pStyle w:val="ListParagraph"/>
        <w:numPr>
          <w:ilvl w:val="0"/>
          <w:numId w:val="44"/>
        </w:numPr>
        <w:spacing w:line="360" w:lineRule="auto"/>
        <w:rPr>
          <w:rFonts w:asciiTheme="majorBidi" w:hAnsiTheme="majorBidi" w:cstheme="majorBidi"/>
          <w:sz w:val="24"/>
          <w:szCs w:val="24"/>
        </w:rPr>
      </w:pPr>
      <w:r w:rsidRPr="002551A7">
        <w:rPr>
          <w:rFonts w:asciiTheme="majorBidi" w:hAnsiTheme="majorBidi" w:cstheme="majorBidi"/>
          <w:b/>
          <w:bCs/>
          <w:sz w:val="24"/>
          <w:szCs w:val="24"/>
        </w:rPr>
        <w:t xml:space="preserve">Model type : </w:t>
      </w:r>
      <w:r w:rsidRPr="002551A7">
        <w:rPr>
          <w:rFonts w:asciiTheme="majorBidi" w:hAnsiTheme="majorBidi" w:cstheme="majorBidi"/>
          <w:sz w:val="24"/>
          <w:szCs w:val="24"/>
        </w:rPr>
        <w:t>Brown</w:t>
      </w:r>
    </w:p>
    <w:p w14:paraId="3363C828" w14:textId="77777777" w:rsidR="00AC1791" w:rsidRPr="002551A7" w:rsidRDefault="00AC1791" w:rsidP="002551A7">
      <w:pPr>
        <w:pStyle w:val="ListParagraph"/>
        <w:spacing w:line="360" w:lineRule="auto"/>
        <w:jc w:val="center"/>
        <w:rPr>
          <w:rFonts w:asciiTheme="majorBidi" w:hAnsiTheme="majorBidi" w:cstheme="majorBidi"/>
          <w:sz w:val="24"/>
          <w:szCs w:val="24"/>
        </w:rPr>
      </w:pPr>
      <w:r w:rsidRPr="002551A7">
        <w:rPr>
          <w:rFonts w:asciiTheme="majorBidi" w:hAnsiTheme="majorBidi" w:cstheme="majorBidi"/>
          <w:b/>
          <w:bCs/>
          <w:sz w:val="24"/>
          <w:szCs w:val="24"/>
        </w:rPr>
        <w:t>Table 10:</w:t>
      </w:r>
      <w:r w:rsidRPr="002551A7">
        <w:rPr>
          <w:rFonts w:asciiTheme="majorBidi" w:hAnsiTheme="majorBidi" w:cstheme="majorBidi"/>
          <w:sz w:val="24"/>
          <w:szCs w:val="24"/>
        </w:rPr>
        <w:t xml:space="preserve"> Model fit</w:t>
      </w:r>
    </w:p>
    <w:tbl>
      <w:tblPr>
        <w:tblStyle w:val="TableGrid"/>
        <w:tblW w:w="10828" w:type="dxa"/>
        <w:tblInd w:w="-815" w:type="dxa"/>
        <w:tblLook w:val="04A0" w:firstRow="1" w:lastRow="0" w:firstColumn="1" w:lastColumn="0" w:noHBand="0" w:noVBand="1"/>
      </w:tblPr>
      <w:tblGrid>
        <w:gridCol w:w="1704"/>
        <w:gridCol w:w="1231"/>
        <w:gridCol w:w="1236"/>
        <w:gridCol w:w="883"/>
        <w:gridCol w:w="1625"/>
        <w:gridCol w:w="1236"/>
        <w:gridCol w:w="1356"/>
        <w:gridCol w:w="1557"/>
      </w:tblGrid>
      <w:tr w:rsidR="00AC1791" w:rsidRPr="002551A7" w14:paraId="1B8C207D" w14:textId="77777777" w:rsidTr="00B9465F">
        <w:trPr>
          <w:trHeight w:val="285"/>
        </w:trPr>
        <w:tc>
          <w:tcPr>
            <w:tcW w:w="1704" w:type="dxa"/>
            <w:noWrap/>
            <w:hideMark/>
          </w:tcPr>
          <w:p w14:paraId="16027595" w14:textId="77777777" w:rsidR="00AC1791" w:rsidRPr="002551A7" w:rsidRDefault="00AC1791" w:rsidP="002551A7">
            <w:pPr>
              <w:spacing w:line="360" w:lineRule="auto"/>
              <w:jc w:val="center"/>
              <w:rPr>
                <w:rFonts w:asciiTheme="majorBidi" w:hAnsiTheme="majorBidi" w:cstheme="majorBidi"/>
                <w:sz w:val="24"/>
                <w:szCs w:val="24"/>
              </w:rPr>
            </w:pPr>
            <w:bookmarkStart w:id="308" w:name="_Hlk196823353"/>
            <w:r w:rsidRPr="002551A7">
              <w:rPr>
                <w:rFonts w:asciiTheme="majorBidi" w:hAnsiTheme="majorBidi" w:cstheme="majorBidi"/>
                <w:sz w:val="24"/>
                <w:szCs w:val="24"/>
              </w:rPr>
              <w:t>Stationary R-squared</w:t>
            </w:r>
          </w:p>
        </w:tc>
        <w:tc>
          <w:tcPr>
            <w:tcW w:w="1231" w:type="dxa"/>
            <w:noWrap/>
            <w:hideMark/>
          </w:tcPr>
          <w:p w14:paraId="7765A0C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R-squared</w:t>
            </w:r>
          </w:p>
        </w:tc>
        <w:tc>
          <w:tcPr>
            <w:tcW w:w="1236" w:type="dxa"/>
            <w:noWrap/>
            <w:hideMark/>
          </w:tcPr>
          <w:p w14:paraId="10D6EA3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RMSE</w:t>
            </w:r>
          </w:p>
        </w:tc>
        <w:tc>
          <w:tcPr>
            <w:tcW w:w="883" w:type="dxa"/>
            <w:noWrap/>
            <w:hideMark/>
          </w:tcPr>
          <w:p w14:paraId="1FE3D85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MAPE</w:t>
            </w:r>
          </w:p>
        </w:tc>
        <w:tc>
          <w:tcPr>
            <w:tcW w:w="1625" w:type="dxa"/>
            <w:noWrap/>
            <w:hideMark/>
          </w:tcPr>
          <w:p w14:paraId="02EF0FF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MaxAPE</w:t>
            </w:r>
          </w:p>
        </w:tc>
        <w:tc>
          <w:tcPr>
            <w:tcW w:w="1236" w:type="dxa"/>
            <w:noWrap/>
            <w:hideMark/>
          </w:tcPr>
          <w:p w14:paraId="2845585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MAE</w:t>
            </w:r>
          </w:p>
        </w:tc>
        <w:tc>
          <w:tcPr>
            <w:tcW w:w="1356" w:type="dxa"/>
            <w:noWrap/>
            <w:hideMark/>
          </w:tcPr>
          <w:p w14:paraId="0759FB7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MaxAE</w:t>
            </w:r>
          </w:p>
        </w:tc>
        <w:tc>
          <w:tcPr>
            <w:tcW w:w="1557" w:type="dxa"/>
            <w:noWrap/>
            <w:hideMark/>
          </w:tcPr>
          <w:p w14:paraId="2211AF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Normalized BIC</w:t>
            </w:r>
          </w:p>
        </w:tc>
      </w:tr>
      <w:tr w:rsidR="00AC1791" w:rsidRPr="002551A7" w14:paraId="5D0CEC65" w14:textId="77777777" w:rsidTr="00B9465F">
        <w:trPr>
          <w:trHeight w:val="285"/>
        </w:trPr>
        <w:tc>
          <w:tcPr>
            <w:tcW w:w="1704" w:type="dxa"/>
            <w:noWrap/>
            <w:hideMark/>
          </w:tcPr>
          <w:p w14:paraId="69C7233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-0.141</w:t>
            </w:r>
          </w:p>
        </w:tc>
        <w:tc>
          <w:tcPr>
            <w:tcW w:w="1231" w:type="dxa"/>
            <w:noWrap/>
            <w:hideMark/>
          </w:tcPr>
          <w:p w14:paraId="179DE91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0.839</w:t>
            </w:r>
          </w:p>
        </w:tc>
        <w:tc>
          <w:tcPr>
            <w:tcW w:w="1236" w:type="dxa"/>
            <w:noWrap/>
            <w:hideMark/>
          </w:tcPr>
          <w:p w14:paraId="2003EC7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69950.432</w:t>
            </w:r>
          </w:p>
        </w:tc>
        <w:tc>
          <w:tcPr>
            <w:tcW w:w="883" w:type="dxa"/>
            <w:noWrap/>
            <w:hideMark/>
          </w:tcPr>
          <w:p w14:paraId="5193C4F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5.519</w:t>
            </w:r>
          </w:p>
        </w:tc>
        <w:tc>
          <w:tcPr>
            <w:tcW w:w="1625" w:type="dxa"/>
            <w:noWrap/>
            <w:hideMark/>
          </w:tcPr>
          <w:p w14:paraId="2CF8C80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16.779</w:t>
            </w:r>
          </w:p>
        </w:tc>
        <w:tc>
          <w:tcPr>
            <w:tcW w:w="1236" w:type="dxa"/>
            <w:noWrap/>
            <w:hideMark/>
          </w:tcPr>
          <w:p w14:paraId="5F1E44C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48639.625</w:t>
            </w:r>
          </w:p>
        </w:tc>
        <w:tc>
          <w:tcPr>
            <w:tcW w:w="1356" w:type="dxa"/>
            <w:noWrap/>
            <w:hideMark/>
          </w:tcPr>
          <w:p w14:paraId="2742564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137567.528</w:t>
            </w:r>
          </w:p>
        </w:tc>
        <w:tc>
          <w:tcPr>
            <w:tcW w:w="1557" w:type="dxa"/>
            <w:noWrap/>
            <w:hideMark/>
          </w:tcPr>
          <w:p w14:paraId="36F4813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22.529</w:t>
            </w:r>
          </w:p>
        </w:tc>
      </w:tr>
    </w:tbl>
    <w:bookmarkEnd w:id="308"/>
    <w:p w14:paraId="53D5D65A" w14:textId="57261A99"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result of SPSS v.27</w:t>
      </w:r>
    </w:p>
    <w:p w14:paraId="4D8D179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Brown model is a type of exponential smoothing model used when there is no seasonality in the data. It assumes a linear trend without seasonal fluctuations. This makes it suitable for the data, as the Gross Domestic Product (GDP) does not exhibit clear seasonal variations, as observed in the previous charts.</w:t>
      </w:r>
    </w:p>
    <w:p w14:paraId="38CF7824"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bidi="ar-DZ"/>
        </w:rPr>
        <w:t xml:space="preserve">   Stationary R-squared equal to -0.141, </w:t>
      </w:r>
      <w:r w:rsidRPr="002551A7">
        <w:rPr>
          <w:rFonts w:asciiTheme="majorBidi" w:hAnsiTheme="majorBidi" w:cstheme="majorBidi"/>
          <w:sz w:val="24"/>
          <w:szCs w:val="24"/>
          <w:lang w:val="en-US"/>
        </w:rPr>
        <w:t>This metric is negative, indicating that the model may not be the most suitable for data with trends. It measures the model's goodness of fit after removing the trend, and in this case, it appears that the model does not capture the fluctuations effectively.</w:t>
      </w:r>
    </w:p>
    <w:p w14:paraId="0A40C6F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bidi="ar-DZ"/>
        </w:rPr>
        <w:t xml:space="preserve">   R-squared is 0.839, </w:t>
      </w:r>
      <w:r w:rsidRPr="002551A7">
        <w:rPr>
          <w:rFonts w:asciiTheme="majorBidi" w:hAnsiTheme="majorBidi" w:cstheme="majorBidi"/>
          <w:sz w:val="24"/>
          <w:szCs w:val="24"/>
          <w:lang w:val="en-US"/>
        </w:rPr>
        <w:t>This means that the model explains 83.9% of the changes in GDP based on the historical trend. This is a good percentage, but it is lower than that of the previous regression model (92.6%), suggesting that there are other factors influencing GDP that are not captured by this model.</w:t>
      </w:r>
    </w:p>
    <w:p w14:paraId="721D8296" w14:textId="758CF531"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bidi="ar-DZ"/>
        </w:rPr>
        <w:t xml:space="preserve"> </w:t>
      </w:r>
      <w:r w:rsidRPr="002551A7">
        <w:rPr>
          <w:rFonts w:asciiTheme="majorBidi" w:hAnsiTheme="majorBidi" w:cstheme="majorBidi"/>
          <w:sz w:val="24"/>
          <w:szCs w:val="24"/>
          <w:lang w:val="en-US" w:bidi="ar-DZ"/>
        </w:rPr>
        <w:t xml:space="preserve">  RMSE is </w:t>
      </w:r>
      <w:r w:rsidRPr="002551A7">
        <w:rPr>
          <w:rFonts w:asciiTheme="majorBidi" w:hAnsiTheme="majorBidi" w:cstheme="majorBidi"/>
          <w:sz w:val="24"/>
          <w:szCs w:val="24"/>
          <w:lang w:val="en-US"/>
        </w:rPr>
        <w:t>69950.432 M.USD , This represents the average forecasting error. Considering that the average GDP is 905,520 M.USD (as indicated in the previous descriptive analysis), the error</w:t>
      </w:r>
      <w:r w:rsidR="00821039">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approximately 7.7% of the average</w:t>
      </w:r>
      <w:r w:rsidR="00821039">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is reasonable but relatively high, indicating that the forecasts may contain a noticeable margin of error.</w:t>
      </w:r>
    </w:p>
    <w:p w14:paraId="7127AFAC"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bidi="ar-DZ"/>
        </w:rPr>
        <w:t xml:space="preserve">   </w:t>
      </w:r>
      <w:r w:rsidRPr="002551A7">
        <w:rPr>
          <w:rFonts w:asciiTheme="majorBidi" w:hAnsiTheme="majorBidi" w:cstheme="majorBidi"/>
          <w:sz w:val="24"/>
          <w:szCs w:val="24"/>
          <w:lang w:val="en-US"/>
        </w:rPr>
        <w:t>The Mean Absolute Percentage Error (MAPE) is 5.519%, which is acceptable (a value below 10% is generally considered good). This indicates that the forecasts are relatively accurate based on the historical data.</w:t>
      </w:r>
    </w:p>
    <w:p w14:paraId="1A8B4B0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MAE (48,639.625 M.USD): The Mean Absolute Error is reasonable compared to the average GDP.</w:t>
      </w:r>
    </w:p>
    <w:p w14:paraId="6CC92008"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maximum absolute error is 137,567.528 M.USD which is relatively high, indicating that the model may be inaccurate at certain points—such as in years that experienced significant fluctuations, like 2020–2021.</w:t>
      </w:r>
    </w:p>
    <w:p w14:paraId="7ADEB55C"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Normalized BIC (22.529): The BIC is relatively low, suggesting that the model is relatively appropriate given the number of parameters.</w:t>
      </w:r>
    </w:p>
    <w:p w14:paraId="4CE07E56" w14:textId="77777777" w:rsidR="00AC1791" w:rsidRPr="002551A7" w:rsidRDefault="00AC1791" w:rsidP="00413B73">
      <w:pPr>
        <w:pStyle w:val="ListParagraph"/>
        <w:numPr>
          <w:ilvl w:val="0"/>
          <w:numId w:val="44"/>
        </w:numPr>
        <w:spacing w:before="100" w:beforeAutospacing="1" w:after="100" w:afterAutospacing="1" w:line="360" w:lineRule="auto"/>
        <w:jc w:val="both"/>
        <w:rPr>
          <w:rFonts w:asciiTheme="majorBidi" w:eastAsia="Times New Roman" w:hAnsiTheme="majorBidi" w:cstheme="majorBidi"/>
          <w:kern w:val="0"/>
          <w:sz w:val="24"/>
          <w:szCs w:val="24"/>
          <w:lang w:val="en-US" w:eastAsia="fr-FR"/>
          <w14:ligatures w14:val="none"/>
        </w:rPr>
      </w:pPr>
      <w:r w:rsidRPr="002551A7">
        <w:rPr>
          <w:rFonts w:asciiTheme="majorBidi" w:eastAsia="Times New Roman" w:hAnsiTheme="majorBidi" w:cstheme="majorBidi"/>
          <w:b/>
          <w:bCs/>
          <w:kern w:val="0"/>
          <w:sz w:val="24"/>
          <w:szCs w:val="24"/>
          <w:lang w:val="en-US" w:eastAsia="fr-FR"/>
          <w14:ligatures w14:val="none"/>
        </w:rPr>
        <w:t>Overall Model Evaluation:</w:t>
      </w:r>
      <w:r w:rsidRPr="002551A7">
        <w:rPr>
          <w:rFonts w:asciiTheme="majorBidi" w:eastAsia="Times New Roman" w:hAnsiTheme="majorBidi" w:cstheme="majorBidi"/>
          <w:kern w:val="0"/>
          <w:sz w:val="24"/>
          <w:szCs w:val="24"/>
          <w:lang w:val="en-US" w:eastAsia="fr-FR"/>
          <w14:ligatures w14:val="none"/>
        </w:rPr>
        <w:t xml:space="preserve"> The model is acceptable (R-squared = 0.839, MAPE = 5.519%) but not ideal (negative Stationary R-squared, high MaxAE). This may be due to significant fluctuations in the GDP data (such as the decline in 2020 and the sharp increase in 2021). The Brown model assumes a linear trend, whereas your data contains nonlinear fluctuations.</w:t>
      </w:r>
    </w:p>
    <w:p w14:paraId="5B5B8314" w14:textId="6EC176AB" w:rsidR="00AC1791" w:rsidRPr="00EB3899" w:rsidRDefault="00821039" w:rsidP="00413B73">
      <w:pPr>
        <w:pStyle w:val="ListParagraph"/>
        <w:numPr>
          <w:ilvl w:val="3"/>
          <w:numId w:val="89"/>
        </w:numPr>
        <w:spacing w:line="360" w:lineRule="auto"/>
        <w:jc w:val="both"/>
        <w:rPr>
          <w:rFonts w:asciiTheme="majorBidi" w:hAnsiTheme="majorBidi" w:cstheme="majorBidi"/>
          <w:sz w:val="24"/>
          <w:szCs w:val="24"/>
          <w:lang w:val="en-US" w:bidi="ar-DZ"/>
        </w:rPr>
      </w:pPr>
      <w:r>
        <w:rPr>
          <w:rFonts w:asciiTheme="majorBidi" w:hAnsiTheme="majorBidi" w:cstheme="majorBidi"/>
          <w:b/>
          <w:bCs/>
          <w:sz w:val="24"/>
          <w:szCs w:val="24"/>
          <w:lang w:val="en-US" w:bidi="ar-DZ"/>
        </w:rPr>
        <w:t xml:space="preserve"> </w:t>
      </w:r>
      <w:r w:rsidR="00AC1791" w:rsidRPr="002551A7">
        <w:rPr>
          <w:rFonts w:asciiTheme="majorBidi" w:hAnsiTheme="majorBidi" w:cstheme="majorBidi"/>
          <w:b/>
          <w:bCs/>
          <w:sz w:val="24"/>
          <w:szCs w:val="24"/>
          <w:lang w:val="en-US" w:bidi="ar-DZ"/>
        </w:rPr>
        <w:t xml:space="preserve"> </w:t>
      </w:r>
      <w:bookmarkStart w:id="309" w:name="_Toc200721713"/>
      <w:r w:rsidR="00AC1791" w:rsidRPr="00EB3899">
        <w:rPr>
          <w:rStyle w:val="Heading6Char"/>
          <w:rFonts w:cstheme="majorBidi"/>
          <w:sz w:val="24"/>
          <w:szCs w:val="24"/>
        </w:rPr>
        <w:t>Exponential Smoothing Model Parameters</w:t>
      </w:r>
      <w:bookmarkEnd w:id="309"/>
      <w:r w:rsidR="00AC1791" w:rsidRPr="00EB3899">
        <w:rPr>
          <w:rFonts w:asciiTheme="majorBidi" w:hAnsiTheme="majorBidi" w:cstheme="majorBidi"/>
          <w:b/>
          <w:bCs/>
          <w:sz w:val="24"/>
          <w:szCs w:val="24"/>
          <w:lang w:val="en-US" w:bidi="ar-DZ"/>
        </w:rPr>
        <w:t>:</w:t>
      </w:r>
    </w:p>
    <w:p w14:paraId="60C08E4D" w14:textId="77777777" w:rsidR="00AC1791" w:rsidRPr="002551A7" w:rsidRDefault="00AC1791" w:rsidP="002551A7">
      <w:pPr>
        <w:spacing w:line="360" w:lineRule="auto"/>
        <w:ind w:left="360"/>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11:</w:t>
      </w:r>
      <w:r w:rsidRPr="002551A7">
        <w:rPr>
          <w:rFonts w:asciiTheme="majorBidi" w:hAnsiTheme="majorBidi" w:cstheme="majorBidi"/>
          <w:sz w:val="24"/>
          <w:szCs w:val="24"/>
          <w:lang w:val="en-US" w:bidi="ar-DZ"/>
        </w:rPr>
        <w:t xml:space="preserve"> Exponential Smoothing Model Parameters </w:t>
      </w:r>
    </w:p>
    <w:tbl>
      <w:tblPr>
        <w:tblStyle w:val="TableGrid"/>
        <w:tblW w:w="0" w:type="auto"/>
        <w:tblLook w:val="04A0" w:firstRow="1" w:lastRow="0" w:firstColumn="1" w:lastColumn="0" w:noHBand="0" w:noVBand="1"/>
      </w:tblPr>
      <w:tblGrid>
        <w:gridCol w:w="3856"/>
        <w:gridCol w:w="2390"/>
        <w:gridCol w:w="1339"/>
        <w:gridCol w:w="1477"/>
      </w:tblGrid>
      <w:tr w:rsidR="00AC1791" w:rsidRPr="002551A7" w14:paraId="482CE572" w14:textId="77777777" w:rsidTr="00A26DD0">
        <w:trPr>
          <w:trHeight w:val="285"/>
        </w:trPr>
        <w:tc>
          <w:tcPr>
            <w:tcW w:w="3856" w:type="dxa"/>
            <w:noWrap/>
            <w:hideMark/>
          </w:tcPr>
          <w:p w14:paraId="561FF95C" w14:textId="77777777" w:rsidR="00AC1791" w:rsidRPr="002551A7" w:rsidRDefault="00AC1791" w:rsidP="002551A7">
            <w:pPr>
              <w:spacing w:line="360" w:lineRule="auto"/>
              <w:jc w:val="center"/>
              <w:rPr>
                <w:rFonts w:asciiTheme="majorBidi" w:hAnsiTheme="majorBidi" w:cstheme="majorBidi"/>
                <w:sz w:val="24"/>
                <w:szCs w:val="24"/>
                <w:lang w:val="en-US" w:bidi="ar-DZ"/>
              </w:rPr>
            </w:pPr>
          </w:p>
        </w:tc>
        <w:tc>
          <w:tcPr>
            <w:tcW w:w="2390" w:type="dxa"/>
            <w:noWrap/>
            <w:hideMark/>
          </w:tcPr>
          <w:p w14:paraId="23AE3303"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Estimate</w:t>
            </w:r>
          </w:p>
        </w:tc>
        <w:tc>
          <w:tcPr>
            <w:tcW w:w="1339" w:type="dxa"/>
            <w:noWrap/>
            <w:hideMark/>
          </w:tcPr>
          <w:p w14:paraId="6CE7C5D7"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w:t>
            </w:r>
          </w:p>
        </w:tc>
        <w:tc>
          <w:tcPr>
            <w:tcW w:w="1477" w:type="dxa"/>
            <w:noWrap/>
            <w:hideMark/>
          </w:tcPr>
          <w:p w14:paraId="129DBB73"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T</w:t>
            </w:r>
          </w:p>
        </w:tc>
      </w:tr>
      <w:tr w:rsidR="00AC1791" w:rsidRPr="002551A7" w14:paraId="47EAF417" w14:textId="77777777" w:rsidTr="00A26DD0">
        <w:trPr>
          <w:trHeight w:val="308"/>
        </w:trPr>
        <w:tc>
          <w:tcPr>
            <w:tcW w:w="3856" w:type="dxa"/>
            <w:noWrap/>
            <w:hideMark/>
          </w:tcPr>
          <w:p w14:paraId="7D6B28DE" w14:textId="77777777" w:rsidR="00AC1791" w:rsidRPr="002551A7" w:rsidRDefault="00AC1791" w:rsidP="002551A7">
            <w:pPr>
              <w:spacing w:line="360" w:lineRule="auto"/>
              <w:jc w:val="center"/>
              <w:rPr>
                <w:rFonts w:asciiTheme="majorBidi" w:hAnsiTheme="majorBidi" w:cstheme="majorBidi"/>
                <w:b/>
                <w:bCs/>
                <w:sz w:val="24"/>
                <w:szCs w:val="24"/>
                <w:lang w:bidi="ar-DZ"/>
              </w:rPr>
            </w:pPr>
            <w:r w:rsidRPr="002551A7">
              <w:rPr>
                <w:rFonts w:asciiTheme="majorBidi" w:hAnsiTheme="majorBidi" w:cstheme="majorBidi"/>
                <w:b/>
                <w:bCs/>
                <w:sz w:val="24"/>
                <w:szCs w:val="24"/>
                <w:lang w:val="en-US" w:bidi="ar-DZ"/>
              </w:rPr>
              <w:t>Alpha (Level and Trend)</w:t>
            </w:r>
          </w:p>
        </w:tc>
        <w:tc>
          <w:tcPr>
            <w:tcW w:w="2390" w:type="dxa"/>
            <w:noWrap/>
            <w:hideMark/>
          </w:tcPr>
          <w:p w14:paraId="130BC06A"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0.918</w:t>
            </w:r>
          </w:p>
        </w:tc>
        <w:tc>
          <w:tcPr>
            <w:tcW w:w="1339" w:type="dxa"/>
            <w:noWrap/>
            <w:hideMark/>
          </w:tcPr>
          <w:p w14:paraId="44E16E69"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w:t>
            </w:r>
          </w:p>
        </w:tc>
        <w:tc>
          <w:tcPr>
            <w:tcW w:w="1477" w:type="dxa"/>
            <w:noWrap/>
            <w:hideMark/>
          </w:tcPr>
          <w:p w14:paraId="17558C10"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6.767</w:t>
            </w:r>
          </w:p>
        </w:tc>
      </w:tr>
    </w:tbl>
    <w:p w14:paraId="1BA2EBA0" w14:textId="6BD74E19"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result of SPSS v.27</w:t>
      </w:r>
    </w:p>
    <w:p w14:paraId="543627B9"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Alpha (0.918): The smoothing coefficient is very high (close to 1), indicating that the model heavily relies on recent values (such as 2023–2024) more than older values (2014–2015). This makes sense, as the most recent trend (GDP rising to 1.3 billion in 2024) has the most significant impact on the forecast.</w:t>
      </w:r>
    </w:p>
    <w:p w14:paraId="3C9ED2CD"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Sig. (0.000): The Alpha coefficient is statistically significant, meaning that the model is reliable in using this coefficient.</w:t>
      </w:r>
    </w:p>
    <w:p w14:paraId="3409E036" w14:textId="582AB8CC" w:rsidR="00AC1791" w:rsidRPr="00821039" w:rsidRDefault="00821039" w:rsidP="00413B73">
      <w:pPr>
        <w:pStyle w:val="ListParagraph"/>
        <w:numPr>
          <w:ilvl w:val="3"/>
          <w:numId w:val="89"/>
        </w:numPr>
        <w:spacing w:line="360" w:lineRule="auto"/>
        <w:jc w:val="both"/>
        <w:rPr>
          <w:rFonts w:asciiTheme="majorBidi" w:hAnsiTheme="majorBidi" w:cstheme="majorBidi"/>
          <w:b/>
          <w:bCs/>
          <w:sz w:val="24"/>
          <w:szCs w:val="24"/>
          <w:lang w:val="en-US" w:bidi="ar-DZ"/>
        </w:rPr>
      </w:pPr>
      <w:bookmarkStart w:id="310" w:name="_Hlk196827793"/>
      <w:r>
        <w:rPr>
          <w:rFonts w:asciiTheme="majorBidi" w:hAnsiTheme="majorBidi" w:cstheme="majorBidi"/>
          <w:b/>
          <w:bCs/>
          <w:sz w:val="24"/>
          <w:szCs w:val="24"/>
          <w:lang w:val="en-US" w:bidi="ar-DZ"/>
        </w:rPr>
        <w:t xml:space="preserve"> </w:t>
      </w:r>
      <w:bookmarkStart w:id="311" w:name="_Toc200721714"/>
      <w:r w:rsidR="00AC1791" w:rsidRPr="00BD2EAB">
        <w:rPr>
          <w:rStyle w:val="Heading6Char"/>
          <w:lang w:val="en-US"/>
        </w:rPr>
        <w:t>Chart and GDP Forecast from 2025 to 2030</w:t>
      </w:r>
      <w:bookmarkEnd w:id="310"/>
      <w:bookmarkEnd w:id="311"/>
      <w:r w:rsidR="00AC1791" w:rsidRPr="00821039">
        <w:rPr>
          <w:rFonts w:asciiTheme="majorBidi" w:hAnsiTheme="majorBidi" w:cstheme="majorBidi"/>
          <w:b/>
          <w:bCs/>
          <w:sz w:val="24"/>
          <w:szCs w:val="24"/>
          <w:lang w:val="en-US" w:bidi="ar-DZ"/>
        </w:rPr>
        <w:t>:</w:t>
      </w:r>
    </w:p>
    <w:p w14:paraId="79EB3402" w14:textId="77777777" w:rsidR="00AC1791" w:rsidRPr="002551A7" w:rsidRDefault="00AC1791" w:rsidP="002551A7">
      <w:pPr>
        <w:pStyle w:val="ListParagraph"/>
        <w:spacing w:line="360" w:lineRule="auto"/>
        <w:jc w:val="center"/>
        <w:rPr>
          <w:rFonts w:asciiTheme="majorBidi" w:hAnsiTheme="majorBidi" w:cstheme="majorBidi"/>
          <w:sz w:val="24"/>
          <w:szCs w:val="24"/>
          <w:lang w:val="en-US"/>
        </w:rPr>
      </w:pPr>
      <w:r w:rsidRPr="002551A7">
        <w:rPr>
          <w:rFonts w:asciiTheme="majorBidi" w:hAnsiTheme="majorBidi" w:cstheme="majorBidi"/>
          <w:b/>
          <w:bCs/>
          <w:noProof/>
          <w:sz w:val="24"/>
          <w:szCs w:val="24"/>
          <w:lang w:val="en-US" w:bidi="ar-DZ"/>
        </w:rPr>
        <w:drawing>
          <wp:anchor distT="0" distB="0" distL="114300" distR="114300" simplePos="0" relativeHeight="251712512" behindDoc="0" locked="0" layoutInCell="1" allowOverlap="1" wp14:anchorId="3DBBDCA1" wp14:editId="6B0BF144">
            <wp:simplePos x="0" y="0"/>
            <wp:positionH relativeFrom="margin">
              <wp:posOffset>800735</wp:posOffset>
            </wp:positionH>
            <wp:positionV relativeFrom="paragraph">
              <wp:posOffset>274320</wp:posOffset>
            </wp:positionV>
            <wp:extent cx="4133215" cy="2226945"/>
            <wp:effectExtent l="0" t="0" r="635" b="1905"/>
            <wp:wrapTopAndBottom/>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33215" cy="2226945"/>
                    </a:xfrm>
                    <a:prstGeom prst="rect">
                      <a:avLst/>
                    </a:prstGeom>
                    <a:noFill/>
                  </pic:spPr>
                </pic:pic>
              </a:graphicData>
            </a:graphic>
            <wp14:sizeRelH relativeFrom="page">
              <wp14:pctWidth>0</wp14:pctWidth>
            </wp14:sizeRelH>
            <wp14:sizeRelV relativeFrom="page">
              <wp14:pctHeight>0</wp14:pctHeight>
            </wp14:sizeRelV>
          </wp:anchor>
        </w:drawing>
      </w:r>
      <w:r w:rsidRPr="002551A7">
        <w:rPr>
          <w:rFonts w:asciiTheme="majorBidi" w:hAnsiTheme="majorBidi" w:cstheme="majorBidi"/>
          <w:b/>
          <w:bCs/>
          <w:sz w:val="24"/>
          <w:szCs w:val="24"/>
          <w:lang w:val="en-US"/>
        </w:rPr>
        <w:t>Figure 19:</w:t>
      </w:r>
      <w:r w:rsidRPr="002551A7">
        <w:rPr>
          <w:rFonts w:asciiTheme="majorBidi" w:hAnsiTheme="majorBidi" w:cstheme="majorBidi"/>
          <w:sz w:val="24"/>
          <w:szCs w:val="24"/>
          <w:lang w:val="en-US"/>
        </w:rPr>
        <w:t xml:space="preserve"> </w:t>
      </w:r>
      <w:r w:rsidRPr="002551A7">
        <w:rPr>
          <w:rFonts w:asciiTheme="majorBidi" w:hAnsiTheme="majorBidi" w:cstheme="majorBidi"/>
          <w:sz w:val="24"/>
          <w:szCs w:val="24"/>
          <w:lang w:val="en-US" w:bidi="ar-DZ"/>
        </w:rPr>
        <w:t>GDP Forecast from 2025 to 2030</w:t>
      </w:r>
    </w:p>
    <w:p w14:paraId="4F371A00" w14:textId="3DDC1236" w:rsidR="00AC1791" w:rsidRPr="002551A7" w:rsidRDefault="00B9465F" w:rsidP="002551A7">
      <w:pPr>
        <w:pStyle w:val="ListParagraph"/>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result of SPSS v.27</w:t>
      </w:r>
    </w:p>
    <w:p w14:paraId="0FED53C9"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The chart shows the historical values (2014–2024) in red and the forecasts (2025–2030) in blue. Unfortunately, the chart does not include confidence intervals, which limits our ability to accurately assess risks. However, we can still extract the expected values.</w:t>
      </w:r>
    </w:p>
    <w:p w14:paraId="1EB3FB12" w14:textId="77777777" w:rsidR="00AC1791" w:rsidRPr="002551A7" w:rsidRDefault="00AC1791" w:rsidP="002551A7">
      <w:p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 xml:space="preserve">   The Gross Domestic Product (GDP) shows a linear upward trend from 2025 to 2030, increasing from 1,400,000 M.USD in 2025 to approximately 1,900,000 M.USD in 2030.</w:t>
      </w:r>
      <w:r w:rsidRPr="002551A7">
        <w:rPr>
          <w:rFonts w:asciiTheme="majorBidi" w:hAnsiTheme="majorBidi" w:cstheme="majorBidi"/>
          <w:sz w:val="24"/>
          <w:szCs w:val="24"/>
          <w:lang w:val="en-US" w:bidi="ar-DZ"/>
        </w:rPr>
        <w:br/>
        <w:t>The expected annual growth rate is about 100,000 units per year, which is a moderate growth rate (around 7% annually based on the 2024 value).</w:t>
      </w:r>
    </w:p>
    <w:p w14:paraId="79B3AC17" w14:textId="1D1C2B3B" w:rsidR="00AC1791" w:rsidRPr="00EB3899" w:rsidRDefault="00AC1791" w:rsidP="00413B73">
      <w:pPr>
        <w:pStyle w:val="ListParagraph"/>
        <w:numPr>
          <w:ilvl w:val="3"/>
          <w:numId w:val="89"/>
        </w:numPr>
        <w:spacing w:line="360" w:lineRule="auto"/>
        <w:jc w:val="both"/>
        <w:rPr>
          <w:rFonts w:asciiTheme="majorBidi" w:hAnsiTheme="majorBidi" w:cstheme="majorBidi"/>
          <w:b/>
          <w:bCs/>
          <w:sz w:val="24"/>
          <w:szCs w:val="24"/>
          <w:lang w:val="en-US" w:bidi="ar-DZ"/>
        </w:rPr>
      </w:pPr>
      <w:r w:rsidRPr="00EB3899">
        <w:rPr>
          <w:rFonts w:asciiTheme="majorBidi" w:hAnsiTheme="majorBidi" w:cstheme="majorBidi"/>
          <w:b/>
          <w:bCs/>
          <w:sz w:val="24"/>
          <w:szCs w:val="24"/>
          <w:lang w:val="en-US" w:bidi="ar-DZ"/>
        </w:rPr>
        <w:t xml:space="preserve"> </w:t>
      </w:r>
      <w:bookmarkStart w:id="312" w:name="_Toc200721715"/>
      <w:r w:rsidRPr="00EB3899">
        <w:rPr>
          <w:rStyle w:val="Heading6Char"/>
          <w:rFonts w:cstheme="majorBidi"/>
          <w:sz w:val="24"/>
          <w:szCs w:val="24"/>
          <w:lang w:val="en-US"/>
        </w:rPr>
        <w:t>Analysis of Future Opportunities and Risks Based on the Forecasts</w:t>
      </w:r>
      <w:bookmarkEnd w:id="312"/>
      <w:r w:rsidRPr="00EB3899">
        <w:rPr>
          <w:rFonts w:asciiTheme="majorBidi" w:hAnsiTheme="majorBidi" w:cstheme="majorBidi"/>
          <w:b/>
          <w:bCs/>
          <w:sz w:val="24"/>
          <w:szCs w:val="24"/>
          <w:lang w:val="en-US" w:bidi="ar-DZ"/>
        </w:rPr>
        <w:t>:</w:t>
      </w:r>
    </w:p>
    <w:p w14:paraId="7CDDE44A"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b/>
          <w:bCs/>
          <w:sz w:val="24"/>
          <w:szCs w:val="24"/>
          <w:lang w:bidi="ar-DZ"/>
        </w:rPr>
        <w:t>Opportunities:</w:t>
      </w:r>
    </w:p>
    <w:p w14:paraId="678BE77D" w14:textId="77777777" w:rsidR="00AC1791" w:rsidRPr="002551A7" w:rsidRDefault="00AC1791" w:rsidP="00413B73">
      <w:pPr>
        <w:numPr>
          <w:ilvl w:val="0"/>
          <w:numId w:val="45"/>
        </w:num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The continuous growth in GDP indicates an expanding market, which implies a potential increase in demand for imported goods (such as Proderma products).</w:t>
      </w:r>
    </w:p>
    <w:p w14:paraId="7D3C82F1" w14:textId="77777777" w:rsidR="00AC1791" w:rsidRPr="002551A7" w:rsidRDefault="00AC1791" w:rsidP="00413B73">
      <w:pPr>
        <w:numPr>
          <w:ilvl w:val="0"/>
          <w:numId w:val="45"/>
        </w:num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This trend supports long-term investment and export decisions.</w:t>
      </w:r>
    </w:p>
    <w:p w14:paraId="15786445" w14:textId="77777777" w:rsidR="00AC1791" w:rsidRPr="002551A7" w:rsidRDefault="00AC1791" w:rsidP="002551A7">
      <w:pPr>
        <w:spacing w:line="360" w:lineRule="auto"/>
        <w:jc w:val="both"/>
        <w:rPr>
          <w:rFonts w:asciiTheme="majorBidi" w:hAnsiTheme="majorBidi" w:cstheme="majorBidi"/>
          <w:sz w:val="24"/>
          <w:szCs w:val="24"/>
          <w:lang w:bidi="ar-DZ"/>
        </w:rPr>
      </w:pPr>
      <w:r w:rsidRPr="002551A7">
        <w:rPr>
          <w:rFonts w:asciiTheme="majorBidi" w:hAnsiTheme="majorBidi" w:cstheme="majorBidi"/>
          <w:b/>
          <w:bCs/>
          <w:sz w:val="24"/>
          <w:szCs w:val="24"/>
          <w:lang w:bidi="ar-DZ"/>
        </w:rPr>
        <w:t>Risks:</w:t>
      </w:r>
    </w:p>
    <w:p w14:paraId="46AB6356" w14:textId="77777777" w:rsidR="00AC1791" w:rsidRPr="002551A7" w:rsidRDefault="00AC1791" w:rsidP="00413B73">
      <w:pPr>
        <w:numPr>
          <w:ilvl w:val="0"/>
          <w:numId w:val="46"/>
        </w:num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The model does not provide confidence intervals, which means there are unseen risks. If economic shocks occur (such as a financial crisis or changes in monetary policy), GDP may decline.</w:t>
      </w:r>
    </w:p>
    <w:p w14:paraId="380EC3E4" w14:textId="77777777" w:rsidR="00AC1791" w:rsidRPr="002551A7" w:rsidRDefault="00AC1791" w:rsidP="00413B73">
      <w:pPr>
        <w:numPr>
          <w:ilvl w:val="0"/>
          <w:numId w:val="46"/>
        </w:numPr>
        <w:spacing w:line="360" w:lineRule="auto"/>
        <w:jc w:val="both"/>
        <w:rPr>
          <w:rFonts w:asciiTheme="majorBidi" w:hAnsiTheme="majorBidi" w:cstheme="majorBidi"/>
          <w:sz w:val="24"/>
          <w:szCs w:val="24"/>
          <w:lang w:val="en-US" w:bidi="ar-DZ"/>
        </w:rPr>
      </w:pPr>
      <w:r w:rsidRPr="002551A7">
        <w:rPr>
          <w:rFonts w:asciiTheme="majorBidi" w:hAnsiTheme="majorBidi" w:cstheme="majorBidi"/>
          <w:sz w:val="24"/>
          <w:szCs w:val="24"/>
          <w:lang w:val="en-US" w:bidi="ar-DZ"/>
        </w:rPr>
        <w:t>Significant historical fluctuations (such as the decline in 2020) suggest that the linear growth may not continue if crises occur</w:t>
      </w:r>
      <w:r w:rsidRPr="002551A7">
        <w:rPr>
          <w:rFonts w:asciiTheme="majorBidi" w:hAnsiTheme="majorBidi" w:cstheme="majorBidi"/>
          <w:b/>
          <w:bCs/>
          <w:sz w:val="24"/>
          <w:szCs w:val="24"/>
          <w:lang w:val="en-US" w:bidi="ar-DZ"/>
        </w:rPr>
        <w:t>.</w:t>
      </w:r>
    </w:p>
    <w:p w14:paraId="297DE004" w14:textId="7BF43CC2" w:rsidR="00AC1791" w:rsidRPr="00821039" w:rsidRDefault="00AC1791" w:rsidP="00413B73">
      <w:pPr>
        <w:pStyle w:val="ListParagraph"/>
        <w:numPr>
          <w:ilvl w:val="2"/>
          <w:numId w:val="89"/>
        </w:numPr>
        <w:spacing w:line="360" w:lineRule="auto"/>
        <w:jc w:val="both"/>
        <w:rPr>
          <w:rFonts w:asciiTheme="majorBidi" w:hAnsiTheme="majorBidi" w:cstheme="majorBidi"/>
          <w:b/>
          <w:bCs/>
          <w:sz w:val="24"/>
          <w:szCs w:val="24"/>
          <w:lang w:val="en-US" w:bidi="ar-DZ"/>
        </w:rPr>
      </w:pPr>
      <w:bookmarkStart w:id="313" w:name="_Toc200720072"/>
      <w:bookmarkStart w:id="314" w:name="_Toc200721716"/>
      <w:r w:rsidRPr="00BB2F8D">
        <w:rPr>
          <w:rStyle w:val="Heading5Char"/>
          <w:rFonts w:eastAsiaTheme="minorHAnsi"/>
        </w:rPr>
        <w:t>Inflation forecasting</w:t>
      </w:r>
      <w:bookmarkEnd w:id="313"/>
      <w:bookmarkEnd w:id="314"/>
      <w:r w:rsidRPr="00821039">
        <w:rPr>
          <w:rFonts w:asciiTheme="majorBidi" w:hAnsiTheme="majorBidi" w:cstheme="majorBidi"/>
          <w:b/>
          <w:bCs/>
          <w:sz w:val="24"/>
          <w:szCs w:val="24"/>
          <w:lang w:val="en-US" w:bidi="ar-DZ"/>
        </w:rPr>
        <w:t>:</w:t>
      </w:r>
    </w:p>
    <w:p w14:paraId="5D07B94A" w14:textId="4F8F8139" w:rsidR="00AC1791" w:rsidRPr="00821039" w:rsidRDefault="00821039" w:rsidP="00413B73">
      <w:pPr>
        <w:pStyle w:val="ListParagraph"/>
        <w:numPr>
          <w:ilvl w:val="3"/>
          <w:numId w:val="90"/>
        </w:num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15" w:name="_Toc200721717"/>
      <w:r w:rsidR="00AC1791" w:rsidRPr="00BD2EAB">
        <w:rPr>
          <w:rStyle w:val="Heading6Char"/>
          <w:lang w:val="en-US"/>
        </w:rPr>
        <w:t>Model description and model fit</w:t>
      </w:r>
      <w:bookmarkEnd w:id="315"/>
      <w:r w:rsidR="00AC1791" w:rsidRPr="00821039">
        <w:rPr>
          <w:rFonts w:asciiTheme="majorBidi" w:hAnsiTheme="majorBidi" w:cstheme="majorBidi"/>
          <w:b/>
          <w:bCs/>
          <w:sz w:val="24"/>
          <w:szCs w:val="24"/>
          <w:lang w:val="en-US"/>
        </w:rPr>
        <w:t>:</w:t>
      </w:r>
    </w:p>
    <w:p w14:paraId="0C5C42CC" w14:textId="77777777" w:rsidR="00AC1791" w:rsidRPr="002551A7" w:rsidRDefault="00AC1791" w:rsidP="00413B73">
      <w:pPr>
        <w:pStyle w:val="ListParagraph"/>
        <w:numPr>
          <w:ilvl w:val="0"/>
          <w:numId w:val="44"/>
        </w:numPr>
        <w:spacing w:line="360" w:lineRule="auto"/>
        <w:rPr>
          <w:rFonts w:asciiTheme="majorBidi" w:hAnsiTheme="majorBidi" w:cstheme="majorBidi"/>
          <w:sz w:val="24"/>
          <w:szCs w:val="24"/>
        </w:rPr>
      </w:pPr>
      <w:r w:rsidRPr="002551A7">
        <w:rPr>
          <w:rFonts w:asciiTheme="majorBidi" w:hAnsiTheme="majorBidi" w:cstheme="majorBidi"/>
          <w:b/>
          <w:bCs/>
          <w:sz w:val="24"/>
          <w:szCs w:val="24"/>
        </w:rPr>
        <w:t xml:space="preserve">Model type : </w:t>
      </w:r>
      <w:r w:rsidRPr="002551A7">
        <w:rPr>
          <w:rFonts w:asciiTheme="majorBidi" w:hAnsiTheme="majorBidi" w:cstheme="majorBidi"/>
          <w:sz w:val="24"/>
          <w:szCs w:val="24"/>
        </w:rPr>
        <w:t>Holt</w:t>
      </w:r>
    </w:p>
    <w:p w14:paraId="4A7B49B3" w14:textId="77777777" w:rsidR="00AC1791" w:rsidRPr="002551A7" w:rsidRDefault="00AC1791" w:rsidP="002551A7">
      <w:pPr>
        <w:pStyle w:val="ListParagraph"/>
        <w:spacing w:line="360" w:lineRule="auto"/>
        <w:jc w:val="center"/>
        <w:rPr>
          <w:rFonts w:asciiTheme="majorBidi" w:hAnsiTheme="majorBidi" w:cstheme="majorBidi"/>
          <w:sz w:val="24"/>
          <w:szCs w:val="24"/>
        </w:rPr>
      </w:pPr>
      <w:r w:rsidRPr="002551A7">
        <w:rPr>
          <w:rFonts w:asciiTheme="majorBidi" w:hAnsiTheme="majorBidi" w:cstheme="majorBidi"/>
          <w:b/>
          <w:bCs/>
          <w:sz w:val="24"/>
          <w:szCs w:val="24"/>
        </w:rPr>
        <w:t>Table 12:</w:t>
      </w:r>
      <w:r w:rsidRPr="002551A7">
        <w:rPr>
          <w:rFonts w:asciiTheme="majorBidi" w:hAnsiTheme="majorBidi" w:cstheme="majorBidi"/>
          <w:sz w:val="24"/>
          <w:szCs w:val="24"/>
        </w:rPr>
        <w:t xml:space="preserve"> Model fit</w:t>
      </w:r>
    </w:p>
    <w:tbl>
      <w:tblPr>
        <w:tblStyle w:val="TableGrid"/>
        <w:tblW w:w="10828" w:type="dxa"/>
        <w:tblInd w:w="-815" w:type="dxa"/>
        <w:tblLook w:val="04A0" w:firstRow="1" w:lastRow="0" w:firstColumn="1" w:lastColumn="0" w:noHBand="0" w:noVBand="1"/>
      </w:tblPr>
      <w:tblGrid>
        <w:gridCol w:w="1704"/>
        <w:gridCol w:w="1231"/>
        <w:gridCol w:w="1236"/>
        <w:gridCol w:w="883"/>
        <w:gridCol w:w="1625"/>
        <w:gridCol w:w="1236"/>
        <w:gridCol w:w="1356"/>
        <w:gridCol w:w="1557"/>
      </w:tblGrid>
      <w:tr w:rsidR="00AC1791" w:rsidRPr="002551A7" w14:paraId="74E84518" w14:textId="77777777" w:rsidTr="00605B4F">
        <w:trPr>
          <w:trHeight w:val="285"/>
        </w:trPr>
        <w:tc>
          <w:tcPr>
            <w:tcW w:w="1704" w:type="dxa"/>
            <w:noWrap/>
            <w:hideMark/>
          </w:tcPr>
          <w:p w14:paraId="76C73DB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Stationary R-squared</w:t>
            </w:r>
          </w:p>
        </w:tc>
        <w:tc>
          <w:tcPr>
            <w:tcW w:w="1231" w:type="dxa"/>
            <w:noWrap/>
            <w:hideMark/>
          </w:tcPr>
          <w:p w14:paraId="54970EE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R-squared</w:t>
            </w:r>
          </w:p>
        </w:tc>
        <w:tc>
          <w:tcPr>
            <w:tcW w:w="1236" w:type="dxa"/>
            <w:noWrap/>
            <w:hideMark/>
          </w:tcPr>
          <w:p w14:paraId="4222F4E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RMSE</w:t>
            </w:r>
          </w:p>
        </w:tc>
        <w:tc>
          <w:tcPr>
            <w:tcW w:w="883" w:type="dxa"/>
            <w:noWrap/>
            <w:hideMark/>
          </w:tcPr>
          <w:p w14:paraId="521A24F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MAPE</w:t>
            </w:r>
          </w:p>
        </w:tc>
        <w:tc>
          <w:tcPr>
            <w:tcW w:w="1625" w:type="dxa"/>
            <w:noWrap/>
            <w:hideMark/>
          </w:tcPr>
          <w:p w14:paraId="5009433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MaxAPE</w:t>
            </w:r>
          </w:p>
        </w:tc>
        <w:tc>
          <w:tcPr>
            <w:tcW w:w="1236" w:type="dxa"/>
            <w:noWrap/>
            <w:hideMark/>
          </w:tcPr>
          <w:p w14:paraId="0E6572C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MAE</w:t>
            </w:r>
          </w:p>
        </w:tc>
        <w:tc>
          <w:tcPr>
            <w:tcW w:w="1356" w:type="dxa"/>
            <w:noWrap/>
            <w:hideMark/>
          </w:tcPr>
          <w:p w14:paraId="64EFDF5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MaxAE</w:t>
            </w:r>
          </w:p>
        </w:tc>
        <w:tc>
          <w:tcPr>
            <w:tcW w:w="1557" w:type="dxa"/>
            <w:noWrap/>
            <w:hideMark/>
          </w:tcPr>
          <w:p w14:paraId="6157807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Normalized BIC</w:t>
            </w:r>
          </w:p>
        </w:tc>
      </w:tr>
      <w:tr w:rsidR="00AC1791" w:rsidRPr="002551A7" w14:paraId="29C3AB9B" w14:textId="77777777" w:rsidTr="00605B4F">
        <w:trPr>
          <w:trHeight w:val="285"/>
        </w:trPr>
        <w:tc>
          <w:tcPr>
            <w:tcW w:w="1704" w:type="dxa"/>
            <w:noWrap/>
            <w:hideMark/>
          </w:tcPr>
          <w:p w14:paraId="0DAFB13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0.785</w:t>
            </w:r>
          </w:p>
        </w:tc>
        <w:tc>
          <w:tcPr>
            <w:tcW w:w="1231" w:type="dxa"/>
            <w:noWrap/>
            <w:hideMark/>
          </w:tcPr>
          <w:p w14:paraId="282D67D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0.655</w:t>
            </w:r>
          </w:p>
        </w:tc>
        <w:tc>
          <w:tcPr>
            <w:tcW w:w="1236" w:type="dxa"/>
            <w:noWrap/>
            <w:hideMark/>
          </w:tcPr>
          <w:p w14:paraId="70F6529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14.657</w:t>
            </w:r>
          </w:p>
        </w:tc>
        <w:tc>
          <w:tcPr>
            <w:tcW w:w="883" w:type="dxa"/>
            <w:noWrap/>
            <w:hideMark/>
          </w:tcPr>
          <w:p w14:paraId="34CA50E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57,714</w:t>
            </w:r>
          </w:p>
        </w:tc>
        <w:tc>
          <w:tcPr>
            <w:tcW w:w="1625" w:type="dxa"/>
            <w:noWrap/>
            <w:hideMark/>
          </w:tcPr>
          <w:p w14:paraId="508D973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160,746</w:t>
            </w:r>
          </w:p>
        </w:tc>
        <w:tc>
          <w:tcPr>
            <w:tcW w:w="1236" w:type="dxa"/>
            <w:noWrap/>
            <w:hideMark/>
          </w:tcPr>
          <w:p w14:paraId="62EFCE4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10,089</w:t>
            </w:r>
          </w:p>
        </w:tc>
        <w:tc>
          <w:tcPr>
            <w:tcW w:w="1356" w:type="dxa"/>
            <w:noWrap/>
            <w:hideMark/>
          </w:tcPr>
          <w:p w14:paraId="24C9992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31.233</w:t>
            </w:r>
          </w:p>
        </w:tc>
        <w:tc>
          <w:tcPr>
            <w:tcW w:w="1557" w:type="dxa"/>
            <w:noWrap/>
            <w:hideMark/>
          </w:tcPr>
          <w:p w14:paraId="6505C78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5.806</w:t>
            </w:r>
          </w:p>
        </w:tc>
      </w:tr>
    </w:tbl>
    <w:p w14:paraId="529B29EE" w14:textId="3EB388A5" w:rsidR="00AC1791" w:rsidRPr="002551A7" w:rsidRDefault="00B9465F" w:rsidP="002551A7">
      <w:pPr>
        <w:pStyle w:val="ListParagraph"/>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result of SPSS v.27</w:t>
      </w:r>
    </w:p>
    <w:p w14:paraId="25A47A6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Holt model is a type of exponential smoothing model used when there are trends in the data but no seasonal fluctuations. This is suitable for the inflation data, as it exhibits significant fluctuations (such as the rise to 72.3% in 2022) and trends (such as the decline to around 20% in 2024) without clear seasonal patterns.</w:t>
      </w:r>
    </w:p>
    <w:p w14:paraId="31F7E329" w14:textId="711BD5C9"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Stationary R-squared (0.785): The value is positive and high, indicating that the model captures the fluctuations in inflation data well after removing the trend. This is a positive sign of the model’s adequacy.</w:t>
      </w:r>
    </w:p>
    <w:p w14:paraId="0DD26268" w14:textId="774CBBC7"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R-squared (0.855): The model explains 85.5% of the variation in inflation based on historical trends. This is a very good ratio, indicating that the model is relatively strong.</w:t>
      </w:r>
    </w:p>
    <w:p w14:paraId="5B15E055" w14:textId="7CD860E7"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RMSE (14.657): The root mean square error is relatively high compared to the average inflation rate (25.78% from the previous descriptive analysis). The error represents about 57% of the average, suggesting that the forecasts carry a significant margin of error.</w:t>
      </w:r>
    </w:p>
    <w:p w14:paraId="714C11B0" w14:textId="01645025"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MAPE (57.714): The mean absolute percentage error is high (57.7%), which is unacceptable (a MAPE below 10% is considered good). This means the forecasts are not sufficiently accurate, especially considering the large fluctuations in inflation data (ranging from 7.7% to 72.3%).</w:t>
      </w:r>
    </w:p>
    <w:p w14:paraId="0E4F93F6" w14:textId="3B245A41"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MAE (10.089): The mean absolute error is relatively high compared to the average inflation rate, reinforcing the notion that the model lacks accuracy.</w:t>
      </w:r>
    </w:p>
    <w:p w14:paraId="1DEC0422" w14:textId="029F6895"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MaxAE (31,233 M.USD): The maximum absolute error is very high, reflecting the difficulty in forecasting years such as 2022 (72.3%).</w:t>
      </w:r>
    </w:p>
    <w:p w14:paraId="026755EF" w14:textId="0057CF65" w:rsidR="00AC1791" w:rsidRPr="00C3174C"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C3174C">
        <w:rPr>
          <w:rFonts w:asciiTheme="majorBidi" w:hAnsiTheme="majorBidi" w:cstheme="majorBidi"/>
          <w:sz w:val="24"/>
          <w:szCs w:val="24"/>
          <w:lang w:val="en-US"/>
        </w:rPr>
        <w:t>Normalized BIC (5.806): A reasonable value, but it does not compensate for the high MAPE.</w:t>
      </w:r>
    </w:p>
    <w:p w14:paraId="51587389" w14:textId="77777777" w:rsidR="00AC1791" w:rsidRPr="002551A7" w:rsidRDefault="00AC1791" w:rsidP="00413B73">
      <w:pPr>
        <w:pStyle w:val="ListParagraph"/>
        <w:numPr>
          <w:ilvl w:val="0"/>
          <w:numId w:val="47"/>
        </w:numPr>
        <w:spacing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Overall Model Evaluation: </w:t>
      </w:r>
      <w:r w:rsidRPr="002551A7">
        <w:rPr>
          <w:rFonts w:asciiTheme="majorBidi" w:hAnsiTheme="majorBidi" w:cstheme="majorBidi"/>
          <w:sz w:val="24"/>
          <w:szCs w:val="24"/>
          <w:lang w:val="en-US"/>
        </w:rPr>
        <w:t>The model is relatively strong (R-squared = 0.855, Stationary R-squared = 0.785), but not sufficiently accurate (MAPE = 57.7%). The large fluctuations in inflation data (such as the sharp rise in 2022) make it difficult for the Holt model to predict with high precision. Nevertheless, the forecasts can still be used as a general indicator of trends.</w:t>
      </w:r>
    </w:p>
    <w:p w14:paraId="49553413" w14:textId="40DFC0AE" w:rsidR="00AC1791" w:rsidRPr="00EB3899" w:rsidRDefault="00AC1791" w:rsidP="00413B73">
      <w:pPr>
        <w:pStyle w:val="ListParagraph"/>
        <w:numPr>
          <w:ilvl w:val="3"/>
          <w:numId w:val="90"/>
        </w:numPr>
        <w:spacing w:line="360" w:lineRule="auto"/>
        <w:jc w:val="both"/>
        <w:rPr>
          <w:rFonts w:asciiTheme="majorBidi" w:hAnsiTheme="majorBidi" w:cstheme="majorBidi"/>
          <w:sz w:val="24"/>
          <w:szCs w:val="24"/>
          <w:lang w:val="en-US" w:bidi="ar-DZ"/>
        </w:rPr>
      </w:pPr>
      <w:r w:rsidRPr="00821039">
        <w:rPr>
          <w:rFonts w:asciiTheme="majorBidi" w:hAnsiTheme="majorBidi" w:cstheme="majorBidi"/>
          <w:b/>
          <w:bCs/>
          <w:sz w:val="24"/>
          <w:szCs w:val="24"/>
          <w:lang w:val="en-US"/>
        </w:rPr>
        <w:t xml:space="preserve"> </w:t>
      </w:r>
      <w:bookmarkStart w:id="316" w:name="_Toc200721718"/>
      <w:r w:rsidRPr="00EB3899">
        <w:rPr>
          <w:rStyle w:val="Heading6Char"/>
          <w:rFonts w:cstheme="majorBidi"/>
          <w:sz w:val="24"/>
          <w:szCs w:val="24"/>
        </w:rPr>
        <w:t>Exponential Smoothing Model Parameters</w:t>
      </w:r>
      <w:bookmarkEnd w:id="316"/>
      <w:r w:rsidRPr="00EB3899">
        <w:rPr>
          <w:rFonts w:asciiTheme="majorBidi" w:hAnsiTheme="majorBidi" w:cstheme="majorBidi"/>
          <w:b/>
          <w:bCs/>
          <w:sz w:val="24"/>
          <w:szCs w:val="24"/>
          <w:lang w:val="en-US" w:bidi="ar-DZ"/>
        </w:rPr>
        <w:t>:</w:t>
      </w:r>
    </w:p>
    <w:p w14:paraId="64BB9D8F" w14:textId="77777777" w:rsidR="00AC1791" w:rsidRPr="002551A7" w:rsidRDefault="00AC1791" w:rsidP="002551A7">
      <w:pPr>
        <w:spacing w:line="360" w:lineRule="auto"/>
        <w:ind w:left="360"/>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13:</w:t>
      </w:r>
      <w:r w:rsidRPr="002551A7">
        <w:rPr>
          <w:rFonts w:asciiTheme="majorBidi" w:hAnsiTheme="majorBidi" w:cstheme="majorBidi"/>
          <w:sz w:val="24"/>
          <w:szCs w:val="24"/>
          <w:lang w:val="en-US" w:bidi="ar-DZ"/>
        </w:rPr>
        <w:t xml:space="preserve"> Exponential Smoothing Model Parameters </w:t>
      </w:r>
    </w:p>
    <w:tbl>
      <w:tblPr>
        <w:tblStyle w:val="TableGrid"/>
        <w:tblW w:w="0" w:type="auto"/>
        <w:tblLook w:val="04A0" w:firstRow="1" w:lastRow="0" w:firstColumn="1" w:lastColumn="0" w:noHBand="0" w:noVBand="1"/>
      </w:tblPr>
      <w:tblGrid>
        <w:gridCol w:w="3856"/>
        <w:gridCol w:w="2390"/>
        <w:gridCol w:w="1339"/>
        <w:gridCol w:w="1477"/>
      </w:tblGrid>
      <w:tr w:rsidR="00AC1791" w:rsidRPr="002551A7" w14:paraId="5137D363" w14:textId="77777777" w:rsidTr="00177D0A">
        <w:trPr>
          <w:trHeight w:val="285"/>
        </w:trPr>
        <w:tc>
          <w:tcPr>
            <w:tcW w:w="3856" w:type="dxa"/>
            <w:noWrap/>
            <w:hideMark/>
          </w:tcPr>
          <w:p w14:paraId="0C985CEE" w14:textId="77777777" w:rsidR="00AC1791" w:rsidRPr="002551A7" w:rsidRDefault="00AC1791" w:rsidP="002551A7">
            <w:pPr>
              <w:spacing w:line="360" w:lineRule="auto"/>
              <w:jc w:val="center"/>
              <w:rPr>
                <w:rFonts w:asciiTheme="majorBidi" w:hAnsiTheme="majorBidi" w:cstheme="majorBidi"/>
                <w:sz w:val="24"/>
                <w:szCs w:val="24"/>
                <w:lang w:val="en-US" w:bidi="ar-DZ"/>
              </w:rPr>
            </w:pPr>
          </w:p>
        </w:tc>
        <w:tc>
          <w:tcPr>
            <w:tcW w:w="2390" w:type="dxa"/>
            <w:noWrap/>
            <w:hideMark/>
          </w:tcPr>
          <w:p w14:paraId="4C31D21A"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Estimate</w:t>
            </w:r>
          </w:p>
        </w:tc>
        <w:tc>
          <w:tcPr>
            <w:tcW w:w="1339" w:type="dxa"/>
            <w:noWrap/>
            <w:hideMark/>
          </w:tcPr>
          <w:p w14:paraId="2E561FC4"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w:t>
            </w:r>
          </w:p>
        </w:tc>
        <w:tc>
          <w:tcPr>
            <w:tcW w:w="1477" w:type="dxa"/>
            <w:noWrap/>
            <w:hideMark/>
          </w:tcPr>
          <w:p w14:paraId="390D6065"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T</w:t>
            </w:r>
          </w:p>
        </w:tc>
      </w:tr>
      <w:tr w:rsidR="00AC1791" w:rsidRPr="002551A7" w14:paraId="7FC0DC10" w14:textId="77777777" w:rsidTr="00177D0A">
        <w:trPr>
          <w:trHeight w:val="308"/>
        </w:trPr>
        <w:tc>
          <w:tcPr>
            <w:tcW w:w="3856" w:type="dxa"/>
            <w:noWrap/>
            <w:hideMark/>
          </w:tcPr>
          <w:p w14:paraId="65B56EDB" w14:textId="77777777" w:rsidR="00AC1791" w:rsidRPr="002551A7" w:rsidRDefault="00AC1791" w:rsidP="002551A7">
            <w:pPr>
              <w:spacing w:line="360" w:lineRule="auto"/>
              <w:jc w:val="center"/>
              <w:rPr>
                <w:rFonts w:asciiTheme="majorBidi" w:hAnsiTheme="majorBidi" w:cstheme="majorBidi"/>
                <w:b/>
                <w:bCs/>
                <w:sz w:val="24"/>
                <w:szCs w:val="24"/>
                <w:lang w:bidi="ar-DZ"/>
              </w:rPr>
            </w:pPr>
            <w:r w:rsidRPr="002551A7">
              <w:rPr>
                <w:rFonts w:asciiTheme="majorBidi" w:hAnsiTheme="majorBidi" w:cstheme="majorBidi"/>
                <w:b/>
                <w:bCs/>
                <w:sz w:val="24"/>
                <w:szCs w:val="24"/>
                <w:lang w:val="en-US" w:bidi="ar-DZ"/>
              </w:rPr>
              <w:t>Alpha (Level)</w:t>
            </w:r>
          </w:p>
        </w:tc>
        <w:tc>
          <w:tcPr>
            <w:tcW w:w="2390" w:type="dxa"/>
            <w:noWrap/>
            <w:hideMark/>
          </w:tcPr>
          <w:p w14:paraId="7C6AA4FE"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0.001</w:t>
            </w:r>
          </w:p>
        </w:tc>
        <w:tc>
          <w:tcPr>
            <w:tcW w:w="1339" w:type="dxa"/>
            <w:noWrap/>
            <w:hideMark/>
          </w:tcPr>
          <w:p w14:paraId="22489185"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0.997</w:t>
            </w:r>
          </w:p>
        </w:tc>
        <w:tc>
          <w:tcPr>
            <w:tcW w:w="1477" w:type="dxa"/>
            <w:noWrap/>
            <w:hideMark/>
          </w:tcPr>
          <w:p w14:paraId="55036EDC"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0.004</w:t>
            </w:r>
          </w:p>
        </w:tc>
      </w:tr>
      <w:tr w:rsidR="00AC1791" w:rsidRPr="002551A7" w14:paraId="269F3C62" w14:textId="77777777" w:rsidTr="00177D0A">
        <w:trPr>
          <w:trHeight w:val="308"/>
        </w:trPr>
        <w:tc>
          <w:tcPr>
            <w:tcW w:w="3856" w:type="dxa"/>
            <w:noWrap/>
          </w:tcPr>
          <w:p w14:paraId="24C75277" w14:textId="77777777" w:rsidR="00AC1791" w:rsidRPr="002551A7" w:rsidRDefault="00AC1791" w:rsidP="002551A7">
            <w:pPr>
              <w:spacing w:line="360" w:lineRule="auto"/>
              <w:jc w:val="center"/>
              <w:rPr>
                <w:rFonts w:asciiTheme="majorBidi" w:hAnsiTheme="majorBidi" w:cstheme="majorBidi"/>
                <w:b/>
                <w:bCs/>
                <w:sz w:val="24"/>
                <w:szCs w:val="24"/>
                <w:lang w:val="en-US" w:bidi="ar-DZ"/>
              </w:rPr>
            </w:pPr>
            <w:r w:rsidRPr="002551A7">
              <w:rPr>
                <w:rFonts w:asciiTheme="majorBidi" w:hAnsiTheme="majorBidi" w:cstheme="majorBidi"/>
                <w:b/>
                <w:bCs/>
                <w:sz w:val="24"/>
                <w:szCs w:val="24"/>
              </w:rPr>
              <w:t>Gamma (Trend)</w:t>
            </w:r>
          </w:p>
        </w:tc>
        <w:tc>
          <w:tcPr>
            <w:tcW w:w="2390" w:type="dxa"/>
            <w:noWrap/>
          </w:tcPr>
          <w:p w14:paraId="0DB3746D"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0.000</w:t>
            </w:r>
          </w:p>
        </w:tc>
        <w:tc>
          <w:tcPr>
            <w:tcW w:w="1339" w:type="dxa"/>
            <w:noWrap/>
          </w:tcPr>
          <w:p w14:paraId="3886413B"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1.000</w:t>
            </w:r>
          </w:p>
        </w:tc>
        <w:tc>
          <w:tcPr>
            <w:tcW w:w="1477" w:type="dxa"/>
            <w:noWrap/>
          </w:tcPr>
          <w:p w14:paraId="118140CA"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2.565E-6</w:t>
            </w:r>
          </w:p>
        </w:tc>
      </w:tr>
    </w:tbl>
    <w:p w14:paraId="45DC3B84" w14:textId="088DF26B"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the results of SPSS v.27</w:t>
      </w:r>
    </w:p>
    <w:p w14:paraId="2CE40E7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Alpha (Level) = 0.001: The smoothing coefficient for the level is very low, indicating that the model relies heavily on older values rather than recent ones. This may explain the model's inaccuracy, as inflation has undergone significant changes recently (such as the drop to around 20% in 2024).</w:t>
      </w:r>
    </w:p>
    <w:p w14:paraId="440BF16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Gamma (Trend) = 0.000: The trend coefficient is zero, which means the model does not account for the trend significantly. This explains the nearly flat forecast shown in the graph.</w:t>
      </w:r>
    </w:p>
    <w:p w14:paraId="1939C8A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Sig. (0.987 and 1.000): The coefficients are not statistically significant, which suggests that the model may not be suitable for inflation data.</w:t>
      </w:r>
    </w:p>
    <w:p w14:paraId="58D37147" w14:textId="71DB6ACF" w:rsidR="00AC1791" w:rsidRPr="000A587F" w:rsidRDefault="00BD2EBF" w:rsidP="00413B73">
      <w:pPr>
        <w:pStyle w:val="ListParagraph"/>
        <w:numPr>
          <w:ilvl w:val="3"/>
          <w:numId w:val="90"/>
        </w:numPr>
        <w:spacing w:line="360" w:lineRule="auto"/>
        <w:jc w:val="both"/>
        <w:rPr>
          <w:rFonts w:asciiTheme="majorBidi" w:hAnsiTheme="majorBidi" w:cstheme="majorBidi"/>
          <w:b/>
          <w:bCs/>
          <w:sz w:val="24"/>
          <w:szCs w:val="24"/>
          <w:lang w:val="en-US"/>
        </w:rPr>
      </w:pPr>
      <w:r w:rsidRPr="000A587F">
        <w:rPr>
          <w:rFonts w:asciiTheme="majorBidi" w:hAnsiTheme="majorBidi" w:cstheme="majorBidi"/>
          <w:b/>
          <w:bCs/>
          <w:sz w:val="24"/>
          <w:szCs w:val="24"/>
          <w:lang w:val="en-US" w:bidi="ar-DZ"/>
        </w:rPr>
        <w:t xml:space="preserve"> </w:t>
      </w:r>
      <w:bookmarkStart w:id="317" w:name="_Toc200721719"/>
      <w:r w:rsidR="00AC1791" w:rsidRPr="000A587F">
        <w:rPr>
          <w:rStyle w:val="Heading6Char"/>
          <w:rFonts w:cstheme="majorBidi"/>
          <w:sz w:val="24"/>
          <w:szCs w:val="24"/>
          <w:lang w:val="en-US"/>
        </w:rPr>
        <w:t>Chart and inflation Forecast from 2025 to 2030</w:t>
      </w:r>
      <w:bookmarkEnd w:id="317"/>
      <w:r w:rsidR="00AC1791" w:rsidRPr="000A587F">
        <w:rPr>
          <w:rFonts w:asciiTheme="majorBidi" w:hAnsiTheme="majorBidi" w:cstheme="majorBidi"/>
          <w:b/>
          <w:bCs/>
          <w:sz w:val="24"/>
          <w:szCs w:val="24"/>
          <w:lang w:val="en-US" w:bidi="ar-DZ"/>
        </w:rPr>
        <w:t>:</w:t>
      </w:r>
    </w:p>
    <w:p w14:paraId="42AD9CFD" w14:textId="77777777" w:rsidR="00AC1791" w:rsidRPr="002551A7" w:rsidRDefault="00AC1791" w:rsidP="002551A7">
      <w:pPr>
        <w:pStyle w:val="ListParagraph"/>
        <w:spacing w:line="360" w:lineRule="auto"/>
        <w:ind w:left="360"/>
        <w:jc w:val="center"/>
        <w:rPr>
          <w:rFonts w:asciiTheme="majorBidi" w:hAnsiTheme="majorBidi" w:cstheme="majorBidi"/>
          <w:sz w:val="24"/>
          <w:szCs w:val="24"/>
          <w:lang w:val="en-US"/>
        </w:rPr>
      </w:pPr>
      <w:r w:rsidRPr="002551A7">
        <w:rPr>
          <w:rFonts w:asciiTheme="majorBidi" w:hAnsiTheme="majorBidi" w:cstheme="majorBidi"/>
          <w:b/>
          <w:bCs/>
          <w:noProof/>
          <w:sz w:val="24"/>
          <w:szCs w:val="24"/>
          <w:lang w:val="en-US"/>
        </w:rPr>
        <w:drawing>
          <wp:anchor distT="0" distB="0" distL="114300" distR="114300" simplePos="0" relativeHeight="251713536" behindDoc="0" locked="0" layoutInCell="1" allowOverlap="1" wp14:anchorId="4433A34E" wp14:editId="0C0CCCDE">
            <wp:simplePos x="0" y="0"/>
            <wp:positionH relativeFrom="margin">
              <wp:align>center</wp:align>
            </wp:positionH>
            <wp:positionV relativeFrom="paragraph">
              <wp:posOffset>394970</wp:posOffset>
            </wp:positionV>
            <wp:extent cx="4299045" cy="2323975"/>
            <wp:effectExtent l="0" t="0" r="6350" b="635"/>
            <wp:wrapTopAndBottom/>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99045" cy="2323975"/>
                    </a:xfrm>
                    <a:prstGeom prst="rect">
                      <a:avLst/>
                    </a:prstGeom>
                    <a:noFill/>
                  </pic:spPr>
                </pic:pic>
              </a:graphicData>
            </a:graphic>
          </wp:anchor>
        </w:drawing>
      </w:r>
      <w:r w:rsidRPr="002551A7">
        <w:rPr>
          <w:rFonts w:asciiTheme="majorBidi" w:hAnsiTheme="majorBidi" w:cstheme="majorBidi"/>
          <w:b/>
          <w:bCs/>
          <w:sz w:val="24"/>
          <w:szCs w:val="24"/>
          <w:lang w:val="en-US"/>
        </w:rPr>
        <w:t>Figure 20:</w:t>
      </w:r>
      <w:r w:rsidRPr="002551A7">
        <w:rPr>
          <w:rFonts w:asciiTheme="majorBidi" w:hAnsiTheme="majorBidi" w:cstheme="majorBidi"/>
          <w:b/>
          <w:bCs/>
          <w:sz w:val="24"/>
          <w:szCs w:val="24"/>
          <w:lang w:val="en-US" w:bidi="ar-DZ"/>
        </w:rPr>
        <w:t xml:space="preserve"> </w:t>
      </w:r>
      <w:r w:rsidRPr="002551A7">
        <w:rPr>
          <w:rFonts w:asciiTheme="majorBidi" w:hAnsiTheme="majorBidi" w:cstheme="majorBidi"/>
          <w:sz w:val="24"/>
          <w:szCs w:val="24"/>
          <w:lang w:val="en-US" w:bidi="ar-DZ"/>
        </w:rPr>
        <w:t>inflation Forecast from 2025 to 2030</w:t>
      </w:r>
    </w:p>
    <w:p w14:paraId="196C7AD7" w14:textId="77777777" w:rsidR="00AC1791" w:rsidRPr="002551A7" w:rsidRDefault="00AC1791" w:rsidP="002551A7">
      <w:pPr>
        <w:pStyle w:val="ListParagraph"/>
        <w:spacing w:line="360" w:lineRule="auto"/>
        <w:ind w:left="360"/>
        <w:jc w:val="center"/>
        <w:rPr>
          <w:rFonts w:asciiTheme="majorBidi" w:hAnsiTheme="majorBidi" w:cstheme="majorBidi"/>
          <w:sz w:val="24"/>
          <w:szCs w:val="24"/>
          <w:lang w:val="en-US"/>
        </w:rPr>
      </w:pPr>
    </w:p>
    <w:p w14:paraId="71B15747" w14:textId="4899A97E" w:rsidR="00AC1791" w:rsidRPr="002551A7" w:rsidRDefault="00B9465F" w:rsidP="002551A7">
      <w:pPr>
        <w:pStyle w:val="ListParagraph"/>
        <w:spacing w:line="360" w:lineRule="auto"/>
        <w:ind w:left="360"/>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the results of SPSS v.27</w:t>
      </w:r>
    </w:p>
    <w:p w14:paraId="3B6E4271" w14:textId="77777777" w:rsidR="00AC1791" w:rsidRPr="002551A7" w:rsidRDefault="00AC1791" w:rsidP="002551A7">
      <w:pPr>
        <w:pStyle w:val="ListParagraph"/>
        <w:spacing w:line="360" w:lineRule="auto"/>
        <w:ind w:left="360"/>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chart displays historical values (2014–2024) in red and forecasts (2025–2030) in blue. There are no confidence intervals, which limits the ability to assess risks accurately.</w:t>
      </w:r>
    </w:p>
    <w:p w14:paraId="0FF7C870" w14:textId="0D9CB0F4" w:rsidR="00AC1791" w:rsidRPr="002551A7" w:rsidRDefault="00AC1791" w:rsidP="002551A7">
      <w:pPr>
        <w:pStyle w:val="ListParagraph"/>
        <w:spacing w:line="360" w:lineRule="auto"/>
        <w:ind w:left="360"/>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model forecasts that inflation will remain constant at around 20% from 2025 to 2030.</w:t>
      </w:r>
      <w:r w:rsidR="009470F3">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This is highly unrealistic given the significant historical fluctuations (ranging from 7.7% to 72.3%), highlighting the model's weakness in capturing volatility.</w:t>
      </w:r>
    </w:p>
    <w:p w14:paraId="2FD12CEE" w14:textId="77777777" w:rsidR="00AC1791" w:rsidRPr="002551A7" w:rsidRDefault="00AC1791" w:rsidP="002551A7">
      <w:pPr>
        <w:pStyle w:val="ListParagraph"/>
        <w:spacing w:line="360" w:lineRule="auto"/>
        <w:ind w:left="360"/>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historical average inflation rate (25.78%) is slightly higher than the forecasted 20%, but the assumption that inflation will stay constant fails to consider potential crises or changes in monetary policies.</w:t>
      </w:r>
    </w:p>
    <w:p w14:paraId="06B581CD" w14:textId="5F22C4EE" w:rsidR="00AC1791" w:rsidRPr="00EB3899" w:rsidRDefault="007F6322" w:rsidP="00413B73">
      <w:pPr>
        <w:pStyle w:val="ListParagraph"/>
        <w:numPr>
          <w:ilvl w:val="3"/>
          <w:numId w:val="90"/>
        </w:numPr>
        <w:spacing w:line="360" w:lineRule="auto"/>
        <w:jc w:val="both"/>
        <w:rPr>
          <w:rFonts w:asciiTheme="majorBidi" w:hAnsiTheme="majorBidi" w:cstheme="majorBidi"/>
          <w:b/>
          <w:bCs/>
          <w:sz w:val="24"/>
          <w:szCs w:val="24"/>
          <w:lang w:val="en-US" w:bidi="ar-DZ"/>
        </w:rPr>
      </w:pPr>
      <w:r>
        <w:rPr>
          <w:rFonts w:asciiTheme="majorBidi" w:hAnsiTheme="majorBidi" w:cstheme="majorBidi"/>
          <w:b/>
          <w:bCs/>
          <w:sz w:val="24"/>
          <w:szCs w:val="24"/>
          <w:lang w:val="en-US" w:bidi="ar-DZ"/>
        </w:rPr>
        <w:t xml:space="preserve"> </w:t>
      </w:r>
      <w:r w:rsidR="00AC1791" w:rsidRPr="002551A7">
        <w:rPr>
          <w:rFonts w:asciiTheme="majorBidi" w:hAnsiTheme="majorBidi" w:cstheme="majorBidi"/>
          <w:b/>
          <w:bCs/>
          <w:sz w:val="24"/>
          <w:szCs w:val="24"/>
          <w:lang w:val="en-US" w:bidi="ar-DZ"/>
        </w:rPr>
        <w:t xml:space="preserve"> </w:t>
      </w:r>
      <w:bookmarkStart w:id="318" w:name="_Toc200721720"/>
      <w:r w:rsidR="00AC1791" w:rsidRPr="00EB3899">
        <w:rPr>
          <w:rStyle w:val="Heading6Char"/>
          <w:rFonts w:cstheme="majorBidi"/>
          <w:sz w:val="24"/>
          <w:szCs w:val="24"/>
          <w:lang w:val="en-US"/>
        </w:rPr>
        <w:t>Analysis of Future Opportunities and Risks Based on the Forecasts</w:t>
      </w:r>
      <w:bookmarkEnd w:id="318"/>
      <w:r w:rsidR="00AC1791" w:rsidRPr="00EB3899">
        <w:rPr>
          <w:rFonts w:asciiTheme="majorBidi" w:hAnsiTheme="majorBidi" w:cstheme="majorBidi"/>
          <w:b/>
          <w:bCs/>
          <w:sz w:val="24"/>
          <w:szCs w:val="24"/>
          <w:lang w:val="en-US" w:bidi="ar-DZ"/>
        </w:rPr>
        <w:t>:</w:t>
      </w:r>
    </w:p>
    <w:p w14:paraId="7C41590E" w14:textId="77777777" w:rsidR="00AC1791" w:rsidRPr="002551A7" w:rsidRDefault="00AC1791" w:rsidP="002551A7">
      <w:pPr>
        <w:spacing w:line="360" w:lineRule="auto"/>
        <w:ind w:left="360"/>
        <w:rPr>
          <w:rFonts w:asciiTheme="majorBidi" w:hAnsiTheme="majorBidi" w:cstheme="majorBidi"/>
          <w:b/>
          <w:bCs/>
          <w:sz w:val="24"/>
          <w:szCs w:val="24"/>
          <w:lang w:val="en-US"/>
        </w:rPr>
      </w:pPr>
      <w:r w:rsidRPr="002551A7">
        <w:rPr>
          <w:rFonts w:asciiTheme="majorBidi" w:hAnsiTheme="majorBidi" w:cstheme="majorBidi"/>
          <w:b/>
          <w:bCs/>
          <w:sz w:val="24"/>
          <w:szCs w:val="24"/>
          <w:lang w:val="en-US"/>
        </w:rPr>
        <w:t>• Opportunities:</w:t>
      </w:r>
    </w:p>
    <w:p w14:paraId="72026824" w14:textId="77777777" w:rsidR="00AC1791" w:rsidRPr="002551A7" w:rsidRDefault="00AC1791" w:rsidP="002551A7">
      <w:pPr>
        <w:spacing w:line="360" w:lineRule="auto"/>
        <w:ind w:left="360"/>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 Inflation at 20% is lower than the historical average (25.78%), which may reduce pressure on operating costs compared to previous years (e.g., 2022: 72.3%).</w:t>
      </w:r>
    </w:p>
    <w:p w14:paraId="6162293C" w14:textId="77777777" w:rsidR="00AC1791" w:rsidRPr="002551A7" w:rsidRDefault="00AC1791" w:rsidP="002551A7">
      <w:pPr>
        <w:spacing w:line="360" w:lineRule="auto"/>
        <w:ind w:left="360"/>
        <w:rPr>
          <w:rFonts w:asciiTheme="majorBidi" w:hAnsiTheme="majorBidi" w:cstheme="majorBidi"/>
          <w:b/>
          <w:bCs/>
          <w:sz w:val="24"/>
          <w:szCs w:val="24"/>
          <w:lang w:val="en-US"/>
        </w:rPr>
      </w:pPr>
      <w:r w:rsidRPr="002551A7">
        <w:rPr>
          <w:rFonts w:asciiTheme="majorBidi" w:hAnsiTheme="majorBidi" w:cstheme="majorBidi"/>
          <w:b/>
          <w:bCs/>
          <w:sz w:val="24"/>
          <w:szCs w:val="24"/>
          <w:lang w:val="en-US"/>
        </w:rPr>
        <w:t>• Risks:</w:t>
      </w:r>
    </w:p>
    <w:p w14:paraId="0DD4BBE4" w14:textId="77777777" w:rsidR="00AC1791" w:rsidRPr="002551A7" w:rsidRDefault="00AC1791" w:rsidP="002551A7">
      <w:pPr>
        <w:spacing w:line="360" w:lineRule="auto"/>
        <w:ind w:left="360"/>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 Inflation at 20% is still high, leading to:</w:t>
      </w:r>
    </w:p>
    <w:p w14:paraId="3538CC2E"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 Increased operating costs (e.g., transportation and distribution).</w:t>
      </w:r>
    </w:p>
    <w:p w14:paraId="5EFDDCF2"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 Reduced purchasing power of Turkish consumers.</w:t>
      </w:r>
    </w:p>
    <w:p w14:paraId="4C1220C1" w14:textId="77777777" w:rsidR="00AC1791" w:rsidRPr="002551A7" w:rsidRDefault="00AC1791" w:rsidP="002551A7">
      <w:pPr>
        <w:spacing w:line="360" w:lineRule="auto"/>
        <w:ind w:left="360"/>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 The model does not capture volatility, so inflation could rise to higher levels (e.g., 40%–50%) if crises occur.</w:t>
      </w:r>
    </w:p>
    <w:p w14:paraId="6E7F7B14" w14:textId="77777777" w:rsidR="00AC1791" w:rsidRPr="002551A7" w:rsidRDefault="00AC1791" w:rsidP="002551A7">
      <w:pPr>
        <w:spacing w:line="360" w:lineRule="auto"/>
        <w:ind w:left="360"/>
        <w:rPr>
          <w:rFonts w:asciiTheme="majorBidi" w:hAnsiTheme="majorBidi" w:cstheme="majorBidi"/>
          <w:b/>
          <w:bCs/>
          <w:sz w:val="24"/>
          <w:szCs w:val="24"/>
          <w:lang w:val="en-US"/>
        </w:rPr>
      </w:pPr>
      <w:r w:rsidRPr="002551A7">
        <w:rPr>
          <w:rFonts w:asciiTheme="majorBidi" w:hAnsiTheme="majorBidi" w:cstheme="majorBidi"/>
          <w:b/>
          <w:bCs/>
          <w:sz w:val="24"/>
          <w:szCs w:val="24"/>
          <w:lang w:val="en-US"/>
        </w:rPr>
        <w:t>• Mitigation Strategies:</w:t>
      </w:r>
    </w:p>
    <w:p w14:paraId="2BA1AED8"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Partner with local distributors to reduce transportation costs.</w:t>
      </w:r>
    </w:p>
    <w:p w14:paraId="74BD629E"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Use dynamic pricing to adjust prices in response to inflation.</w:t>
      </w:r>
    </w:p>
    <w:p w14:paraId="207D328C" w14:textId="77777777" w:rsidR="00AC1791" w:rsidRPr="002551A7"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Monitor Turkish monetary policies to anticipate sudden inflation spikes.</w:t>
      </w:r>
    </w:p>
    <w:p w14:paraId="7E08F51B" w14:textId="4CA82DF4" w:rsidR="00AC1791" w:rsidRPr="007F6322" w:rsidRDefault="00AC1791" w:rsidP="00413B73">
      <w:pPr>
        <w:pStyle w:val="ListParagraph"/>
        <w:numPr>
          <w:ilvl w:val="2"/>
          <w:numId w:val="90"/>
        </w:numPr>
        <w:spacing w:line="360" w:lineRule="auto"/>
        <w:jc w:val="both"/>
        <w:rPr>
          <w:rFonts w:asciiTheme="majorBidi" w:hAnsiTheme="majorBidi" w:cstheme="majorBidi"/>
          <w:b/>
          <w:bCs/>
          <w:sz w:val="24"/>
          <w:szCs w:val="24"/>
        </w:rPr>
      </w:pPr>
      <w:bookmarkStart w:id="319" w:name="_Toc200720073"/>
      <w:bookmarkStart w:id="320" w:name="_Toc200721721"/>
      <w:r w:rsidRPr="00BB2F8D">
        <w:rPr>
          <w:rStyle w:val="Heading5Char"/>
          <w:rFonts w:eastAsiaTheme="minorHAnsi"/>
        </w:rPr>
        <w:t>Unemployment forecasting</w:t>
      </w:r>
      <w:bookmarkEnd w:id="319"/>
      <w:bookmarkEnd w:id="320"/>
      <w:r w:rsidRPr="007F6322">
        <w:rPr>
          <w:rFonts w:asciiTheme="majorBidi" w:hAnsiTheme="majorBidi" w:cstheme="majorBidi"/>
          <w:b/>
          <w:bCs/>
          <w:sz w:val="24"/>
          <w:szCs w:val="24"/>
        </w:rPr>
        <w:t> :</w:t>
      </w:r>
    </w:p>
    <w:p w14:paraId="38AFFB41" w14:textId="3E075CFB" w:rsidR="00AC1791" w:rsidRPr="000A587F" w:rsidRDefault="007F6322" w:rsidP="00413B73">
      <w:pPr>
        <w:pStyle w:val="ListParagraph"/>
        <w:numPr>
          <w:ilvl w:val="3"/>
          <w:numId w:val="90"/>
        </w:numPr>
        <w:spacing w:line="360" w:lineRule="auto"/>
        <w:rPr>
          <w:rFonts w:asciiTheme="majorBidi" w:hAnsiTheme="majorBidi" w:cstheme="majorBidi"/>
          <w:b/>
          <w:bCs/>
          <w:sz w:val="24"/>
          <w:szCs w:val="24"/>
          <w:lang w:val="en-US"/>
        </w:rPr>
      </w:pPr>
      <w:bookmarkStart w:id="321" w:name="_Hlk196834291"/>
      <w:r>
        <w:rPr>
          <w:rFonts w:asciiTheme="majorBidi" w:hAnsiTheme="majorBidi" w:cstheme="majorBidi"/>
          <w:b/>
          <w:bCs/>
          <w:sz w:val="24"/>
          <w:szCs w:val="24"/>
          <w:lang w:val="en-US"/>
        </w:rPr>
        <w:t xml:space="preserve"> </w:t>
      </w:r>
      <w:bookmarkStart w:id="322" w:name="_Toc200721722"/>
      <w:r w:rsidR="00AC1791" w:rsidRPr="000A587F">
        <w:rPr>
          <w:rStyle w:val="Heading6Char"/>
          <w:rFonts w:cstheme="majorBidi"/>
          <w:sz w:val="24"/>
          <w:szCs w:val="24"/>
          <w:lang w:val="en-US"/>
        </w:rPr>
        <w:t>Model description and model fit</w:t>
      </w:r>
      <w:bookmarkEnd w:id="322"/>
      <w:r w:rsidR="00AC1791" w:rsidRPr="000A587F">
        <w:rPr>
          <w:rFonts w:asciiTheme="majorBidi" w:hAnsiTheme="majorBidi" w:cstheme="majorBidi"/>
          <w:b/>
          <w:bCs/>
          <w:sz w:val="24"/>
          <w:szCs w:val="24"/>
          <w:lang w:val="en-US"/>
        </w:rPr>
        <w:t>:</w:t>
      </w:r>
    </w:p>
    <w:p w14:paraId="5246BC90" w14:textId="77777777" w:rsidR="00AC1791" w:rsidRPr="002551A7" w:rsidRDefault="00AC1791" w:rsidP="00413B73">
      <w:pPr>
        <w:pStyle w:val="ListParagraph"/>
        <w:numPr>
          <w:ilvl w:val="0"/>
          <w:numId w:val="44"/>
        </w:numPr>
        <w:spacing w:line="360" w:lineRule="auto"/>
        <w:rPr>
          <w:rFonts w:asciiTheme="majorBidi" w:hAnsiTheme="majorBidi" w:cstheme="majorBidi"/>
          <w:sz w:val="24"/>
          <w:szCs w:val="24"/>
        </w:rPr>
      </w:pPr>
      <w:r w:rsidRPr="002551A7">
        <w:rPr>
          <w:rFonts w:asciiTheme="majorBidi" w:hAnsiTheme="majorBidi" w:cstheme="majorBidi"/>
          <w:b/>
          <w:bCs/>
          <w:sz w:val="24"/>
          <w:szCs w:val="24"/>
        </w:rPr>
        <w:t xml:space="preserve">Model type : </w:t>
      </w:r>
      <w:r w:rsidRPr="002551A7">
        <w:rPr>
          <w:rFonts w:asciiTheme="majorBidi" w:hAnsiTheme="majorBidi" w:cstheme="majorBidi"/>
          <w:sz w:val="24"/>
          <w:szCs w:val="24"/>
        </w:rPr>
        <w:t>Simple</w:t>
      </w:r>
    </w:p>
    <w:p w14:paraId="7EBCB2E1" w14:textId="77777777" w:rsidR="00AC1791" w:rsidRPr="002551A7" w:rsidRDefault="00AC1791" w:rsidP="002551A7">
      <w:pPr>
        <w:pStyle w:val="ListParagraph"/>
        <w:spacing w:line="360" w:lineRule="auto"/>
        <w:jc w:val="center"/>
        <w:rPr>
          <w:rFonts w:asciiTheme="majorBidi" w:hAnsiTheme="majorBidi" w:cstheme="majorBidi"/>
          <w:sz w:val="24"/>
          <w:szCs w:val="24"/>
        </w:rPr>
      </w:pPr>
      <w:r w:rsidRPr="002551A7">
        <w:rPr>
          <w:rFonts w:asciiTheme="majorBidi" w:hAnsiTheme="majorBidi" w:cstheme="majorBidi"/>
          <w:b/>
          <w:bCs/>
          <w:sz w:val="24"/>
          <w:szCs w:val="24"/>
        </w:rPr>
        <w:t xml:space="preserve">Table 14: </w:t>
      </w:r>
      <w:r w:rsidRPr="002551A7">
        <w:rPr>
          <w:rFonts w:asciiTheme="majorBidi" w:hAnsiTheme="majorBidi" w:cstheme="majorBidi"/>
          <w:sz w:val="24"/>
          <w:szCs w:val="24"/>
        </w:rPr>
        <w:t>Model fit</w:t>
      </w:r>
    </w:p>
    <w:tbl>
      <w:tblPr>
        <w:tblStyle w:val="TableGrid"/>
        <w:tblW w:w="10828" w:type="dxa"/>
        <w:tblInd w:w="-815" w:type="dxa"/>
        <w:tblLook w:val="04A0" w:firstRow="1" w:lastRow="0" w:firstColumn="1" w:lastColumn="0" w:noHBand="0" w:noVBand="1"/>
      </w:tblPr>
      <w:tblGrid>
        <w:gridCol w:w="1704"/>
        <w:gridCol w:w="1231"/>
        <w:gridCol w:w="1236"/>
        <w:gridCol w:w="883"/>
        <w:gridCol w:w="1625"/>
        <w:gridCol w:w="1236"/>
        <w:gridCol w:w="1356"/>
        <w:gridCol w:w="1557"/>
      </w:tblGrid>
      <w:tr w:rsidR="00AC1791" w:rsidRPr="002551A7" w14:paraId="261934EF" w14:textId="77777777" w:rsidTr="00177D0A">
        <w:trPr>
          <w:trHeight w:val="285"/>
        </w:trPr>
        <w:tc>
          <w:tcPr>
            <w:tcW w:w="1704" w:type="dxa"/>
            <w:noWrap/>
            <w:hideMark/>
          </w:tcPr>
          <w:p w14:paraId="2827686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Stationary R-squared</w:t>
            </w:r>
          </w:p>
        </w:tc>
        <w:tc>
          <w:tcPr>
            <w:tcW w:w="1231" w:type="dxa"/>
            <w:noWrap/>
            <w:hideMark/>
          </w:tcPr>
          <w:p w14:paraId="0ADC612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R-squared</w:t>
            </w:r>
          </w:p>
        </w:tc>
        <w:tc>
          <w:tcPr>
            <w:tcW w:w="1236" w:type="dxa"/>
            <w:noWrap/>
            <w:hideMark/>
          </w:tcPr>
          <w:p w14:paraId="4388D29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RMSE</w:t>
            </w:r>
          </w:p>
        </w:tc>
        <w:tc>
          <w:tcPr>
            <w:tcW w:w="883" w:type="dxa"/>
            <w:noWrap/>
            <w:hideMark/>
          </w:tcPr>
          <w:p w14:paraId="7302C8A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MAPE</w:t>
            </w:r>
          </w:p>
        </w:tc>
        <w:tc>
          <w:tcPr>
            <w:tcW w:w="1625" w:type="dxa"/>
            <w:noWrap/>
            <w:hideMark/>
          </w:tcPr>
          <w:p w14:paraId="4CD7E56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MaxAPE</w:t>
            </w:r>
          </w:p>
        </w:tc>
        <w:tc>
          <w:tcPr>
            <w:tcW w:w="1236" w:type="dxa"/>
            <w:noWrap/>
            <w:hideMark/>
          </w:tcPr>
          <w:p w14:paraId="1187EE9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MAE</w:t>
            </w:r>
          </w:p>
        </w:tc>
        <w:tc>
          <w:tcPr>
            <w:tcW w:w="1356" w:type="dxa"/>
            <w:noWrap/>
            <w:hideMark/>
          </w:tcPr>
          <w:p w14:paraId="26D8F8B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MaxAE</w:t>
            </w:r>
          </w:p>
        </w:tc>
        <w:tc>
          <w:tcPr>
            <w:tcW w:w="1557" w:type="dxa"/>
            <w:noWrap/>
            <w:hideMark/>
          </w:tcPr>
          <w:p w14:paraId="6CCA407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Normalized BIC</w:t>
            </w:r>
          </w:p>
        </w:tc>
      </w:tr>
      <w:tr w:rsidR="00AC1791" w:rsidRPr="002551A7" w14:paraId="40077006" w14:textId="77777777" w:rsidTr="00177D0A">
        <w:trPr>
          <w:trHeight w:val="285"/>
        </w:trPr>
        <w:tc>
          <w:tcPr>
            <w:tcW w:w="1704" w:type="dxa"/>
            <w:noWrap/>
            <w:hideMark/>
          </w:tcPr>
          <w:p w14:paraId="301084C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-0.010</w:t>
            </w:r>
          </w:p>
        </w:tc>
        <w:tc>
          <w:tcPr>
            <w:tcW w:w="1231" w:type="dxa"/>
            <w:noWrap/>
            <w:hideMark/>
          </w:tcPr>
          <w:p w14:paraId="04C2728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0.383</w:t>
            </w:r>
          </w:p>
        </w:tc>
        <w:tc>
          <w:tcPr>
            <w:tcW w:w="1236" w:type="dxa"/>
            <w:noWrap/>
            <w:hideMark/>
          </w:tcPr>
          <w:p w14:paraId="32AF78C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1.178</w:t>
            </w:r>
          </w:p>
        </w:tc>
        <w:tc>
          <w:tcPr>
            <w:tcW w:w="883" w:type="dxa"/>
            <w:noWrap/>
            <w:hideMark/>
          </w:tcPr>
          <w:p w14:paraId="10B97A2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7.055</w:t>
            </w:r>
          </w:p>
        </w:tc>
        <w:tc>
          <w:tcPr>
            <w:tcW w:w="1625" w:type="dxa"/>
            <w:noWrap/>
            <w:hideMark/>
          </w:tcPr>
          <w:p w14:paraId="369020C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20.438</w:t>
            </w:r>
          </w:p>
        </w:tc>
        <w:tc>
          <w:tcPr>
            <w:tcW w:w="1236" w:type="dxa"/>
            <w:noWrap/>
            <w:hideMark/>
          </w:tcPr>
          <w:p w14:paraId="524660B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0.800</w:t>
            </w:r>
          </w:p>
        </w:tc>
        <w:tc>
          <w:tcPr>
            <w:tcW w:w="1356" w:type="dxa"/>
            <w:noWrap/>
            <w:hideMark/>
          </w:tcPr>
          <w:p w14:paraId="70FA027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2.800</w:t>
            </w:r>
          </w:p>
        </w:tc>
        <w:tc>
          <w:tcPr>
            <w:tcW w:w="1557" w:type="dxa"/>
            <w:noWrap/>
            <w:hideMark/>
          </w:tcPr>
          <w:p w14:paraId="423D2D8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color w:val="010205"/>
                <w:sz w:val="24"/>
                <w:szCs w:val="24"/>
              </w:rPr>
              <w:t>0.546</w:t>
            </w:r>
          </w:p>
        </w:tc>
      </w:tr>
    </w:tbl>
    <w:p w14:paraId="78617EED" w14:textId="4A083092"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depend on the result of SPSS V.27</w:t>
      </w:r>
    </w:p>
    <w:bookmarkEnd w:id="321"/>
    <w:p w14:paraId="4F4F47C0"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Simple model is the most basic type of Exponential Smoothing model, used when there are no clear trends or seasonal fluctuations in the data. This model assumes that future values will be close to the weighted average of historical data, focusing solely on the level component, without accounting for trend or seasonality.</w:t>
      </w:r>
    </w:p>
    <w:p w14:paraId="2F80821E" w14:textId="611B6B5C"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Stationary R-squared (-0.010): The negative value indicates that the model does not capture fluctuations in unemployment data well after removing the trend. This is expected, as the Simple model does not account for trends, while the unemployment data clearly shows a downward trend (from 13.7% in 2019 to 8.7% in 2024).</w:t>
      </w:r>
    </w:p>
    <w:p w14:paraId="700C8BEB" w14:textId="06571FE6"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R-squared (0.383): The model explains only 38.3% of the variation in unemployment, which is low. This suggests the model is relatively weak at explaining changes, and there are other influencing factors not captured.</w:t>
      </w:r>
    </w:p>
    <w:p w14:paraId="2C609A1A" w14:textId="6CAD2268"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RMSE (1.178): The root mean squared error is reasonable compared to the average unemployment rate (10.85% from previous descriptive analysis). It represents about 10.8% of the average, which is relatively acceptable.</w:t>
      </w:r>
    </w:p>
    <w:p w14:paraId="1104A84C" w14:textId="4BD8C000"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MAPE (7.055%): The mean absolute percentage error is below 10%, indicating good accuracy in terms of predicting the general level of unemployment.</w:t>
      </w:r>
    </w:p>
    <w:p w14:paraId="7AB91EB5" w14:textId="4008EA26"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MAE (0.800): The mean absolute error is relatively low, supporting the idea that the model is fairly accurate in predicting the level.</w:t>
      </w:r>
    </w:p>
    <w:p w14:paraId="2ADC0150" w14:textId="3C0DD652"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MaxAE (2.800): The maximum absolute error is reasonable, but it reflects the difficulty of forecasting years like 2019 (13.7%), which saw a significant spike.</w:t>
      </w:r>
    </w:p>
    <w:p w14:paraId="552B21C5" w14:textId="5C673BFA" w:rsidR="00AC1791" w:rsidRPr="009470F3" w:rsidRDefault="00AC1791" w:rsidP="00413B73">
      <w:pPr>
        <w:pStyle w:val="ListParagraph"/>
        <w:numPr>
          <w:ilvl w:val="1"/>
          <w:numId w:val="46"/>
        </w:numPr>
        <w:spacing w:line="360" w:lineRule="auto"/>
        <w:ind w:left="360"/>
        <w:jc w:val="both"/>
        <w:rPr>
          <w:rFonts w:asciiTheme="majorBidi" w:hAnsiTheme="majorBidi" w:cstheme="majorBidi"/>
          <w:sz w:val="24"/>
          <w:szCs w:val="24"/>
          <w:lang w:val="en-US"/>
        </w:rPr>
      </w:pPr>
      <w:r w:rsidRPr="009470F3">
        <w:rPr>
          <w:rFonts w:asciiTheme="majorBidi" w:hAnsiTheme="majorBidi" w:cstheme="majorBidi"/>
          <w:sz w:val="24"/>
          <w:szCs w:val="24"/>
          <w:lang w:val="en-US"/>
        </w:rPr>
        <w:t>Normalized BIC (5.546): The value is acceptable, but it does not compensate for the model's weakness in capturing trends.</w:t>
      </w:r>
    </w:p>
    <w:p w14:paraId="72BB55E2" w14:textId="77777777" w:rsidR="00AC1791" w:rsidRPr="002551A7" w:rsidRDefault="00AC1791" w:rsidP="00413B73">
      <w:pPr>
        <w:pStyle w:val="ListParagraph"/>
        <w:numPr>
          <w:ilvl w:val="0"/>
          <w:numId w:val="44"/>
        </w:numPr>
        <w:spacing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Overall Evaluation of the Model:</w:t>
      </w:r>
    </w:p>
    <w:p w14:paraId="17DABEB5" w14:textId="77777777" w:rsidR="00AC1791" w:rsidRPr="002551A7"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model is acceptable in terms of accuracy (MAPE = 7.055%), meaning that it provides relatively accurate predictions of unemployment levels.</w:t>
      </w:r>
    </w:p>
    <w:p w14:paraId="3DD2E61E" w14:textId="77777777" w:rsidR="00AC1791" w:rsidRPr="002551A7"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However, it is weak in capturing trends (R-squared = 0.383, and the Stationary R-squared is negative).</w:t>
      </w:r>
    </w:p>
    <w:p w14:paraId="5ED2E7DC" w14:textId="77777777" w:rsidR="00AC1791" w:rsidRPr="002551A7"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Since the unemployment data shows a clear downward trend (from 13.7% in 2019 to 8.7% in 2024), the Simple model’s inability to account for this trend makes the forecasts less realistic and less useful for strategic planning.</w:t>
      </w:r>
    </w:p>
    <w:p w14:paraId="5C15D064" w14:textId="6E2673B4" w:rsidR="00AC1791" w:rsidRPr="00EB3899" w:rsidRDefault="007F6322" w:rsidP="00413B73">
      <w:pPr>
        <w:pStyle w:val="ListParagraph"/>
        <w:numPr>
          <w:ilvl w:val="3"/>
          <w:numId w:val="90"/>
        </w:numPr>
        <w:spacing w:line="360" w:lineRule="auto"/>
        <w:jc w:val="both"/>
        <w:rPr>
          <w:rFonts w:asciiTheme="majorBidi" w:hAnsiTheme="majorBidi" w:cstheme="majorBidi"/>
          <w:sz w:val="24"/>
          <w:szCs w:val="24"/>
          <w:lang w:val="en-US" w:bidi="ar-DZ"/>
        </w:rPr>
      </w:pPr>
      <w:r>
        <w:rPr>
          <w:rFonts w:asciiTheme="majorBidi" w:hAnsiTheme="majorBidi" w:cstheme="majorBidi"/>
          <w:b/>
          <w:bCs/>
          <w:sz w:val="24"/>
          <w:szCs w:val="24"/>
          <w:lang w:val="en-US" w:bidi="ar-DZ"/>
        </w:rPr>
        <w:t xml:space="preserve"> </w:t>
      </w:r>
      <w:bookmarkStart w:id="323" w:name="_Toc200721723"/>
      <w:r w:rsidR="00AC1791" w:rsidRPr="00EB3899">
        <w:rPr>
          <w:rStyle w:val="Heading6Char"/>
          <w:rFonts w:cstheme="majorBidi"/>
          <w:sz w:val="24"/>
          <w:szCs w:val="24"/>
        </w:rPr>
        <w:t>Exponential Smoothing Model Parameters</w:t>
      </w:r>
      <w:bookmarkEnd w:id="323"/>
      <w:r w:rsidR="00AC1791" w:rsidRPr="00EB3899">
        <w:rPr>
          <w:rFonts w:asciiTheme="majorBidi" w:hAnsiTheme="majorBidi" w:cstheme="majorBidi"/>
          <w:b/>
          <w:bCs/>
          <w:sz w:val="24"/>
          <w:szCs w:val="24"/>
          <w:lang w:val="en-US" w:bidi="ar-DZ"/>
        </w:rPr>
        <w:t>:</w:t>
      </w:r>
    </w:p>
    <w:p w14:paraId="4BE874A1" w14:textId="77777777" w:rsidR="00AC1791" w:rsidRPr="002551A7" w:rsidRDefault="00AC1791" w:rsidP="002551A7">
      <w:pPr>
        <w:spacing w:line="360" w:lineRule="auto"/>
        <w:ind w:left="360"/>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15:</w:t>
      </w:r>
      <w:r w:rsidRPr="002551A7">
        <w:rPr>
          <w:rFonts w:asciiTheme="majorBidi" w:hAnsiTheme="majorBidi" w:cstheme="majorBidi"/>
          <w:sz w:val="24"/>
          <w:szCs w:val="24"/>
          <w:lang w:val="en-US" w:bidi="ar-DZ"/>
        </w:rPr>
        <w:t xml:space="preserve"> Exponential Smoothing Model Parameters </w:t>
      </w:r>
    </w:p>
    <w:tbl>
      <w:tblPr>
        <w:tblStyle w:val="TableGrid"/>
        <w:tblW w:w="0" w:type="auto"/>
        <w:tblLook w:val="04A0" w:firstRow="1" w:lastRow="0" w:firstColumn="1" w:lastColumn="0" w:noHBand="0" w:noVBand="1"/>
      </w:tblPr>
      <w:tblGrid>
        <w:gridCol w:w="3856"/>
        <w:gridCol w:w="2390"/>
        <w:gridCol w:w="1339"/>
        <w:gridCol w:w="1477"/>
      </w:tblGrid>
      <w:tr w:rsidR="00AC1791" w:rsidRPr="002551A7" w14:paraId="3FDC8FC2" w14:textId="77777777" w:rsidTr="00177D0A">
        <w:trPr>
          <w:trHeight w:val="285"/>
        </w:trPr>
        <w:tc>
          <w:tcPr>
            <w:tcW w:w="3856" w:type="dxa"/>
            <w:noWrap/>
            <w:hideMark/>
          </w:tcPr>
          <w:p w14:paraId="2FCF1856" w14:textId="77777777" w:rsidR="00AC1791" w:rsidRPr="002551A7" w:rsidRDefault="00AC1791" w:rsidP="002551A7">
            <w:pPr>
              <w:spacing w:line="360" w:lineRule="auto"/>
              <w:jc w:val="center"/>
              <w:rPr>
                <w:rFonts w:asciiTheme="majorBidi" w:hAnsiTheme="majorBidi" w:cstheme="majorBidi"/>
                <w:sz w:val="24"/>
                <w:szCs w:val="24"/>
                <w:lang w:val="en-US" w:bidi="ar-DZ"/>
              </w:rPr>
            </w:pPr>
          </w:p>
        </w:tc>
        <w:tc>
          <w:tcPr>
            <w:tcW w:w="2390" w:type="dxa"/>
            <w:noWrap/>
            <w:hideMark/>
          </w:tcPr>
          <w:p w14:paraId="36E55889"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Estimate</w:t>
            </w:r>
          </w:p>
        </w:tc>
        <w:tc>
          <w:tcPr>
            <w:tcW w:w="1339" w:type="dxa"/>
            <w:noWrap/>
            <w:hideMark/>
          </w:tcPr>
          <w:p w14:paraId="17824994"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w:t>
            </w:r>
          </w:p>
        </w:tc>
        <w:tc>
          <w:tcPr>
            <w:tcW w:w="1477" w:type="dxa"/>
            <w:noWrap/>
            <w:hideMark/>
          </w:tcPr>
          <w:p w14:paraId="7C4D6304"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T</w:t>
            </w:r>
          </w:p>
        </w:tc>
      </w:tr>
      <w:tr w:rsidR="00AC1791" w:rsidRPr="002551A7" w14:paraId="12CEF508" w14:textId="77777777" w:rsidTr="00177D0A">
        <w:trPr>
          <w:trHeight w:val="308"/>
        </w:trPr>
        <w:tc>
          <w:tcPr>
            <w:tcW w:w="3856" w:type="dxa"/>
            <w:noWrap/>
            <w:hideMark/>
          </w:tcPr>
          <w:p w14:paraId="0B83D055" w14:textId="77777777" w:rsidR="00AC1791" w:rsidRPr="002551A7" w:rsidRDefault="00AC1791" w:rsidP="002551A7">
            <w:pPr>
              <w:spacing w:line="360" w:lineRule="auto"/>
              <w:jc w:val="center"/>
              <w:rPr>
                <w:rFonts w:asciiTheme="majorBidi" w:hAnsiTheme="majorBidi" w:cstheme="majorBidi"/>
                <w:b/>
                <w:bCs/>
                <w:sz w:val="24"/>
                <w:szCs w:val="24"/>
                <w:lang w:bidi="ar-DZ"/>
              </w:rPr>
            </w:pPr>
            <w:r w:rsidRPr="002551A7">
              <w:rPr>
                <w:rFonts w:asciiTheme="majorBidi" w:hAnsiTheme="majorBidi" w:cstheme="majorBidi"/>
                <w:b/>
                <w:bCs/>
                <w:sz w:val="24"/>
                <w:szCs w:val="24"/>
                <w:lang w:val="en-US" w:bidi="ar-DZ"/>
              </w:rPr>
              <w:t>Alpha (Level)</w:t>
            </w:r>
          </w:p>
        </w:tc>
        <w:tc>
          <w:tcPr>
            <w:tcW w:w="2390" w:type="dxa"/>
            <w:noWrap/>
            <w:hideMark/>
          </w:tcPr>
          <w:p w14:paraId="5ADC11F6"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1.000</w:t>
            </w:r>
          </w:p>
        </w:tc>
        <w:tc>
          <w:tcPr>
            <w:tcW w:w="1339" w:type="dxa"/>
            <w:noWrap/>
            <w:hideMark/>
          </w:tcPr>
          <w:p w14:paraId="47A9F657"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0.011</w:t>
            </w:r>
          </w:p>
        </w:tc>
        <w:tc>
          <w:tcPr>
            <w:tcW w:w="1477" w:type="dxa"/>
            <w:noWrap/>
            <w:hideMark/>
          </w:tcPr>
          <w:p w14:paraId="5E5C37A1"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3.125</w:t>
            </w:r>
          </w:p>
        </w:tc>
      </w:tr>
    </w:tbl>
    <w:p w14:paraId="289AE9B5" w14:textId="1DB641DC"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the result of SPSS v.27</w:t>
      </w:r>
    </w:p>
    <w:p w14:paraId="5A04884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Alpha (Level) = 1.000: The smoothing coefficient is very high, which means that the model relies entirely on the most recent value (2024: 8.7%) and almost ignores historical data. This explains the flat forecast seen in the chart.</w:t>
      </w:r>
    </w:p>
    <w:p w14:paraId="7AEC656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Sig. (0.011): The Alpha coefficient is statistically significant (p-value &lt; 0.05), indicating that the model is statistically reliable in using this coefficient.</w:t>
      </w:r>
    </w:p>
    <w:p w14:paraId="59FC06CC" w14:textId="61933ED8" w:rsidR="00AC1791" w:rsidRPr="000A587F" w:rsidRDefault="007F6322" w:rsidP="00413B73">
      <w:pPr>
        <w:pStyle w:val="ListParagraph"/>
        <w:numPr>
          <w:ilvl w:val="3"/>
          <w:numId w:val="90"/>
        </w:numPr>
        <w:spacing w:line="360" w:lineRule="auto"/>
        <w:jc w:val="both"/>
        <w:rPr>
          <w:rFonts w:asciiTheme="majorBidi" w:hAnsiTheme="majorBidi" w:cstheme="majorBidi"/>
          <w:sz w:val="24"/>
          <w:szCs w:val="24"/>
          <w:lang w:val="en-US"/>
        </w:rPr>
      </w:pPr>
      <w:r w:rsidRPr="000A587F">
        <w:rPr>
          <w:rFonts w:asciiTheme="majorBidi" w:hAnsiTheme="majorBidi" w:cstheme="majorBidi"/>
          <w:b/>
          <w:bCs/>
          <w:sz w:val="24"/>
          <w:szCs w:val="24"/>
          <w:lang w:val="en-US" w:bidi="ar-DZ"/>
        </w:rPr>
        <w:t xml:space="preserve"> </w:t>
      </w:r>
      <w:bookmarkStart w:id="324" w:name="_Toc200721724"/>
      <w:r w:rsidR="00AC1791" w:rsidRPr="000A587F">
        <w:rPr>
          <w:rStyle w:val="Heading6Char"/>
          <w:rFonts w:cstheme="majorBidi"/>
          <w:sz w:val="24"/>
          <w:szCs w:val="24"/>
          <w:lang w:val="en-US"/>
        </w:rPr>
        <w:t>Chart and Unemployment Forecast from 2025 to 2030</w:t>
      </w:r>
      <w:bookmarkEnd w:id="324"/>
      <w:r w:rsidR="00AC1791" w:rsidRPr="000A587F">
        <w:rPr>
          <w:rFonts w:asciiTheme="majorBidi" w:hAnsiTheme="majorBidi" w:cstheme="majorBidi"/>
          <w:b/>
          <w:bCs/>
          <w:sz w:val="24"/>
          <w:szCs w:val="24"/>
          <w:lang w:val="en-US" w:bidi="ar-DZ"/>
        </w:rPr>
        <w:t>:</w:t>
      </w:r>
    </w:p>
    <w:p w14:paraId="349DB838"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Figure 21:</w:t>
      </w:r>
      <w:r w:rsidRPr="002551A7">
        <w:rPr>
          <w:rFonts w:asciiTheme="majorBidi" w:hAnsiTheme="majorBidi" w:cstheme="majorBidi"/>
          <w:sz w:val="24"/>
          <w:szCs w:val="24"/>
          <w:lang w:val="en-US"/>
        </w:rPr>
        <w:t xml:space="preserve"> </w:t>
      </w:r>
      <w:r w:rsidRPr="002551A7">
        <w:rPr>
          <w:rFonts w:asciiTheme="majorBidi" w:hAnsiTheme="majorBidi" w:cstheme="majorBidi"/>
          <w:sz w:val="24"/>
          <w:szCs w:val="24"/>
          <w:lang w:val="en-US" w:bidi="ar-DZ"/>
        </w:rPr>
        <w:t>Unemployment Forecast from 2025 to 2030</w:t>
      </w:r>
    </w:p>
    <w:p w14:paraId="21B11CB4" w14:textId="74094B78"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b/>
          <w:bCs/>
          <w:noProof/>
          <w:sz w:val="24"/>
          <w:szCs w:val="24"/>
          <w:lang w:val="en-US"/>
        </w:rPr>
        <w:drawing>
          <wp:anchor distT="0" distB="0" distL="114300" distR="114300" simplePos="0" relativeHeight="251714560" behindDoc="0" locked="0" layoutInCell="1" allowOverlap="1" wp14:anchorId="621C18D8" wp14:editId="6AF1F926">
            <wp:simplePos x="0" y="0"/>
            <wp:positionH relativeFrom="margin">
              <wp:align>center</wp:align>
            </wp:positionH>
            <wp:positionV relativeFrom="paragraph">
              <wp:posOffset>0</wp:posOffset>
            </wp:positionV>
            <wp:extent cx="4157980" cy="2247900"/>
            <wp:effectExtent l="0" t="0" r="0" b="0"/>
            <wp:wrapTopAndBottom/>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57980" cy="2247900"/>
                    </a:xfrm>
                    <a:prstGeom prst="rect">
                      <a:avLst/>
                    </a:prstGeom>
                    <a:noFill/>
                  </pic:spPr>
                </pic:pic>
              </a:graphicData>
            </a:graphic>
            <wp14:sizeRelH relativeFrom="margin">
              <wp14:pctWidth>0</wp14:pctWidth>
            </wp14:sizeRelH>
            <wp14:sizeRelV relativeFrom="margin">
              <wp14:pctHeight>0</wp14:pctHeight>
            </wp14:sizeRelV>
          </wp:anchor>
        </w:drawing>
      </w:r>
      <w:r w:rsidR="00AC1791" w:rsidRPr="002551A7">
        <w:rPr>
          <w:rFonts w:asciiTheme="majorBidi" w:hAnsiTheme="majorBidi" w:cstheme="majorBidi"/>
          <w:sz w:val="24"/>
          <w:szCs w:val="24"/>
          <w:lang w:val="en-US"/>
        </w:rPr>
        <w:t>Made by the students based on the result of SPSS v.27</w:t>
      </w:r>
    </w:p>
    <w:p w14:paraId="22A6EF7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chart shows the historical values (2014–2024) in red and the forecasts (2025–2030) in blue. There are no confidence intervals, which limits the ability to assess risks.</w:t>
      </w:r>
    </w:p>
    <w:p w14:paraId="793EA74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model predicts that unemployment will remain constant at 8.7% from 2025 to 2030. This is unrealistic given the historical downward trend (from 13.7% to 8.7%), which confirms the model's weakness in capturing trends.</w:t>
      </w:r>
    </w:p>
    <w:p w14:paraId="73A3A428"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historical average unemployment rate (10.85%) is higher than the forecast (8.7%), but the assumption that unemployment will not change does not take into account potential economic shifts.</w:t>
      </w:r>
    </w:p>
    <w:p w14:paraId="67DD853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unemployment model (Simple) is relatively accurate in terms of level (MAPE = 7.055%) but fails to capture the downward trend, making the forecasts unrealistic.</w:t>
      </w:r>
    </w:p>
    <w:p w14:paraId="384D9F53" w14:textId="0F962F9B" w:rsidR="00AC1791" w:rsidRPr="000A587F" w:rsidRDefault="007F6322" w:rsidP="00413B73">
      <w:pPr>
        <w:pStyle w:val="ListParagraph"/>
        <w:numPr>
          <w:ilvl w:val="3"/>
          <w:numId w:val="90"/>
        </w:numPr>
        <w:spacing w:line="360" w:lineRule="auto"/>
        <w:jc w:val="both"/>
        <w:rPr>
          <w:rFonts w:asciiTheme="majorBidi" w:hAnsiTheme="majorBidi" w:cstheme="majorBidi"/>
          <w:b/>
          <w:bCs/>
          <w:sz w:val="24"/>
          <w:szCs w:val="24"/>
          <w:lang w:val="en-US" w:bidi="ar-DZ"/>
        </w:rPr>
      </w:pPr>
      <w:r w:rsidRPr="000A587F">
        <w:rPr>
          <w:rFonts w:asciiTheme="majorBidi" w:hAnsiTheme="majorBidi" w:cstheme="majorBidi"/>
          <w:b/>
          <w:bCs/>
          <w:sz w:val="24"/>
          <w:szCs w:val="24"/>
          <w:lang w:val="en-US" w:bidi="ar-DZ"/>
        </w:rPr>
        <w:t xml:space="preserve"> </w:t>
      </w:r>
      <w:r w:rsidR="00AC1791" w:rsidRPr="000A587F">
        <w:rPr>
          <w:rFonts w:asciiTheme="majorBidi" w:hAnsiTheme="majorBidi" w:cstheme="majorBidi"/>
          <w:b/>
          <w:bCs/>
          <w:sz w:val="24"/>
          <w:szCs w:val="24"/>
          <w:lang w:val="en-US" w:bidi="ar-DZ"/>
        </w:rPr>
        <w:t xml:space="preserve"> </w:t>
      </w:r>
      <w:bookmarkStart w:id="325" w:name="_Toc200721725"/>
      <w:bookmarkStart w:id="326" w:name="_Hlk196838224"/>
      <w:r w:rsidR="00AC1791" w:rsidRPr="000A587F">
        <w:rPr>
          <w:rStyle w:val="Heading6Char"/>
          <w:rFonts w:cstheme="majorBidi"/>
          <w:sz w:val="24"/>
          <w:szCs w:val="24"/>
          <w:lang w:val="en-US"/>
        </w:rPr>
        <w:t>Analysis of Future Opportunities and Risks Based on the Forecasts</w:t>
      </w:r>
      <w:bookmarkEnd w:id="325"/>
      <w:r w:rsidR="00AC1791" w:rsidRPr="000A587F">
        <w:rPr>
          <w:rFonts w:asciiTheme="majorBidi" w:hAnsiTheme="majorBidi" w:cstheme="majorBidi"/>
          <w:b/>
          <w:bCs/>
          <w:sz w:val="24"/>
          <w:szCs w:val="24"/>
          <w:lang w:val="en-US" w:bidi="ar-DZ"/>
        </w:rPr>
        <w:t>:</w:t>
      </w:r>
      <w:bookmarkEnd w:id="326"/>
    </w:p>
    <w:p w14:paraId="14E5FA0A" w14:textId="77777777" w:rsidR="00AC1791" w:rsidRPr="002551A7" w:rsidRDefault="00AC1791" w:rsidP="00413B73">
      <w:pPr>
        <w:pStyle w:val="ListParagraph"/>
        <w:numPr>
          <w:ilvl w:val="0"/>
          <w:numId w:val="44"/>
        </w:numPr>
        <w:spacing w:line="360" w:lineRule="auto"/>
        <w:rPr>
          <w:rFonts w:asciiTheme="majorBidi" w:hAnsiTheme="majorBidi" w:cstheme="majorBidi"/>
          <w:b/>
          <w:bCs/>
          <w:sz w:val="24"/>
          <w:szCs w:val="24"/>
          <w:lang w:val="en-US"/>
        </w:rPr>
      </w:pPr>
      <w:r w:rsidRPr="002551A7">
        <w:rPr>
          <w:rFonts w:asciiTheme="majorBidi" w:hAnsiTheme="majorBidi" w:cstheme="majorBidi"/>
          <w:b/>
          <w:bCs/>
          <w:sz w:val="24"/>
          <w:szCs w:val="24"/>
          <w:lang w:val="en-US"/>
        </w:rPr>
        <w:t>Opportunities:</w:t>
      </w:r>
    </w:p>
    <w:p w14:paraId="55B5FEAA"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Unemployment at 8.7% is lower than the historical average (10.85%), which enhances purchasing power compared to previous years.</w:t>
      </w:r>
    </w:p>
    <w:p w14:paraId="41F79FF7" w14:textId="77777777" w:rsidR="00AC1791" w:rsidRPr="002551A7" w:rsidRDefault="00AC1791" w:rsidP="00413B73">
      <w:pPr>
        <w:pStyle w:val="ListParagraph"/>
        <w:numPr>
          <w:ilvl w:val="0"/>
          <w:numId w:val="44"/>
        </w:numPr>
        <w:spacing w:line="360" w:lineRule="auto"/>
        <w:rPr>
          <w:rFonts w:asciiTheme="majorBidi" w:hAnsiTheme="majorBidi" w:cstheme="majorBidi"/>
          <w:b/>
          <w:bCs/>
          <w:sz w:val="24"/>
          <w:szCs w:val="24"/>
          <w:lang w:val="en-US"/>
        </w:rPr>
      </w:pPr>
      <w:r w:rsidRPr="002551A7">
        <w:rPr>
          <w:rFonts w:asciiTheme="majorBidi" w:hAnsiTheme="majorBidi" w:cstheme="majorBidi"/>
          <w:b/>
          <w:bCs/>
          <w:sz w:val="24"/>
          <w:szCs w:val="24"/>
          <w:lang w:val="en-US"/>
        </w:rPr>
        <w:t>Risks:</w:t>
      </w:r>
    </w:p>
    <w:p w14:paraId="53C0A943" w14:textId="77777777" w:rsidR="00AC1791" w:rsidRPr="002551A7" w:rsidRDefault="00AC1791" w:rsidP="00413B73">
      <w:pPr>
        <w:pStyle w:val="ListParagraph"/>
        <w:numPr>
          <w:ilvl w:val="1"/>
          <w:numId w:val="46"/>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The model does not capture the downward trend, so unemployment may either decrease further (positive) or rise (negative) in the event of an economic slowdown.</w:t>
      </w:r>
    </w:p>
    <w:p w14:paraId="212A43B6" w14:textId="77777777" w:rsidR="00AC1791" w:rsidRPr="002551A7" w:rsidRDefault="00AC1791" w:rsidP="00413B73">
      <w:pPr>
        <w:pStyle w:val="ListParagraph"/>
        <w:numPr>
          <w:ilvl w:val="0"/>
          <w:numId w:val="44"/>
        </w:numPr>
        <w:spacing w:line="360" w:lineRule="auto"/>
        <w:rPr>
          <w:rFonts w:asciiTheme="majorBidi" w:hAnsiTheme="majorBidi" w:cstheme="majorBidi"/>
          <w:b/>
          <w:bCs/>
          <w:sz w:val="24"/>
          <w:szCs w:val="24"/>
          <w:lang w:val="en-US"/>
        </w:rPr>
      </w:pPr>
      <w:r w:rsidRPr="002551A7">
        <w:rPr>
          <w:rFonts w:asciiTheme="majorBidi" w:hAnsiTheme="majorBidi" w:cstheme="majorBidi"/>
          <w:b/>
          <w:bCs/>
          <w:sz w:val="24"/>
          <w:szCs w:val="24"/>
          <w:lang w:val="en-US"/>
        </w:rPr>
        <w:t>Mitigation Strategies:</w:t>
      </w:r>
    </w:p>
    <w:p w14:paraId="6D7464D2" w14:textId="77777777" w:rsidR="00AC1791" w:rsidRPr="002551A7"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Focus on competitively priced products to meet the needs of low-income consumers in case unemployment increases.</w:t>
      </w:r>
    </w:p>
    <w:p w14:paraId="254CC5F9" w14:textId="5606AAE2" w:rsidR="00AC1791" w:rsidRPr="007F6322" w:rsidRDefault="00AC1791" w:rsidP="00413B73">
      <w:pPr>
        <w:pStyle w:val="ListParagraph"/>
        <w:numPr>
          <w:ilvl w:val="2"/>
          <w:numId w:val="90"/>
        </w:numPr>
        <w:spacing w:line="360" w:lineRule="auto"/>
        <w:jc w:val="both"/>
        <w:rPr>
          <w:rFonts w:asciiTheme="majorBidi" w:hAnsiTheme="majorBidi" w:cstheme="majorBidi"/>
          <w:b/>
          <w:bCs/>
          <w:sz w:val="24"/>
          <w:szCs w:val="24"/>
          <w:lang w:val="en-US"/>
        </w:rPr>
      </w:pPr>
      <w:bookmarkStart w:id="327" w:name="_Toc200720074"/>
      <w:bookmarkStart w:id="328" w:name="_Toc200721726"/>
      <w:r w:rsidRPr="00DC25B4">
        <w:rPr>
          <w:rStyle w:val="Heading5Char"/>
          <w:rFonts w:eastAsiaTheme="minorHAnsi"/>
        </w:rPr>
        <w:t>Exchange rate forecasting</w:t>
      </w:r>
      <w:bookmarkEnd w:id="327"/>
      <w:bookmarkEnd w:id="328"/>
      <w:r w:rsidRPr="007F6322">
        <w:rPr>
          <w:rFonts w:asciiTheme="majorBidi" w:hAnsiTheme="majorBidi" w:cstheme="majorBidi"/>
          <w:b/>
          <w:bCs/>
          <w:sz w:val="24"/>
          <w:szCs w:val="24"/>
          <w:lang w:val="en-US"/>
        </w:rPr>
        <w:t>:</w:t>
      </w:r>
    </w:p>
    <w:p w14:paraId="0D53BAB3" w14:textId="13D76021" w:rsidR="00AC1791" w:rsidRPr="000A587F" w:rsidRDefault="007F6322" w:rsidP="00413B73">
      <w:pPr>
        <w:pStyle w:val="ListParagraph"/>
        <w:numPr>
          <w:ilvl w:val="3"/>
          <w:numId w:val="90"/>
        </w:num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29" w:name="_Toc200721727"/>
      <w:r w:rsidR="00AC1791" w:rsidRPr="000A587F">
        <w:rPr>
          <w:rStyle w:val="Heading6Char"/>
          <w:rFonts w:cstheme="majorBidi"/>
          <w:sz w:val="24"/>
          <w:szCs w:val="24"/>
          <w:lang w:val="en-US"/>
        </w:rPr>
        <w:t>Model description and model fit</w:t>
      </w:r>
      <w:bookmarkEnd w:id="329"/>
      <w:r w:rsidR="00AC1791" w:rsidRPr="000A587F">
        <w:rPr>
          <w:rFonts w:asciiTheme="majorBidi" w:hAnsiTheme="majorBidi" w:cstheme="majorBidi"/>
          <w:b/>
          <w:bCs/>
          <w:sz w:val="24"/>
          <w:szCs w:val="24"/>
          <w:lang w:val="en-US"/>
        </w:rPr>
        <w:t>:</w:t>
      </w:r>
    </w:p>
    <w:p w14:paraId="602E2550" w14:textId="77777777" w:rsidR="00AC1791" w:rsidRPr="002551A7" w:rsidRDefault="00AC1791" w:rsidP="00413B73">
      <w:pPr>
        <w:pStyle w:val="ListParagraph"/>
        <w:numPr>
          <w:ilvl w:val="0"/>
          <w:numId w:val="44"/>
        </w:numPr>
        <w:spacing w:line="360" w:lineRule="auto"/>
        <w:rPr>
          <w:rFonts w:asciiTheme="majorBidi" w:hAnsiTheme="majorBidi" w:cstheme="majorBidi"/>
          <w:sz w:val="24"/>
          <w:szCs w:val="24"/>
        </w:rPr>
      </w:pPr>
      <w:r w:rsidRPr="002551A7">
        <w:rPr>
          <w:rFonts w:asciiTheme="majorBidi" w:hAnsiTheme="majorBidi" w:cstheme="majorBidi"/>
          <w:b/>
          <w:bCs/>
          <w:sz w:val="24"/>
          <w:szCs w:val="24"/>
        </w:rPr>
        <w:t xml:space="preserve">Model type : </w:t>
      </w:r>
      <w:r w:rsidRPr="002551A7">
        <w:rPr>
          <w:rFonts w:asciiTheme="majorBidi" w:hAnsiTheme="majorBidi" w:cstheme="majorBidi"/>
          <w:sz w:val="24"/>
          <w:szCs w:val="24"/>
        </w:rPr>
        <w:t>Brown</w:t>
      </w:r>
    </w:p>
    <w:p w14:paraId="655A686B" w14:textId="77777777" w:rsidR="00AC1791" w:rsidRPr="002551A7" w:rsidRDefault="00AC1791" w:rsidP="002551A7">
      <w:pPr>
        <w:pStyle w:val="ListParagraph"/>
        <w:spacing w:line="360" w:lineRule="auto"/>
        <w:jc w:val="center"/>
        <w:rPr>
          <w:rFonts w:asciiTheme="majorBidi" w:hAnsiTheme="majorBidi" w:cstheme="majorBidi"/>
          <w:sz w:val="24"/>
          <w:szCs w:val="24"/>
        </w:rPr>
      </w:pPr>
      <w:r w:rsidRPr="002551A7">
        <w:rPr>
          <w:rFonts w:asciiTheme="majorBidi" w:hAnsiTheme="majorBidi" w:cstheme="majorBidi"/>
          <w:b/>
          <w:bCs/>
          <w:sz w:val="24"/>
          <w:szCs w:val="24"/>
        </w:rPr>
        <w:t>Table 16:</w:t>
      </w:r>
      <w:r w:rsidRPr="002551A7">
        <w:rPr>
          <w:rFonts w:asciiTheme="majorBidi" w:hAnsiTheme="majorBidi" w:cstheme="majorBidi"/>
          <w:sz w:val="24"/>
          <w:szCs w:val="24"/>
        </w:rPr>
        <w:t xml:space="preserve"> Model fit</w:t>
      </w:r>
    </w:p>
    <w:tbl>
      <w:tblPr>
        <w:tblStyle w:val="TableGrid"/>
        <w:tblW w:w="10828" w:type="dxa"/>
        <w:tblInd w:w="-815" w:type="dxa"/>
        <w:tblLook w:val="04A0" w:firstRow="1" w:lastRow="0" w:firstColumn="1" w:lastColumn="0" w:noHBand="0" w:noVBand="1"/>
      </w:tblPr>
      <w:tblGrid>
        <w:gridCol w:w="1704"/>
        <w:gridCol w:w="1231"/>
        <w:gridCol w:w="1236"/>
        <w:gridCol w:w="883"/>
        <w:gridCol w:w="1625"/>
        <w:gridCol w:w="1236"/>
        <w:gridCol w:w="1356"/>
        <w:gridCol w:w="1557"/>
      </w:tblGrid>
      <w:tr w:rsidR="00AC1791" w:rsidRPr="002551A7" w14:paraId="03B23ECD" w14:textId="77777777" w:rsidTr="00177D0A">
        <w:trPr>
          <w:trHeight w:val="285"/>
        </w:trPr>
        <w:tc>
          <w:tcPr>
            <w:tcW w:w="1704" w:type="dxa"/>
            <w:noWrap/>
            <w:hideMark/>
          </w:tcPr>
          <w:p w14:paraId="5864C27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Stationary R-squared</w:t>
            </w:r>
          </w:p>
        </w:tc>
        <w:tc>
          <w:tcPr>
            <w:tcW w:w="1231" w:type="dxa"/>
            <w:noWrap/>
            <w:hideMark/>
          </w:tcPr>
          <w:p w14:paraId="2C8510C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R-squared</w:t>
            </w:r>
          </w:p>
        </w:tc>
        <w:tc>
          <w:tcPr>
            <w:tcW w:w="1236" w:type="dxa"/>
            <w:noWrap/>
            <w:hideMark/>
          </w:tcPr>
          <w:p w14:paraId="07E2131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RMSE</w:t>
            </w:r>
          </w:p>
        </w:tc>
        <w:tc>
          <w:tcPr>
            <w:tcW w:w="883" w:type="dxa"/>
            <w:noWrap/>
            <w:hideMark/>
          </w:tcPr>
          <w:p w14:paraId="0704117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MAPE</w:t>
            </w:r>
          </w:p>
        </w:tc>
        <w:tc>
          <w:tcPr>
            <w:tcW w:w="1625" w:type="dxa"/>
            <w:noWrap/>
            <w:hideMark/>
          </w:tcPr>
          <w:p w14:paraId="421D974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MaxAPE</w:t>
            </w:r>
          </w:p>
        </w:tc>
        <w:tc>
          <w:tcPr>
            <w:tcW w:w="1236" w:type="dxa"/>
            <w:noWrap/>
            <w:hideMark/>
          </w:tcPr>
          <w:p w14:paraId="044080D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MAE</w:t>
            </w:r>
          </w:p>
        </w:tc>
        <w:tc>
          <w:tcPr>
            <w:tcW w:w="1356" w:type="dxa"/>
            <w:noWrap/>
            <w:hideMark/>
          </w:tcPr>
          <w:p w14:paraId="399B84F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MaxAE</w:t>
            </w:r>
          </w:p>
        </w:tc>
        <w:tc>
          <w:tcPr>
            <w:tcW w:w="1557" w:type="dxa"/>
            <w:noWrap/>
            <w:hideMark/>
          </w:tcPr>
          <w:p w14:paraId="1E4978F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Normalized BIC</w:t>
            </w:r>
          </w:p>
        </w:tc>
      </w:tr>
      <w:tr w:rsidR="00AC1791" w:rsidRPr="002551A7" w14:paraId="4A359BCF" w14:textId="77777777" w:rsidTr="00177D0A">
        <w:trPr>
          <w:trHeight w:val="285"/>
        </w:trPr>
        <w:tc>
          <w:tcPr>
            <w:tcW w:w="1704" w:type="dxa"/>
            <w:noWrap/>
            <w:hideMark/>
          </w:tcPr>
          <w:p w14:paraId="681FF23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0.099</w:t>
            </w:r>
          </w:p>
        </w:tc>
        <w:tc>
          <w:tcPr>
            <w:tcW w:w="1231" w:type="dxa"/>
            <w:noWrap/>
            <w:hideMark/>
          </w:tcPr>
          <w:p w14:paraId="2C9D486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0.950</w:t>
            </w:r>
          </w:p>
        </w:tc>
        <w:tc>
          <w:tcPr>
            <w:tcW w:w="1236" w:type="dxa"/>
            <w:noWrap/>
            <w:hideMark/>
          </w:tcPr>
          <w:p w14:paraId="28F0933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2.567</w:t>
            </w:r>
          </w:p>
        </w:tc>
        <w:tc>
          <w:tcPr>
            <w:tcW w:w="883" w:type="dxa"/>
            <w:noWrap/>
            <w:hideMark/>
          </w:tcPr>
          <w:p w14:paraId="304D0E2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12.121</w:t>
            </w:r>
          </w:p>
        </w:tc>
        <w:tc>
          <w:tcPr>
            <w:tcW w:w="1625" w:type="dxa"/>
            <w:noWrap/>
            <w:hideMark/>
          </w:tcPr>
          <w:p w14:paraId="1724F89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34.684</w:t>
            </w:r>
          </w:p>
        </w:tc>
        <w:tc>
          <w:tcPr>
            <w:tcW w:w="1236" w:type="dxa"/>
            <w:noWrap/>
            <w:hideMark/>
          </w:tcPr>
          <w:p w14:paraId="0060729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1.595</w:t>
            </w:r>
          </w:p>
        </w:tc>
        <w:tc>
          <w:tcPr>
            <w:tcW w:w="1356" w:type="dxa"/>
            <w:noWrap/>
            <w:hideMark/>
          </w:tcPr>
          <w:p w14:paraId="0F19199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5.629</w:t>
            </w:r>
          </w:p>
        </w:tc>
        <w:tc>
          <w:tcPr>
            <w:tcW w:w="1557" w:type="dxa"/>
            <w:noWrap/>
            <w:hideMark/>
          </w:tcPr>
          <w:p w14:paraId="50F7B7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2.104</w:t>
            </w:r>
          </w:p>
        </w:tc>
      </w:tr>
    </w:tbl>
    <w:p w14:paraId="05A72174" w14:textId="23A11D6D"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depend on the result of SPSS V.27</w:t>
      </w:r>
    </w:p>
    <w:p w14:paraId="77BB1D0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Brown model is suitable for exchange rate data because they show a clear upward trend (from 2.34 in 2014 to 35.36 in 2024) without seasonal patterns.</w:t>
      </w:r>
    </w:p>
    <w:p w14:paraId="60559718" w14:textId="4F274972"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Stationary R-squared (0.099): The value is positive but low, indicating that the model does not capture the remaining fluctuations well after removing the trend. This is expected since the exchange rate shows large fluctuations (e.g., the sharp increase in 2022–2023).</w:t>
      </w:r>
    </w:p>
    <w:p w14:paraId="4E924FCE" w14:textId="215BA186"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 xml:space="preserve"> R-squared (0.950): The model explains 95% of the variations in the exchange rate based on historical trends. This is an excellent percentage, meaning the model is very strong in capturing the upward trend.</w:t>
      </w:r>
    </w:p>
    <w:p w14:paraId="5E0C74BD" w14:textId="73E2FA4F"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RMSE (2.567): The root mean square error is reasonable compared to the average exchange rate (14.49 from the previous descriptive analysis). The error represents about 17.7% of the average, which is relatively acceptable given the fluctuations.</w:t>
      </w:r>
    </w:p>
    <w:p w14:paraId="1EE76DE0" w14:textId="44015814"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MAPE (12.121): The mean absolute percentage error is 12.121%, which is relatively high (less than 10% is considered good). This indicates that the forecasts have a noticeable margin of error, especially in highly volatile years.</w:t>
      </w:r>
    </w:p>
    <w:p w14:paraId="2F6EDD7A" w14:textId="5731C8B7"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MAE (1.565): The mean absolute error is relatively low, supporting the idea that the model is fairly accurate.</w:t>
      </w:r>
    </w:p>
    <w:p w14:paraId="4B336683" w14:textId="6FFFD5AA" w:rsidR="00AC1791" w:rsidRPr="009470F3" w:rsidRDefault="00AC1791" w:rsidP="00413B73">
      <w:pPr>
        <w:pStyle w:val="ListParagraph"/>
        <w:numPr>
          <w:ilvl w:val="1"/>
          <w:numId w:val="46"/>
        </w:numPr>
        <w:spacing w:line="360" w:lineRule="auto"/>
        <w:jc w:val="both"/>
        <w:rPr>
          <w:rFonts w:asciiTheme="majorBidi" w:hAnsiTheme="majorBidi" w:cstheme="majorBidi"/>
          <w:sz w:val="24"/>
          <w:szCs w:val="24"/>
          <w:lang w:val="en-US"/>
        </w:rPr>
      </w:pPr>
      <w:r w:rsidRPr="009470F3">
        <w:rPr>
          <w:rFonts w:asciiTheme="majorBidi" w:hAnsiTheme="majorBidi" w:cstheme="majorBidi"/>
          <w:sz w:val="24"/>
          <w:szCs w:val="24"/>
          <w:lang w:val="en-US"/>
        </w:rPr>
        <w:t>MaxAE (5.629): The maximum absolute error is reasonable but reflects the difficulty in predicting years like 2023 (34.37), which experienced a major increase.</w:t>
      </w:r>
      <w:r w:rsidRPr="009470F3">
        <w:rPr>
          <w:rFonts w:asciiTheme="majorBidi" w:hAnsiTheme="majorBidi" w:cstheme="majorBidi"/>
          <w:sz w:val="24"/>
          <w:szCs w:val="24"/>
          <w:lang w:val="en-US"/>
        </w:rPr>
        <w:br/>
        <w:t xml:space="preserve">   Normalized BIC (2.104): This low value suggests the model is relatively suitable.</w:t>
      </w:r>
    </w:p>
    <w:p w14:paraId="0DF09D97" w14:textId="77777777" w:rsidR="00AC1791" w:rsidRPr="002551A7" w:rsidRDefault="00AC1791" w:rsidP="00413B73">
      <w:pPr>
        <w:pStyle w:val="ListParagraph"/>
        <w:numPr>
          <w:ilvl w:val="0"/>
          <w:numId w:val="44"/>
        </w:numPr>
        <w:spacing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Overall model evaluation: </w:t>
      </w:r>
      <w:r w:rsidRPr="002551A7">
        <w:rPr>
          <w:rFonts w:asciiTheme="majorBidi" w:hAnsiTheme="majorBidi" w:cstheme="majorBidi"/>
          <w:sz w:val="24"/>
          <w:szCs w:val="24"/>
          <w:lang w:val="en-US"/>
        </w:rPr>
        <w:t>The model is very strong (R-squared = 0.950) in capturing the upward trend of the exchange rate but less accurate (MAPE = 12.121%) due to significant volatility in the data. We can rely on the forecasts as a general indicator of the trend, keeping in mind the margin of error.</w:t>
      </w:r>
    </w:p>
    <w:p w14:paraId="62DA4FD8" w14:textId="2FE21E24" w:rsidR="00AC1791" w:rsidRPr="000A587F" w:rsidRDefault="00BE2334" w:rsidP="00413B73">
      <w:pPr>
        <w:pStyle w:val="ListParagraph"/>
        <w:numPr>
          <w:ilvl w:val="3"/>
          <w:numId w:val="90"/>
        </w:numPr>
        <w:spacing w:line="360" w:lineRule="auto"/>
        <w:jc w:val="both"/>
        <w:rPr>
          <w:rFonts w:asciiTheme="majorBidi" w:hAnsiTheme="majorBidi" w:cstheme="majorBidi"/>
          <w:sz w:val="24"/>
          <w:szCs w:val="24"/>
          <w:lang w:val="en-US" w:bidi="ar-DZ"/>
        </w:rPr>
      </w:pPr>
      <w:r>
        <w:rPr>
          <w:rFonts w:asciiTheme="majorBidi" w:hAnsiTheme="majorBidi" w:cstheme="majorBidi"/>
          <w:b/>
          <w:bCs/>
          <w:sz w:val="24"/>
          <w:szCs w:val="24"/>
          <w:lang w:val="en-US" w:bidi="ar-DZ"/>
        </w:rPr>
        <w:t xml:space="preserve"> </w:t>
      </w:r>
      <w:bookmarkStart w:id="330" w:name="_Toc200721728"/>
      <w:r w:rsidR="00AC1791" w:rsidRPr="000A587F">
        <w:rPr>
          <w:rStyle w:val="Heading6Char"/>
          <w:rFonts w:cstheme="majorBidi"/>
          <w:sz w:val="24"/>
          <w:szCs w:val="24"/>
        </w:rPr>
        <w:t>Exponential Smoothing Model Parameters</w:t>
      </w:r>
      <w:bookmarkEnd w:id="330"/>
      <w:r w:rsidR="00AC1791" w:rsidRPr="000A587F">
        <w:rPr>
          <w:rFonts w:asciiTheme="majorBidi" w:hAnsiTheme="majorBidi" w:cstheme="majorBidi"/>
          <w:b/>
          <w:bCs/>
          <w:sz w:val="24"/>
          <w:szCs w:val="24"/>
          <w:lang w:val="en-US" w:bidi="ar-DZ"/>
        </w:rPr>
        <w:t>:</w:t>
      </w:r>
    </w:p>
    <w:p w14:paraId="78E6191F" w14:textId="77777777" w:rsidR="00DC25B4" w:rsidRPr="00DC25B4" w:rsidRDefault="00DC25B4" w:rsidP="00DC25B4">
      <w:pPr>
        <w:spacing w:line="360" w:lineRule="auto"/>
        <w:jc w:val="both"/>
        <w:rPr>
          <w:rFonts w:asciiTheme="majorBidi" w:hAnsiTheme="majorBidi" w:cstheme="majorBidi"/>
          <w:sz w:val="24"/>
          <w:szCs w:val="24"/>
          <w:lang w:val="en-US" w:bidi="ar-DZ"/>
        </w:rPr>
      </w:pPr>
    </w:p>
    <w:p w14:paraId="6C35EED4" w14:textId="77777777" w:rsidR="00AC1791" w:rsidRPr="002551A7" w:rsidRDefault="00AC1791" w:rsidP="002551A7">
      <w:pPr>
        <w:spacing w:line="360" w:lineRule="auto"/>
        <w:ind w:left="360"/>
        <w:jc w:val="center"/>
        <w:rPr>
          <w:rFonts w:asciiTheme="majorBidi" w:hAnsiTheme="majorBidi" w:cstheme="majorBidi"/>
          <w:sz w:val="24"/>
          <w:szCs w:val="24"/>
          <w:lang w:val="en-US" w:bidi="ar-DZ"/>
        </w:rPr>
      </w:pPr>
      <w:r w:rsidRPr="002551A7">
        <w:rPr>
          <w:rFonts w:asciiTheme="majorBidi" w:hAnsiTheme="majorBidi" w:cstheme="majorBidi"/>
          <w:b/>
          <w:bCs/>
          <w:sz w:val="24"/>
          <w:szCs w:val="24"/>
          <w:lang w:val="en-US" w:bidi="ar-DZ"/>
        </w:rPr>
        <w:t>Table 17:</w:t>
      </w:r>
      <w:r w:rsidRPr="002551A7">
        <w:rPr>
          <w:rFonts w:asciiTheme="majorBidi" w:hAnsiTheme="majorBidi" w:cstheme="majorBidi"/>
          <w:sz w:val="24"/>
          <w:szCs w:val="24"/>
          <w:lang w:val="en-US" w:bidi="ar-DZ"/>
        </w:rPr>
        <w:t xml:space="preserve"> Exponential Smoothing Model Parameters </w:t>
      </w:r>
    </w:p>
    <w:tbl>
      <w:tblPr>
        <w:tblStyle w:val="TableGrid"/>
        <w:tblW w:w="0" w:type="auto"/>
        <w:tblLook w:val="04A0" w:firstRow="1" w:lastRow="0" w:firstColumn="1" w:lastColumn="0" w:noHBand="0" w:noVBand="1"/>
      </w:tblPr>
      <w:tblGrid>
        <w:gridCol w:w="3856"/>
        <w:gridCol w:w="2390"/>
        <w:gridCol w:w="1339"/>
        <w:gridCol w:w="1477"/>
      </w:tblGrid>
      <w:tr w:rsidR="00AC1791" w:rsidRPr="002551A7" w14:paraId="5F22B3B5" w14:textId="77777777" w:rsidTr="00177D0A">
        <w:trPr>
          <w:trHeight w:val="285"/>
        </w:trPr>
        <w:tc>
          <w:tcPr>
            <w:tcW w:w="3856" w:type="dxa"/>
            <w:noWrap/>
            <w:hideMark/>
          </w:tcPr>
          <w:p w14:paraId="6C18214A" w14:textId="77777777" w:rsidR="00AC1791" w:rsidRPr="002551A7" w:rsidRDefault="00AC1791" w:rsidP="002551A7">
            <w:pPr>
              <w:spacing w:line="360" w:lineRule="auto"/>
              <w:jc w:val="center"/>
              <w:rPr>
                <w:rFonts w:asciiTheme="majorBidi" w:hAnsiTheme="majorBidi" w:cstheme="majorBidi"/>
                <w:sz w:val="24"/>
                <w:szCs w:val="24"/>
                <w:lang w:val="en-US" w:bidi="ar-DZ"/>
              </w:rPr>
            </w:pPr>
          </w:p>
        </w:tc>
        <w:tc>
          <w:tcPr>
            <w:tcW w:w="2390" w:type="dxa"/>
            <w:noWrap/>
            <w:hideMark/>
          </w:tcPr>
          <w:p w14:paraId="74C211D6"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Estimate</w:t>
            </w:r>
          </w:p>
        </w:tc>
        <w:tc>
          <w:tcPr>
            <w:tcW w:w="1339" w:type="dxa"/>
            <w:noWrap/>
            <w:hideMark/>
          </w:tcPr>
          <w:p w14:paraId="5433259E"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Sig</w:t>
            </w:r>
          </w:p>
        </w:tc>
        <w:tc>
          <w:tcPr>
            <w:tcW w:w="1477" w:type="dxa"/>
            <w:noWrap/>
            <w:hideMark/>
          </w:tcPr>
          <w:p w14:paraId="4937075F"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T</w:t>
            </w:r>
          </w:p>
        </w:tc>
      </w:tr>
      <w:tr w:rsidR="00AC1791" w:rsidRPr="002551A7" w14:paraId="2DF37568" w14:textId="77777777" w:rsidTr="00177D0A">
        <w:trPr>
          <w:trHeight w:val="308"/>
        </w:trPr>
        <w:tc>
          <w:tcPr>
            <w:tcW w:w="3856" w:type="dxa"/>
            <w:noWrap/>
            <w:hideMark/>
          </w:tcPr>
          <w:p w14:paraId="51550BAE" w14:textId="77777777" w:rsidR="00AC1791" w:rsidRPr="002551A7" w:rsidRDefault="00AC1791" w:rsidP="002551A7">
            <w:pPr>
              <w:spacing w:line="360" w:lineRule="auto"/>
              <w:jc w:val="center"/>
              <w:rPr>
                <w:rFonts w:asciiTheme="majorBidi" w:hAnsiTheme="majorBidi" w:cstheme="majorBidi"/>
                <w:b/>
                <w:bCs/>
                <w:sz w:val="24"/>
                <w:szCs w:val="24"/>
                <w:lang w:bidi="ar-DZ"/>
              </w:rPr>
            </w:pPr>
            <w:r w:rsidRPr="002551A7">
              <w:rPr>
                <w:rFonts w:asciiTheme="majorBidi" w:hAnsiTheme="majorBidi" w:cstheme="majorBidi"/>
                <w:b/>
                <w:bCs/>
                <w:sz w:val="24"/>
                <w:szCs w:val="24"/>
                <w:lang w:val="en-US" w:bidi="ar-DZ"/>
              </w:rPr>
              <w:t>Alpha (Level and trend)</w:t>
            </w:r>
          </w:p>
        </w:tc>
        <w:tc>
          <w:tcPr>
            <w:tcW w:w="2390" w:type="dxa"/>
            <w:noWrap/>
            <w:hideMark/>
          </w:tcPr>
          <w:p w14:paraId="46AE05C0"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0.829</w:t>
            </w:r>
          </w:p>
        </w:tc>
        <w:tc>
          <w:tcPr>
            <w:tcW w:w="1339" w:type="dxa"/>
            <w:noWrap/>
            <w:hideMark/>
          </w:tcPr>
          <w:p w14:paraId="1D1F740A"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0</w:t>
            </w:r>
          </w:p>
        </w:tc>
        <w:tc>
          <w:tcPr>
            <w:tcW w:w="1477" w:type="dxa"/>
            <w:noWrap/>
            <w:hideMark/>
          </w:tcPr>
          <w:p w14:paraId="5AB35C94" w14:textId="77777777" w:rsidR="00AC1791" w:rsidRPr="002551A7" w:rsidRDefault="00AC1791" w:rsidP="002551A7">
            <w:pPr>
              <w:spacing w:line="360" w:lineRule="auto"/>
              <w:jc w:val="center"/>
              <w:rPr>
                <w:rFonts w:asciiTheme="majorBidi" w:hAnsiTheme="majorBidi" w:cstheme="majorBidi"/>
                <w:sz w:val="24"/>
                <w:szCs w:val="24"/>
                <w:lang w:bidi="ar-DZ"/>
              </w:rPr>
            </w:pPr>
            <w:r w:rsidRPr="002551A7">
              <w:rPr>
                <w:rFonts w:asciiTheme="majorBidi" w:hAnsiTheme="majorBidi" w:cstheme="majorBidi"/>
                <w:sz w:val="24"/>
                <w:szCs w:val="24"/>
                <w:lang w:bidi="ar-DZ"/>
              </w:rPr>
              <w:t>5.147</w:t>
            </w:r>
          </w:p>
        </w:tc>
      </w:tr>
    </w:tbl>
    <w:p w14:paraId="6FEBCFE0" w14:textId="76F2A88D"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the result of SPSS v.27</w:t>
      </w:r>
    </w:p>
    <w:p w14:paraId="4492ADF3"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Alpha (Level and Trend) = 0.829: The smoothing coefficient is high, meaning the model relies heavily on recent values (such as 2023–2024) more than on older data. This is logical, as the recent trend (the rise in the exchange rate to 35.36 in 2024) has the greatest influence on the forecast.</w:t>
      </w:r>
    </w:p>
    <w:p w14:paraId="4A281A92"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Sig. (0.000): The coefficient is statistically significant, indicating that the model is reliable in using this parameter.</w:t>
      </w:r>
    </w:p>
    <w:p w14:paraId="7F901DF7" w14:textId="021EB158" w:rsidR="00AC1791" w:rsidRPr="000A587F" w:rsidRDefault="00AC1791" w:rsidP="00413B73">
      <w:pPr>
        <w:pStyle w:val="ListParagraph"/>
        <w:numPr>
          <w:ilvl w:val="3"/>
          <w:numId w:val="90"/>
        </w:numPr>
        <w:spacing w:line="360" w:lineRule="auto"/>
        <w:jc w:val="both"/>
        <w:rPr>
          <w:rFonts w:asciiTheme="majorBidi" w:hAnsiTheme="majorBidi" w:cstheme="majorBidi"/>
          <w:sz w:val="24"/>
          <w:szCs w:val="24"/>
          <w:lang w:val="en-US"/>
        </w:rPr>
      </w:pPr>
      <w:r w:rsidRPr="00BE2334">
        <w:rPr>
          <w:rFonts w:asciiTheme="majorBidi" w:hAnsiTheme="majorBidi" w:cstheme="majorBidi"/>
          <w:b/>
          <w:bCs/>
          <w:sz w:val="24"/>
          <w:szCs w:val="24"/>
          <w:lang w:val="en-US" w:bidi="ar-DZ"/>
        </w:rPr>
        <w:t xml:space="preserve"> </w:t>
      </w:r>
      <w:bookmarkStart w:id="331" w:name="_Toc200721729"/>
      <w:r w:rsidRPr="000A587F">
        <w:rPr>
          <w:rStyle w:val="Heading6Char"/>
          <w:rFonts w:cstheme="majorBidi"/>
          <w:sz w:val="24"/>
          <w:szCs w:val="24"/>
          <w:lang w:val="en-US"/>
        </w:rPr>
        <w:t>Chart and Unemployment Forecast from 2025 to 2030</w:t>
      </w:r>
      <w:bookmarkEnd w:id="331"/>
      <w:r w:rsidRPr="000A587F">
        <w:rPr>
          <w:rFonts w:asciiTheme="majorBidi" w:hAnsiTheme="majorBidi" w:cstheme="majorBidi"/>
          <w:b/>
          <w:bCs/>
          <w:sz w:val="24"/>
          <w:szCs w:val="24"/>
          <w:lang w:val="en-US" w:bidi="ar-DZ"/>
        </w:rPr>
        <w:t>:</w:t>
      </w:r>
    </w:p>
    <w:p w14:paraId="56DA7F25" w14:textId="29486911" w:rsidR="00AC1791" w:rsidRPr="002551A7" w:rsidRDefault="00AC1791" w:rsidP="002551A7">
      <w:pPr>
        <w:spacing w:line="360" w:lineRule="auto"/>
        <w:jc w:val="center"/>
        <w:rPr>
          <w:rFonts w:asciiTheme="majorBidi" w:hAnsiTheme="majorBidi" w:cstheme="majorBidi"/>
          <w:b/>
          <w:bCs/>
          <w:sz w:val="24"/>
          <w:szCs w:val="24"/>
          <w:lang w:val="en-US"/>
        </w:rPr>
      </w:pPr>
      <w:r w:rsidRPr="002551A7">
        <w:rPr>
          <w:rFonts w:asciiTheme="majorBidi" w:hAnsiTheme="majorBidi" w:cstheme="majorBidi"/>
          <w:b/>
          <w:bCs/>
          <w:noProof/>
          <w:sz w:val="24"/>
          <w:szCs w:val="24"/>
          <w:lang w:val="en-US"/>
        </w:rPr>
        <w:drawing>
          <wp:anchor distT="0" distB="0" distL="114300" distR="114300" simplePos="0" relativeHeight="251715584" behindDoc="0" locked="0" layoutInCell="1" allowOverlap="1" wp14:anchorId="5FF0091C" wp14:editId="169A5D01">
            <wp:simplePos x="0" y="0"/>
            <wp:positionH relativeFrom="margin">
              <wp:align>center</wp:align>
            </wp:positionH>
            <wp:positionV relativeFrom="paragraph">
              <wp:posOffset>194310</wp:posOffset>
            </wp:positionV>
            <wp:extent cx="4427365" cy="2393342"/>
            <wp:effectExtent l="0" t="0" r="0" b="6985"/>
            <wp:wrapTopAndBottom/>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7365" cy="2393342"/>
                    </a:xfrm>
                    <a:prstGeom prst="rect">
                      <a:avLst/>
                    </a:prstGeom>
                    <a:noFill/>
                  </pic:spPr>
                </pic:pic>
              </a:graphicData>
            </a:graphic>
          </wp:anchor>
        </w:drawing>
      </w:r>
      <w:r w:rsidRPr="002551A7">
        <w:rPr>
          <w:rFonts w:asciiTheme="majorBidi" w:hAnsiTheme="majorBidi" w:cstheme="majorBidi"/>
          <w:b/>
          <w:bCs/>
          <w:sz w:val="24"/>
          <w:szCs w:val="24"/>
          <w:lang w:val="en-US"/>
        </w:rPr>
        <w:t xml:space="preserve">Figure 22: </w:t>
      </w:r>
      <w:r w:rsidR="000A587F">
        <w:rPr>
          <w:rFonts w:asciiTheme="majorBidi" w:hAnsiTheme="majorBidi" w:cstheme="majorBidi"/>
          <w:sz w:val="24"/>
          <w:szCs w:val="24"/>
          <w:lang w:val="en-US" w:bidi="ar-DZ"/>
        </w:rPr>
        <w:t>Exchange rate</w:t>
      </w:r>
      <w:r w:rsidRPr="002551A7">
        <w:rPr>
          <w:rFonts w:asciiTheme="majorBidi" w:hAnsiTheme="majorBidi" w:cstheme="majorBidi"/>
          <w:sz w:val="24"/>
          <w:szCs w:val="24"/>
          <w:lang w:val="en-US" w:bidi="ar-DZ"/>
        </w:rPr>
        <w:t xml:space="preserve"> Forecast from 2025 to 2030</w:t>
      </w:r>
    </w:p>
    <w:p w14:paraId="174C965F" w14:textId="56390DC7" w:rsidR="00AC1791" w:rsidRPr="002551A7" w:rsidRDefault="00B9465F" w:rsidP="002551A7">
      <w:pPr>
        <w:spacing w:line="360" w:lineRule="auto"/>
        <w:jc w:val="center"/>
        <w:rPr>
          <w:rFonts w:asciiTheme="majorBidi" w:hAnsiTheme="majorBidi" w:cstheme="majorBidi"/>
          <w:sz w:val="24"/>
          <w:szCs w:val="24"/>
          <w:lang w:val="en-US"/>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rPr>
        <w:t>Made by the students based on the result of SPSS v.27</w:t>
      </w:r>
    </w:p>
    <w:p w14:paraId="70316B8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chart shows historical values (2014–2024) in red and forecasts (2025–2030) in blue. Confidence intervals are not provided, which limits risk assessment.</w:t>
      </w:r>
    </w:p>
    <w:p w14:paraId="32F678D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model predicts a continuous increase in the exchange rate from 40 in 2025 to around 65 in 2030, with an annual increase of approximately 5 liras. This upward trend is consistent with the historical pattern (from 2.34 to 35.36), but it assumes a linear continuation, which may not hold if monetary policies change or crises occur.</w:t>
      </w:r>
    </w:p>
    <w:p w14:paraId="34870B34"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b/>
          <w:bCs/>
          <w:sz w:val="24"/>
          <w:szCs w:val="24"/>
        </w:rPr>
        <w:t>Evaluation of the model:</w:t>
      </w:r>
    </w:p>
    <w:p w14:paraId="3BC592B9" w14:textId="77777777" w:rsidR="00AC1791" w:rsidRPr="002551A7" w:rsidRDefault="00AC1791" w:rsidP="00413B73">
      <w:pPr>
        <w:numPr>
          <w:ilvl w:val="0"/>
          <w:numId w:val="48"/>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The </w:t>
      </w:r>
      <w:r w:rsidRPr="002551A7">
        <w:rPr>
          <w:rFonts w:asciiTheme="majorBidi" w:hAnsiTheme="majorBidi" w:cstheme="majorBidi"/>
          <w:b/>
          <w:bCs/>
          <w:sz w:val="24"/>
          <w:szCs w:val="24"/>
          <w:lang w:val="en-US"/>
        </w:rPr>
        <w:t>Exchange Rate model (Brown)</w:t>
      </w:r>
      <w:r w:rsidRPr="002551A7">
        <w:rPr>
          <w:rFonts w:asciiTheme="majorBidi" w:hAnsiTheme="majorBidi" w:cstheme="majorBidi"/>
          <w:sz w:val="24"/>
          <w:szCs w:val="24"/>
          <w:lang w:val="en-US"/>
        </w:rPr>
        <w:t xml:space="preserve"> is strong </w:t>
      </w:r>
      <w:r w:rsidRPr="002551A7">
        <w:rPr>
          <w:rFonts w:asciiTheme="majorBidi" w:hAnsiTheme="majorBidi" w:cstheme="majorBidi"/>
          <w:i/>
          <w:iCs/>
          <w:sz w:val="24"/>
          <w:szCs w:val="24"/>
          <w:lang w:val="en-US"/>
        </w:rPr>
        <w:t>(R-squared = 0.950)</w:t>
      </w:r>
      <w:r w:rsidRPr="002551A7">
        <w:rPr>
          <w:rFonts w:asciiTheme="majorBidi" w:hAnsiTheme="majorBidi" w:cstheme="majorBidi"/>
          <w:sz w:val="24"/>
          <w:szCs w:val="24"/>
          <w:lang w:val="en-US"/>
        </w:rPr>
        <w:t xml:space="preserve"> but less accurate </w:t>
      </w:r>
      <w:r w:rsidRPr="002551A7">
        <w:rPr>
          <w:rFonts w:asciiTheme="majorBidi" w:hAnsiTheme="majorBidi" w:cstheme="majorBidi"/>
          <w:i/>
          <w:iCs/>
          <w:sz w:val="24"/>
          <w:szCs w:val="24"/>
          <w:lang w:val="en-US"/>
        </w:rPr>
        <w:t>(MAPE = 12.121%)</w:t>
      </w:r>
      <w:r w:rsidRPr="002551A7">
        <w:rPr>
          <w:rFonts w:asciiTheme="majorBidi" w:hAnsiTheme="majorBidi" w:cstheme="majorBidi"/>
          <w:sz w:val="24"/>
          <w:szCs w:val="24"/>
          <w:lang w:val="en-US"/>
        </w:rPr>
        <w:t xml:space="preserve"> due to volatility.</w:t>
      </w:r>
    </w:p>
    <w:p w14:paraId="259A8BF7" w14:textId="77777777" w:rsidR="00AC1791" w:rsidRPr="002551A7" w:rsidRDefault="00AC1791" w:rsidP="00413B73">
      <w:pPr>
        <w:numPr>
          <w:ilvl w:val="0"/>
          <w:numId w:val="48"/>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The </w:t>
      </w:r>
      <w:r w:rsidRPr="002551A7">
        <w:rPr>
          <w:rFonts w:asciiTheme="majorBidi" w:hAnsiTheme="majorBidi" w:cstheme="majorBidi"/>
          <w:b/>
          <w:bCs/>
          <w:sz w:val="24"/>
          <w:szCs w:val="24"/>
          <w:lang w:val="en-US"/>
        </w:rPr>
        <w:t>GDP model (Brown)</w:t>
      </w:r>
      <w:r w:rsidRPr="002551A7">
        <w:rPr>
          <w:rFonts w:asciiTheme="majorBidi" w:hAnsiTheme="majorBidi" w:cstheme="majorBidi"/>
          <w:sz w:val="24"/>
          <w:szCs w:val="24"/>
          <w:lang w:val="en-US"/>
        </w:rPr>
        <w:t xml:space="preserve"> is the most reliable </w:t>
      </w:r>
      <w:r w:rsidRPr="002551A7">
        <w:rPr>
          <w:rFonts w:asciiTheme="majorBidi" w:hAnsiTheme="majorBidi" w:cstheme="majorBidi"/>
          <w:i/>
          <w:iCs/>
          <w:sz w:val="24"/>
          <w:szCs w:val="24"/>
          <w:lang w:val="en-US"/>
        </w:rPr>
        <w:t>(R-squared = 0.839, MAPE = 5.519%)</w:t>
      </w:r>
      <w:r w:rsidRPr="002551A7">
        <w:rPr>
          <w:rFonts w:asciiTheme="majorBidi" w:hAnsiTheme="majorBidi" w:cstheme="majorBidi"/>
          <w:sz w:val="24"/>
          <w:szCs w:val="24"/>
          <w:lang w:val="en-US"/>
        </w:rPr>
        <w:t>.</w:t>
      </w:r>
    </w:p>
    <w:p w14:paraId="34F84485" w14:textId="77777777" w:rsidR="00AC1791" w:rsidRPr="002551A7" w:rsidRDefault="00AC1791" w:rsidP="00413B73">
      <w:pPr>
        <w:numPr>
          <w:ilvl w:val="0"/>
          <w:numId w:val="48"/>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The </w:t>
      </w:r>
      <w:r w:rsidRPr="002551A7">
        <w:rPr>
          <w:rFonts w:asciiTheme="majorBidi" w:hAnsiTheme="majorBidi" w:cstheme="majorBidi"/>
          <w:b/>
          <w:bCs/>
          <w:sz w:val="24"/>
          <w:szCs w:val="24"/>
          <w:lang w:val="en-US"/>
        </w:rPr>
        <w:t>Inflation model</w:t>
      </w:r>
      <w:r w:rsidRPr="002551A7">
        <w:rPr>
          <w:rFonts w:asciiTheme="majorBidi" w:hAnsiTheme="majorBidi" w:cstheme="majorBidi"/>
          <w:sz w:val="24"/>
          <w:szCs w:val="24"/>
          <w:lang w:val="en-US"/>
        </w:rPr>
        <w:t xml:space="preserve"> is inaccurate </w:t>
      </w:r>
      <w:r w:rsidRPr="002551A7">
        <w:rPr>
          <w:rFonts w:asciiTheme="majorBidi" w:hAnsiTheme="majorBidi" w:cstheme="majorBidi"/>
          <w:i/>
          <w:iCs/>
          <w:sz w:val="24"/>
          <w:szCs w:val="24"/>
          <w:lang w:val="en-US"/>
        </w:rPr>
        <w:t>(MAPE = 57.7%)</w:t>
      </w:r>
      <w:r w:rsidRPr="002551A7">
        <w:rPr>
          <w:rFonts w:asciiTheme="majorBidi" w:hAnsiTheme="majorBidi" w:cstheme="majorBidi"/>
          <w:sz w:val="24"/>
          <w:szCs w:val="24"/>
          <w:lang w:val="en-US"/>
        </w:rPr>
        <w:t>, but the 20% forecast can still be used as an indicator.</w:t>
      </w:r>
    </w:p>
    <w:p w14:paraId="3369683A" w14:textId="77777777" w:rsidR="00AC1791" w:rsidRPr="002551A7" w:rsidRDefault="00AC1791" w:rsidP="00413B73">
      <w:pPr>
        <w:numPr>
          <w:ilvl w:val="0"/>
          <w:numId w:val="48"/>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unemployment model is relatively accurate (MAPE = 7.055%) but fails to capture the downward trend.</w:t>
      </w:r>
    </w:p>
    <w:p w14:paraId="6DD03E9A" w14:textId="0653E6E4" w:rsidR="00AC1791" w:rsidRPr="000A587F" w:rsidRDefault="00BE2334" w:rsidP="00413B73">
      <w:pPr>
        <w:pStyle w:val="ListParagraph"/>
        <w:numPr>
          <w:ilvl w:val="3"/>
          <w:numId w:val="90"/>
        </w:numPr>
        <w:spacing w:line="360" w:lineRule="auto"/>
        <w:jc w:val="both"/>
        <w:rPr>
          <w:rFonts w:asciiTheme="majorBidi" w:hAnsiTheme="majorBidi" w:cstheme="majorBidi"/>
          <w:sz w:val="24"/>
          <w:szCs w:val="24"/>
          <w:lang w:val="en-US"/>
        </w:rPr>
      </w:pPr>
      <w:r>
        <w:rPr>
          <w:rFonts w:asciiTheme="majorBidi" w:hAnsiTheme="majorBidi" w:cstheme="majorBidi"/>
          <w:b/>
          <w:bCs/>
          <w:sz w:val="24"/>
          <w:szCs w:val="24"/>
          <w:lang w:val="en-US" w:bidi="ar-DZ"/>
        </w:rPr>
        <w:t xml:space="preserve"> </w:t>
      </w:r>
      <w:bookmarkStart w:id="332" w:name="_Toc200721730"/>
      <w:r w:rsidR="00AC1791" w:rsidRPr="000A587F">
        <w:rPr>
          <w:rStyle w:val="Heading6Char"/>
          <w:rFonts w:cstheme="majorBidi"/>
          <w:sz w:val="24"/>
          <w:szCs w:val="24"/>
          <w:lang w:val="en-US"/>
        </w:rPr>
        <w:t>Analysis of Future Opportunities and Risks Based on the Forecasts</w:t>
      </w:r>
      <w:bookmarkEnd w:id="332"/>
      <w:r w:rsidR="00AC1791" w:rsidRPr="000A587F">
        <w:rPr>
          <w:rFonts w:asciiTheme="majorBidi" w:hAnsiTheme="majorBidi" w:cstheme="majorBidi"/>
          <w:b/>
          <w:bCs/>
          <w:sz w:val="24"/>
          <w:szCs w:val="24"/>
          <w:lang w:val="en-US" w:bidi="ar-DZ"/>
        </w:rPr>
        <w:t>:</w:t>
      </w:r>
    </w:p>
    <w:p w14:paraId="68FE895D"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eastAsia="fr-FR"/>
        </w:rPr>
      </w:pPr>
      <w:r w:rsidRPr="002551A7">
        <w:rPr>
          <w:rFonts w:asciiTheme="majorBidi" w:eastAsia="Times New Roman" w:hAnsiTheme="majorBidi" w:cstheme="majorBidi"/>
          <w:b/>
          <w:bCs/>
          <w:sz w:val="24"/>
          <w:szCs w:val="24"/>
          <w:lang w:eastAsia="fr-FR"/>
        </w:rPr>
        <w:t>• Opportunities:</w:t>
      </w:r>
    </w:p>
    <w:p w14:paraId="07E89286" w14:textId="77777777" w:rsidR="00AC1791" w:rsidRPr="002551A7" w:rsidRDefault="00AC1791" w:rsidP="00413B73">
      <w:pPr>
        <w:numPr>
          <w:ilvl w:val="0"/>
          <w:numId w:val="49"/>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The increase in the exchange rate makes Proderma’s products cheaper and more competitive in the Turkish market.</w:t>
      </w:r>
    </w:p>
    <w:p w14:paraId="0049DB13"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eastAsia="fr-FR"/>
        </w:rPr>
      </w:pPr>
      <w:r w:rsidRPr="002551A7">
        <w:rPr>
          <w:rFonts w:asciiTheme="majorBidi" w:eastAsia="Times New Roman" w:hAnsiTheme="majorBidi" w:cstheme="majorBidi"/>
          <w:b/>
          <w:bCs/>
          <w:sz w:val="24"/>
          <w:szCs w:val="24"/>
          <w:lang w:eastAsia="fr-FR"/>
        </w:rPr>
        <w:t>• Risks :</w:t>
      </w:r>
    </w:p>
    <w:p w14:paraId="2C662AD1" w14:textId="77777777" w:rsidR="00AC1791" w:rsidRPr="002551A7" w:rsidRDefault="00AC1791" w:rsidP="00413B73">
      <w:pPr>
        <w:numPr>
          <w:ilvl w:val="0"/>
          <w:numId w:val="50"/>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Large fluctuations in the exchange rate (as observed historically) may lead to unexpected changes in profits.</w:t>
      </w:r>
    </w:p>
    <w:p w14:paraId="66854F45" w14:textId="77777777" w:rsidR="00AC1791" w:rsidRPr="002551A7" w:rsidRDefault="00AC1791" w:rsidP="00413B73">
      <w:pPr>
        <w:numPr>
          <w:ilvl w:val="0"/>
          <w:numId w:val="50"/>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A continuous rise may indicate broader economic deterioration, which could affect demand.</w:t>
      </w:r>
    </w:p>
    <w:p w14:paraId="233EECE6"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eastAsia="fr-FR"/>
        </w:rPr>
      </w:pPr>
      <w:r w:rsidRPr="002551A7">
        <w:rPr>
          <w:rFonts w:asciiTheme="majorBidi" w:eastAsia="Times New Roman" w:hAnsiTheme="majorBidi" w:cstheme="majorBidi"/>
          <w:b/>
          <w:bCs/>
          <w:sz w:val="24"/>
          <w:szCs w:val="24"/>
          <w:lang w:eastAsia="fr-FR"/>
        </w:rPr>
        <w:t>• Risk Mitigation Strategies:</w:t>
      </w:r>
    </w:p>
    <w:p w14:paraId="4012FD6F" w14:textId="77777777" w:rsidR="00AC1791" w:rsidRPr="002551A7" w:rsidRDefault="00AC1791" w:rsidP="00413B73">
      <w:pPr>
        <w:numPr>
          <w:ilvl w:val="0"/>
          <w:numId w:val="5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Use hedging contracts to protect profits from volatility.</w:t>
      </w:r>
    </w:p>
    <w:p w14:paraId="339168E9" w14:textId="77777777" w:rsidR="00AC1791" w:rsidRPr="002551A7" w:rsidRDefault="00AC1791" w:rsidP="00413B73">
      <w:pPr>
        <w:numPr>
          <w:ilvl w:val="0"/>
          <w:numId w:val="5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Target periods of high exchange rates (such as 2029–2030) to increase exports.</w:t>
      </w:r>
    </w:p>
    <w:p w14:paraId="6C728776" w14:textId="77777777" w:rsidR="00AC1791" w:rsidRPr="002551A7" w:rsidRDefault="00AC1791" w:rsidP="00413B73">
      <w:pPr>
        <w:numPr>
          <w:ilvl w:val="0"/>
          <w:numId w:val="5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Diversify markets to reduce dependence on the Turkish market in case of economic downturn.</w:t>
      </w:r>
    </w:p>
    <w:p w14:paraId="00C3AB63"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Table 1 summarizes the resulting forecasts:</w:t>
      </w:r>
    </w:p>
    <w:p w14:paraId="6D92AFA2"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Table 18:</w:t>
      </w:r>
      <w:r w:rsidRPr="002551A7">
        <w:rPr>
          <w:rFonts w:asciiTheme="majorBidi" w:eastAsia="Times New Roman" w:hAnsiTheme="majorBidi" w:cstheme="majorBidi"/>
          <w:sz w:val="24"/>
          <w:szCs w:val="24"/>
          <w:lang w:val="en-US" w:eastAsia="fr-FR"/>
        </w:rPr>
        <w:t xml:space="preserve"> Economic Forecasts for the Turkish Market (2025–2030)</w:t>
      </w:r>
    </w:p>
    <w:tbl>
      <w:tblPr>
        <w:tblStyle w:val="TableGrid"/>
        <w:tblW w:w="0" w:type="auto"/>
        <w:tblLook w:val="04A0" w:firstRow="1" w:lastRow="0" w:firstColumn="1" w:lastColumn="0" w:noHBand="0" w:noVBand="1"/>
      </w:tblPr>
      <w:tblGrid>
        <w:gridCol w:w="1681"/>
        <w:gridCol w:w="2080"/>
        <w:gridCol w:w="1274"/>
        <w:gridCol w:w="1800"/>
        <w:gridCol w:w="2227"/>
      </w:tblGrid>
      <w:tr w:rsidR="00AC1791" w:rsidRPr="002551A7" w14:paraId="3B42C8CE" w14:textId="77777777" w:rsidTr="00B710D5">
        <w:trPr>
          <w:trHeight w:val="285"/>
        </w:trPr>
        <w:tc>
          <w:tcPr>
            <w:tcW w:w="1681" w:type="dxa"/>
            <w:noWrap/>
            <w:hideMark/>
          </w:tcPr>
          <w:p w14:paraId="2F68BC4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Year</w:t>
            </w:r>
          </w:p>
        </w:tc>
        <w:tc>
          <w:tcPr>
            <w:tcW w:w="2080" w:type="dxa"/>
            <w:noWrap/>
            <w:hideMark/>
          </w:tcPr>
          <w:p w14:paraId="600CFBA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GDP (M.USD)</w:t>
            </w:r>
          </w:p>
        </w:tc>
        <w:tc>
          <w:tcPr>
            <w:tcW w:w="1274" w:type="dxa"/>
            <w:noWrap/>
            <w:hideMark/>
          </w:tcPr>
          <w:p w14:paraId="6D1E8D5B"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Iflation rate (%)</w:t>
            </w:r>
          </w:p>
        </w:tc>
        <w:tc>
          <w:tcPr>
            <w:tcW w:w="1800" w:type="dxa"/>
            <w:noWrap/>
            <w:hideMark/>
          </w:tcPr>
          <w:p w14:paraId="4821C08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Unemployment rate (%)</w:t>
            </w:r>
          </w:p>
        </w:tc>
        <w:tc>
          <w:tcPr>
            <w:tcW w:w="2227" w:type="dxa"/>
            <w:noWrap/>
            <w:hideMark/>
          </w:tcPr>
          <w:p w14:paraId="51E437F0"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Exchange rate (TRY/USD)</w:t>
            </w:r>
          </w:p>
        </w:tc>
      </w:tr>
      <w:tr w:rsidR="00AC1791" w:rsidRPr="002551A7" w14:paraId="22455E5D" w14:textId="77777777" w:rsidTr="00B710D5">
        <w:trPr>
          <w:trHeight w:val="285"/>
        </w:trPr>
        <w:tc>
          <w:tcPr>
            <w:tcW w:w="1681" w:type="dxa"/>
            <w:noWrap/>
            <w:hideMark/>
          </w:tcPr>
          <w:p w14:paraId="0C1E5FC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2025</w:t>
            </w:r>
          </w:p>
        </w:tc>
        <w:tc>
          <w:tcPr>
            <w:tcW w:w="2080" w:type="dxa"/>
            <w:noWrap/>
            <w:hideMark/>
          </w:tcPr>
          <w:p w14:paraId="044D201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1,400,000</w:t>
            </w:r>
          </w:p>
        </w:tc>
        <w:tc>
          <w:tcPr>
            <w:tcW w:w="1274" w:type="dxa"/>
            <w:noWrap/>
            <w:hideMark/>
          </w:tcPr>
          <w:p w14:paraId="1DD4370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714F848B"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129CBE83"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40</w:t>
            </w:r>
          </w:p>
        </w:tc>
      </w:tr>
      <w:tr w:rsidR="00AC1791" w:rsidRPr="002551A7" w14:paraId="61FCC3B3" w14:textId="77777777" w:rsidTr="00B710D5">
        <w:trPr>
          <w:trHeight w:val="285"/>
        </w:trPr>
        <w:tc>
          <w:tcPr>
            <w:tcW w:w="1681" w:type="dxa"/>
            <w:noWrap/>
            <w:hideMark/>
          </w:tcPr>
          <w:p w14:paraId="5A41E72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2026</w:t>
            </w:r>
          </w:p>
        </w:tc>
        <w:tc>
          <w:tcPr>
            <w:tcW w:w="2080" w:type="dxa"/>
            <w:noWrap/>
            <w:hideMark/>
          </w:tcPr>
          <w:p w14:paraId="2D4DCD6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1,500,000</w:t>
            </w:r>
          </w:p>
        </w:tc>
        <w:tc>
          <w:tcPr>
            <w:tcW w:w="1274" w:type="dxa"/>
            <w:noWrap/>
            <w:hideMark/>
          </w:tcPr>
          <w:p w14:paraId="1CCE13DB"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28DC82D0"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2E933FA1"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45</w:t>
            </w:r>
          </w:p>
        </w:tc>
      </w:tr>
      <w:tr w:rsidR="00AC1791" w:rsidRPr="002551A7" w14:paraId="304430A0" w14:textId="77777777" w:rsidTr="00B710D5">
        <w:trPr>
          <w:trHeight w:val="285"/>
        </w:trPr>
        <w:tc>
          <w:tcPr>
            <w:tcW w:w="1681" w:type="dxa"/>
            <w:noWrap/>
            <w:hideMark/>
          </w:tcPr>
          <w:p w14:paraId="38EC9D6B"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2027</w:t>
            </w:r>
          </w:p>
        </w:tc>
        <w:tc>
          <w:tcPr>
            <w:tcW w:w="2080" w:type="dxa"/>
            <w:noWrap/>
            <w:hideMark/>
          </w:tcPr>
          <w:p w14:paraId="685FE13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1,600,000</w:t>
            </w:r>
          </w:p>
        </w:tc>
        <w:tc>
          <w:tcPr>
            <w:tcW w:w="1274" w:type="dxa"/>
            <w:noWrap/>
            <w:hideMark/>
          </w:tcPr>
          <w:p w14:paraId="415008E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3672141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517929C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50</w:t>
            </w:r>
          </w:p>
        </w:tc>
      </w:tr>
      <w:tr w:rsidR="00AC1791" w:rsidRPr="002551A7" w14:paraId="56B6ED7F" w14:textId="77777777" w:rsidTr="00B710D5">
        <w:trPr>
          <w:trHeight w:val="285"/>
        </w:trPr>
        <w:tc>
          <w:tcPr>
            <w:tcW w:w="1681" w:type="dxa"/>
            <w:noWrap/>
            <w:hideMark/>
          </w:tcPr>
          <w:p w14:paraId="430A3D9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2028</w:t>
            </w:r>
          </w:p>
        </w:tc>
        <w:tc>
          <w:tcPr>
            <w:tcW w:w="2080" w:type="dxa"/>
            <w:noWrap/>
            <w:hideMark/>
          </w:tcPr>
          <w:p w14:paraId="7AE9D764"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1,700,000</w:t>
            </w:r>
          </w:p>
        </w:tc>
        <w:tc>
          <w:tcPr>
            <w:tcW w:w="1274" w:type="dxa"/>
            <w:noWrap/>
            <w:hideMark/>
          </w:tcPr>
          <w:p w14:paraId="77F91C19"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2AB7E631"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6C06AA0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55</w:t>
            </w:r>
          </w:p>
        </w:tc>
      </w:tr>
      <w:tr w:rsidR="00AC1791" w:rsidRPr="002551A7" w14:paraId="00CB7DD2" w14:textId="77777777" w:rsidTr="00B710D5">
        <w:trPr>
          <w:trHeight w:val="285"/>
        </w:trPr>
        <w:tc>
          <w:tcPr>
            <w:tcW w:w="1681" w:type="dxa"/>
            <w:noWrap/>
            <w:hideMark/>
          </w:tcPr>
          <w:p w14:paraId="42C1F847"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2029</w:t>
            </w:r>
          </w:p>
        </w:tc>
        <w:tc>
          <w:tcPr>
            <w:tcW w:w="2080" w:type="dxa"/>
            <w:noWrap/>
            <w:hideMark/>
          </w:tcPr>
          <w:p w14:paraId="265E9F26"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1,800,000</w:t>
            </w:r>
          </w:p>
        </w:tc>
        <w:tc>
          <w:tcPr>
            <w:tcW w:w="1274" w:type="dxa"/>
            <w:noWrap/>
            <w:hideMark/>
          </w:tcPr>
          <w:p w14:paraId="170C491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4D5D2B2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0A4E8185"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60</w:t>
            </w:r>
          </w:p>
        </w:tc>
      </w:tr>
      <w:tr w:rsidR="00AC1791" w:rsidRPr="002551A7" w14:paraId="3462AF30" w14:textId="77777777" w:rsidTr="00B710D5">
        <w:trPr>
          <w:trHeight w:val="285"/>
        </w:trPr>
        <w:tc>
          <w:tcPr>
            <w:tcW w:w="1681" w:type="dxa"/>
            <w:noWrap/>
            <w:hideMark/>
          </w:tcPr>
          <w:p w14:paraId="19A6A51A"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2030</w:t>
            </w:r>
          </w:p>
        </w:tc>
        <w:tc>
          <w:tcPr>
            <w:tcW w:w="2080" w:type="dxa"/>
            <w:noWrap/>
            <w:hideMark/>
          </w:tcPr>
          <w:p w14:paraId="291898A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1,900,000</w:t>
            </w:r>
          </w:p>
        </w:tc>
        <w:tc>
          <w:tcPr>
            <w:tcW w:w="1274" w:type="dxa"/>
            <w:noWrap/>
            <w:hideMark/>
          </w:tcPr>
          <w:p w14:paraId="2FA6466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20</w:t>
            </w:r>
          </w:p>
        </w:tc>
        <w:tc>
          <w:tcPr>
            <w:tcW w:w="1800" w:type="dxa"/>
            <w:noWrap/>
            <w:hideMark/>
          </w:tcPr>
          <w:p w14:paraId="18E8CBC8"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8.7</w:t>
            </w:r>
          </w:p>
        </w:tc>
        <w:tc>
          <w:tcPr>
            <w:tcW w:w="2227" w:type="dxa"/>
            <w:noWrap/>
            <w:hideMark/>
          </w:tcPr>
          <w:p w14:paraId="35DE835F" w14:textId="77777777" w:rsidR="00AC1791" w:rsidRPr="002551A7" w:rsidRDefault="00AC1791" w:rsidP="002551A7">
            <w:pPr>
              <w:spacing w:before="100" w:beforeAutospacing="1" w:after="100" w:afterAutospacing="1" w:line="360" w:lineRule="auto"/>
              <w:jc w:val="center"/>
              <w:rPr>
                <w:rFonts w:asciiTheme="majorBidi" w:eastAsia="Times New Roman" w:hAnsiTheme="majorBidi" w:cstheme="majorBidi"/>
                <w:sz w:val="24"/>
                <w:szCs w:val="24"/>
              </w:rPr>
            </w:pPr>
            <w:r w:rsidRPr="002551A7">
              <w:rPr>
                <w:rFonts w:asciiTheme="majorBidi" w:eastAsia="Times New Roman" w:hAnsiTheme="majorBidi" w:cstheme="majorBidi"/>
                <w:sz w:val="24"/>
                <w:szCs w:val="24"/>
              </w:rPr>
              <w:t>65</w:t>
            </w:r>
          </w:p>
        </w:tc>
      </w:tr>
    </w:tbl>
    <w:p w14:paraId="48E79429" w14:textId="65D25C23" w:rsidR="00AC1791" w:rsidRPr="002551A7" w:rsidRDefault="00B9465F" w:rsidP="002551A7">
      <w:pPr>
        <w:spacing w:line="360" w:lineRule="auto"/>
        <w:jc w:val="center"/>
        <w:rPr>
          <w:rFonts w:asciiTheme="majorBidi" w:hAnsiTheme="majorBidi" w:cstheme="majorBidi"/>
          <w:sz w:val="24"/>
          <w:szCs w:val="24"/>
          <w:lang w:val="en-US" w:bidi="ar-DZ"/>
        </w:rPr>
      </w:pPr>
      <w:r>
        <w:rPr>
          <w:rFonts w:asciiTheme="majorBidi" w:hAnsiTheme="majorBidi" w:cstheme="majorBidi"/>
          <w:b/>
          <w:sz w:val="24"/>
          <w:szCs w:val="24"/>
          <w:lang w:val="en-US" w:bidi="ar-DZ"/>
        </w:rPr>
        <w:t xml:space="preserve">Source: </w:t>
      </w:r>
      <w:r w:rsidR="00AC1791" w:rsidRPr="002551A7">
        <w:rPr>
          <w:rFonts w:asciiTheme="majorBidi" w:hAnsiTheme="majorBidi" w:cstheme="majorBidi"/>
          <w:sz w:val="24"/>
          <w:szCs w:val="24"/>
          <w:lang w:val="en-US" w:bidi="ar-DZ"/>
        </w:rPr>
        <w:t>Established by the students based on SPSS v.27 results</w:t>
      </w:r>
    </w:p>
    <w:p w14:paraId="772BCCEC"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Gross Domestic Product (GDP):</w:t>
      </w:r>
      <w:r w:rsidRPr="002551A7">
        <w:rPr>
          <w:rFonts w:asciiTheme="majorBidi" w:eastAsia="Times New Roman" w:hAnsiTheme="majorBidi" w:cstheme="majorBidi"/>
          <w:sz w:val="24"/>
          <w:szCs w:val="24"/>
          <w:lang w:val="en-US" w:eastAsia="fr-FR"/>
        </w:rPr>
        <w:t xml:space="preserve"> GDP is expected to rise from 1,400,000 M.USD in 2025 to 1,900,000 M.USD in 2030, with an annual growth rate of approximately 7%. This sustained growth reflects a strong upward trend (R-squared = 0.839, MAPE = 5.519%), supporting the feasibility of investing in the Turkish market.</w:t>
      </w:r>
    </w:p>
    <w:p w14:paraId="66616661"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Inflation:</w:t>
      </w:r>
      <w:r w:rsidRPr="002551A7">
        <w:rPr>
          <w:rFonts w:asciiTheme="majorBidi" w:eastAsia="Times New Roman" w:hAnsiTheme="majorBidi" w:cstheme="majorBidi"/>
          <w:sz w:val="24"/>
          <w:szCs w:val="24"/>
          <w:lang w:val="en-US" w:eastAsia="fr-FR"/>
        </w:rPr>
        <w:t xml:space="preserve"> Inflation is expected to remain stable at 20% annually, which is lower than the historical average (25.78%) but still considered high. However, the Holt model showed lower accuracy (MAPE = 57.7%), indicating a possibility that inflation could rise to higher levels (such as 40%-50%) based on historical volatility.</w:t>
      </w:r>
    </w:p>
    <w:p w14:paraId="41A17FC3"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Unemployment:</w:t>
      </w:r>
      <w:r w:rsidRPr="002551A7">
        <w:rPr>
          <w:rFonts w:asciiTheme="majorBidi" w:eastAsia="Times New Roman" w:hAnsiTheme="majorBidi" w:cstheme="majorBidi"/>
          <w:sz w:val="24"/>
          <w:szCs w:val="24"/>
          <w:lang w:val="en-US" w:eastAsia="fr-FR"/>
        </w:rPr>
        <w:t xml:space="preserve"> Unemployment is expected to remain steady at 8.7%, which is lower than the historical average (10.85%). The Simple model is relatively accurate (MAPE = 7.055%) but failed to capture the historical downward trend, suggesting that unemployment could decrease further if the trend continues.</w:t>
      </w:r>
    </w:p>
    <w:p w14:paraId="6BAF4496"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Exchange Rate:</w:t>
      </w:r>
      <w:r w:rsidRPr="002551A7">
        <w:rPr>
          <w:rFonts w:asciiTheme="majorBidi" w:eastAsia="Times New Roman" w:hAnsiTheme="majorBidi" w:cstheme="majorBidi"/>
          <w:sz w:val="24"/>
          <w:szCs w:val="24"/>
          <w:lang w:val="en-US" w:eastAsia="fr-FR"/>
        </w:rPr>
        <w:t xml:space="preserve"> The exchange rate is expected to increase from 40 lira per US dollar in 2025 to 65 Lira in 2030, based on the Brown model (R-squared = 0.950, MAPE = 12.121%). This increase reflects the continued depreciation of the Turkish lira, making imported products more competitive.</w:t>
      </w:r>
    </w:p>
    <w:p w14:paraId="3DE72C26" w14:textId="70A6E958" w:rsidR="00AC1791" w:rsidRPr="00C74828" w:rsidRDefault="00AC1791" w:rsidP="00413B73">
      <w:pPr>
        <w:pStyle w:val="ListParagraph"/>
        <w:numPr>
          <w:ilvl w:val="4"/>
          <w:numId w:val="90"/>
        </w:numPr>
        <w:spacing w:before="100" w:beforeAutospacing="1" w:after="100" w:afterAutospacing="1" w:line="360" w:lineRule="auto"/>
        <w:jc w:val="both"/>
        <w:rPr>
          <w:rFonts w:asciiTheme="majorBidi" w:eastAsia="Times New Roman" w:hAnsiTheme="majorBidi" w:cstheme="majorBidi"/>
          <w:b/>
          <w:bCs/>
          <w:sz w:val="24"/>
          <w:szCs w:val="24"/>
          <w:lang w:val="en-US" w:eastAsia="fr-FR"/>
        </w:rPr>
      </w:pPr>
      <w:r w:rsidRPr="00C74828">
        <w:rPr>
          <w:rFonts w:asciiTheme="majorBidi" w:eastAsia="Times New Roman" w:hAnsiTheme="majorBidi" w:cstheme="majorBidi"/>
          <w:b/>
          <w:bCs/>
          <w:sz w:val="24"/>
          <w:szCs w:val="24"/>
          <w:lang w:val="en-US" w:eastAsia="fr-FR"/>
        </w:rPr>
        <w:t xml:space="preserve"> Future Risk Analysis:</w:t>
      </w:r>
    </w:p>
    <w:p w14:paraId="689578CE"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Despite the promising opportunities offered by the expected economic growth, there are potential future risks that must be considered:</w:t>
      </w:r>
    </w:p>
    <w:p w14:paraId="49487038" w14:textId="77777777" w:rsidR="00AC1791" w:rsidRPr="002551A7" w:rsidRDefault="00AC1791" w:rsidP="00057285">
      <w:pPr>
        <w:numPr>
          <w:ilvl w:val="0"/>
          <w:numId w:val="42"/>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High Inflation:</w:t>
      </w:r>
      <w:r w:rsidRPr="002551A7">
        <w:rPr>
          <w:rFonts w:asciiTheme="majorBidi" w:eastAsia="Times New Roman" w:hAnsiTheme="majorBidi" w:cstheme="majorBidi"/>
          <w:sz w:val="24"/>
          <w:szCs w:val="24"/>
          <w:lang w:val="en-US" w:eastAsia="fr-FR"/>
        </w:rPr>
        <w:t xml:space="preserve"> The forecasted inflation rate of 20% remains high and could rise to even higher levels (such as 40%-50%) based on historical volatility (e.g., 72.3% in 2022). Such an increase could raise operational costs (such as transportation and distribution) and reduce Turkish consumers' purchasing power, negatively impacting the demand for imported products.</w:t>
      </w:r>
    </w:p>
    <w:p w14:paraId="7B05F812" w14:textId="77777777" w:rsidR="00AC1791" w:rsidRPr="002551A7" w:rsidRDefault="00AC1791" w:rsidP="00057285">
      <w:pPr>
        <w:numPr>
          <w:ilvl w:val="0"/>
          <w:numId w:val="42"/>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Exchange Rate Volatility:</w:t>
      </w:r>
      <w:r w:rsidRPr="002551A7">
        <w:rPr>
          <w:rFonts w:asciiTheme="majorBidi" w:eastAsia="Times New Roman" w:hAnsiTheme="majorBidi" w:cstheme="majorBidi"/>
          <w:sz w:val="24"/>
          <w:szCs w:val="24"/>
          <w:lang w:val="en-US" w:eastAsia="fr-FR"/>
        </w:rPr>
        <w:t xml:space="preserve"> The continuous rise in the exchange rate (from 40 to 65 lira) makes imported products more competitive, but it also increases volatility risks. Unexpected changes in the exchange rate could cause fluctuations in profits, especially if the depreciation of the lira continues.</w:t>
      </w:r>
    </w:p>
    <w:p w14:paraId="2F0AC1AD" w14:textId="77777777" w:rsidR="00AC1791" w:rsidRPr="002551A7" w:rsidRDefault="00AC1791" w:rsidP="00057285">
      <w:pPr>
        <w:numPr>
          <w:ilvl w:val="0"/>
          <w:numId w:val="42"/>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Overall Economic Volatility:</w:t>
      </w:r>
      <w:r w:rsidRPr="002551A7">
        <w:rPr>
          <w:rFonts w:asciiTheme="majorBidi" w:eastAsia="Times New Roman" w:hAnsiTheme="majorBidi" w:cstheme="majorBidi"/>
          <w:sz w:val="24"/>
          <w:szCs w:val="24"/>
          <w:lang w:val="en-US" w:eastAsia="fr-FR"/>
        </w:rPr>
        <w:t xml:space="preserve"> The models assume linear GDP growth, but crises such as the 2020 pandemic (which reduced growth to 0.8%) could reoccur, leading to economic slowdowns that would impact all variables.</w:t>
      </w:r>
    </w:p>
    <w:p w14:paraId="4AB4DC7E" w14:textId="44FD536C" w:rsidR="00AC1791" w:rsidRPr="00C74828" w:rsidRDefault="00AC1791" w:rsidP="00413B73">
      <w:pPr>
        <w:pStyle w:val="ListParagraph"/>
        <w:numPr>
          <w:ilvl w:val="4"/>
          <w:numId w:val="90"/>
        </w:numPr>
        <w:spacing w:before="100" w:beforeAutospacing="1" w:after="100" w:afterAutospacing="1" w:line="360" w:lineRule="auto"/>
        <w:jc w:val="both"/>
        <w:rPr>
          <w:rFonts w:asciiTheme="majorBidi" w:eastAsia="Times New Roman" w:hAnsiTheme="majorBidi" w:cstheme="majorBidi"/>
          <w:b/>
          <w:bCs/>
          <w:sz w:val="24"/>
          <w:szCs w:val="24"/>
          <w:lang w:val="en-US" w:eastAsia="fr-FR"/>
        </w:rPr>
      </w:pPr>
      <w:r w:rsidRPr="00C74828">
        <w:rPr>
          <w:rFonts w:asciiTheme="majorBidi" w:eastAsia="Times New Roman" w:hAnsiTheme="majorBidi" w:cstheme="majorBidi"/>
          <w:b/>
          <w:bCs/>
          <w:sz w:val="24"/>
          <w:szCs w:val="24"/>
          <w:lang w:val="en-US" w:eastAsia="fr-FR"/>
        </w:rPr>
        <w:t xml:space="preserve"> Risk Mitigation Strategies:</w:t>
      </w:r>
    </w:p>
    <w:p w14:paraId="177BB507"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To mitigate these risks, it is recommended to adopt the following strategies:</w:t>
      </w:r>
    </w:p>
    <w:p w14:paraId="7FDC8C8E" w14:textId="77777777" w:rsidR="00AC1791" w:rsidRPr="002551A7" w:rsidRDefault="00AC1791" w:rsidP="00057285">
      <w:pPr>
        <w:numPr>
          <w:ilvl w:val="0"/>
          <w:numId w:val="43"/>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For High Inflation:</w:t>
      </w:r>
      <w:r w:rsidRPr="002551A7">
        <w:rPr>
          <w:rFonts w:asciiTheme="majorBidi" w:eastAsia="Times New Roman" w:hAnsiTheme="majorBidi" w:cstheme="majorBidi"/>
          <w:sz w:val="24"/>
          <w:szCs w:val="24"/>
          <w:lang w:val="en-US" w:eastAsia="fr-FR"/>
        </w:rPr>
        <w:t xml:space="preserve"> Collaborate with local distributors to reduce transportation costs, and use dynamic pricing to adjust product prices based on inflation, while closely monitoring Turkish monetary policies.</w:t>
      </w:r>
    </w:p>
    <w:p w14:paraId="4B091A92" w14:textId="77777777" w:rsidR="00AC1791" w:rsidRPr="002551A7" w:rsidRDefault="00AC1791" w:rsidP="00057285">
      <w:pPr>
        <w:numPr>
          <w:ilvl w:val="0"/>
          <w:numId w:val="43"/>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For Exchange Rate Volatility:</w:t>
      </w:r>
      <w:r w:rsidRPr="002551A7">
        <w:rPr>
          <w:rFonts w:asciiTheme="majorBidi" w:eastAsia="Times New Roman" w:hAnsiTheme="majorBidi" w:cstheme="majorBidi"/>
          <w:sz w:val="24"/>
          <w:szCs w:val="24"/>
          <w:lang w:val="en-US" w:eastAsia="fr-FR"/>
        </w:rPr>
        <w:t xml:space="preserve"> Utilize hedging contracts to protect profits against fluctuations, and focus on exporting during periods when the exchange rate is high (such as in 2029-2030). It is also recommended to diversify markets to reduce dependency on the Turkish market in case of economic deterioration.</w:t>
      </w:r>
    </w:p>
    <w:p w14:paraId="374D3DF6" w14:textId="77777777" w:rsidR="00AC1791" w:rsidRPr="002551A7" w:rsidRDefault="00AC1791" w:rsidP="00057285">
      <w:pPr>
        <w:numPr>
          <w:ilvl w:val="0"/>
          <w:numId w:val="43"/>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For Economic Volatility:</w:t>
      </w:r>
      <w:r w:rsidRPr="002551A7">
        <w:rPr>
          <w:rFonts w:asciiTheme="majorBidi" w:eastAsia="Times New Roman" w:hAnsiTheme="majorBidi" w:cstheme="majorBidi"/>
          <w:sz w:val="24"/>
          <w:szCs w:val="24"/>
          <w:lang w:val="en-US" w:eastAsia="fr-FR"/>
        </w:rPr>
        <w:t xml:space="preserve"> Continuously monitor Turkish economic indicators and minimize major investments during periods of economic instability.</w:t>
      </w:r>
    </w:p>
    <w:p w14:paraId="294EE7ED" w14:textId="77777777" w:rsidR="00AC1791" w:rsidRPr="002551A7" w:rsidRDefault="00AC1791" w:rsidP="00057285">
      <w:pPr>
        <w:numPr>
          <w:ilvl w:val="0"/>
          <w:numId w:val="43"/>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b/>
          <w:bCs/>
          <w:sz w:val="24"/>
          <w:szCs w:val="24"/>
          <w:lang w:val="en-US" w:eastAsia="fr-FR"/>
        </w:rPr>
        <w:t>For Unemployment:</w:t>
      </w:r>
      <w:r w:rsidRPr="002551A7">
        <w:rPr>
          <w:rFonts w:asciiTheme="majorBidi" w:eastAsia="Times New Roman" w:hAnsiTheme="majorBidi" w:cstheme="majorBidi"/>
          <w:sz w:val="24"/>
          <w:szCs w:val="24"/>
          <w:lang w:val="en-US" w:eastAsia="fr-FR"/>
        </w:rPr>
        <w:t xml:space="preserve"> Focus on offering competitively priced products to meet the needs of low-income consumers in case unemployment rises.</w:t>
      </w:r>
    </w:p>
    <w:p w14:paraId="5324359B"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b/>
          <w:bCs/>
          <w:sz w:val="24"/>
          <w:szCs w:val="24"/>
          <w:lang w:val="en-US" w:eastAsia="fr-FR"/>
        </w:rPr>
      </w:pPr>
      <w:r w:rsidRPr="002551A7">
        <w:rPr>
          <w:rFonts w:asciiTheme="majorBidi" w:eastAsia="Times New Roman" w:hAnsiTheme="majorBidi" w:cstheme="majorBidi"/>
          <w:b/>
          <w:bCs/>
          <w:sz w:val="24"/>
          <w:szCs w:val="24"/>
          <w:lang w:val="en-US" w:eastAsia="fr-FR"/>
        </w:rPr>
        <w:t>Conclusion</w:t>
      </w:r>
    </w:p>
    <w:p w14:paraId="2F29523A" w14:textId="77777777" w:rsidR="00AC1791" w:rsidRPr="002551A7" w:rsidRDefault="00AC1791" w:rsidP="002551A7">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2551A7">
        <w:rPr>
          <w:rFonts w:asciiTheme="majorBidi" w:eastAsia="Times New Roman" w:hAnsiTheme="majorBidi" w:cstheme="majorBidi"/>
          <w:sz w:val="24"/>
          <w:szCs w:val="24"/>
          <w:lang w:val="en-US" w:eastAsia="fr-FR"/>
        </w:rPr>
        <w:t xml:space="preserve">   Investment in Turkey can be successful if Algerian companies are able to take advantage of opportunities (such as the rise in exchange rates and economic growth) while mitigating challenges (such as inflation and exchange rate volatility). The regression analysis showed that the model is strong (R Square = 0.926), meaning that economic variables have a significant impact on GDP. Therefore, Algerian companies can achieve success if they focus on value-added products, adopt strategies such as dynamic pricing, collaborate with local distributors, and use hedging contracts to reduce risks.</w:t>
      </w:r>
    </w:p>
    <w:p w14:paraId="5F444985" w14:textId="7EAA3952" w:rsidR="00AC1791" w:rsidRPr="00707383" w:rsidRDefault="00707383" w:rsidP="00707383">
      <w:pPr>
        <w:pStyle w:val="ListParagraph"/>
        <w:numPr>
          <w:ilvl w:val="1"/>
          <w:numId w:val="39"/>
        </w:num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33" w:name="_Toc200720075"/>
      <w:bookmarkStart w:id="334" w:name="_Toc200721731"/>
      <w:r w:rsidR="00AC1791" w:rsidRPr="00DC25B4">
        <w:rPr>
          <w:rStyle w:val="Heading4Char"/>
        </w:rPr>
        <w:t>Analytical Report on the Development of the Skincare Products Market in Turkey and the Potential Success of Exporting Algerian Proderma Product</w:t>
      </w:r>
      <w:bookmarkEnd w:id="333"/>
      <w:bookmarkEnd w:id="334"/>
      <w:r w:rsidR="00AC1791" w:rsidRPr="00707383">
        <w:rPr>
          <w:rFonts w:asciiTheme="majorBidi" w:hAnsiTheme="majorBidi" w:cstheme="majorBidi"/>
          <w:b/>
          <w:bCs/>
          <w:sz w:val="24"/>
          <w:szCs w:val="24"/>
          <w:lang w:val="en-US"/>
        </w:rPr>
        <w:t>s</w:t>
      </w:r>
    </w:p>
    <w:p w14:paraId="59C553F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skincare products market in Turkey has witnessed dynamic and remarkable growth, driven by demographic, economic, and cultural factors. This report aims to provide a comprehensive analysis of the development of this market, including production and consumption dynamics, consumer preferences, distribution channels, and the regulatory framework. The report specifically focuses on assessing the suitability of this market for the successful export of Algerian “Proderma” products and provides strategic recommendations for entering the Turkish market and leveraging its promising opportunities.</w:t>
      </w:r>
    </w:p>
    <w:p w14:paraId="02335D70"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Turkey represents a strategically important and increasingly attractive market for skincare products, not only due to its growth size but also because of fundamental shifts in Turkish consumer behavior. This growth is driven by a range of demographic factors, including a large youth population and the expansion of the middle class, as well as a growing awareness of self-care and preventive health among consumers. These structural changes indicate a sustained and long-term demand for skincare products, making the Turkish market a promising destination for investment and expansion for brands such as Proderma</w:t>
      </w:r>
      <w:r w:rsidRPr="002551A7">
        <w:rPr>
          <w:rStyle w:val="FootnoteReference"/>
          <w:rFonts w:asciiTheme="majorBidi" w:hAnsiTheme="majorBidi" w:cstheme="majorBidi"/>
          <w:sz w:val="24"/>
          <w:szCs w:val="24"/>
          <w:lang w:val="en-US"/>
        </w:rPr>
        <w:footnoteReference w:id="162"/>
      </w:r>
      <w:r w:rsidRPr="002551A7">
        <w:rPr>
          <w:rFonts w:asciiTheme="majorBidi" w:hAnsiTheme="majorBidi" w:cstheme="majorBidi"/>
          <w:sz w:val="24"/>
          <w:szCs w:val="24"/>
          <w:lang w:val="en-US"/>
        </w:rPr>
        <w:t>.</w:t>
      </w:r>
    </w:p>
    <w:p w14:paraId="5F677FD5" w14:textId="4FCA61FC" w:rsidR="00AC1791" w:rsidRPr="00DC25B4" w:rsidRDefault="00AC1791" w:rsidP="00DC25B4">
      <w:pPr>
        <w:pStyle w:val="ListParagraph"/>
        <w:numPr>
          <w:ilvl w:val="2"/>
          <w:numId w:val="39"/>
        </w:numPr>
        <w:spacing w:line="360" w:lineRule="auto"/>
        <w:jc w:val="both"/>
        <w:rPr>
          <w:rFonts w:asciiTheme="majorBidi" w:hAnsiTheme="majorBidi" w:cstheme="majorBidi"/>
          <w:sz w:val="24"/>
          <w:szCs w:val="24"/>
          <w:lang w:val="en-US"/>
        </w:rPr>
      </w:pPr>
      <w:bookmarkStart w:id="335" w:name="_Toc200720076"/>
      <w:bookmarkStart w:id="336" w:name="_Toc200721732"/>
      <w:r w:rsidRPr="00DC25B4">
        <w:rPr>
          <w:rStyle w:val="Heading5Char"/>
          <w:rFonts w:eastAsiaTheme="minorHAnsi"/>
        </w:rPr>
        <w:t>Development of the Skincare Market in Turkey: Production and Consumption</w:t>
      </w:r>
      <w:r w:rsidR="00DC25B4" w:rsidRPr="00DC25B4">
        <w:rPr>
          <w:rStyle w:val="Heading5Char"/>
          <w:rFonts w:eastAsiaTheme="minorHAnsi"/>
        </w:rPr>
        <w:t xml:space="preserve"> </w:t>
      </w:r>
      <w:r w:rsidRPr="00DC25B4">
        <w:rPr>
          <w:rStyle w:val="Heading5Char"/>
          <w:rFonts w:eastAsiaTheme="minorHAnsi"/>
        </w:rPr>
        <w:t>Market Size and Growth Rate</w:t>
      </w:r>
      <w:bookmarkEnd w:id="335"/>
      <w:bookmarkEnd w:id="336"/>
      <w:r w:rsidRPr="00DC25B4">
        <w:rPr>
          <w:rFonts w:asciiTheme="majorBidi" w:hAnsiTheme="majorBidi" w:cstheme="majorBidi"/>
          <w:b/>
          <w:bCs/>
          <w:sz w:val="24"/>
          <w:szCs w:val="24"/>
          <w:lang w:val="en-US"/>
        </w:rPr>
        <w:t>s</w:t>
      </w:r>
    </w:p>
    <w:p w14:paraId="20A009EE" w14:textId="1526C482"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skincare products market in Turkey is showing strong growth. The Turkish skincare market was valued at USD 1.65 billion in 2024 and is expected to reach USD 2.18 billion by 2030, with a compound annual growth rate (CAGR) of 4.8% during the forecast period. More broadly, the beauty and personal care market in Turkey is expected to experience significant growth, with an anticipated increase of USD 2.9 billion and a CAGR of approximately 9.6% over the forecast period</w:t>
      </w:r>
      <w:r w:rsidR="00AC1791" w:rsidRPr="002551A7">
        <w:rPr>
          <w:rStyle w:val="FootnoteReference"/>
          <w:rFonts w:asciiTheme="majorBidi" w:hAnsiTheme="majorBidi" w:cstheme="majorBidi"/>
          <w:sz w:val="24"/>
          <w:szCs w:val="24"/>
          <w:lang w:val="en-US"/>
        </w:rPr>
        <w:footnoteReference w:id="163"/>
      </w:r>
      <w:r w:rsidR="00AC1791" w:rsidRPr="002551A7">
        <w:rPr>
          <w:rFonts w:asciiTheme="majorBidi" w:hAnsiTheme="majorBidi" w:cstheme="majorBidi"/>
          <w:sz w:val="24"/>
          <w:szCs w:val="24"/>
          <w:lang w:val="en-US"/>
        </w:rPr>
        <w:t>.</w:t>
      </w:r>
    </w:p>
    <w:p w14:paraId="36A9A7C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There is a noticeable discrepancy between the reported growth rates of the specific skincare market (4.8%) and the broader beauty and personal care market (9.6%). This variation indicates that the skincare sector, despite its strong growth, is expanding at a slightly slower pace compared to other segments within the broader beauty market—such as color cosmetics, perfumes, or hair care products—which may be key drivers of overall growth. For "Proderma" which focuses on skincare, market potential estimates should be based on the CAGR specific to the skincare sector. However, the strong growth of the broader market reflects a dynamic and vibrant industry, which may offer future opportunities for "Proderma" to diversify its product lines or explore cross-category marketing strategies</w:t>
      </w:r>
      <w:r w:rsidRPr="002551A7">
        <w:rPr>
          <w:rStyle w:val="FootnoteReference"/>
          <w:rFonts w:asciiTheme="majorBidi" w:hAnsiTheme="majorBidi" w:cstheme="majorBidi"/>
          <w:sz w:val="24"/>
          <w:szCs w:val="24"/>
          <w:lang w:val="en-US"/>
        </w:rPr>
        <w:footnoteReference w:id="164"/>
      </w:r>
      <w:r w:rsidRPr="002551A7">
        <w:rPr>
          <w:rFonts w:asciiTheme="majorBidi" w:hAnsiTheme="majorBidi" w:cstheme="majorBidi"/>
          <w:sz w:val="24"/>
          <w:szCs w:val="24"/>
          <w:lang w:val="en-US"/>
        </w:rPr>
        <w:t>.</w:t>
      </w:r>
    </w:p>
    <w:p w14:paraId="25977A75" w14:textId="77777777" w:rsidR="00AC1791" w:rsidRPr="002551A7" w:rsidRDefault="00AC1791" w:rsidP="00413B73">
      <w:pPr>
        <w:pStyle w:val="ListParagraph"/>
        <w:numPr>
          <w:ilvl w:val="0"/>
          <w:numId w:val="53"/>
        </w:numPr>
        <w:spacing w:line="360" w:lineRule="auto"/>
        <w:rPr>
          <w:rFonts w:asciiTheme="majorBidi" w:hAnsiTheme="majorBidi" w:cstheme="majorBidi"/>
          <w:b/>
          <w:bCs/>
          <w:sz w:val="24"/>
          <w:szCs w:val="24"/>
          <w:lang w:val="en-US"/>
        </w:rPr>
      </w:pPr>
      <w:r w:rsidRPr="002551A7">
        <w:rPr>
          <w:rFonts w:asciiTheme="majorBidi" w:hAnsiTheme="majorBidi" w:cstheme="majorBidi"/>
          <w:b/>
          <w:bCs/>
          <w:sz w:val="24"/>
          <w:szCs w:val="24"/>
          <w:lang w:val="en-US"/>
        </w:rPr>
        <w:t>Local Production Landscape</w:t>
      </w:r>
    </w:p>
    <w:p w14:paraId="3F418E34" w14:textId="4CC078D1"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Turkey is a significant manufacturing hub for cosmetics, with around 3,250 companies operating in the sector, employing approximately 14,000 people, most of whom are based in Istanbul, the country’s largest commercial center. These companies are characterized by high production capacities and a diverse product range, offering private label manufacturing services and OEM (Original Equipment Manufacturing) for many globally recognized brands. Companies such as Atak Cosmetics and Erte Cosmetics comply with international quality standards, including Good Manufacturing Practices (GMP), ISO certifications, and even U.S. FDA registrations for some of their products</w:t>
      </w:r>
      <w:r w:rsidR="00AC1791" w:rsidRPr="002551A7">
        <w:rPr>
          <w:rStyle w:val="FootnoteReference"/>
          <w:rFonts w:asciiTheme="majorBidi" w:hAnsiTheme="majorBidi" w:cstheme="majorBidi"/>
          <w:sz w:val="24"/>
          <w:szCs w:val="24"/>
          <w:lang w:val="en-US"/>
        </w:rPr>
        <w:footnoteReference w:id="165"/>
      </w:r>
      <w:r w:rsidR="00AC1791" w:rsidRPr="002551A7">
        <w:rPr>
          <w:rFonts w:asciiTheme="majorBidi" w:hAnsiTheme="majorBidi" w:cstheme="majorBidi"/>
          <w:sz w:val="24"/>
          <w:szCs w:val="24"/>
          <w:lang w:val="en-US"/>
        </w:rPr>
        <w:t>.</w:t>
      </w:r>
    </w:p>
    <w:p w14:paraId="50F94777" w14:textId="3F5245F8"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presence of highly efficient and internationally certified local manufacturers in Turkey indicates a high level of quality and innovation within the Turkish industry. This suggests that "Proderma" will face sophisticated local competition, requiring its products to meet or exceed these quality standards in order to gain consumer trust.</w:t>
      </w:r>
    </w:p>
    <w:p w14:paraId="063793A0" w14:textId="425E0C16"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On the other hand, Turkey's advanced manufacturing capabilities and logistical advantages could offer "Proderma" an opportunity to explore contract manufacturing within Turkey in the long term. This could help reduce import costs, leverage local expertise or ingredients, and thus mitigate some of the challenges of market entry</w:t>
      </w:r>
      <w:r w:rsidR="00AC1791" w:rsidRPr="002551A7">
        <w:rPr>
          <w:rStyle w:val="FootnoteReference"/>
          <w:rFonts w:asciiTheme="majorBidi" w:hAnsiTheme="majorBidi" w:cstheme="majorBidi"/>
          <w:sz w:val="24"/>
          <w:szCs w:val="24"/>
          <w:lang w:val="en-US"/>
        </w:rPr>
        <w:footnoteReference w:id="166"/>
      </w:r>
      <w:r w:rsidR="00AC1791" w:rsidRPr="002551A7">
        <w:rPr>
          <w:rFonts w:asciiTheme="majorBidi" w:hAnsiTheme="majorBidi" w:cstheme="majorBidi"/>
          <w:sz w:val="24"/>
          <w:szCs w:val="24"/>
          <w:lang w:val="en-US"/>
        </w:rPr>
        <w:t>.</w:t>
      </w:r>
    </w:p>
    <w:p w14:paraId="7DBBBBB8" w14:textId="7C549C6D" w:rsidR="00AC1791" w:rsidRPr="002551A7" w:rsidRDefault="009470F3" w:rsidP="009470F3">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There is an increasing trend toward the production of natural, organic, and herbal products in Turkey, with local companies benefiting from the wide variety of available herbs and natural ingredients such as rose water and olive oil. This trend aligns with growing consumer demand for environmentally friendly and health-conscious skincare products.</w:t>
      </w:r>
    </w:p>
    <w:p w14:paraId="261D8319" w14:textId="7459C24C" w:rsidR="00AC1791" w:rsidRPr="002551A7" w:rsidRDefault="009470F3" w:rsidP="009470F3">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Turkey is well-known for producing large quantities of globally renowned laurel soap and olive oil soap, making the Turkish soap sector export-oriented</w:t>
      </w:r>
      <w:r w:rsidR="00AC1791" w:rsidRPr="002551A7">
        <w:rPr>
          <w:rStyle w:val="FootnoteReference"/>
          <w:rFonts w:asciiTheme="majorBidi" w:hAnsiTheme="majorBidi" w:cstheme="majorBidi"/>
          <w:sz w:val="24"/>
          <w:szCs w:val="24"/>
          <w:lang w:val="en-US"/>
        </w:rPr>
        <w:footnoteReference w:id="167"/>
      </w:r>
      <w:r w:rsidR="00AC1791" w:rsidRPr="002551A7">
        <w:rPr>
          <w:rFonts w:asciiTheme="majorBidi" w:hAnsiTheme="majorBidi" w:cstheme="majorBidi"/>
          <w:sz w:val="24"/>
          <w:szCs w:val="24"/>
          <w:lang w:val="en-US"/>
        </w:rPr>
        <w:t>.</w:t>
      </w:r>
    </w:p>
    <w:p w14:paraId="553B164B" w14:textId="77777777" w:rsidR="00AC1791" w:rsidRPr="002551A7" w:rsidRDefault="00AC1791" w:rsidP="00413B73">
      <w:pPr>
        <w:pStyle w:val="ListParagraph"/>
        <w:numPr>
          <w:ilvl w:val="0"/>
          <w:numId w:val="53"/>
        </w:numPr>
        <w:spacing w:line="360" w:lineRule="auto"/>
        <w:rPr>
          <w:rFonts w:asciiTheme="majorBidi" w:hAnsiTheme="majorBidi" w:cstheme="majorBidi"/>
          <w:sz w:val="24"/>
          <w:szCs w:val="24"/>
          <w:lang w:val="en-US"/>
        </w:rPr>
      </w:pPr>
      <w:r w:rsidRPr="002551A7">
        <w:rPr>
          <w:rFonts w:asciiTheme="majorBidi" w:hAnsiTheme="majorBidi" w:cstheme="majorBidi"/>
          <w:b/>
          <w:bCs/>
          <w:sz w:val="24"/>
          <w:szCs w:val="24"/>
          <w:lang w:val="en-US"/>
        </w:rPr>
        <w:t>Consumer Preferences and Purchasing Trends</w:t>
      </w:r>
    </w:p>
    <w:p w14:paraId="56D32EA2"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Turkish consumers show increasing interest in self-awareness and personal care, especially among Millennials and Generation Z, who view skincare as a form of self-care and preventive health. There is growing demand for products that address specific skin concerns such as anti-aging, brightening, and moisturizing.</w:t>
      </w:r>
    </w:p>
    <w:p w14:paraId="7EB0F28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This cultural shift, which emphasizes overall well-being, contributes to increased demand for highly effective formulations, scientifically backed ingredients, and advanced dermatological products</w:t>
      </w:r>
      <w:r w:rsidRPr="002551A7">
        <w:rPr>
          <w:rStyle w:val="FootnoteReference"/>
          <w:rFonts w:asciiTheme="majorBidi" w:hAnsiTheme="majorBidi" w:cstheme="majorBidi"/>
          <w:sz w:val="24"/>
          <w:szCs w:val="24"/>
          <w:lang w:val="en-US"/>
        </w:rPr>
        <w:footnoteReference w:id="168"/>
      </w:r>
      <w:r w:rsidRPr="002551A7">
        <w:rPr>
          <w:rFonts w:asciiTheme="majorBidi" w:hAnsiTheme="majorBidi" w:cstheme="majorBidi"/>
          <w:sz w:val="24"/>
          <w:szCs w:val="24"/>
          <w:lang w:val="en-US"/>
        </w:rPr>
        <w:t>.</w:t>
      </w:r>
    </w:p>
    <w:p w14:paraId="655665DD" w14:textId="28DE5CFC"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There is a significant shift toward natural, organic, and eco-friendly products, with a preference for local ingredients such as rose water and olive oil. This trend does not conflict with the search for scientifically backed products; rather, it indicates that Turkish consumers have become more discerning, seeking natural ingredients supported by scientific evidence to address specific skin issues.</w:t>
      </w:r>
    </w:p>
    <w:p w14:paraId="3E8EAA53" w14:textId="668A692F"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This means that simply being "natural" may not be enough; "Proderma" must clearly communicate the scientific accuracy behind its formulations and how these formulations effectively treat specific skin problems</w:t>
      </w:r>
      <w:r w:rsidR="00AC1791" w:rsidRPr="002551A7">
        <w:rPr>
          <w:rStyle w:val="FootnoteReference"/>
          <w:rFonts w:asciiTheme="majorBidi" w:hAnsiTheme="majorBidi" w:cstheme="majorBidi"/>
          <w:sz w:val="24"/>
          <w:szCs w:val="24"/>
          <w:lang w:val="en-US"/>
        </w:rPr>
        <w:footnoteReference w:id="169"/>
      </w:r>
      <w:r w:rsidR="00AC1791" w:rsidRPr="002551A7">
        <w:rPr>
          <w:rFonts w:asciiTheme="majorBidi" w:hAnsiTheme="majorBidi" w:cstheme="majorBidi"/>
          <w:sz w:val="24"/>
          <w:szCs w:val="24"/>
          <w:lang w:val="en-US"/>
        </w:rPr>
        <w:t>.</w:t>
      </w:r>
    </w:p>
    <w:p w14:paraId="0229003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Social media and beauty influencers have a significant impact on consumer preferences, driving demand for both global and local brands. There is also a noticeable increase in demand for personalized beauty solutions and men's skincare products, highlighting the market’s maturity and the diversity of its consumer segments</w:t>
      </w:r>
      <w:r w:rsidRPr="002551A7">
        <w:rPr>
          <w:rStyle w:val="FootnoteReference"/>
          <w:rFonts w:asciiTheme="majorBidi" w:hAnsiTheme="majorBidi" w:cstheme="majorBidi"/>
          <w:sz w:val="24"/>
          <w:szCs w:val="24"/>
          <w:lang w:val="en-US"/>
        </w:rPr>
        <w:footnoteReference w:id="170"/>
      </w:r>
      <w:r w:rsidRPr="002551A7">
        <w:rPr>
          <w:rFonts w:asciiTheme="majorBidi" w:hAnsiTheme="majorBidi" w:cstheme="majorBidi"/>
          <w:sz w:val="24"/>
          <w:szCs w:val="24"/>
          <w:lang w:val="en-US"/>
        </w:rPr>
        <w:t>.</w:t>
      </w:r>
    </w:p>
    <w:p w14:paraId="79FA953F" w14:textId="796B7A69"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Despite economic challenges such as inflation and currency fluctuations, the cosmetics market has shown resilience, with consumers trending toward purchasing smaller sizes and products that offer good value for money. Turkish consumers prefer "masstige" products—those that combine good quality with affordable prices.</w:t>
      </w:r>
    </w:p>
    <w:p w14:paraId="1D3C8C79" w14:textId="576106FF"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This preference for reasonably priced, quality products, along with cautious spending behavior due to economic factors, suggests that "Proderma" should target this mid-price segment rather than very high-end or very low-priced products. This represents an important strategic point for "Proderma" in positioning itself within the Turkish market</w:t>
      </w:r>
      <w:r w:rsidR="00AC1791" w:rsidRPr="002551A7">
        <w:rPr>
          <w:rStyle w:val="FootnoteReference"/>
          <w:rFonts w:asciiTheme="majorBidi" w:hAnsiTheme="majorBidi" w:cstheme="majorBidi"/>
          <w:sz w:val="24"/>
          <w:szCs w:val="24"/>
          <w:lang w:val="en-US"/>
        </w:rPr>
        <w:footnoteReference w:id="171"/>
      </w:r>
      <w:r w:rsidR="00AC1791" w:rsidRPr="002551A7">
        <w:rPr>
          <w:rFonts w:asciiTheme="majorBidi" w:hAnsiTheme="majorBidi" w:cstheme="majorBidi"/>
          <w:sz w:val="24"/>
          <w:szCs w:val="24"/>
          <w:lang w:val="en-US"/>
        </w:rPr>
        <w:t>.</w:t>
      </w:r>
    </w:p>
    <w:p w14:paraId="293B8E4D" w14:textId="72EEA8C5" w:rsidR="00AC1791" w:rsidRPr="005E488F" w:rsidRDefault="00AC1791" w:rsidP="005E488F">
      <w:pPr>
        <w:pStyle w:val="ListParagraph"/>
        <w:numPr>
          <w:ilvl w:val="2"/>
          <w:numId w:val="39"/>
        </w:numPr>
        <w:spacing w:line="360" w:lineRule="auto"/>
        <w:jc w:val="both"/>
        <w:rPr>
          <w:rFonts w:asciiTheme="majorBidi" w:hAnsiTheme="majorBidi" w:cstheme="majorBidi"/>
          <w:sz w:val="24"/>
          <w:szCs w:val="24"/>
          <w:lang w:val="en-US"/>
        </w:rPr>
      </w:pPr>
      <w:bookmarkStart w:id="337" w:name="_Toc200721733"/>
      <w:r w:rsidRPr="005E488F">
        <w:rPr>
          <w:rStyle w:val="Heading5Char"/>
          <w:rFonts w:eastAsiaTheme="minorHAnsi"/>
        </w:rPr>
        <w:t>Distribution Channels and Trade Landscape</w:t>
      </w:r>
      <w:r w:rsidR="005E488F" w:rsidRPr="005E488F">
        <w:rPr>
          <w:rStyle w:val="Heading5Char"/>
          <w:rFonts w:eastAsiaTheme="minorHAnsi"/>
        </w:rPr>
        <w:t xml:space="preserve"> </w:t>
      </w:r>
      <w:r w:rsidRPr="005E488F">
        <w:rPr>
          <w:rStyle w:val="Heading5Char"/>
          <w:rFonts w:eastAsiaTheme="minorHAnsi"/>
        </w:rPr>
        <w:t>Main Distribution Channel</w:t>
      </w:r>
      <w:bookmarkEnd w:id="337"/>
      <w:r w:rsidRPr="005E488F">
        <w:rPr>
          <w:rFonts w:asciiTheme="majorBidi" w:hAnsiTheme="majorBidi" w:cstheme="majorBidi"/>
          <w:b/>
          <w:bCs/>
          <w:sz w:val="24"/>
          <w:szCs w:val="24"/>
          <w:lang w:val="en-US"/>
        </w:rPr>
        <w:t>s</w:t>
      </w:r>
    </w:p>
    <w:p w14:paraId="6CCEF52A" w14:textId="75918F64"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distribution channels for skincare products in Turkey are diverse to meet the varying needs of consumers. Hypermarkets and supermarkets are the leading channels in the Turkish skincare sector. Additionally, specialized health and beauty stores such as Watsons, Gratis, and Sephora play an important role, offering a wide range of products and attracting a broad consumer base through competitive promotions and significant discounts</w:t>
      </w:r>
      <w:r w:rsidR="00AC1791" w:rsidRPr="002551A7">
        <w:rPr>
          <w:rStyle w:val="FootnoteReference"/>
          <w:rFonts w:asciiTheme="majorBidi" w:hAnsiTheme="majorBidi" w:cstheme="majorBidi"/>
          <w:sz w:val="24"/>
          <w:szCs w:val="24"/>
          <w:lang w:val="en-US"/>
        </w:rPr>
        <w:footnoteReference w:id="172"/>
      </w:r>
      <w:r w:rsidR="00AC1791" w:rsidRPr="002551A7">
        <w:rPr>
          <w:rFonts w:asciiTheme="majorBidi" w:hAnsiTheme="majorBidi" w:cstheme="majorBidi"/>
          <w:sz w:val="24"/>
          <w:szCs w:val="24"/>
          <w:lang w:val="en-US"/>
        </w:rPr>
        <w:t>.</w:t>
      </w:r>
    </w:p>
    <w:p w14:paraId="5AA03A40" w14:textId="6E3EBDC0"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Online retail channels have undergone a rapid transformation in Turkey’s skincare trade landscape, driven by accelerated digitalization, especially following the pandemic.</w:t>
      </w:r>
    </w:p>
    <w:p w14:paraId="57F75711" w14:textId="5BC8279C" w:rsidR="00A41295" w:rsidRDefault="009470F3" w:rsidP="00A41295">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E-commerce platforms offer consumers unmatched convenience, access to a wider range of products, and competitive prices. Young consumers, in particular, prefer online platforms for easy product comparison, reviews, and delivery convenience.</w:t>
      </w:r>
    </w:p>
    <w:p w14:paraId="03573018" w14:textId="1099B1DD" w:rsidR="00AC1791" w:rsidRPr="002551A7" w:rsidRDefault="009470F3" w:rsidP="00A41295">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growth of online channels has also enabled niche organic brands and imported products, previously unavailable in traditional stores, to penetrate the market</w:t>
      </w:r>
      <w:r w:rsidR="00AC1791" w:rsidRPr="002551A7">
        <w:rPr>
          <w:rStyle w:val="FootnoteReference"/>
          <w:rFonts w:asciiTheme="majorBidi" w:hAnsiTheme="majorBidi" w:cstheme="majorBidi"/>
          <w:sz w:val="24"/>
          <w:szCs w:val="24"/>
          <w:lang w:val="en-US"/>
        </w:rPr>
        <w:footnoteReference w:id="173"/>
      </w:r>
      <w:r w:rsidR="00AC1791" w:rsidRPr="002551A7">
        <w:rPr>
          <w:rFonts w:asciiTheme="majorBidi" w:hAnsiTheme="majorBidi" w:cstheme="majorBidi"/>
          <w:sz w:val="24"/>
          <w:szCs w:val="24"/>
          <w:lang w:val="en-US"/>
        </w:rPr>
        <w:t>.</w:t>
      </w:r>
    </w:p>
    <w:p w14:paraId="42DCC8A2" w14:textId="77777777" w:rsidR="00AC1791" w:rsidRPr="002551A7" w:rsidRDefault="00AC1791" w:rsidP="00413B73">
      <w:pPr>
        <w:pStyle w:val="ListParagraph"/>
        <w:numPr>
          <w:ilvl w:val="0"/>
          <w:numId w:val="53"/>
        </w:numPr>
        <w:spacing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Trade Dynamics: Exports and Imports</w:t>
      </w:r>
    </w:p>
    <w:p w14:paraId="310BE3FC" w14:textId="7FA360CC" w:rsidR="00AC1791" w:rsidRPr="002551A7" w:rsidRDefault="009470F3" w:rsidP="00A41295">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 xml:space="preserve">Turkey’s exports of cosmetics and personal care products have shown a significant upward trend. While export values were $61 million USD in 2000, they reached $1.34 billion USD in 2022. In 2023, Turkey’s exports of skincare and cosmetic products amounted to $341.1 million </w:t>
      </w:r>
    </w:p>
    <w:p w14:paraId="3035FA3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USD, representing a 29% increase compared to 2022</w:t>
      </w:r>
      <w:r w:rsidRPr="002551A7">
        <w:rPr>
          <w:rStyle w:val="FootnoteReference"/>
          <w:rFonts w:asciiTheme="majorBidi" w:hAnsiTheme="majorBidi" w:cstheme="majorBidi"/>
          <w:sz w:val="24"/>
          <w:szCs w:val="24"/>
          <w:lang w:val="en-US"/>
        </w:rPr>
        <w:footnoteReference w:id="174"/>
      </w:r>
      <w:r w:rsidRPr="002551A7">
        <w:rPr>
          <w:rFonts w:asciiTheme="majorBidi" w:hAnsiTheme="majorBidi" w:cstheme="majorBidi"/>
          <w:sz w:val="24"/>
          <w:szCs w:val="24"/>
          <w:lang w:val="en-US"/>
        </w:rPr>
        <w:t xml:space="preserve"> .</w:t>
      </w:r>
    </w:p>
    <w:p w14:paraId="21CDB8C6" w14:textId="55FE7C97"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United States is the top destination for Turkish cosmetics exports, accounting for 7.4% of the total, followed by Libya (7.3%), Iraq (7.2%), and the Netherlands (6.9%).</w:t>
      </w:r>
    </w:p>
    <w:p w14:paraId="6C3649C3" w14:textId="052521D2"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Regarding exported products, skincare and makeup products held the largest share in 2023, valued at $204.5 million USD, representing 60% of total exports</w:t>
      </w:r>
      <w:r w:rsidR="00AC1791" w:rsidRPr="002551A7">
        <w:rPr>
          <w:rStyle w:val="FootnoteReference"/>
          <w:rFonts w:asciiTheme="majorBidi" w:hAnsiTheme="majorBidi" w:cstheme="majorBidi"/>
          <w:sz w:val="24"/>
          <w:szCs w:val="24"/>
          <w:lang w:val="en-US"/>
        </w:rPr>
        <w:footnoteReference w:id="175"/>
      </w:r>
      <w:r w:rsidR="00AC1791" w:rsidRPr="002551A7">
        <w:rPr>
          <w:rFonts w:asciiTheme="majorBidi" w:hAnsiTheme="majorBidi" w:cstheme="majorBidi"/>
          <w:sz w:val="24"/>
          <w:szCs w:val="24"/>
          <w:lang w:val="en-US"/>
        </w:rPr>
        <w:t>.</w:t>
      </w:r>
    </w:p>
    <w:p w14:paraId="79B8A2C4" w14:textId="312704D0" w:rsidR="00AC1791" w:rsidRPr="002551A7" w:rsidRDefault="009470F3" w:rsidP="002551A7">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Regarding imports, Turkey imported cosmetics products worth $568 million USD in 2023, ranking as the 27th largest importer globally. France was the largest supplier of cosmetics to Turkey in 2023, with exports valued at $163 million USD, followed by Italy ($63.9 million USD), Germany ($62.7 million USD), South Korea ($59.6 million USD), and China ($37.7 million USD). This indicates a large and diverse import market, providing an opportunity for "Proderma" to enter the market as an imported brand</w:t>
      </w:r>
      <w:r w:rsidR="00AC1791" w:rsidRPr="002551A7">
        <w:rPr>
          <w:rStyle w:val="FootnoteReference"/>
          <w:rFonts w:asciiTheme="majorBidi" w:hAnsiTheme="majorBidi" w:cstheme="majorBidi"/>
          <w:sz w:val="24"/>
          <w:szCs w:val="24"/>
          <w:lang w:val="en-US"/>
        </w:rPr>
        <w:footnoteReference w:id="176"/>
      </w:r>
      <w:r w:rsidR="00AC1791" w:rsidRPr="002551A7">
        <w:rPr>
          <w:rFonts w:asciiTheme="majorBidi" w:hAnsiTheme="majorBidi" w:cstheme="majorBidi"/>
          <w:sz w:val="24"/>
          <w:szCs w:val="24"/>
          <w:lang w:val="en-US"/>
        </w:rPr>
        <w:t>.</w:t>
      </w:r>
    </w:p>
    <w:p w14:paraId="3B492CD1" w14:textId="77777777" w:rsidR="00AC1791" w:rsidRPr="002551A7" w:rsidRDefault="00AC1791" w:rsidP="002551A7">
      <w:pPr>
        <w:spacing w:line="360" w:lineRule="auto"/>
        <w:jc w:val="both"/>
        <w:rPr>
          <w:rFonts w:asciiTheme="majorBidi" w:hAnsiTheme="majorBidi" w:cstheme="majorBidi"/>
          <w:sz w:val="24"/>
          <w:szCs w:val="24"/>
          <w:lang w:val="en-US"/>
        </w:rPr>
      </w:pPr>
    </w:p>
    <w:p w14:paraId="01493242" w14:textId="655B68ED" w:rsidR="00AC1791" w:rsidRPr="000A0207" w:rsidRDefault="000A0207" w:rsidP="000A0207">
      <w:pPr>
        <w:pStyle w:val="ListParagraph"/>
        <w:numPr>
          <w:ilvl w:val="1"/>
          <w:numId w:val="39"/>
        </w:numPr>
        <w:tabs>
          <w:tab w:val="left" w:pos="720"/>
        </w:tabs>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38" w:name="_Toc200721734"/>
      <w:r w:rsidR="00AC1791" w:rsidRPr="005E488F">
        <w:rPr>
          <w:rStyle w:val="Heading4Char"/>
        </w:rPr>
        <w:t>Comparative Analysis of Turkish Imports and Opportunities for Algerian Product</w:t>
      </w:r>
      <w:bookmarkEnd w:id="338"/>
      <w:r w:rsidR="00AC1791" w:rsidRPr="000A0207">
        <w:rPr>
          <w:rFonts w:asciiTheme="majorBidi" w:hAnsiTheme="majorBidi" w:cstheme="majorBidi"/>
          <w:b/>
          <w:bCs/>
          <w:sz w:val="24"/>
          <w:szCs w:val="24"/>
          <w:lang w:val="en-US"/>
        </w:rPr>
        <w:t>s</w:t>
      </w:r>
    </w:p>
    <w:p w14:paraId="285E6276" w14:textId="51C9DF00" w:rsidR="00AC1791" w:rsidRPr="00A41295" w:rsidRDefault="00AC1791" w:rsidP="00A41295">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Table 19: </w:t>
      </w:r>
      <w:r w:rsidRPr="002551A7">
        <w:rPr>
          <w:rFonts w:asciiTheme="majorBidi" w:hAnsiTheme="majorBidi" w:cstheme="majorBidi"/>
          <w:sz w:val="24"/>
          <w:szCs w:val="24"/>
          <w:lang w:val="en-US"/>
        </w:rPr>
        <w:t>Turkey’s Imports from Algeria and the World in Total Products, Pharmaceutical Products, and Cosmetic Preparations (2005–2024) – in USD Thousands</w:t>
      </w:r>
    </w:p>
    <w:tbl>
      <w:tblPr>
        <w:tblStyle w:val="TableGrid"/>
        <w:tblW w:w="0" w:type="auto"/>
        <w:tblLook w:val="04A0" w:firstRow="1" w:lastRow="0" w:firstColumn="1" w:lastColumn="0" w:noHBand="0" w:noVBand="1"/>
      </w:tblPr>
      <w:tblGrid>
        <w:gridCol w:w="941"/>
        <w:gridCol w:w="1089"/>
        <w:gridCol w:w="1224"/>
        <w:gridCol w:w="1581"/>
        <w:gridCol w:w="1422"/>
        <w:gridCol w:w="1581"/>
        <w:gridCol w:w="1224"/>
      </w:tblGrid>
      <w:tr w:rsidR="00AC1791" w:rsidRPr="002551A7" w14:paraId="63A8CF83" w14:textId="77777777" w:rsidTr="00357BB8">
        <w:trPr>
          <w:trHeight w:val="285"/>
        </w:trPr>
        <w:tc>
          <w:tcPr>
            <w:tcW w:w="952" w:type="dxa"/>
            <w:vMerge w:val="restart"/>
            <w:noWrap/>
          </w:tcPr>
          <w:p w14:paraId="47F40A6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YEARS</w:t>
            </w:r>
          </w:p>
        </w:tc>
        <w:tc>
          <w:tcPr>
            <w:tcW w:w="3829" w:type="dxa"/>
            <w:gridSpan w:val="3"/>
            <w:noWrap/>
          </w:tcPr>
          <w:p w14:paraId="7840F55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Imports from Algeria</w:t>
            </w:r>
          </w:p>
        </w:tc>
        <w:tc>
          <w:tcPr>
            <w:tcW w:w="4281" w:type="dxa"/>
            <w:gridSpan w:val="3"/>
            <w:noWrap/>
          </w:tcPr>
          <w:p w14:paraId="6F10696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Imports from the world</w:t>
            </w:r>
          </w:p>
        </w:tc>
      </w:tr>
      <w:tr w:rsidR="00AC1791" w:rsidRPr="00FB2AD1" w14:paraId="51E5A8E2" w14:textId="77777777" w:rsidTr="00357BB8">
        <w:trPr>
          <w:trHeight w:val="285"/>
        </w:trPr>
        <w:tc>
          <w:tcPr>
            <w:tcW w:w="952" w:type="dxa"/>
            <w:vMerge/>
            <w:noWrap/>
            <w:hideMark/>
          </w:tcPr>
          <w:p w14:paraId="5E2DC3DB" w14:textId="77777777" w:rsidR="00AC1791" w:rsidRPr="002551A7" w:rsidRDefault="00AC1791" w:rsidP="002551A7">
            <w:pPr>
              <w:spacing w:line="360" w:lineRule="auto"/>
              <w:jc w:val="center"/>
              <w:rPr>
                <w:rFonts w:asciiTheme="majorBidi" w:hAnsiTheme="majorBidi" w:cstheme="majorBidi"/>
                <w:sz w:val="24"/>
                <w:szCs w:val="24"/>
              </w:rPr>
            </w:pPr>
          </w:p>
        </w:tc>
        <w:tc>
          <w:tcPr>
            <w:tcW w:w="1072" w:type="dxa"/>
            <w:noWrap/>
            <w:hideMark/>
          </w:tcPr>
          <w:p w14:paraId="1CBF9EA6"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All products import to turkey from algeria (USD thousand)</w:t>
            </w:r>
          </w:p>
        </w:tc>
        <w:tc>
          <w:tcPr>
            <w:tcW w:w="1204" w:type="dxa"/>
            <w:noWrap/>
            <w:hideMark/>
          </w:tcPr>
          <w:p w14:paraId="7E3603F8"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Essential oils and resinoids; perfumery, cosmetic or toilet preparation (USD thousand)</w:t>
            </w:r>
          </w:p>
        </w:tc>
        <w:tc>
          <w:tcPr>
            <w:tcW w:w="1553" w:type="dxa"/>
            <w:noWrap/>
            <w:hideMark/>
          </w:tcPr>
          <w:p w14:paraId="79432DB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 xml:space="preserve">Pharmaceutical products </w:t>
            </w:r>
            <w:r w:rsidRPr="002551A7">
              <w:rPr>
                <w:rFonts w:asciiTheme="majorBidi" w:hAnsiTheme="majorBidi" w:cstheme="majorBidi"/>
                <w:sz w:val="24"/>
                <w:szCs w:val="24"/>
                <w:lang w:val="en-US"/>
              </w:rPr>
              <w:t>(USD thousand)</w:t>
            </w:r>
          </w:p>
        </w:tc>
        <w:tc>
          <w:tcPr>
            <w:tcW w:w="1524" w:type="dxa"/>
            <w:noWrap/>
            <w:hideMark/>
          </w:tcPr>
          <w:p w14:paraId="213E9430"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All products imported to turkey from world(USD thousand)</w:t>
            </w:r>
          </w:p>
        </w:tc>
        <w:tc>
          <w:tcPr>
            <w:tcW w:w="1553" w:type="dxa"/>
            <w:noWrap/>
            <w:hideMark/>
          </w:tcPr>
          <w:p w14:paraId="78C7B7E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 xml:space="preserve">Pharmaceutical products </w:t>
            </w:r>
            <w:r w:rsidRPr="002551A7">
              <w:rPr>
                <w:rFonts w:asciiTheme="majorBidi" w:hAnsiTheme="majorBidi" w:cstheme="majorBidi"/>
                <w:sz w:val="24"/>
                <w:szCs w:val="24"/>
                <w:lang w:val="en-US"/>
              </w:rPr>
              <w:t>(USD thousand)</w:t>
            </w:r>
          </w:p>
        </w:tc>
        <w:tc>
          <w:tcPr>
            <w:tcW w:w="1204" w:type="dxa"/>
            <w:noWrap/>
            <w:hideMark/>
          </w:tcPr>
          <w:p w14:paraId="20E6D0D1"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Essential oils and resinoids; perfumery, cosmetic or toilet preparation (USD thousand)</w:t>
            </w:r>
          </w:p>
        </w:tc>
      </w:tr>
      <w:tr w:rsidR="00AC1791" w:rsidRPr="002551A7" w14:paraId="1611085D" w14:textId="77777777" w:rsidTr="00357BB8">
        <w:trPr>
          <w:trHeight w:val="285"/>
        </w:trPr>
        <w:tc>
          <w:tcPr>
            <w:tcW w:w="952" w:type="dxa"/>
            <w:noWrap/>
            <w:hideMark/>
          </w:tcPr>
          <w:p w14:paraId="728CC07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2005</w:t>
            </w:r>
          </w:p>
        </w:tc>
        <w:tc>
          <w:tcPr>
            <w:tcW w:w="1072" w:type="dxa"/>
            <w:noWrap/>
            <w:hideMark/>
          </w:tcPr>
          <w:p w14:paraId="1CC0715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861809</w:t>
            </w:r>
          </w:p>
        </w:tc>
        <w:tc>
          <w:tcPr>
            <w:tcW w:w="1204" w:type="dxa"/>
            <w:noWrap/>
            <w:hideMark/>
          </w:tcPr>
          <w:p w14:paraId="1DC8136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32</w:t>
            </w:r>
          </w:p>
        </w:tc>
        <w:tc>
          <w:tcPr>
            <w:tcW w:w="1553" w:type="dxa"/>
            <w:noWrap/>
            <w:hideMark/>
          </w:tcPr>
          <w:p w14:paraId="1F9D549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71C346E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1.17E+08</w:t>
            </w:r>
          </w:p>
        </w:tc>
        <w:tc>
          <w:tcPr>
            <w:tcW w:w="1553" w:type="dxa"/>
            <w:noWrap/>
            <w:hideMark/>
          </w:tcPr>
          <w:p w14:paraId="6B84C7A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2849272</w:t>
            </w:r>
          </w:p>
        </w:tc>
        <w:tc>
          <w:tcPr>
            <w:tcW w:w="1204" w:type="dxa"/>
            <w:noWrap/>
            <w:hideMark/>
          </w:tcPr>
          <w:p w14:paraId="5FECAF6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530726</w:t>
            </w:r>
          </w:p>
        </w:tc>
      </w:tr>
      <w:tr w:rsidR="00AC1791" w:rsidRPr="002551A7" w14:paraId="416827C4" w14:textId="77777777" w:rsidTr="00357BB8">
        <w:trPr>
          <w:trHeight w:val="285"/>
        </w:trPr>
        <w:tc>
          <w:tcPr>
            <w:tcW w:w="952" w:type="dxa"/>
            <w:noWrap/>
            <w:hideMark/>
          </w:tcPr>
          <w:p w14:paraId="267A8F6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2006</w:t>
            </w:r>
          </w:p>
        </w:tc>
        <w:tc>
          <w:tcPr>
            <w:tcW w:w="1072" w:type="dxa"/>
            <w:noWrap/>
            <w:hideMark/>
          </w:tcPr>
          <w:p w14:paraId="46DB73E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718740</w:t>
            </w:r>
          </w:p>
        </w:tc>
        <w:tc>
          <w:tcPr>
            <w:tcW w:w="1204" w:type="dxa"/>
            <w:noWrap/>
            <w:hideMark/>
          </w:tcPr>
          <w:p w14:paraId="6BFA1B7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205</w:t>
            </w:r>
          </w:p>
        </w:tc>
        <w:tc>
          <w:tcPr>
            <w:tcW w:w="1553" w:type="dxa"/>
            <w:noWrap/>
            <w:hideMark/>
          </w:tcPr>
          <w:p w14:paraId="74FC870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16D63AC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1.4E+08</w:t>
            </w:r>
          </w:p>
        </w:tc>
        <w:tc>
          <w:tcPr>
            <w:tcW w:w="1553" w:type="dxa"/>
            <w:noWrap/>
            <w:hideMark/>
          </w:tcPr>
          <w:p w14:paraId="339955D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3035614</w:t>
            </w:r>
          </w:p>
        </w:tc>
        <w:tc>
          <w:tcPr>
            <w:tcW w:w="1204" w:type="dxa"/>
            <w:noWrap/>
            <w:hideMark/>
          </w:tcPr>
          <w:p w14:paraId="1C7EA40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629134</w:t>
            </w:r>
          </w:p>
        </w:tc>
      </w:tr>
      <w:tr w:rsidR="00AC1791" w:rsidRPr="002551A7" w14:paraId="0128943D" w14:textId="77777777" w:rsidTr="00357BB8">
        <w:trPr>
          <w:trHeight w:val="285"/>
        </w:trPr>
        <w:tc>
          <w:tcPr>
            <w:tcW w:w="952" w:type="dxa"/>
            <w:noWrap/>
            <w:hideMark/>
          </w:tcPr>
          <w:p w14:paraId="53CA680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2007</w:t>
            </w:r>
          </w:p>
        </w:tc>
        <w:tc>
          <w:tcPr>
            <w:tcW w:w="1072" w:type="dxa"/>
            <w:noWrap/>
            <w:hideMark/>
          </w:tcPr>
          <w:p w14:paraId="170524D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943808</w:t>
            </w:r>
          </w:p>
        </w:tc>
        <w:tc>
          <w:tcPr>
            <w:tcW w:w="1204" w:type="dxa"/>
            <w:noWrap/>
            <w:hideMark/>
          </w:tcPr>
          <w:p w14:paraId="3B6224B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150</w:t>
            </w:r>
          </w:p>
        </w:tc>
        <w:tc>
          <w:tcPr>
            <w:tcW w:w="1553" w:type="dxa"/>
            <w:noWrap/>
            <w:hideMark/>
          </w:tcPr>
          <w:p w14:paraId="3F27629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64FCFF3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1.7E+08</w:t>
            </w:r>
          </w:p>
        </w:tc>
        <w:tc>
          <w:tcPr>
            <w:tcW w:w="1553" w:type="dxa"/>
            <w:noWrap/>
            <w:hideMark/>
          </w:tcPr>
          <w:p w14:paraId="58D8813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3523655</w:t>
            </w:r>
          </w:p>
        </w:tc>
        <w:tc>
          <w:tcPr>
            <w:tcW w:w="1204" w:type="dxa"/>
            <w:noWrap/>
            <w:hideMark/>
          </w:tcPr>
          <w:p w14:paraId="04E2858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754550</w:t>
            </w:r>
          </w:p>
        </w:tc>
      </w:tr>
      <w:tr w:rsidR="00AC1791" w:rsidRPr="002551A7" w14:paraId="05E6730F" w14:textId="77777777" w:rsidTr="00357BB8">
        <w:trPr>
          <w:trHeight w:val="285"/>
        </w:trPr>
        <w:tc>
          <w:tcPr>
            <w:tcW w:w="952" w:type="dxa"/>
            <w:noWrap/>
            <w:hideMark/>
          </w:tcPr>
          <w:p w14:paraId="0CCB8AA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2008</w:t>
            </w:r>
          </w:p>
        </w:tc>
        <w:tc>
          <w:tcPr>
            <w:tcW w:w="1072" w:type="dxa"/>
            <w:noWrap/>
            <w:hideMark/>
          </w:tcPr>
          <w:p w14:paraId="77920B3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1587506</w:t>
            </w:r>
          </w:p>
        </w:tc>
        <w:tc>
          <w:tcPr>
            <w:tcW w:w="1204" w:type="dxa"/>
            <w:noWrap/>
            <w:hideMark/>
          </w:tcPr>
          <w:p w14:paraId="38C63D2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77</w:t>
            </w:r>
          </w:p>
        </w:tc>
        <w:tc>
          <w:tcPr>
            <w:tcW w:w="1553" w:type="dxa"/>
            <w:noWrap/>
            <w:hideMark/>
          </w:tcPr>
          <w:p w14:paraId="2825BBF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4AA7E92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2.02E+08</w:t>
            </w:r>
          </w:p>
        </w:tc>
        <w:tc>
          <w:tcPr>
            <w:tcW w:w="1553" w:type="dxa"/>
            <w:noWrap/>
            <w:hideMark/>
          </w:tcPr>
          <w:p w14:paraId="26A8B73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4360581</w:t>
            </w:r>
          </w:p>
        </w:tc>
        <w:tc>
          <w:tcPr>
            <w:tcW w:w="1204" w:type="dxa"/>
            <w:noWrap/>
            <w:hideMark/>
          </w:tcPr>
          <w:p w14:paraId="3189935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844665</w:t>
            </w:r>
          </w:p>
        </w:tc>
      </w:tr>
      <w:tr w:rsidR="00AC1791" w:rsidRPr="002551A7" w14:paraId="7F668F85" w14:textId="77777777" w:rsidTr="00357BB8">
        <w:trPr>
          <w:trHeight w:val="285"/>
        </w:trPr>
        <w:tc>
          <w:tcPr>
            <w:tcW w:w="952" w:type="dxa"/>
            <w:noWrap/>
            <w:hideMark/>
          </w:tcPr>
          <w:p w14:paraId="74D8C2F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2009</w:t>
            </w:r>
          </w:p>
        </w:tc>
        <w:tc>
          <w:tcPr>
            <w:tcW w:w="1072" w:type="dxa"/>
            <w:noWrap/>
            <w:hideMark/>
          </w:tcPr>
          <w:p w14:paraId="3ABD5B1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768995</w:t>
            </w:r>
          </w:p>
        </w:tc>
        <w:tc>
          <w:tcPr>
            <w:tcW w:w="1204" w:type="dxa"/>
            <w:noWrap/>
            <w:hideMark/>
          </w:tcPr>
          <w:p w14:paraId="0D5D8DC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5915CDA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347EA9B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1.41E+08</w:t>
            </w:r>
          </w:p>
        </w:tc>
        <w:tc>
          <w:tcPr>
            <w:tcW w:w="1553" w:type="dxa"/>
            <w:noWrap/>
            <w:hideMark/>
          </w:tcPr>
          <w:p w14:paraId="7A42114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4080491</w:t>
            </w:r>
          </w:p>
        </w:tc>
        <w:tc>
          <w:tcPr>
            <w:tcW w:w="1204" w:type="dxa"/>
            <w:noWrap/>
            <w:hideMark/>
          </w:tcPr>
          <w:p w14:paraId="539E6A7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839860</w:t>
            </w:r>
          </w:p>
        </w:tc>
      </w:tr>
      <w:tr w:rsidR="00AC1791" w:rsidRPr="002551A7" w14:paraId="27B04D24" w14:textId="77777777" w:rsidTr="00357BB8">
        <w:trPr>
          <w:trHeight w:val="285"/>
        </w:trPr>
        <w:tc>
          <w:tcPr>
            <w:tcW w:w="952" w:type="dxa"/>
            <w:noWrap/>
            <w:hideMark/>
          </w:tcPr>
          <w:p w14:paraId="1C9CE80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2010</w:t>
            </w:r>
          </w:p>
        </w:tc>
        <w:tc>
          <w:tcPr>
            <w:tcW w:w="1072" w:type="dxa"/>
            <w:noWrap/>
            <w:hideMark/>
          </w:tcPr>
          <w:p w14:paraId="4A7E91E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1068380</w:t>
            </w:r>
          </w:p>
        </w:tc>
        <w:tc>
          <w:tcPr>
            <w:tcW w:w="1204" w:type="dxa"/>
            <w:noWrap/>
            <w:hideMark/>
          </w:tcPr>
          <w:p w14:paraId="74AF8B8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0D88A0A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w:t>
            </w:r>
          </w:p>
        </w:tc>
        <w:tc>
          <w:tcPr>
            <w:tcW w:w="1524" w:type="dxa"/>
            <w:noWrap/>
            <w:hideMark/>
          </w:tcPr>
          <w:p w14:paraId="4D86C0D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1.86E+08</w:t>
            </w:r>
          </w:p>
        </w:tc>
        <w:tc>
          <w:tcPr>
            <w:tcW w:w="1553" w:type="dxa"/>
            <w:noWrap/>
            <w:hideMark/>
          </w:tcPr>
          <w:p w14:paraId="45A1B49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4410051</w:t>
            </w:r>
          </w:p>
        </w:tc>
        <w:tc>
          <w:tcPr>
            <w:tcW w:w="1204" w:type="dxa"/>
            <w:noWrap/>
            <w:hideMark/>
          </w:tcPr>
          <w:p w14:paraId="679A5B6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984293</w:t>
            </w:r>
          </w:p>
        </w:tc>
      </w:tr>
      <w:tr w:rsidR="00AC1791" w:rsidRPr="002551A7" w14:paraId="5C974290" w14:textId="77777777" w:rsidTr="00357BB8">
        <w:trPr>
          <w:trHeight w:val="285"/>
        </w:trPr>
        <w:tc>
          <w:tcPr>
            <w:tcW w:w="952" w:type="dxa"/>
            <w:noWrap/>
            <w:hideMark/>
          </w:tcPr>
          <w:p w14:paraId="318C1AB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2011</w:t>
            </w:r>
          </w:p>
        </w:tc>
        <w:tc>
          <w:tcPr>
            <w:tcW w:w="1072" w:type="dxa"/>
            <w:noWrap/>
            <w:hideMark/>
          </w:tcPr>
          <w:p w14:paraId="66E8F67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1150325</w:t>
            </w:r>
          </w:p>
        </w:tc>
        <w:tc>
          <w:tcPr>
            <w:tcW w:w="1204" w:type="dxa"/>
            <w:noWrap/>
            <w:hideMark/>
          </w:tcPr>
          <w:p w14:paraId="1244A2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w:t>
            </w:r>
          </w:p>
        </w:tc>
        <w:tc>
          <w:tcPr>
            <w:tcW w:w="1553" w:type="dxa"/>
            <w:noWrap/>
            <w:hideMark/>
          </w:tcPr>
          <w:p w14:paraId="6E08BC1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602568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2.41E+08</w:t>
            </w:r>
          </w:p>
        </w:tc>
        <w:tc>
          <w:tcPr>
            <w:tcW w:w="1553" w:type="dxa"/>
            <w:noWrap/>
            <w:hideMark/>
          </w:tcPr>
          <w:p w14:paraId="162C602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4697445</w:t>
            </w:r>
          </w:p>
        </w:tc>
        <w:tc>
          <w:tcPr>
            <w:tcW w:w="1204" w:type="dxa"/>
            <w:noWrap/>
            <w:hideMark/>
          </w:tcPr>
          <w:p w14:paraId="3F7091D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1071449</w:t>
            </w:r>
          </w:p>
        </w:tc>
      </w:tr>
      <w:tr w:rsidR="00AC1791" w:rsidRPr="002551A7" w14:paraId="6855F239" w14:textId="77777777" w:rsidTr="00357BB8">
        <w:trPr>
          <w:trHeight w:val="285"/>
        </w:trPr>
        <w:tc>
          <w:tcPr>
            <w:tcW w:w="952" w:type="dxa"/>
            <w:noWrap/>
            <w:hideMark/>
          </w:tcPr>
          <w:p w14:paraId="31E1724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2012</w:t>
            </w:r>
          </w:p>
        </w:tc>
        <w:tc>
          <w:tcPr>
            <w:tcW w:w="1072" w:type="dxa"/>
            <w:noWrap/>
            <w:hideMark/>
          </w:tcPr>
          <w:p w14:paraId="30E9806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924934</w:t>
            </w:r>
          </w:p>
        </w:tc>
        <w:tc>
          <w:tcPr>
            <w:tcW w:w="1204" w:type="dxa"/>
            <w:noWrap/>
            <w:hideMark/>
          </w:tcPr>
          <w:p w14:paraId="08EEF5B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525607B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49739A5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2.37E+08</w:t>
            </w:r>
          </w:p>
        </w:tc>
        <w:tc>
          <w:tcPr>
            <w:tcW w:w="1553" w:type="dxa"/>
            <w:noWrap/>
            <w:hideMark/>
          </w:tcPr>
          <w:p w14:paraId="72F54D7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3995652</w:t>
            </w:r>
          </w:p>
        </w:tc>
        <w:tc>
          <w:tcPr>
            <w:tcW w:w="1204" w:type="dxa"/>
            <w:noWrap/>
            <w:hideMark/>
          </w:tcPr>
          <w:p w14:paraId="47AA38E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1027870</w:t>
            </w:r>
          </w:p>
        </w:tc>
      </w:tr>
      <w:tr w:rsidR="00AC1791" w:rsidRPr="002551A7" w14:paraId="72AD086E" w14:textId="77777777" w:rsidTr="00357BB8">
        <w:trPr>
          <w:trHeight w:val="285"/>
        </w:trPr>
        <w:tc>
          <w:tcPr>
            <w:tcW w:w="952" w:type="dxa"/>
            <w:noWrap/>
            <w:hideMark/>
          </w:tcPr>
          <w:p w14:paraId="443A5BA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2013</w:t>
            </w:r>
          </w:p>
        </w:tc>
        <w:tc>
          <w:tcPr>
            <w:tcW w:w="1072" w:type="dxa"/>
            <w:noWrap/>
            <w:hideMark/>
          </w:tcPr>
          <w:p w14:paraId="0DDB2BE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711359</w:t>
            </w:r>
          </w:p>
        </w:tc>
        <w:tc>
          <w:tcPr>
            <w:tcW w:w="1204" w:type="dxa"/>
            <w:noWrap/>
            <w:hideMark/>
          </w:tcPr>
          <w:p w14:paraId="2C2FF7A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w:t>
            </w:r>
          </w:p>
        </w:tc>
        <w:tc>
          <w:tcPr>
            <w:tcW w:w="1553" w:type="dxa"/>
            <w:noWrap/>
            <w:hideMark/>
          </w:tcPr>
          <w:p w14:paraId="473CF7D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08FBFC9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2.61E+08</w:t>
            </w:r>
          </w:p>
        </w:tc>
        <w:tc>
          <w:tcPr>
            <w:tcW w:w="1553" w:type="dxa"/>
            <w:noWrap/>
            <w:hideMark/>
          </w:tcPr>
          <w:p w14:paraId="4615393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4353048</w:t>
            </w:r>
          </w:p>
        </w:tc>
        <w:tc>
          <w:tcPr>
            <w:tcW w:w="1204" w:type="dxa"/>
            <w:noWrap/>
            <w:hideMark/>
          </w:tcPr>
          <w:p w14:paraId="3741CEF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1422910</w:t>
            </w:r>
          </w:p>
        </w:tc>
      </w:tr>
      <w:tr w:rsidR="00AC1791" w:rsidRPr="002551A7" w14:paraId="1A4B6C39" w14:textId="77777777" w:rsidTr="00357BB8">
        <w:trPr>
          <w:trHeight w:val="285"/>
        </w:trPr>
        <w:tc>
          <w:tcPr>
            <w:tcW w:w="952" w:type="dxa"/>
            <w:noWrap/>
            <w:hideMark/>
          </w:tcPr>
          <w:p w14:paraId="7329611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2014</w:t>
            </w:r>
          </w:p>
        </w:tc>
        <w:tc>
          <w:tcPr>
            <w:tcW w:w="1072" w:type="dxa"/>
            <w:noWrap/>
            <w:hideMark/>
          </w:tcPr>
          <w:p w14:paraId="157E966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924505</w:t>
            </w:r>
          </w:p>
        </w:tc>
        <w:tc>
          <w:tcPr>
            <w:tcW w:w="1204" w:type="dxa"/>
            <w:noWrap/>
            <w:hideMark/>
          </w:tcPr>
          <w:p w14:paraId="345BFE2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w:t>
            </w:r>
          </w:p>
        </w:tc>
        <w:tc>
          <w:tcPr>
            <w:tcW w:w="1553" w:type="dxa"/>
            <w:noWrap/>
            <w:hideMark/>
          </w:tcPr>
          <w:p w14:paraId="4831DBC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803</w:t>
            </w:r>
          </w:p>
        </w:tc>
        <w:tc>
          <w:tcPr>
            <w:tcW w:w="1524" w:type="dxa"/>
            <w:noWrap/>
            <w:hideMark/>
          </w:tcPr>
          <w:p w14:paraId="3BC8872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2.51E+08</w:t>
            </w:r>
          </w:p>
        </w:tc>
        <w:tc>
          <w:tcPr>
            <w:tcW w:w="1553" w:type="dxa"/>
            <w:noWrap/>
            <w:hideMark/>
          </w:tcPr>
          <w:p w14:paraId="16F5CFA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4699801</w:t>
            </w:r>
          </w:p>
        </w:tc>
        <w:tc>
          <w:tcPr>
            <w:tcW w:w="1204" w:type="dxa"/>
            <w:noWrap/>
            <w:hideMark/>
          </w:tcPr>
          <w:p w14:paraId="6F2C873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1460255</w:t>
            </w:r>
          </w:p>
        </w:tc>
      </w:tr>
      <w:tr w:rsidR="00AC1791" w:rsidRPr="002551A7" w14:paraId="5C9EB13A" w14:textId="77777777" w:rsidTr="00357BB8">
        <w:trPr>
          <w:trHeight w:val="285"/>
        </w:trPr>
        <w:tc>
          <w:tcPr>
            <w:tcW w:w="952" w:type="dxa"/>
            <w:noWrap/>
            <w:hideMark/>
          </w:tcPr>
          <w:p w14:paraId="5A837F4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2015</w:t>
            </w:r>
          </w:p>
        </w:tc>
        <w:tc>
          <w:tcPr>
            <w:tcW w:w="1072" w:type="dxa"/>
            <w:noWrap/>
            <w:hideMark/>
          </w:tcPr>
          <w:p w14:paraId="01B6A5F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740547</w:t>
            </w:r>
          </w:p>
        </w:tc>
        <w:tc>
          <w:tcPr>
            <w:tcW w:w="1204" w:type="dxa"/>
            <w:noWrap/>
            <w:hideMark/>
          </w:tcPr>
          <w:p w14:paraId="57094F5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1B35A45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73ED442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2.07E+08</w:t>
            </w:r>
          </w:p>
        </w:tc>
        <w:tc>
          <w:tcPr>
            <w:tcW w:w="1553" w:type="dxa"/>
            <w:noWrap/>
            <w:hideMark/>
          </w:tcPr>
          <w:p w14:paraId="705CD47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4296440</w:t>
            </w:r>
          </w:p>
        </w:tc>
        <w:tc>
          <w:tcPr>
            <w:tcW w:w="1204" w:type="dxa"/>
            <w:noWrap/>
            <w:hideMark/>
          </w:tcPr>
          <w:p w14:paraId="344F2DD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1101905</w:t>
            </w:r>
          </w:p>
        </w:tc>
      </w:tr>
      <w:tr w:rsidR="00AC1791" w:rsidRPr="002551A7" w14:paraId="1BB88530" w14:textId="77777777" w:rsidTr="00357BB8">
        <w:trPr>
          <w:trHeight w:val="285"/>
        </w:trPr>
        <w:tc>
          <w:tcPr>
            <w:tcW w:w="952" w:type="dxa"/>
            <w:noWrap/>
            <w:hideMark/>
          </w:tcPr>
          <w:p w14:paraId="4F01DE4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2016</w:t>
            </w:r>
          </w:p>
        </w:tc>
        <w:tc>
          <w:tcPr>
            <w:tcW w:w="1072" w:type="dxa"/>
            <w:noWrap/>
            <w:hideMark/>
          </w:tcPr>
          <w:p w14:paraId="15B92C5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463775</w:t>
            </w:r>
          </w:p>
        </w:tc>
        <w:tc>
          <w:tcPr>
            <w:tcW w:w="1204" w:type="dxa"/>
            <w:noWrap/>
            <w:hideMark/>
          </w:tcPr>
          <w:p w14:paraId="7BE6408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4B461C6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135</w:t>
            </w:r>
          </w:p>
        </w:tc>
        <w:tc>
          <w:tcPr>
            <w:tcW w:w="1524" w:type="dxa"/>
            <w:noWrap/>
            <w:hideMark/>
          </w:tcPr>
          <w:p w14:paraId="5BBBD55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1.99E+08</w:t>
            </w:r>
          </w:p>
        </w:tc>
        <w:tc>
          <w:tcPr>
            <w:tcW w:w="1553" w:type="dxa"/>
            <w:noWrap/>
            <w:hideMark/>
          </w:tcPr>
          <w:p w14:paraId="4FF50AA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4217109</w:t>
            </w:r>
          </w:p>
        </w:tc>
        <w:tc>
          <w:tcPr>
            <w:tcW w:w="1204" w:type="dxa"/>
            <w:noWrap/>
            <w:hideMark/>
          </w:tcPr>
          <w:p w14:paraId="06A5A50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1113790</w:t>
            </w:r>
          </w:p>
        </w:tc>
      </w:tr>
      <w:tr w:rsidR="00AC1791" w:rsidRPr="002551A7" w14:paraId="2C0230D7" w14:textId="77777777" w:rsidTr="00357BB8">
        <w:trPr>
          <w:trHeight w:val="285"/>
        </w:trPr>
        <w:tc>
          <w:tcPr>
            <w:tcW w:w="952" w:type="dxa"/>
            <w:noWrap/>
            <w:hideMark/>
          </w:tcPr>
          <w:p w14:paraId="10DA4A2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2017</w:t>
            </w:r>
          </w:p>
        </w:tc>
        <w:tc>
          <w:tcPr>
            <w:tcW w:w="1072" w:type="dxa"/>
            <w:noWrap/>
            <w:hideMark/>
          </w:tcPr>
          <w:p w14:paraId="215B40C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766803</w:t>
            </w:r>
          </w:p>
        </w:tc>
        <w:tc>
          <w:tcPr>
            <w:tcW w:w="1204" w:type="dxa"/>
            <w:noWrap/>
            <w:hideMark/>
          </w:tcPr>
          <w:p w14:paraId="44D0521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71</w:t>
            </w:r>
          </w:p>
        </w:tc>
        <w:tc>
          <w:tcPr>
            <w:tcW w:w="1553" w:type="dxa"/>
            <w:noWrap/>
            <w:hideMark/>
          </w:tcPr>
          <w:p w14:paraId="06E9AFE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59</w:t>
            </w:r>
          </w:p>
        </w:tc>
        <w:tc>
          <w:tcPr>
            <w:tcW w:w="1524" w:type="dxa"/>
            <w:noWrap/>
            <w:hideMark/>
          </w:tcPr>
          <w:p w14:paraId="4E0E9E5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2.34E+08</w:t>
            </w:r>
          </w:p>
        </w:tc>
        <w:tc>
          <w:tcPr>
            <w:tcW w:w="1553" w:type="dxa"/>
            <w:noWrap/>
            <w:hideMark/>
          </w:tcPr>
          <w:p w14:paraId="21DE476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4449096</w:t>
            </w:r>
          </w:p>
        </w:tc>
        <w:tc>
          <w:tcPr>
            <w:tcW w:w="1204" w:type="dxa"/>
            <w:noWrap/>
            <w:hideMark/>
          </w:tcPr>
          <w:p w14:paraId="676515C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1200318</w:t>
            </w:r>
          </w:p>
        </w:tc>
      </w:tr>
      <w:tr w:rsidR="00AC1791" w:rsidRPr="002551A7" w14:paraId="598EEA68" w14:textId="77777777" w:rsidTr="00357BB8">
        <w:trPr>
          <w:trHeight w:val="285"/>
        </w:trPr>
        <w:tc>
          <w:tcPr>
            <w:tcW w:w="952" w:type="dxa"/>
            <w:noWrap/>
            <w:hideMark/>
          </w:tcPr>
          <w:p w14:paraId="6B187A0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2018</w:t>
            </w:r>
          </w:p>
        </w:tc>
        <w:tc>
          <w:tcPr>
            <w:tcW w:w="1072" w:type="dxa"/>
            <w:noWrap/>
            <w:hideMark/>
          </w:tcPr>
          <w:p w14:paraId="250D404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1138064</w:t>
            </w:r>
          </w:p>
        </w:tc>
        <w:tc>
          <w:tcPr>
            <w:tcW w:w="1204" w:type="dxa"/>
            <w:noWrap/>
            <w:hideMark/>
          </w:tcPr>
          <w:p w14:paraId="0868657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28099FD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1445962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2.23E+08</w:t>
            </w:r>
          </w:p>
        </w:tc>
        <w:tc>
          <w:tcPr>
            <w:tcW w:w="1553" w:type="dxa"/>
            <w:noWrap/>
            <w:hideMark/>
          </w:tcPr>
          <w:p w14:paraId="4C9E45F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4363425</w:t>
            </w:r>
          </w:p>
        </w:tc>
        <w:tc>
          <w:tcPr>
            <w:tcW w:w="1204" w:type="dxa"/>
            <w:noWrap/>
            <w:hideMark/>
          </w:tcPr>
          <w:p w14:paraId="6EEEC88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1141906</w:t>
            </w:r>
          </w:p>
        </w:tc>
      </w:tr>
      <w:tr w:rsidR="00AC1791" w:rsidRPr="002551A7" w14:paraId="542B1A60" w14:textId="77777777" w:rsidTr="00357BB8">
        <w:trPr>
          <w:trHeight w:val="285"/>
        </w:trPr>
        <w:tc>
          <w:tcPr>
            <w:tcW w:w="952" w:type="dxa"/>
            <w:noWrap/>
            <w:hideMark/>
          </w:tcPr>
          <w:p w14:paraId="5AC3873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2019</w:t>
            </w:r>
          </w:p>
        </w:tc>
        <w:tc>
          <w:tcPr>
            <w:tcW w:w="1072" w:type="dxa"/>
            <w:noWrap/>
            <w:hideMark/>
          </w:tcPr>
          <w:p w14:paraId="1A268D3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719267</w:t>
            </w:r>
          </w:p>
        </w:tc>
        <w:tc>
          <w:tcPr>
            <w:tcW w:w="1204" w:type="dxa"/>
            <w:noWrap/>
            <w:hideMark/>
          </w:tcPr>
          <w:p w14:paraId="5403463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47</w:t>
            </w:r>
          </w:p>
        </w:tc>
        <w:tc>
          <w:tcPr>
            <w:tcW w:w="1553" w:type="dxa"/>
            <w:noWrap/>
            <w:hideMark/>
          </w:tcPr>
          <w:p w14:paraId="1CA9E61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3CED54C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2.1E+08</w:t>
            </w:r>
          </w:p>
        </w:tc>
        <w:tc>
          <w:tcPr>
            <w:tcW w:w="1553" w:type="dxa"/>
            <w:noWrap/>
            <w:hideMark/>
          </w:tcPr>
          <w:p w14:paraId="77DA2E4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4911311</w:t>
            </w:r>
          </w:p>
        </w:tc>
        <w:tc>
          <w:tcPr>
            <w:tcW w:w="1204" w:type="dxa"/>
            <w:noWrap/>
            <w:hideMark/>
          </w:tcPr>
          <w:p w14:paraId="082D7D4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1261354</w:t>
            </w:r>
          </w:p>
        </w:tc>
      </w:tr>
      <w:tr w:rsidR="00AC1791" w:rsidRPr="002551A7" w14:paraId="475D634C" w14:textId="77777777" w:rsidTr="00357BB8">
        <w:trPr>
          <w:trHeight w:val="285"/>
        </w:trPr>
        <w:tc>
          <w:tcPr>
            <w:tcW w:w="952" w:type="dxa"/>
            <w:noWrap/>
            <w:hideMark/>
          </w:tcPr>
          <w:p w14:paraId="149FC71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2020</w:t>
            </w:r>
          </w:p>
        </w:tc>
        <w:tc>
          <w:tcPr>
            <w:tcW w:w="1072" w:type="dxa"/>
            <w:noWrap/>
            <w:hideMark/>
          </w:tcPr>
          <w:p w14:paraId="50A4AA1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567384</w:t>
            </w:r>
          </w:p>
        </w:tc>
        <w:tc>
          <w:tcPr>
            <w:tcW w:w="1204" w:type="dxa"/>
            <w:noWrap/>
            <w:hideMark/>
          </w:tcPr>
          <w:p w14:paraId="581F440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w:t>
            </w:r>
          </w:p>
        </w:tc>
        <w:tc>
          <w:tcPr>
            <w:tcW w:w="1553" w:type="dxa"/>
            <w:noWrap/>
            <w:hideMark/>
          </w:tcPr>
          <w:p w14:paraId="42816F1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7A8EFE0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2.2E+08</w:t>
            </w:r>
          </w:p>
        </w:tc>
        <w:tc>
          <w:tcPr>
            <w:tcW w:w="1553" w:type="dxa"/>
            <w:noWrap/>
            <w:hideMark/>
          </w:tcPr>
          <w:p w14:paraId="5AB4090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4958182</w:t>
            </w:r>
          </w:p>
        </w:tc>
        <w:tc>
          <w:tcPr>
            <w:tcW w:w="1204" w:type="dxa"/>
            <w:noWrap/>
            <w:hideMark/>
          </w:tcPr>
          <w:p w14:paraId="47CABA6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1160538</w:t>
            </w:r>
          </w:p>
        </w:tc>
      </w:tr>
      <w:tr w:rsidR="00AC1791" w:rsidRPr="002551A7" w14:paraId="4A50A080" w14:textId="77777777" w:rsidTr="00357BB8">
        <w:trPr>
          <w:trHeight w:val="285"/>
        </w:trPr>
        <w:tc>
          <w:tcPr>
            <w:tcW w:w="952" w:type="dxa"/>
            <w:noWrap/>
            <w:hideMark/>
          </w:tcPr>
          <w:p w14:paraId="64B733B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2021</w:t>
            </w:r>
          </w:p>
        </w:tc>
        <w:tc>
          <w:tcPr>
            <w:tcW w:w="1072" w:type="dxa"/>
            <w:noWrap/>
            <w:hideMark/>
          </w:tcPr>
          <w:p w14:paraId="634732B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1194880</w:t>
            </w:r>
          </w:p>
        </w:tc>
        <w:tc>
          <w:tcPr>
            <w:tcW w:w="1204" w:type="dxa"/>
            <w:noWrap/>
            <w:hideMark/>
          </w:tcPr>
          <w:p w14:paraId="3D727F4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w:t>
            </w:r>
          </w:p>
        </w:tc>
        <w:tc>
          <w:tcPr>
            <w:tcW w:w="1553" w:type="dxa"/>
            <w:noWrap/>
            <w:hideMark/>
          </w:tcPr>
          <w:p w14:paraId="6C88F7D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w:t>
            </w:r>
          </w:p>
        </w:tc>
        <w:tc>
          <w:tcPr>
            <w:tcW w:w="1524" w:type="dxa"/>
            <w:noWrap/>
            <w:hideMark/>
          </w:tcPr>
          <w:p w14:paraId="5D97FBE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2.71E+08</w:t>
            </w:r>
          </w:p>
        </w:tc>
        <w:tc>
          <w:tcPr>
            <w:tcW w:w="1553" w:type="dxa"/>
            <w:noWrap/>
            <w:hideMark/>
          </w:tcPr>
          <w:p w14:paraId="2AA75A7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6874905</w:t>
            </w:r>
          </w:p>
        </w:tc>
        <w:tc>
          <w:tcPr>
            <w:tcW w:w="1204" w:type="dxa"/>
            <w:noWrap/>
            <w:hideMark/>
          </w:tcPr>
          <w:p w14:paraId="7146F5C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1261587</w:t>
            </w:r>
          </w:p>
        </w:tc>
      </w:tr>
      <w:tr w:rsidR="00AC1791" w:rsidRPr="002551A7" w14:paraId="1F616A74" w14:textId="77777777" w:rsidTr="00357BB8">
        <w:trPr>
          <w:trHeight w:val="285"/>
        </w:trPr>
        <w:tc>
          <w:tcPr>
            <w:tcW w:w="952" w:type="dxa"/>
            <w:noWrap/>
            <w:hideMark/>
          </w:tcPr>
          <w:p w14:paraId="122A1F0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2022</w:t>
            </w:r>
          </w:p>
        </w:tc>
        <w:tc>
          <w:tcPr>
            <w:tcW w:w="1072" w:type="dxa"/>
            <w:noWrap/>
            <w:hideMark/>
          </w:tcPr>
          <w:p w14:paraId="74F5F35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1367257</w:t>
            </w:r>
          </w:p>
        </w:tc>
        <w:tc>
          <w:tcPr>
            <w:tcW w:w="1204" w:type="dxa"/>
            <w:noWrap/>
            <w:hideMark/>
          </w:tcPr>
          <w:p w14:paraId="1A8429B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53" w:type="dxa"/>
            <w:noWrap/>
            <w:hideMark/>
          </w:tcPr>
          <w:p w14:paraId="5B42243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1374CCD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3.64E+08</w:t>
            </w:r>
          </w:p>
        </w:tc>
        <w:tc>
          <w:tcPr>
            <w:tcW w:w="1553" w:type="dxa"/>
            <w:noWrap/>
            <w:hideMark/>
          </w:tcPr>
          <w:p w14:paraId="02E3330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4559343</w:t>
            </w:r>
          </w:p>
        </w:tc>
        <w:tc>
          <w:tcPr>
            <w:tcW w:w="1204" w:type="dxa"/>
            <w:noWrap/>
            <w:hideMark/>
          </w:tcPr>
          <w:p w14:paraId="6129E5C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1570368</w:t>
            </w:r>
          </w:p>
        </w:tc>
      </w:tr>
      <w:tr w:rsidR="00AC1791" w:rsidRPr="002551A7" w14:paraId="745A62B7" w14:textId="77777777" w:rsidTr="00357BB8">
        <w:trPr>
          <w:trHeight w:val="285"/>
        </w:trPr>
        <w:tc>
          <w:tcPr>
            <w:tcW w:w="952" w:type="dxa"/>
            <w:noWrap/>
            <w:hideMark/>
          </w:tcPr>
          <w:p w14:paraId="773D961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2023</w:t>
            </w:r>
          </w:p>
        </w:tc>
        <w:tc>
          <w:tcPr>
            <w:tcW w:w="1072" w:type="dxa"/>
            <w:noWrap/>
            <w:hideMark/>
          </w:tcPr>
          <w:p w14:paraId="10B4DCA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1452400</w:t>
            </w:r>
          </w:p>
        </w:tc>
        <w:tc>
          <w:tcPr>
            <w:tcW w:w="1204" w:type="dxa"/>
            <w:noWrap/>
            <w:hideMark/>
          </w:tcPr>
          <w:p w14:paraId="0581F84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75</w:t>
            </w:r>
          </w:p>
        </w:tc>
        <w:tc>
          <w:tcPr>
            <w:tcW w:w="1553" w:type="dxa"/>
            <w:noWrap/>
            <w:hideMark/>
          </w:tcPr>
          <w:p w14:paraId="661E1D5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2663</w:t>
            </w:r>
          </w:p>
        </w:tc>
        <w:tc>
          <w:tcPr>
            <w:tcW w:w="1524" w:type="dxa"/>
            <w:noWrap/>
            <w:hideMark/>
          </w:tcPr>
          <w:p w14:paraId="2C59A91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3.62E+08</w:t>
            </w:r>
          </w:p>
        </w:tc>
        <w:tc>
          <w:tcPr>
            <w:tcW w:w="1553" w:type="dxa"/>
            <w:noWrap/>
            <w:hideMark/>
          </w:tcPr>
          <w:p w14:paraId="06B8C08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4986408</w:t>
            </w:r>
          </w:p>
        </w:tc>
        <w:tc>
          <w:tcPr>
            <w:tcW w:w="1204" w:type="dxa"/>
            <w:noWrap/>
            <w:hideMark/>
          </w:tcPr>
          <w:p w14:paraId="78BFE25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2010163</w:t>
            </w:r>
          </w:p>
        </w:tc>
      </w:tr>
      <w:tr w:rsidR="00AC1791" w:rsidRPr="002551A7" w14:paraId="5798CE9A" w14:textId="77777777" w:rsidTr="00357BB8">
        <w:trPr>
          <w:trHeight w:val="285"/>
        </w:trPr>
        <w:tc>
          <w:tcPr>
            <w:tcW w:w="952" w:type="dxa"/>
            <w:noWrap/>
            <w:hideMark/>
          </w:tcPr>
          <w:p w14:paraId="4A89FB4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2024</w:t>
            </w:r>
          </w:p>
        </w:tc>
        <w:tc>
          <w:tcPr>
            <w:tcW w:w="1072" w:type="dxa"/>
            <w:noWrap/>
            <w:hideMark/>
          </w:tcPr>
          <w:p w14:paraId="2A7A4CF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1472247</w:t>
            </w:r>
          </w:p>
        </w:tc>
        <w:tc>
          <w:tcPr>
            <w:tcW w:w="1204" w:type="dxa"/>
            <w:noWrap/>
            <w:hideMark/>
          </w:tcPr>
          <w:p w14:paraId="30E7FFC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33</w:t>
            </w:r>
          </w:p>
        </w:tc>
        <w:tc>
          <w:tcPr>
            <w:tcW w:w="1553" w:type="dxa"/>
            <w:noWrap/>
            <w:hideMark/>
          </w:tcPr>
          <w:p w14:paraId="4F4BE01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0</w:t>
            </w:r>
          </w:p>
        </w:tc>
        <w:tc>
          <w:tcPr>
            <w:tcW w:w="1524" w:type="dxa"/>
            <w:noWrap/>
            <w:hideMark/>
          </w:tcPr>
          <w:p w14:paraId="2CE09CB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3.44E+08</w:t>
            </w:r>
          </w:p>
        </w:tc>
        <w:tc>
          <w:tcPr>
            <w:tcW w:w="1553" w:type="dxa"/>
            <w:noWrap/>
            <w:hideMark/>
          </w:tcPr>
          <w:p w14:paraId="3FE7C69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5429300</w:t>
            </w:r>
          </w:p>
        </w:tc>
        <w:tc>
          <w:tcPr>
            <w:tcW w:w="1204" w:type="dxa"/>
            <w:noWrap/>
            <w:hideMark/>
          </w:tcPr>
          <w:p w14:paraId="39BB0AC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2038244</w:t>
            </w:r>
          </w:p>
        </w:tc>
      </w:tr>
    </w:tbl>
    <w:p w14:paraId="1C3ADC23" w14:textId="77777777" w:rsidR="00AC1791" w:rsidRPr="002551A7" w:rsidRDefault="00AC1791" w:rsidP="002551A7">
      <w:pPr>
        <w:spacing w:line="360" w:lineRule="auto"/>
        <w:jc w:val="center"/>
        <w:rPr>
          <w:rFonts w:asciiTheme="majorBidi" w:hAnsiTheme="majorBidi" w:cstheme="majorBidi"/>
          <w:sz w:val="24"/>
          <w:szCs w:val="24"/>
          <w:lang w:val="en-US"/>
        </w:rPr>
      </w:pPr>
      <w:r w:rsidRPr="009470F3">
        <w:rPr>
          <w:rFonts w:asciiTheme="majorBidi" w:hAnsiTheme="majorBidi" w:cstheme="majorBidi"/>
          <w:b/>
          <w:bCs/>
          <w:sz w:val="24"/>
          <w:szCs w:val="24"/>
          <w:lang w:val="en-US"/>
        </w:rPr>
        <w:t>Sources:</w:t>
      </w:r>
      <w:r w:rsidRPr="002551A7">
        <w:rPr>
          <w:rFonts w:asciiTheme="majorBidi" w:hAnsiTheme="majorBidi" w:cstheme="majorBidi"/>
          <w:sz w:val="24"/>
          <w:szCs w:val="24"/>
          <w:lang w:val="en-US"/>
        </w:rPr>
        <w:t xml:space="preserve"> ITC calculations based on Turkish Statistical Institute (TURKSTAT) statistics since January, 2015.</w:t>
      </w:r>
    </w:p>
    <w:p w14:paraId="191BFDA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data presented in the table reveals an uneven evolution in trade relations between Turkey and Algeria over the past two decades, with notable spikes in certain years and stagnation in others, particularly in specific sectors. Turkey’s total imports from Algeria across all products increased from USD 861.8 million in 2005 to USD 1.47 billion in 2024. The first peak was recorded in 2008 at USD 1.59 billion, followed by a gradual recovery beginning in 2020, where imports grew from USD 567.3 million to USD 1.47 billion in 2024 — a rise of approximately 160% in just four years. Meanwhile, Turkey’s global imports rose from USD 116.7 billion in 2005 to USD 344 billion in 2024, meaning Algeria's share remained relatively constant at around 0.4%.</w:t>
      </w:r>
    </w:p>
    <w:p w14:paraId="61DF192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This relative weakness becomes even more apparent in the specific sectors aligned with Proderma’s business activity, particularly pharmaceutical products and essential oils and cosmetic preparations. Regarding pharmaceutical imports, the data shows a complete absence of Algerian exports to Turkey from 2005 to 2022, with minor exceptions in 2010 (USD 10,000) and 2016 (USD 135,000). However, 2023 recorded a remarkable surge to USD 2.66 million, only to drop back to zero in 2024. This sudden pattern may reflect a temporary market test or a reaction to exceptional political or trade circumstances (e.g., boycotts), rather than a sustained commercial relationship.</w:t>
      </w:r>
    </w:p>
    <w:p w14:paraId="46D4E86D" w14:textId="7E1D464D"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As for essential oils and cosmetic products, Turkish imports from Algeria remained marginal </w:t>
      </w:r>
      <w:r w:rsidR="00A41295">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from USD 32,000 in 2005 to only USD 33,000 in 2024, with no exports at all in many years (e.g., 2009, 2010, 2011, 2012, 2016, 2018, 2022). In contrast, Turkey imported USD 2.03 billion worth of the same products from the world in 2024, meaning Algeria’s share amounted to just 0.0016% of Turkey’s demand in this sector. This market has grown significantly at the global level, with Turkey’s imports rising from USD 530 million in 2005 to over USD 2 billion in 2024, reflecting a growth of nearly 284% over two decades.</w:t>
      </w:r>
    </w:p>
    <w:p w14:paraId="70E56FB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These figures highlight a major untapped opportunity for Algeria, especially considering Turkey’s growing demand for pharmaceutical and cosmetic products, while Algeria remains virtually absent from these categories—except for minor and irregular attempts. Given Turkey’s recent political and cultural tendencies to diversify its trade partners and reduce reliance on Western or Israeli imports, this absence should not be seen as a weakness, but rather as a strategic vacuum that Algerian companies like Proderma could effectively fill. This would require smart marketing strategies, compliance with Turkish regulatory standards, and solid distribution partnerships.</w:t>
      </w:r>
    </w:p>
    <w:p w14:paraId="2CFBC2AE" w14:textId="3D7303B2" w:rsidR="00AC1791" w:rsidRPr="000A0207" w:rsidRDefault="000A0207" w:rsidP="000A0207">
      <w:pPr>
        <w:pStyle w:val="ListParagraph"/>
        <w:numPr>
          <w:ilvl w:val="1"/>
          <w:numId w:val="39"/>
        </w:numPr>
        <w:spacing w:line="360" w:lineRule="auto"/>
        <w:jc w:val="both"/>
        <w:rPr>
          <w:rFonts w:asciiTheme="majorBidi" w:hAnsiTheme="majorBidi" w:cstheme="majorBidi"/>
          <w:sz w:val="24"/>
          <w:szCs w:val="24"/>
          <w:lang w:val="en-US"/>
        </w:rPr>
      </w:pPr>
      <w:r>
        <w:rPr>
          <w:rFonts w:asciiTheme="majorBidi" w:eastAsia="Times New Roman" w:hAnsiTheme="majorBidi" w:cstheme="majorBidi"/>
          <w:b/>
          <w:bCs/>
          <w:sz w:val="24"/>
          <w:szCs w:val="24"/>
          <w:lang w:val="en-GB" w:eastAsia="fr-FR"/>
        </w:rPr>
        <w:t xml:space="preserve"> </w:t>
      </w:r>
      <w:bookmarkStart w:id="339" w:name="_Toc200721735"/>
      <w:r w:rsidR="00AC1791" w:rsidRPr="005E488F">
        <w:rPr>
          <w:rStyle w:val="Heading4Char"/>
        </w:rPr>
        <w:t>Legal and Regulatory Framework for Cosmetic Product Expor</w:t>
      </w:r>
      <w:bookmarkEnd w:id="339"/>
      <w:r w:rsidR="00AC1791" w:rsidRPr="000A0207">
        <w:rPr>
          <w:rFonts w:asciiTheme="majorBidi" w:eastAsia="Times New Roman" w:hAnsiTheme="majorBidi" w:cstheme="majorBidi"/>
          <w:b/>
          <w:bCs/>
          <w:sz w:val="24"/>
          <w:szCs w:val="24"/>
          <w:lang w:val="en-GB" w:eastAsia="fr-FR"/>
        </w:rPr>
        <w:t>t</w:t>
      </w:r>
    </w:p>
    <w:p w14:paraId="51686926" w14:textId="5433344B"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The regulation governing cosmetic products aims to ensure that such goods reach consumers in a safe, effective, and high-quality condition. It establishes clear procedures for pre-market notifications, market surveillance, and inspection of production facilities. These measures are designed to protect public health and maintain product standards.</w:t>
      </w:r>
    </w:p>
    <w:p w14:paraId="2D96ABC6" w14:textId="61EB66EC"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Cosmetic products are defined broadly to include substances or preparations intended for application to external parts of the human body—such as skin, nails, hair, lips, and external genital organs—as well as to teeth and the mucous membranes of the mouth. Their primary purpose is to cleanse, perfume, alter appearance, correct body odors, or protect and maintain those areas in good condition.</w:t>
      </w:r>
    </w:p>
    <w:p w14:paraId="0848A406" w14:textId="46D95E16"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Before any cosmetic product is introduced into the market, the responsible party must submit a notification to the relevant health authority. Furthermore, any subsequent changes to the product or the manufacturer must also be reported. Notifications that lack required documents or information are considered invalid. The health authority is responsible for both inspecting production facilities and monitoring the products already on the market.</w:t>
      </w:r>
    </w:p>
    <w:p w14:paraId="65C92C88" w14:textId="740D9DDE"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A "producer" is legally defined as any individual or legal entity that manufactures, modifies, or brands the product as their own. If the producer is based abroad, their authorized representative or importer assumes responsibility. Any actor within the supply chain who influences the product's safety is also regarded as a producer under this legal framework.</w:t>
      </w:r>
    </w:p>
    <w:p w14:paraId="71BE39A4" w14:textId="77777777" w:rsidR="00AC1791" w:rsidRPr="002551A7" w:rsidRDefault="00AC1791"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The main obligations of producers include:</w:t>
      </w:r>
    </w:p>
    <w:p w14:paraId="29B6396C"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Prohibition from manufacturing, packaging, importing, or modifying cosmetic products without proper notification.</w:t>
      </w:r>
    </w:p>
    <w:p w14:paraId="4EC5ACFD"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Employment of technically qualified personnel for product handling and quality assurance.</w:t>
      </w:r>
    </w:p>
    <w:p w14:paraId="108A4E10"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Mandatory submission of product safety data to poison control centers prior to commercialization.</w:t>
      </w:r>
    </w:p>
    <w:p w14:paraId="24E181B9"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Assurance that products do not harm human health when used as intended or according to labeling and provided usage instructions.</w:t>
      </w:r>
    </w:p>
    <w:p w14:paraId="7A3A5BBD"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Prohibition of products containing restricted or banned substances beyond established limits.</w:t>
      </w:r>
    </w:p>
    <w:p w14:paraId="2BDE5115"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Compliance with regulatory requirements regarding packaging and labeling.</w:t>
      </w:r>
    </w:p>
    <w:p w14:paraId="0AD94A01" w14:textId="77777777" w:rsidR="00AC1791" w:rsidRPr="002551A7" w:rsidRDefault="00AC1791" w:rsidP="00413B73">
      <w:pPr>
        <w:numPr>
          <w:ilvl w:val="0"/>
          <w:numId w:val="54"/>
        </w:numPr>
        <w:spacing w:before="100" w:beforeAutospacing="1" w:after="100" w:afterAutospacing="1" w:line="360" w:lineRule="auto"/>
        <w:jc w:val="both"/>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Adherence to technical standards in production facilities as determined by health authorities.</w:t>
      </w:r>
    </w:p>
    <w:p w14:paraId="4CF8C4C1" w14:textId="54D1D07F" w:rsidR="00AC1791" w:rsidRPr="005C55EA" w:rsidRDefault="005C55EA" w:rsidP="005C55EA">
      <w:pPr>
        <w:pStyle w:val="ListParagraph"/>
        <w:numPr>
          <w:ilvl w:val="1"/>
          <w:numId w:val="39"/>
        </w:num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b/>
          <w:bCs/>
          <w:sz w:val="24"/>
          <w:szCs w:val="24"/>
          <w:lang w:val="en-GB" w:eastAsia="fr-FR"/>
        </w:rPr>
        <w:t xml:space="preserve"> </w:t>
      </w:r>
      <w:bookmarkStart w:id="340" w:name="_Toc200721736"/>
      <w:r w:rsidR="00AC1791" w:rsidRPr="005E488F">
        <w:rPr>
          <w:rStyle w:val="Heading4Char"/>
        </w:rPr>
        <w:t>Key Requirements for Exporting Cosmetic Product</w:t>
      </w:r>
      <w:bookmarkEnd w:id="340"/>
      <w:r w:rsidR="00AC1791" w:rsidRPr="005C55EA">
        <w:rPr>
          <w:rFonts w:asciiTheme="majorBidi" w:eastAsia="Times New Roman" w:hAnsiTheme="majorBidi" w:cstheme="majorBidi"/>
          <w:b/>
          <w:bCs/>
          <w:sz w:val="24"/>
          <w:szCs w:val="24"/>
          <w:lang w:val="en-GB" w:eastAsia="fr-FR"/>
        </w:rPr>
        <w:t>s</w:t>
      </w:r>
    </w:p>
    <w:p w14:paraId="7EA10962" w14:textId="50564EBE"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To place cosmetic products on the market in the target country, the local distributor or buyer must be a legally recognized entity with tax registration and import authorization. Prior to customs clearance, an official notification must be filed with the local health authority, resulting in a "cosmetic product acceptance certificate." This document must be secured before the product reaches customs.</w:t>
      </w:r>
    </w:p>
    <w:p w14:paraId="02F1FCAD" w14:textId="66F74611" w:rsidR="00AC1791" w:rsidRPr="002551A7" w:rsidRDefault="005C55EA"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b/>
          <w:bCs/>
          <w:sz w:val="24"/>
          <w:szCs w:val="24"/>
          <w:lang w:val="en-GB" w:eastAsia="fr-FR"/>
        </w:rPr>
        <w:t>-</w:t>
      </w:r>
      <w:r w:rsidR="00AC1791" w:rsidRPr="002551A7">
        <w:rPr>
          <w:rFonts w:asciiTheme="majorBidi" w:eastAsia="Times New Roman" w:hAnsiTheme="majorBidi" w:cstheme="majorBidi"/>
          <w:b/>
          <w:bCs/>
          <w:sz w:val="24"/>
          <w:szCs w:val="24"/>
          <w:lang w:val="en-GB" w:eastAsia="fr-FR"/>
        </w:rPr>
        <w:t>Required Documentation for Export</w:t>
      </w:r>
    </w:p>
    <w:p w14:paraId="187726EE" w14:textId="0E359CDD" w:rsidR="00AC1791" w:rsidRPr="002551A7" w:rsidRDefault="009470F3" w:rsidP="00A41295">
      <w:pPr>
        <w:spacing w:before="100" w:beforeAutospacing="1" w:after="100" w:afterAutospacing="1" w:line="360" w:lineRule="auto"/>
        <w:jc w:val="both"/>
        <w:rPr>
          <w:rFonts w:asciiTheme="majorBidi" w:eastAsia="Times New Roman" w:hAnsiTheme="majorBidi" w:cstheme="majorBidi"/>
          <w:sz w:val="24"/>
          <w:szCs w:val="24"/>
          <w:lang w:val="en-GB" w:eastAsia="fr-FR"/>
        </w:rPr>
      </w:pPr>
      <w:r>
        <w:rPr>
          <w:rFonts w:asciiTheme="majorBidi" w:eastAsia="Times New Roman" w:hAnsiTheme="majorBidi" w:cstheme="majorBidi"/>
          <w:sz w:val="24"/>
          <w:szCs w:val="24"/>
          <w:lang w:val="en-GB" w:eastAsia="fr-FR"/>
        </w:rPr>
        <w:t xml:space="preserve">   </w:t>
      </w:r>
      <w:r w:rsidR="00AC1791" w:rsidRPr="002551A7">
        <w:rPr>
          <w:rFonts w:asciiTheme="majorBidi" w:eastAsia="Times New Roman" w:hAnsiTheme="majorBidi" w:cstheme="majorBidi"/>
          <w:sz w:val="24"/>
          <w:szCs w:val="24"/>
          <w:lang w:val="en-GB" w:eastAsia="fr-FR"/>
        </w:rPr>
        <w:t>Exporters must also prepare and submit a series of commercial and logistical documents, including:</w:t>
      </w:r>
    </w:p>
    <w:p w14:paraId="2E1D4724"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Original invoice for the exported goods</w:t>
      </w:r>
    </w:p>
    <w:p w14:paraId="343EEFEB"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Insurance policy (if applicable)</w:t>
      </w:r>
    </w:p>
    <w:p w14:paraId="6D86DAEB"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Freight invoice (especially under FOB terms)</w:t>
      </w:r>
    </w:p>
    <w:p w14:paraId="69894D53"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Bank transfer receipt (for advance payment transactions)</w:t>
      </w:r>
    </w:p>
    <w:p w14:paraId="53684EFB"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Tax deposit receipt (if payment is not made in advance)</w:t>
      </w:r>
    </w:p>
    <w:p w14:paraId="63AAC740"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Bill of lading</w:t>
      </w:r>
    </w:p>
    <w:p w14:paraId="29AADAD0"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Packing list</w:t>
      </w:r>
    </w:p>
    <w:p w14:paraId="1A991B02" w14:textId="77777777"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Customs valuation declaration</w:t>
      </w:r>
    </w:p>
    <w:p w14:paraId="7EADCD1A" w14:textId="441EF208" w:rsidR="00AC1791" w:rsidRPr="002551A7" w:rsidRDefault="00AC1791" w:rsidP="00413B73">
      <w:pPr>
        <w:numPr>
          <w:ilvl w:val="0"/>
          <w:numId w:val="55"/>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Entry status documents and ATR certificate (for free zone companies, where applicable)</w:t>
      </w:r>
      <w:r w:rsidRPr="002551A7">
        <w:rPr>
          <w:rStyle w:val="FootnoteReference"/>
          <w:rFonts w:asciiTheme="majorBidi" w:eastAsia="Times New Roman" w:hAnsiTheme="majorBidi" w:cstheme="majorBidi"/>
          <w:sz w:val="24"/>
          <w:szCs w:val="24"/>
          <w:lang w:val="en-GB" w:eastAsia="fr-FR"/>
        </w:rPr>
        <w:footnoteReference w:id="177"/>
      </w:r>
      <w:r w:rsidR="00A41295">
        <w:rPr>
          <w:rFonts w:asciiTheme="majorBidi" w:eastAsia="Times New Roman" w:hAnsiTheme="majorBidi" w:cstheme="majorBidi"/>
          <w:sz w:val="24"/>
          <w:szCs w:val="24"/>
          <w:lang w:val="en-GB" w:eastAsia="fr-FR"/>
        </w:rPr>
        <w:t>.</w:t>
      </w:r>
    </w:p>
    <w:p w14:paraId="6CA2532E" w14:textId="77777777" w:rsidR="00AC1791" w:rsidRPr="002551A7" w:rsidRDefault="00AC1791" w:rsidP="00707383">
      <w:pPr>
        <w:pStyle w:val="ListParagraph"/>
        <w:numPr>
          <w:ilvl w:val="0"/>
          <w:numId w:val="39"/>
        </w:numPr>
        <w:tabs>
          <w:tab w:val="left" w:pos="720"/>
        </w:tabs>
        <w:spacing w:after="200" w:line="360" w:lineRule="auto"/>
        <w:jc w:val="both"/>
        <w:rPr>
          <w:rFonts w:asciiTheme="majorBidi" w:eastAsia="Calibri" w:hAnsiTheme="majorBidi" w:cstheme="majorBidi"/>
          <w:b/>
          <w:bCs/>
          <w:sz w:val="24"/>
          <w:szCs w:val="24"/>
          <w:lang w:val="en-US"/>
        </w:rPr>
      </w:pPr>
      <w:bookmarkStart w:id="342" w:name="_Toc200721737"/>
      <w:r w:rsidRPr="005E488F">
        <w:rPr>
          <w:rStyle w:val="Heading3Char"/>
        </w:rPr>
        <w:t>Microeconomic analysi</w:t>
      </w:r>
      <w:bookmarkEnd w:id="342"/>
      <w:r w:rsidRPr="002551A7">
        <w:rPr>
          <w:rFonts w:asciiTheme="majorBidi" w:eastAsia="Calibri" w:hAnsiTheme="majorBidi" w:cstheme="majorBidi"/>
          <w:b/>
          <w:bCs/>
          <w:sz w:val="24"/>
          <w:szCs w:val="24"/>
          <w:lang w:val="en-US"/>
        </w:rPr>
        <w:t>s</w:t>
      </w:r>
    </w:p>
    <w:p w14:paraId="2A5E0BEA"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In this section, we will discuss the analysis of all the results of the questionnaire surveyed by the members of the sample using statistical tools that facilitate this analysis such as: arithmetic mean, standard deviation, percentage, Cronbach's alpha, T test " result of SPSS v 27" and R.</w:t>
      </w:r>
    </w:p>
    <w:p w14:paraId="74FBE1C0" w14:textId="021F57C5" w:rsidR="00AC1791" w:rsidRPr="005C55EA" w:rsidRDefault="005C55EA" w:rsidP="005C55EA">
      <w:pPr>
        <w:pStyle w:val="ListParagraph"/>
        <w:numPr>
          <w:ilvl w:val="1"/>
          <w:numId w:val="39"/>
        </w:numPr>
        <w:spacing w:after="200" w:line="360" w:lineRule="auto"/>
        <w:jc w:val="both"/>
        <w:rPr>
          <w:rFonts w:asciiTheme="majorBidi" w:eastAsia="Calibri" w:hAnsiTheme="majorBidi" w:cstheme="majorBidi"/>
          <w:b/>
          <w:bCs/>
          <w:sz w:val="24"/>
          <w:szCs w:val="24"/>
          <w:lang w:val="en-US"/>
        </w:rPr>
      </w:pPr>
      <w:r>
        <w:rPr>
          <w:rFonts w:asciiTheme="majorBidi" w:eastAsia="Calibri" w:hAnsiTheme="majorBidi" w:cstheme="majorBidi"/>
          <w:b/>
          <w:bCs/>
          <w:sz w:val="24"/>
          <w:szCs w:val="24"/>
          <w:lang w:val="en-US"/>
        </w:rPr>
        <w:t xml:space="preserve"> </w:t>
      </w:r>
      <w:bookmarkStart w:id="343" w:name="_Toc200721738"/>
      <w:r w:rsidR="00AC1791" w:rsidRPr="005E488F">
        <w:rPr>
          <w:rStyle w:val="Heading4Char"/>
        </w:rPr>
        <w:t>General sample dat</w:t>
      </w:r>
      <w:bookmarkEnd w:id="343"/>
      <w:r w:rsidR="00AC1791" w:rsidRPr="005C55EA">
        <w:rPr>
          <w:rFonts w:asciiTheme="majorBidi" w:eastAsia="Calibri" w:hAnsiTheme="majorBidi" w:cstheme="majorBidi"/>
          <w:b/>
          <w:bCs/>
          <w:sz w:val="24"/>
          <w:szCs w:val="24"/>
          <w:lang w:val="en-US"/>
        </w:rPr>
        <w:t>a</w:t>
      </w:r>
    </w:p>
    <w:p w14:paraId="7E108978" w14:textId="41284B7C" w:rsidR="00AC1791" w:rsidRPr="00497C50" w:rsidRDefault="00AC1791" w:rsidP="00497C50">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44" w:name="_Toc200721739"/>
      <w:bookmarkStart w:id="345" w:name="_Hlk197779582"/>
      <w:bookmarkStart w:id="346" w:name="_Hlk198030754"/>
      <w:r w:rsidRPr="005E488F">
        <w:rPr>
          <w:rStyle w:val="Heading5Char"/>
          <w:rFonts w:eastAsia="Calibri"/>
        </w:rPr>
        <w:t>Distribution of the research sample by age</w:t>
      </w:r>
      <w:bookmarkEnd w:id="344"/>
      <w:r w:rsidRPr="00497C50">
        <w:rPr>
          <w:rFonts w:asciiTheme="majorBidi" w:eastAsia="Calibri" w:hAnsiTheme="majorBidi" w:cstheme="majorBidi"/>
          <w:b/>
          <w:bCs/>
          <w:sz w:val="24"/>
          <w:szCs w:val="24"/>
          <w:lang w:val="en-US"/>
        </w:rPr>
        <w:t>:</w:t>
      </w:r>
    </w:p>
    <w:bookmarkEnd w:id="345"/>
    <w:p w14:paraId="5B76B136" w14:textId="24828448" w:rsidR="00AC1791" w:rsidRPr="002551A7" w:rsidRDefault="009470F3" w:rsidP="002551A7">
      <w:pPr>
        <w:spacing w:after="200" w:line="360" w:lineRule="auto"/>
        <w:jc w:val="both"/>
        <w:rPr>
          <w:rFonts w:asciiTheme="majorBidi" w:eastAsia="Calibri" w:hAnsiTheme="majorBidi" w:cstheme="majorBidi"/>
          <w:sz w:val="24"/>
          <w:szCs w:val="24"/>
          <w:lang w:val="en-US"/>
        </w:rPr>
      </w:pPr>
      <w:r>
        <w:rPr>
          <w:rFonts w:asciiTheme="majorBidi" w:eastAsia="Calibri" w:hAnsiTheme="majorBidi" w:cstheme="majorBidi"/>
          <w:sz w:val="24"/>
          <w:szCs w:val="24"/>
          <w:lang w:val="en-US"/>
        </w:rPr>
        <w:t xml:space="preserve">   </w:t>
      </w:r>
      <w:r w:rsidR="00AC1791" w:rsidRPr="002551A7">
        <w:rPr>
          <w:rFonts w:asciiTheme="majorBidi" w:eastAsia="Calibri" w:hAnsiTheme="majorBidi" w:cstheme="majorBidi"/>
          <w:sz w:val="24"/>
          <w:szCs w:val="24"/>
          <w:lang w:val="en-US"/>
        </w:rPr>
        <w:t>The following table represents the Age of the sample members surveyed.</w:t>
      </w:r>
    </w:p>
    <w:p w14:paraId="73793EC1"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20:</w:t>
      </w:r>
      <w:r w:rsidRPr="002551A7">
        <w:rPr>
          <w:rFonts w:asciiTheme="majorBidi" w:hAnsiTheme="majorBidi" w:cstheme="majorBidi"/>
          <w:sz w:val="24"/>
          <w:szCs w:val="24"/>
          <w:lang w:val="en-US"/>
        </w:rPr>
        <w:t xml:space="preserve"> distribution of the sample according to age.</w:t>
      </w:r>
    </w:p>
    <w:tbl>
      <w:tblPr>
        <w:tblStyle w:val="TableGrid"/>
        <w:tblW w:w="0" w:type="auto"/>
        <w:tblInd w:w="1073" w:type="dxa"/>
        <w:tblLook w:val="04A0" w:firstRow="1" w:lastRow="0" w:firstColumn="1" w:lastColumn="0" w:noHBand="0" w:noVBand="1"/>
      </w:tblPr>
      <w:tblGrid>
        <w:gridCol w:w="1892"/>
        <w:gridCol w:w="2520"/>
        <w:gridCol w:w="2430"/>
      </w:tblGrid>
      <w:tr w:rsidR="00AC1791" w:rsidRPr="002551A7" w14:paraId="26A1907A" w14:textId="77777777" w:rsidTr="00671AD0">
        <w:trPr>
          <w:trHeight w:val="285"/>
        </w:trPr>
        <w:tc>
          <w:tcPr>
            <w:tcW w:w="1892" w:type="dxa"/>
            <w:noWrap/>
            <w:hideMark/>
          </w:tcPr>
          <w:p w14:paraId="0D695FA9" w14:textId="77777777" w:rsidR="00AC1791" w:rsidRPr="002551A7" w:rsidRDefault="00AC1791" w:rsidP="002551A7">
            <w:pPr>
              <w:spacing w:line="360" w:lineRule="auto"/>
              <w:jc w:val="center"/>
              <w:rPr>
                <w:rFonts w:asciiTheme="majorBidi" w:hAnsiTheme="majorBidi" w:cstheme="majorBidi"/>
                <w:sz w:val="24"/>
                <w:szCs w:val="24"/>
                <w:lang w:val="en-US"/>
              </w:rPr>
            </w:pPr>
          </w:p>
        </w:tc>
        <w:tc>
          <w:tcPr>
            <w:tcW w:w="2520" w:type="dxa"/>
            <w:noWrap/>
            <w:hideMark/>
          </w:tcPr>
          <w:p w14:paraId="1E879F74"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2430" w:type="dxa"/>
            <w:noWrap/>
            <w:hideMark/>
          </w:tcPr>
          <w:p w14:paraId="53FCDC70"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1347DB82" w14:textId="77777777" w:rsidTr="00671AD0">
        <w:trPr>
          <w:trHeight w:val="285"/>
        </w:trPr>
        <w:tc>
          <w:tcPr>
            <w:tcW w:w="1892" w:type="dxa"/>
            <w:noWrap/>
            <w:hideMark/>
          </w:tcPr>
          <w:p w14:paraId="1F305F5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18–24</w:t>
            </w:r>
          </w:p>
        </w:tc>
        <w:tc>
          <w:tcPr>
            <w:tcW w:w="2520" w:type="dxa"/>
            <w:noWrap/>
            <w:hideMark/>
          </w:tcPr>
          <w:p w14:paraId="1DC6E1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79</w:t>
            </w:r>
          </w:p>
        </w:tc>
        <w:tc>
          <w:tcPr>
            <w:tcW w:w="2430" w:type="dxa"/>
            <w:noWrap/>
            <w:hideMark/>
          </w:tcPr>
          <w:p w14:paraId="71B3A18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38</w:t>
            </w:r>
          </w:p>
        </w:tc>
      </w:tr>
      <w:tr w:rsidR="00AC1791" w:rsidRPr="002551A7" w14:paraId="6C91F645" w14:textId="77777777" w:rsidTr="00671AD0">
        <w:trPr>
          <w:trHeight w:val="285"/>
        </w:trPr>
        <w:tc>
          <w:tcPr>
            <w:tcW w:w="1892" w:type="dxa"/>
            <w:noWrap/>
            <w:hideMark/>
          </w:tcPr>
          <w:p w14:paraId="46BCD7A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25–34</w:t>
            </w:r>
          </w:p>
        </w:tc>
        <w:tc>
          <w:tcPr>
            <w:tcW w:w="2520" w:type="dxa"/>
            <w:noWrap/>
            <w:hideMark/>
          </w:tcPr>
          <w:p w14:paraId="55A9075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tl/>
              </w:rPr>
              <w:t>109</w:t>
            </w:r>
          </w:p>
        </w:tc>
        <w:tc>
          <w:tcPr>
            <w:tcW w:w="2430" w:type="dxa"/>
            <w:noWrap/>
            <w:hideMark/>
          </w:tcPr>
          <w:p w14:paraId="508A815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tl/>
              </w:rPr>
              <w:t>52</w:t>
            </w:r>
            <w:r w:rsidRPr="002551A7">
              <w:rPr>
                <w:rFonts w:asciiTheme="majorBidi" w:hAnsiTheme="majorBidi" w:cstheme="majorBidi"/>
                <w:sz w:val="24"/>
                <w:szCs w:val="24"/>
              </w:rPr>
              <w:t>.</w:t>
            </w:r>
            <w:r w:rsidRPr="002551A7">
              <w:rPr>
                <w:rFonts w:asciiTheme="majorBidi" w:hAnsiTheme="majorBidi" w:cstheme="majorBidi"/>
                <w:sz w:val="24"/>
                <w:szCs w:val="24"/>
                <w:rtl/>
              </w:rPr>
              <w:t>4</w:t>
            </w:r>
          </w:p>
        </w:tc>
      </w:tr>
      <w:tr w:rsidR="00AC1791" w:rsidRPr="002551A7" w14:paraId="756C6A74" w14:textId="77777777" w:rsidTr="00671AD0">
        <w:trPr>
          <w:trHeight w:val="285"/>
        </w:trPr>
        <w:tc>
          <w:tcPr>
            <w:tcW w:w="1892" w:type="dxa"/>
            <w:noWrap/>
            <w:hideMark/>
          </w:tcPr>
          <w:p w14:paraId="36A1B05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35–44</w:t>
            </w:r>
          </w:p>
        </w:tc>
        <w:tc>
          <w:tcPr>
            <w:tcW w:w="2520" w:type="dxa"/>
            <w:noWrap/>
            <w:hideMark/>
          </w:tcPr>
          <w:p w14:paraId="73F6325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w:t>
            </w:r>
          </w:p>
        </w:tc>
        <w:tc>
          <w:tcPr>
            <w:tcW w:w="2430" w:type="dxa"/>
            <w:noWrap/>
            <w:hideMark/>
          </w:tcPr>
          <w:p w14:paraId="46F6642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4.8</w:t>
            </w:r>
          </w:p>
        </w:tc>
      </w:tr>
      <w:tr w:rsidR="00AC1791" w:rsidRPr="002551A7" w14:paraId="693B5613" w14:textId="77777777" w:rsidTr="00671AD0">
        <w:trPr>
          <w:trHeight w:val="285"/>
        </w:trPr>
        <w:tc>
          <w:tcPr>
            <w:tcW w:w="1892" w:type="dxa"/>
            <w:noWrap/>
            <w:hideMark/>
          </w:tcPr>
          <w:p w14:paraId="5B3CD8E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55 and above</w:t>
            </w:r>
          </w:p>
        </w:tc>
        <w:tc>
          <w:tcPr>
            <w:tcW w:w="2520" w:type="dxa"/>
            <w:noWrap/>
            <w:hideMark/>
          </w:tcPr>
          <w:p w14:paraId="4859099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w:t>
            </w:r>
          </w:p>
        </w:tc>
        <w:tc>
          <w:tcPr>
            <w:tcW w:w="2430" w:type="dxa"/>
            <w:noWrap/>
            <w:hideMark/>
          </w:tcPr>
          <w:p w14:paraId="1AD1447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4.8</w:t>
            </w:r>
          </w:p>
        </w:tc>
      </w:tr>
      <w:tr w:rsidR="00AC1791" w:rsidRPr="002551A7" w14:paraId="7E3137B2" w14:textId="77777777" w:rsidTr="00671AD0">
        <w:trPr>
          <w:trHeight w:val="285"/>
        </w:trPr>
        <w:tc>
          <w:tcPr>
            <w:tcW w:w="1892" w:type="dxa"/>
            <w:noWrap/>
            <w:hideMark/>
          </w:tcPr>
          <w:p w14:paraId="24620B7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2520" w:type="dxa"/>
            <w:noWrap/>
            <w:hideMark/>
          </w:tcPr>
          <w:p w14:paraId="605FAC8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2430" w:type="dxa"/>
            <w:noWrap/>
            <w:hideMark/>
          </w:tcPr>
          <w:p w14:paraId="516A830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4132A28C"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47" w:name="_Hlk197779849"/>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bookmarkEnd w:id="346"/>
    <w:bookmarkEnd w:id="347"/>
    <w:p w14:paraId="4E92AA80" w14:textId="6AFFAD5F"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results of the data analysis regarding the age distribution of the sample indicate that the majority of participants in the study are between 18 and 34 years old, representing 90.4% of the total sample. This finding is of great significance in the context of the study, especially since this age group represents the youth segment, which is the most active and engaged with digital media and social networking platforms. As a result, they are the most likely to be influenced by digital campaigns</w:t>
      </w:r>
      <w:r w:rsidR="00497C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whether those calling for boycotts or promoting the consumption of local or foreign alternatives.</w:t>
      </w:r>
    </w:p>
    <w:p w14:paraId="6BA3E1F0"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Moreover, the youth segment is among the most targeted demographics in the cosmetics and parapharmaceutical sectors, due to their increasing interest in beauty, skincare, and physical appearance, as well as their growing awareness of product ingredients and their health and environmental impact.</w:t>
      </w:r>
    </w:p>
    <w:p w14:paraId="091FB48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Therefore, this age distribution presents a genuine opportunity to direct marketing efforts in favor of the Algerian brand 'Proderma</w:t>
      </w:r>
    </w:p>
    <w:p w14:paraId="205DF1D2" w14:textId="62B45FE1" w:rsidR="00AC1791" w:rsidRPr="00497C50" w:rsidRDefault="00AC1791" w:rsidP="00497C50">
      <w:pPr>
        <w:pStyle w:val="ListParagraph"/>
        <w:numPr>
          <w:ilvl w:val="2"/>
          <w:numId w:val="39"/>
        </w:numPr>
        <w:spacing w:line="360" w:lineRule="auto"/>
        <w:jc w:val="both"/>
        <w:rPr>
          <w:rFonts w:asciiTheme="majorBidi" w:hAnsiTheme="majorBidi" w:cstheme="majorBidi"/>
          <w:b/>
          <w:bCs/>
          <w:sz w:val="24"/>
          <w:szCs w:val="24"/>
          <w:lang w:val="en-US"/>
        </w:rPr>
      </w:pPr>
      <w:bookmarkStart w:id="348" w:name="_Toc200721740"/>
      <w:bookmarkStart w:id="349" w:name="_Hlk197779891"/>
      <w:r w:rsidRPr="005E488F">
        <w:rPr>
          <w:rStyle w:val="Heading5Char"/>
          <w:rFonts w:eastAsiaTheme="minorHAnsi"/>
        </w:rPr>
        <w:t>Distribution of the research sample by gender</w:t>
      </w:r>
      <w:bookmarkEnd w:id="348"/>
      <w:r w:rsidRPr="00497C50">
        <w:rPr>
          <w:rFonts w:asciiTheme="majorBidi" w:hAnsiTheme="majorBidi" w:cstheme="majorBidi"/>
          <w:b/>
          <w:bCs/>
          <w:sz w:val="24"/>
          <w:szCs w:val="24"/>
          <w:lang w:val="en-US"/>
        </w:rPr>
        <w:t>:</w:t>
      </w:r>
    </w:p>
    <w:p w14:paraId="4F12B70A"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21:</w:t>
      </w:r>
      <w:r w:rsidRPr="002551A7">
        <w:rPr>
          <w:rFonts w:asciiTheme="majorBidi" w:hAnsiTheme="majorBidi" w:cstheme="majorBidi"/>
          <w:sz w:val="24"/>
          <w:szCs w:val="24"/>
          <w:lang w:val="en-US"/>
        </w:rPr>
        <w:t xml:space="preserve"> distribution of the sample according to gender.</w:t>
      </w:r>
    </w:p>
    <w:bookmarkEnd w:id="349"/>
    <w:tbl>
      <w:tblPr>
        <w:tblStyle w:val="TableGrid"/>
        <w:tblW w:w="0" w:type="auto"/>
        <w:tblInd w:w="1075" w:type="dxa"/>
        <w:tblLook w:val="04A0" w:firstRow="1" w:lastRow="0" w:firstColumn="1" w:lastColumn="0" w:noHBand="0" w:noVBand="1"/>
      </w:tblPr>
      <w:tblGrid>
        <w:gridCol w:w="1890"/>
        <w:gridCol w:w="2520"/>
        <w:gridCol w:w="2430"/>
      </w:tblGrid>
      <w:tr w:rsidR="00AC1791" w:rsidRPr="002551A7" w14:paraId="7900A939" w14:textId="77777777" w:rsidTr="00671AD0">
        <w:trPr>
          <w:trHeight w:val="285"/>
        </w:trPr>
        <w:tc>
          <w:tcPr>
            <w:tcW w:w="1890" w:type="dxa"/>
            <w:noWrap/>
            <w:hideMark/>
          </w:tcPr>
          <w:p w14:paraId="1C04EBDA" w14:textId="77777777" w:rsidR="00AC1791" w:rsidRPr="002551A7" w:rsidRDefault="00AC1791" w:rsidP="002551A7">
            <w:pPr>
              <w:spacing w:line="360" w:lineRule="auto"/>
              <w:jc w:val="center"/>
              <w:rPr>
                <w:rFonts w:asciiTheme="majorBidi" w:hAnsiTheme="majorBidi" w:cstheme="majorBidi"/>
                <w:sz w:val="24"/>
                <w:szCs w:val="24"/>
                <w:lang w:val="en-US"/>
              </w:rPr>
            </w:pPr>
          </w:p>
        </w:tc>
        <w:tc>
          <w:tcPr>
            <w:tcW w:w="2520" w:type="dxa"/>
            <w:noWrap/>
            <w:hideMark/>
          </w:tcPr>
          <w:p w14:paraId="03D8CF48"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2430" w:type="dxa"/>
            <w:noWrap/>
            <w:hideMark/>
          </w:tcPr>
          <w:p w14:paraId="2F94C2C4"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2AC81C3B" w14:textId="77777777" w:rsidTr="00671AD0">
        <w:trPr>
          <w:trHeight w:val="285"/>
        </w:trPr>
        <w:tc>
          <w:tcPr>
            <w:tcW w:w="1890" w:type="dxa"/>
            <w:noWrap/>
            <w:hideMark/>
          </w:tcPr>
          <w:p w14:paraId="2968EF9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Male</w:t>
            </w:r>
          </w:p>
        </w:tc>
        <w:tc>
          <w:tcPr>
            <w:tcW w:w="2520" w:type="dxa"/>
            <w:noWrap/>
            <w:hideMark/>
          </w:tcPr>
          <w:p w14:paraId="39BD0FE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115</w:t>
            </w:r>
          </w:p>
        </w:tc>
        <w:tc>
          <w:tcPr>
            <w:tcW w:w="2430" w:type="dxa"/>
            <w:noWrap/>
            <w:hideMark/>
          </w:tcPr>
          <w:p w14:paraId="2518282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55.3</w:t>
            </w:r>
          </w:p>
        </w:tc>
      </w:tr>
      <w:tr w:rsidR="00AC1791" w:rsidRPr="002551A7" w14:paraId="35EACEFB" w14:textId="77777777" w:rsidTr="00671AD0">
        <w:trPr>
          <w:trHeight w:val="285"/>
        </w:trPr>
        <w:tc>
          <w:tcPr>
            <w:tcW w:w="1890" w:type="dxa"/>
            <w:noWrap/>
            <w:hideMark/>
          </w:tcPr>
          <w:p w14:paraId="59EFDD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Female</w:t>
            </w:r>
          </w:p>
        </w:tc>
        <w:tc>
          <w:tcPr>
            <w:tcW w:w="2520" w:type="dxa"/>
            <w:noWrap/>
            <w:hideMark/>
          </w:tcPr>
          <w:p w14:paraId="6216F77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93</w:t>
            </w:r>
          </w:p>
        </w:tc>
        <w:tc>
          <w:tcPr>
            <w:tcW w:w="2430" w:type="dxa"/>
            <w:noWrap/>
            <w:hideMark/>
          </w:tcPr>
          <w:p w14:paraId="2620084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44.7</w:t>
            </w:r>
          </w:p>
        </w:tc>
      </w:tr>
      <w:tr w:rsidR="00AC1791" w:rsidRPr="002551A7" w14:paraId="10344EC4" w14:textId="77777777" w:rsidTr="00671AD0">
        <w:trPr>
          <w:trHeight w:val="285"/>
        </w:trPr>
        <w:tc>
          <w:tcPr>
            <w:tcW w:w="1890" w:type="dxa"/>
            <w:noWrap/>
            <w:hideMark/>
          </w:tcPr>
          <w:p w14:paraId="0C1353B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2520" w:type="dxa"/>
            <w:noWrap/>
            <w:hideMark/>
          </w:tcPr>
          <w:p w14:paraId="5C7E855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2430" w:type="dxa"/>
            <w:noWrap/>
            <w:hideMark/>
          </w:tcPr>
          <w:p w14:paraId="7CCE44D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41BE7A83"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50" w:name="_Hlk197780097"/>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bookmarkEnd w:id="350"/>
    <w:p w14:paraId="436ECE1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gender distribution of the research sample indicates that males represent 55.3% of the total respondents, while females account for 44.7%. This relatively balanced representation enhances the inclusiveness of the sample and provides diverse perspectives regarding the research topic.</w:t>
      </w:r>
    </w:p>
    <w:p w14:paraId="0CE5A579" w14:textId="31BBC4F4"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Given that Proderma's cosmetic and parapharmaceutical products are typically consumed by both genders</w:t>
      </w:r>
      <w:r w:rsidR="00497C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though often more by females</w:t>
      </w:r>
      <w:r w:rsidR="00497C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this distribution allows for meaningful insights into the attitudes and potential receptivity of male and female consumers alike toward Algerian products during the boycott campaign.</w:t>
      </w:r>
    </w:p>
    <w:p w14:paraId="74F65044" w14:textId="77777777" w:rsidR="00497C50" w:rsidRDefault="00AC1791" w:rsidP="00497C50">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Such a gender-balanced sample supports more nuanced analysis of consumer behavior and can guide targeted marketing strategies for the Turkish market. For instance, future campaigns could be segmented based on gender preferences and media consumption habits to increase effectiveness.</w:t>
      </w:r>
      <w:bookmarkStart w:id="351" w:name="_Hlk197780137"/>
    </w:p>
    <w:p w14:paraId="4F2E0093" w14:textId="3A39F050" w:rsidR="00AC1791" w:rsidRPr="00497C50" w:rsidRDefault="00AC1791" w:rsidP="00497C50">
      <w:pPr>
        <w:pStyle w:val="ListParagraph"/>
        <w:numPr>
          <w:ilvl w:val="2"/>
          <w:numId w:val="39"/>
        </w:numPr>
        <w:spacing w:line="360" w:lineRule="auto"/>
        <w:jc w:val="both"/>
        <w:rPr>
          <w:rFonts w:asciiTheme="majorBidi" w:hAnsiTheme="majorBidi" w:cstheme="majorBidi"/>
          <w:sz w:val="24"/>
          <w:szCs w:val="24"/>
          <w:lang w:val="en-US"/>
        </w:rPr>
      </w:pPr>
      <w:bookmarkStart w:id="352" w:name="_Toc200721741"/>
      <w:r w:rsidRPr="005E488F">
        <w:rPr>
          <w:rStyle w:val="Heading5Char"/>
          <w:rFonts w:eastAsiaTheme="minorHAnsi"/>
        </w:rPr>
        <w:t>Distribution of the research sample by residence</w:t>
      </w:r>
      <w:bookmarkEnd w:id="352"/>
      <w:r w:rsidRPr="00497C50">
        <w:rPr>
          <w:rFonts w:asciiTheme="majorBidi" w:hAnsiTheme="majorBidi" w:cstheme="majorBidi"/>
          <w:b/>
          <w:bCs/>
          <w:sz w:val="24"/>
          <w:szCs w:val="24"/>
          <w:lang w:val="en-US"/>
        </w:rPr>
        <w:t>:</w:t>
      </w:r>
    </w:p>
    <w:p w14:paraId="32D8D9D3"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22:</w:t>
      </w:r>
      <w:r w:rsidRPr="002551A7">
        <w:rPr>
          <w:rFonts w:asciiTheme="majorBidi" w:hAnsiTheme="majorBidi" w:cstheme="majorBidi"/>
          <w:sz w:val="24"/>
          <w:szCs w:val="24"/>
          <w:lang w:val="en-US"/>
        </w:rPr>
        <w:t xml:space="preserve"> distribution of the sample according to residence</w:t>
      </w:r>
      <w:bookmarkEnd w:id="351"/>
      <w:r w:rsidRPr="002551A7">
        <w:rPr>
          <w:rFonts w:asciiTheme="majorBidi" w:hAnsiTheme="majorBidi" w:cstheme="majorBidi"/>
          <w:sz w:val="24"/>
          <w:szCs w:val="24"/>
          <w:lang w:val="en-US"/>
        </w:rPr>
        <w:t>.</w:t>
      </w:r>
    </w:p>
    <w:tbl>
      <w:tblPr>
        <w:tblStyle w:val="TableGrid"/>
        <w:tblW w:w="0" w:type="auto"/>
        <w:tblInd w:w="1075" w:type="dxa"/>
        <w:tblLook w:val="04A0" w:firstRow="1" w:lastRow="0" w:firstColumn="1" w:lastColumn="0" w:noHBand="0" w:noVBand="1"/>
      </w:tblPr>
      <w:tblGrid>
        <w:gridCol w:w="1890"/>
        <w:gridCol w:w="2520"/>
        <w:gridCol w:w="2430"/>
      </w:tblGrid>
      <w:tr w:rsidR="00AC1791" w:rsidRPr="002551A7" w14:paraId="6C90DADB" w14:textId="77777777" w:rsidTr="00D56280">
        <w:trPr>
          <w:trHeight w:val="285"/>
        </w:trPr>
        <w:tc>
          <w:tcPr>
            <w:tcW w:w="1890" w:type="dxa"/>
            <w:noWrap/>
            <w:hideMark/>
          </w:tcPr>
          <w:p w14:paraId="44294600" w14:textId="77777777" w:rsidR="00AC1791" w:rsidRPr="002551A7" w:rsidRDefault="00AC1791" w:rsidP="002551A7">
            <w:pPr>
              <w:spacing w:line="360" w:lineRule="auto"/>
              <w:jc w:val="center"/>
              <w:rPr>
                <w:rFonts w:asciiTheme="majorBidi" w:hAnsiTheme="majorBidi" w:cstheme="majorBidi"/>
                <w:b/>
                <w:bCs/>
                <w:sz w:val="24"/>
                <w:szCs w:val="24"/>
                <w:lang w:val="en-US"/>
              </w:rPr>
            </w:pPr>
          </w:p>
        </w:tc>
        <w:tc>
          <w:tcPr>
            <w:tcW w:w="2520" w:type="dxa"/>
            <w:noWrap/>
            <w:hideMark/>
          </w:tcPr>
          <w:p w14:paraId="7E6F3960"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2430" w:type="dxa"/>
            <w:noWrap/>
            <w:hideMark/>
          </w:tcPr>
          <w:p w14:paraId="0BF90DBE"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51BEB5CD" w14:textId="77777777" w:rsidTr="00D56280">
        <w:trPr>
          <w:trHeight w:val="285"/>
        </w:trPr>
        <w:tc>
          <w:tcPr>
            <w:tcW w:w="1890" w:type="dxa"/>
            <w:noWrap/>
            <w:hideMark/>
          </w:tcPr>
          <w:p w14:paraId="0C29038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Marmara</w:t>
            </w:r>
          </w:p>
        </w:tc>
        <w:tc>
          <w:tcPr>
            <w:tcW w:w="2520" w:type="dxa"/>
            <w:noWrap/>
            <w:hideMark/>
          </w:tcPr>
          <w:p w14:paraId="1C7981E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87</w:t>
            </w:r>
          </w:p>
        </w:tc>
        <w:tc>
          <w:tcPr>
            <w:tcW w:w="2430" w:type="dxa"/>
            <w:noWrap/>
            <w:hideMark/>
          </w:tcPr>
          <w:p w14:paraId="7C793A4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41.8</w:t>
            </w:r>
          </w:p>
        </w:tc>
      </w:tr>
      <w:tr w:rsidR="00AC1791" w:rsidRPr="002551A7" w14:paraId="4013F2E9" w14:textId="77777777" w:rsidTr="00D56280">
        <w:trPr>
          <w:trHeight w:val="285"/>
        </w:trPr>
        <w:tc>
          <w:tcPr>
            <w:tcW w:w="1890" w:type="dxa"/>
            <w:noWrap/>
            <w:hideMark/>
          </w:tcPr>
          <w:p w14:paraId="1C514FD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Aegean</w:t>
            </w:r>
          </w:p>
        </w:tc>
        <w:tc>
          <w:tcPr>
            <w:tcW w:w="2520" w:type="dxa"/>
            <w:noWrap/>
            <w:hideMark/>
          </w:tcPr>
          <w:p w14:paraId="7671BBA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26</w:t>
            </w:r>
          </w:p>
        </w:tc>
        <w:tc>
          <w:tcPr>
            <w:tcW w:w="2430" w:type="dxa"/>
            <w:noWrap/>
            <w:hideMark/>
          </w:tcPr>
          <w:p w14:paraId="0439FFB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12.5</w:t>
            </w:r>
          </w:p>
        </w:tc>
      </w:tr>
      <w:tr w:rsidR="00AC1791" w:rsidRPr="002551A7" w14:paraId="472177E0" w14:textId="77777777" w:rsidTr="00D56280">
        <w:trPr>
          <w:trHeight w:val="285"/>
        </w:trPr>
        <w:tc>
          <w:tcPr>
            <w:tcW w:w="1890" w:type="dxa"/>
            <w:noWrap/>
            <w:hideMark/>
          </w:tcPr>
          <w:p w14:paraId="585AAFE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Central Anatolia</w:t>
            </w:r>
          </w:p>
        </w:tc>
        <w:tc>
          <w:tcPr>
            <w:tcW w:w="2520" w:type="dxa"/>
            <w:noWrap/>
            <w:hideMark/>
          </w:tcPr>
          <w:p w14:paraId="2A1B3A4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w:t>
            </w:r>
          </w:p>
        </w:tc>
        <w:tc>
          <w:tcPr>
            <w:tcW w:w="2430" w:type="dxa"/>
            <w:noWrap/>
            <w:hideMark/>
          </w:tcPr>
          <w:p w14:paraId="7196F42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22.1</w:t>
            </w:r>
          </w:p>
        </w:tc>
      </w:tr>
      <w:tr w:rsidR="00AC1791" w:rsidRPr="002551A7" w14:paraId="44AEE752" w14:textId="77777777" w:rsidTr="00D56280">
        <w:trPr>
          <w:trHeight w:val="285"/>
        </w:trPr>
        <w:tc>
          <w:tcPr>
            <w:tcW w:w="1890" w:type="dxa"/>
            <w:noWrap/>
            <w:hideMark/>
          </w:tcPr>
          <w:p w14:paraId="6A00A20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Mediterranean</w:t>
            </w:r>
          </w:p>
        </w:tc>
        <w:tc>
          <w:tcPr>
            <w:tcW w:w="2520" w:type="dxa"/>
            <w:noWrap/>
            <w:hideMark/>
          </w:tcPr>
          <w:p w14:paraId="355464E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w:t>
            </w:r>
          </w:p>
        </w:tc>
        <w:tc>
          <w:tcPr>
            <w:tcW w:w="2430" w:type="dxa"/>
            <w:noWrap/>
            <w:hideMark/>
          </w:tcPr>
          <w:p w14:paraId="01AF7F2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6.3</w:t>
            </w:r>
          </w:p>
        </w:tc>
      </w:tr>
      <w:tr w:rsidR="00AC1791" w:rsidRPr="002551A7" w14:paraId="7CCBF1A7" w14:textId="77777777" w:rsidTr="00D56280">
        <w:trPr>
          <w:trHeight w:val="285"/>
        </w:trPr>
        <w:tc>
          <w:tcPr>
            <w:tcW w:w="1890" w:type="dxa"/>
            <w:noWrap/>
            <w:hideMark/>
          </w:tcPr>
          <w:p w14:paraId="04ED05F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Black Sea</w:t>
            </w:r>
          </w:p>
        </w:tc>
        <w:tc>
          <w:tcPr>
            <w:tcW w:w="2520" w:type="dxa"/>
            <w:noWrap/>
            <w:hideMark/>
          </w:tcPr>
          <w:p w14:paraId="1409AE2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w:t>
            </w:r>
          </w:p>
        </w:tc>
        <w:tc>
          <w:tcPr>
            <w:tcW w:w="2430" w:type="dxa"/>
            <w:noWrap/>
            <w:hideMark/>
          </w:tcPr>
          <w:p w14:paraId="526B634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9.6</w:t>
            </w:r>
          </w:p>
        </w:tc>
      </w:tr>
      <w:tr w:rsidR="00AC1791" w:rsidRPr="002551A7" w14:paraId="75BAF7E1" w14:textId="77777777" w:rsidTr="00D56280">
        <w:trPr>
          <w:trHeight w:val="285"/>
        </w:trPr>
        <w:tc>
          <w:tcPr>
            <w:tcW w:w="1890" w:type="dxa"/>
            <w:noWrap/>
            <w:hideMark/>
          </w:tcPr>
          <w:p w14:paraId="37029E9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Eastern Anatolia</w:t>
            </w:r>
          </w:p>
        </w:tc>
        <w:tc>
          <w:tcPr>
            <w:tcW w:w="2520" w:type="dxa"/>
            <w:noWrap/>
            <w:hideMark/>
          </w:tcPr>
          <w:p w14:paraId="7A8AB15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w:t>
            </w:r>
          </w:p>
        </w:tc>
        <w:tc>
          <w:tcPr>
            <w:tcW w:w="2430" w:type="dxa"/>
            <w:noWrap/>
            <w:hideMark/>
          </w:tcPr>
          <w:p w14:paraId="35C2301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w:t>
            </w:r>
          </w:p>
        </w:tc>
      </w:tr>
      <w:tr w:rsidR="00AC1791" w:rsidRPr="002551A7" w14:paraId="1D01BA89" w14:textId="77777777" w:rsidTr="00D56280">
        <w:trPr>
          <w:trHeight w:val="285"/>
        </w:trPr>
        <w:tc>
          <w:tcPr>
            <w:tcW w:w="1890" w:type="dxa"/>
            <w:noWrap/>
            <w:hideMark/>
          </w:tcPr>
          <w:p w14:paraId="20C46EA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Southeastern Anatolia</w:t>
            </w:r>
          </w:p>
        </w:tc>
        <w:tc>
          <w:tcPr>
            <w:tcW w:w="2520" w:type="dxa"/>
            <w:noWrap/>
            <w:hideMark/>
          </w:tcPr>
          <w:p w14:paraId="2AD680B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w:t>
            </w:r>
          </w:p>
        </w:tc>
        <w:tc>
          <w:tcPr>
            <w:tcW w:w="2430" w:type="dxa"/>
            <w:noWrap/>
            <w:hideMark/>
          </w:tcPr>
          <w:p w14:paraId="0215E51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6.7</w:t>
            </w:r>
          </w:p>
        </w:tc>
      </w:tr>
      <w:tr w:rsidR="00AC1791" w:rsidRPr="002551A7" w14:paraId="3922F64D" w14:textId="77777777" w:rsidTr="00D56280">
        <w:trPr>
          <w:trHeight w:val="285"/>
        </w:trPr>
        <w:tc>
          <w:tcPr>
            <w:tcW w:w="1890" w:type="dxa"/>
            <w:noWrap/>
            <w:hideMark/>
          </w:tcPr>
          <w:p w14:paraId="665DC8D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2520" w:type="dxa"/>
            <w:noWrap/>
            <w:hideMark/>
          </w:tcPr>
          <w:p w14:paraId="36EE3A3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2430" w:type="dxa"/>
            <w:noWrap/>
            <w:hideMark/>
          </w:tcPr>
          <w:p w14:paraId="6C3B471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0D4FC39D"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53" w:name="_Hlk197780324"/>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bookmarkEnd w:id="353"/>
    <w:p w14:paraId="4810172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distribution of the research sample by residence demonstrates broad geographic coverage across Turkey. The Marmara region is the most represented, accounting for 41.8% of the sample, followed by Central Anatolia with 22.1%, and the Aegean region with 12.5%. The remaining respondents are spread across the Black Sea (9.6%), Southeastern Anatolia (6.7%), Mediterranean (6.3%), and Eastern Anatolia (1%).</w:t>
      </w:r>
    </w:p>
    <w:p w14:paraId="2C543690" w14:textId="2046C0BC"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distribution reflects diverse regional representation, encompassing areas with varying economic and cultural characteristics, which enhances the credibility and national relevance of the study's findings. The high representation from Marmara</w:t>
      </w:r>
      <w:r w:rsidR="00497C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Turkey's economic and industrial core</w:t>
      </w:r>
      <w:r w:rsidR="00497C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offers valuable insights into consumer behavior in one of the country's key markets.</w:t>
      </w:r>
    </w:p>
    <w:p w14:paraId="35BE0988" w14:textId="45779115" w:rsidR="00AC1791" w:rsidRPr="00F31763" w:rsidRDefault="00AC1791" w:rsidP="00F31763">
      <w:pPr>
        <w:pStyle w:val="ListParagraph"/>
        <w:numPr>
          <w:ilvl w:val="2"/>
          <w:numId w:val="39"/>
        </w:numPr>
        <w:spacing w:line="360" w:lineRule="auto"/>
        <w:jc w:val="both"/>
        <w:rPr>
          <w:rFonts w:asciiTheme="majorBidi" w:hAnsiTheme="majorBidi" w:cstheme="majorBidi"/>
          <w:b/>
          <w:bCs/>
          <w:sz w:val="24"/>
          <w:szCs w:val="24"/>
          <w:lang w:val="en-US"/>
        </w:rPr>
      </w:pPr>
      <w:bookmarkStart w:id="354" w:name="_Toc200721742"/>
      <w:bookmarkStart w:id="355" w:name="_Hlk197780356"/>
      <w:r w:rsidRPr="005E488F">
        <w:rPr>
          <w:rStyle w:val="Heading5Char"/>
          <w:rFonts w:eastAsiaTheme="minorHAnsi"/>
        </w:rPr>
        <w:t>Distribution of the research sample by employment status</w:t>
      </w:r>
      <w:bookmarkEnd w:id="354"/>
      <w:r w:rsidRPr="00F31763">
        <w:rPr>
          <w:rFonts w:asciiTheme="majorBidi" w:hAnsiTheme="majorBidi" w:cstheme="majorBidi"/>
          <w:b/>
          <w:bCs/>
          <w:sz w:val="24"/>
          <w:szCs w:val="24"/>
          <w:lang w:val="en-US"/>
        </w:rPr>
        <w:t>:</w:t>
      </w:r>
    </w:p>
    <w:p w14:paraId="56806A5D"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23:</w:t>
      </w:r>
      <w:r w:rsidRPr="002551A7">
        <w:rPr>
          <w:rFonts w:asciiTheme="majorBidi" w:hAnsiTheme="majorBidi" w:cstheme="majorBidi"/>
          <w:sz w:val="24"/>
          <w:szCs w:val="24"/>
          <w:lang w:val="en-US"/>
        </w:rPr>
        <w:t xml:space="preserve"> distribution of the sample according to employment status</w:t>
      </w:r>
    </w:p>
    <w:bookmarkEnd w:id="355"/>
    <w:tbl>
      <w:tblPr>
        <w:tblStyle w:val="TableGrid"/>
        <w:tblW w:w="0" w:type="auto"/>
        <w:tblInd w:w="1075" w:type="dxa"/>
        <w:tblLook w:val="04A0" w:firstRow="1" w:lastRow="0" w:firstColumn="1" w:lastColumn="0" w:noHBand="0" w:noVBand="1"/>
      </w:tblPr>
      <w:tblGrid>
        <w:gridCol w:w="3150"/>
        <w:gridCol w:w="1620"/>
        <w:gridCol w:w="2070"/>
      </w:tblGrid>
      <w:tr w:rsidR="00AC1791" w:rsidRPr="002551A7" w14:paraId="72C0B362" w14:textId="77777777" w:rsidTr="00D56280">
        <w:trPr>
          <w:trHeight w:val="285"/>
        </w:trPr>
        <w:tc>
          <w:tcPr>
            <w:tcW w:w="3150" w:type="dxa"/>
            <w:noWrap/>
            <w:hideMark/>
          </w:tcPr>
          <w:p w14:paraId="177D6853" w14:textId="77777777" w:rsidR="00AC1791" w:rsidRPr="002551A7" w:rsidRDefault="00AC1791" w:rsidP="002551A7">
            <w:pPr>
              <w:spacing w:line="360" w:lineRule="auto"/>
              <w:jc w:val="center"/>
              <w:rPr>
                <w:rFonts w:asciiTheme="majorBidi" w:hAnsiTheme="majorBidi" w:cstheme="majorBidi"/>
                <w:b/>
                <w:bCs/>
                <w:sz w:val="24"/>
                <w:szCs w:val="24"/>
                <w:lang w:val="en-US"/>
              </w:rPr>
            </w:pPr>
          </w:p>
        </w:tc>
        <w:tc>
          <w:tcPr>
            <w:tcW w:w="1620" w:type="dxa"/>
            <w:noWrap/>
            <w:hideMark/>
          </w:tcPr>
          <w:p w14:paraId="4117F944"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2070" w:type="dxa"/>
            <w:noWrap/>
            <w:hideMark/>
          </w:tcPr>
          <w:p w14:paraId="4FC2799F"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0A8E4B04" w14:textId="77777777" w:rsidTr="00D56280">
        <w:trPr>
          <w:trHeight w:val="285"/>
        </w:trPr>
        <w:tc>
          <w:tcPr>
            <w:tcW w:w="3150" w:type="dxa"/>
            <w:noWrap/>
            <w:hideMark/>
          </w:tcPr>
          <w:p w14:paraId="65AEA2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Student</w:t>
            </w:r>
          </w:p>
        </w:tc>
        <w:tc>
          <w:tcPr>
            <w:tcW w:w="1620" w:type="dxa"/>
            <w:noWrap/>
            <w:hideMark/>
          </w:tcPr>
          <w:p w14:paraId="77A2917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35</w:t>
            </w:r>
          </w:p>
        </w:tc>
        <w:tc>
          <w:tcPr>
            <w:tcW w:w="2070" w:type="dxa"/>
            <w:noWrap/>
            <w:hideMark/>
          </w:tcPr>
          <w:p w14:paraId="32B2A5C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16.8</w:t>
            </w:r>
          </w:p>
        </w:tc>
      </w:tr>
      <w:tr w:rsidR="00AC1791" w:rsidRPr="002551A7" w14:paraId="24A1390A" w14:textId="77777777" w:rsidTr="00D56280">
        <w:trPr>
          <w:trHeight w:val="285"/>
        </w:trPr>
        <w:tc>
          <w:tcPr>
            <w:tcW w:w="3150" w:type="dxa"/>
            <w:noWrap/>
            <w:hideMark/>
          </w:tcPr>
          <w:p w14:paraId="0FE080C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Employed (Private Sector)</w:t>
            </w:r>
          </w:p>
        </w:tc>
        <w:tc>
          <w:tcPr>
            <w:tcW w:w="1620" w:type="dxa"/>
            <w:noWrap/>
            <w:hideMark/>
          </w:tcPr>
          <w:p w14:paraId="32B8AE6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w:t>
            </w:r>
          </w:p>
        </w:tc>
        <w:tc>
          <w:tcPr>
            <w:tcW w:w="2070" w:type="dxa"/>
            <w:noWrap/>
            <w:hideMark/>
          </w:tcPr>
          <w:p w14:paraId="72077F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22.1</w:t>
            </w:r>
          </w:p>
        </w:tc>
      </w:tr>
      <w:tr w:rsidR="00AC1791" w:rsidRPr="002551A7" w14:paraId="5AB6C497" w14:textId="77777777" w:rsidTr="00D56280">
        <w:trPr>
          <w:trHeight w:val="285"/>
        </w:trPr>
        <w:tc>
          <w:tcPr>
            <w:tcW w:w="3150" w:type="dxa"/>
            <w:noWrap/>
            <w:hideMark/>
          </w:tcPr>
          <w:p w14:paraId="5815F41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Employed (Public Sector)</w:t>
            </w:r>
          </w:p>
        </w:tc>
        <w:tc>
          <w:tcPr>
            <w:tcW w:w="1620" w:type="dxa"/>
            <w:noWrap/>
            <w:hideMark/>
          </w:tcPr>
          <w:p w14:paraId="5D42372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59</w:t>
            </w:r>
          </w:p>
        </w:tc>
        <w:tc>
          <w:tcPr>
            <w:tcW w:w="2070" w:type="dxa"/>
            <w:noWrap/>
            <w:hideMark/>
          </w:tcPr>
          <w:p w14:paraId="504AA55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28.4</w:t>
            </w:r>
          </w:p>
        </w:tc>
      </w:tr>
      <w:tr w:rsidR="00AC1791" w:rsidRPr="002551A7" w14:paraId="4A28EF66" w14:textId="77777777" w:rsidTr="00D56280">
        <w:trPr>
          <w:trHeight w:val="285"/>
        </w:trPr>
        <w:tc>
          <w:tcPr>
            <w:tcW w:w="3150" w:type="dxa"/>
            <w:noWrap/>
            <w:hideMark/>
          </w:tcPr>
          <w:p w14:paraId="30A0AC9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Self-employed/Entrepreneur</w:t>
            </w:r>
          </w:p>
        </w:tc>
        <w:tc>
          <w:tcPr>
            <w:tcW w:w="1620" w:type="dxa"/>
            <w:noWrap/>
            <w:hideMark/>
          </w:tcPr>
          <w:p w14:paraId="1F0A37F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w:t>
            </w:r>
          </w:p>
        </w:tc>
        <w:tc>
          <w:tcPr>
            <w:tcW w:w="2070" w:type="dxa"/>
            <w:noWrap/>
            <w:hideMark/>
          </w:tcPr>
          <w:p w14:paraId="66118BB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9.6</w:t>
            </w:r>
          </w:p>
        </w:tc>
      </w:tr>
      <w:tr w:rsidR="00AC1791" w:rsidRPr="002551A7" w14:paraId="1250862A" w14:textId="77777777" w:rsidTr="00D56280">
        <w:trPr>
          <w:trHeight w:val="285"/>
        </w:trPr>
        <w:tc>
          <w:tcPr>
            <w:tcW w:w="3150" w:type="dxa"/>
            <w:noWrap/>
            <w:hideMark/>
          </w:tcPr>
          <w:p w14:paraId="1F74FDB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Unemployed</w:t>
            </w:r>
          </w:p>
        </w:tc>
        <w:tc>
          <w:tcPr>
            <w:tcW w:w="1620" w:type="dxa"/>
            <w:noWrap/>
            <w:hideMark/>
          </w:tcPr>
          <w:p w14:paraId="6635166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19</w:t>
            </w:r>
          </w:p>
        </w:tc>
        <w:tc>
          <w:tcPr>
            <w:tcW w:w="2070" w:type="dxa"/>
            <w:noWrap/>
            <w:hideMark/>
          </w:tcPr>
          <w:p w14:paraId="1DA9B34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9.1</w:t>
            </w:r>
          </w:p>
        </w:tc>
      </w:tr>
      <w:tr w:rsidR="00AC1791" w:rsidRPr="002551A7" w14:paraId="24484432" w14:textId="77777777" w:rsidTr="00D56280">
        <w:trPr>
          <w:trHeight w:val="285"/>
        </w:trPr>
        <w:tc>
          <w:tcPr>
            <w:tcW w:w="3150" w:type="dxa"/>
            <w:noWrap/>
            <w:hideMark/>
          </w:tcPr>
          <w:p w14:paraId="3637B0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Retired</w:t>
            </w:r>
          </w:p>
        </w:tc>
        <w:tc>
          <w:tcPr>
            <w:tcW w:w="1620" w:type="dxa"/>
            <w:noWrap/>
            <w:hideMark/>
          </w:tcPr>
          <w:p w14:paraId="1168F44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w:t>
            </w:r>
          </w:p>
        </w:tc>
        <w:tc>
          <w:tcPr>
            <w:tcW w:w="2070" w:type="dxa"/>
            <w:noWrap/>
            <w:hideMark/>
          </w:tcPr>
          <w:p w14:paraId="02702BA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9.6</w:t>
            </w:r>
          </w:p>
        </w:tc>
      </w:tr>
      <w:tr w:rsidR="00AC1791" w:rsidRPr="002551A7" w14:paraId="19F211E1" w14:textId="77777777" w:rsidTr="00D56280">
        <w:trPr>
          <w:trHeight w:val="285"/>
        </w:trPr>
        <w:tc>
          <w:tcPr>
            <w:tcW w:w="3150" w:type="dxa"/>
            <w:noWrap/>
            <w:hideMark/>
          </w:tcPr>
          <w:p w14:paraId="036CFC6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Other</w:t>
            </w:r>
          </w:p>
        </w:tc>
        <w:tc>
          <w:tcPr>
            <w:tcW w:w="1620" w:type="dxa"/>
            <w:noWrap/>
            <w:hideMark/>
          </w:tcPr>
          <w:p w14:paraId="071C85F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w:t>
            </w:r>
          </w:p>
        </w:tc>
        <w:tc>
          <w:tcPr>
            <w:tcW w:w="2070" w:type="dxa"/>
            <w:noWrap/>
            <w:hideMark/>
          </w:tcPr>
          <w:p w14:paraId="6C4B25B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4.3</w:t>
            </w:r>
          </w:p>
        </w:tc>
      </w:tr>
      <w:tr w:rsidR="00AC1791" w:rsidRPr="002551A7" w14:paraId="128E77D9" w14:textId="77777777" w:rsidTr="00D56280">
        <w:trPr>
          <w:trHeight w:val="285"/>
        </w:trPr>
        <w:tc>
          <w:tcPr>
            <w:tcW w:w="3150" w:type="dxa"/>
            <w:noWrap/>
            <w:hideMark/>
          </w:tcPr>
          <w:p w14:paraId="76A4B41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1620" w:type="dxa"/>
            <w:noWrap/>
            <w:hideMark/>
          </w:tcPr>
          <w:p w14:paraId="279D978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2070" w:type="dxa"/>
            <w:noWrap/>
            <w:hideMark/>
          </w:tcPr>
          <w:p w14:paraId="63CB8A8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7E987DA5" w14:textId="77777777" w:rsidR="00AC1791" w:rsidRPr="002551A7" w:rsidRDefault="00AC1791" w:rsidP="002551A7">
      <w:pPr>
        <w:spacing w:line="360" w:lineRule="auto"/>
        <w:jc w:val="center"/>
        <w:rPr>
          <w:rFonts w:asciiTheme="majorBidi" w:hAnsiTheme="majorBidi" w:cstheme="majorBidi"/>
          <w:sz w:val="24"/>
          <w:szCs w:val="24"/>
          <w:rtl/>
          <w:lang w:val="en-US"/>
        </w:rPr>
      </w:pPr>
      <w:bookmarkStart w:id="356" w:name="_Hlk197780460"/>
      <w:r w:rsidRPr="002551A7">
        <w:rPr>
          <w:rFonts w:asciiTheme="majorBidi" w:hAnsiTheme="majorBidi" w:cstheme="majorBidi"/>
          <w:sz w:val="24"/>
          <w:szCs w:val="24"/>
          <w:lang w:val="en-US"/>
        </w:rPr>
        <w:t>Source: established by the student based on the results of spss v27</w:t>
      </w:r>
    </w:p>
    <w:p w14:paraId="3B191D86" w14:textId="77777777" w:rsidR="00AC1791" w:rsidRPr="002551A7" w:rsidRDefault="00AC1791" w:rsidP="002551A7">
      <w:pPr>
        <w:spacing w:line="360" w:lineRule="auto"/>
        <w:jc w:val="both"/>
        <w:rPr>
          <w:rFonts w:asciiTheme="majorBidi" w:hAnsiTheme="majorBidi" w:cstheme="majorBidi"/>
          <w:sz w:val="24"/>
          <w:szCs w:val="24"/>
          <w:rtl/>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table below shows the distribution of respondents according to their employment status. The largest group consists of public sector employees, representing 28.4%, followed by private sector employees at 22.1%, and students at 16.8%. Smaller proportions include retirees, unemployed individuals, and self-employed participants, reflecting a clear diversity in professional backgrounds.</w:t>
      </w:r>
    </w:p>
    <w:p w14:paraId="4D8E7DD0"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diversity in employment status enables a deeper analysis of how professional roles might influence attitudes and behaviors toward the boycott, and the openness of various groups to adopt Algerian products as alternatives.</w:t>
      </w:r>
    </w:p>
    <w:p w14:paraId="6E7D701F" w14:textId="32694C2C" w:rsidR="00AC1791" w:rsidRPr="00F31763" w:rsidRDefault="00AC1791" w:rsidP="00F31763">
      <w:pPr>
        <w:pStyle w:val="ListParagraph"/>
        <w:numPr>
          <w:ilvl w:val="2"/>
          <w:numId w:val="39"/>
        </w:numPr>
        <w:spacing w:line="360" w:lineRule="auto"/>
        <w:jc w:val="both"/>
        <w:rPr>
          <w:rFonts w:asciiTheme="majorBidi" w:hAnsiTheme="majorBidi" w:cstheme="majorBidi"/>
          <w:b/>
          <w:bCs/>
          <w:sz w:val="24"/>
          <w:szCs w:val="24"/>
          <w:lang w:val="en-US"/>
        </w:rPr>
      </w:pPr>
      <w:bookmarkStart w:id="357" w:name="_Toc200721743"/>
      <w:bookmarkStart w:id="358" w:name="_Hlk197780705"/>
      <w:bookmarkEnd w:id="356"/>
      <w:r w:rsidRPr="005E488F">
        <w:rPr>
          <w:rStyle w:val="Heading5Char"/>
          <w:rFonts w:eastAsiaTheme="minorHAnsi"/>
        </w:rPr>
        <w:t>Distribution of the research sample by incomes</w:t>
      </w:r>
      <w:bookmarkEnd w:id="357"/>
      <w:r w:rsidRPr="00F31763">
        <w:rPr>
          <w:rFonts w:asciiTheme="majorBidi" w:hAnsiTheme="majorBidi" w:cstheme="majorBidi"/>
          <w:b/>
          <w:bCs/>
          <w:sz w:val="24"/>
          <w:szCs w:val="24"/>
          <w:lang w:val="en-US"/>
        </w:rPr>
        <w:t>:</w:t>
      </w:r>
    </w:p>
    <w:p w14:paraId="5D43541D"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24:</w:t>
      </w:r>
      <w:r w:rsidRPr="002551A7">
        <w:rPr>
          <w:rFonts w:asciiTheme="majorBidi" w:hAnsiTheme="majorBidi" w:cstheme="majorBidi"/>
          <w:sz w:val="24"/>
          <w:szCs w:val="24"/>
          <w:lang w:val="en-US"/>
        </w:rPr>
        <w:t xml:space="preserve"> distribution of the sample according to incomes</w:t>
      </w:r>
    </w:p>
    <w:bookmarkEnd w:id="358"/>
    <w:tbl>
      <w:tblPr>
        <w:tblStyle w:val="TableGrid"/>
        <w:tblW w:w="0" w:type="auto"/>
        <w:tblInd w:w="1075" w:type="dxa"/>
        <w:tblLook w:val="04A0" w:firstRow="1" w:lastRow="0" w:firstColumn="1" w:lastColumn="0" w:noHBand="0" w:noVBand="1"/>
      </w:tblPr>
      <w:tblGrid>
        <w:gridCol w:w="3150"/>
        <w:gridCol w:w="1710"/>
        <w:gridCol w:w="1890"/>
      </w:tblGrid>
      <w:tr w:rsidR="00AC1791" w:rsidRPr="002551A7" w14:paraId="7A0D2168" w14:textId="77777777" w:rsidTr="00D56280">
        <w:trPr>
          <w:trHeight w:val="285"/>
        </w:trPr>
        <w:tc>
          <w:tcPr>
            <w:tcW w:w="3150" w:type="dxa"/>
            <w:noWrap/>
            <w:hideMark/>
          </w:tcPr>
          <w:p w14:paraId="7AFECA4D" w14:textId="77777777" w:rsidR="00AC1791" w:rsidRPr="002551A7" w:rsidRDefault="00AC1791" w:rsidP="002551A7">
            <w:pPr>
              <w:spacing w:line="360" w:lineRule="auto"/>
              <w:jc w:val="center"/>
              <w:rPr>
                <w:rFonts w:asciiTheme="majorBidi" w:hAnsiTheme="majorBidi" w:cstheme="majorBidi"/>
                <w:b/>
                <w:bCs/>
                <w:sz w:val="24"/>
                <w:szCs w:val="24"/>
                <w:lang w:val="en-US"/>
              </w:rPr>
            </w:pPr>
          </w:p>
        </w:tc>
        <w:tc>
          <w:tcPr>
            <w:tcW w:w="1710" w:type="dxa"/>
            <w:noWrap/>
            <w:hideMark/>
          </w:tcPr>
          <w:p w14:paraId="1BA3F026"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1890" w:type="dxa"/>
            <w:noWrap/>
            <w:hideMark/>
          </w:tcPr>
          <w:p w14:paraId="7B40A529"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0E457B20" w14:textId="77777777" w:rsidTr="00D56280">
        <w:trPr>
          <w:trHeight w:val="285"/>
        </w:trPr>
        <w:tc>
          <w:tcPr>
            <w:tcW w:w="3150" w:type="dxa"/>
            <w:noWrap/>
            <w:hideMark/>
          </w:tcPr>
          <w:p w14:paraId="64C79B6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Below 10,000 TRY</w:t>
            </w:r>
          </w:p>
        </w:tc>
        <w:tc>
          <w:tcPr>
            <w:tcW w:w="1710" w:type="dxa"/>
            <w:noWrap/>
            <w:hideMark/>
          </w:tcPr>
          <w:p w14:paraId="58A090C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44</w:t>
            </w:r>
          </w:p>
        </w:tc>
        <w:tc>
          <w:tcPr>
            <w:tcW w:w="1890" w:type="dxa"/>
            <w:noWrap/>
            <w:hideMark/>
          </w:tcPr>
          <w:p w14:paraId="22E0345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21.2</w:t>
            </w:r>
          </w:p>
        </w:tc>
      </w:tr>
      <w:tr w:rsidR="00AC1791" w:rsidRPr="002551A7" w14:paraId="609B679E" w14:textId="77777777" w:rsidTr="00D56280">
        <w:trPr>
          <w:trHeight w:val="285"/>
        </w:trPr>
        <w:tc>
          <w:tcPr>
            <w:tcW w:w="3150" w:type="dxa"/>
            <w:noWrap/>
            <w:hideMark/>
          </w:tcPr>
          <w:p w14:paraId="1A913BF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10,000–20,000 TRY</w:t>
            </w:r>
          </w:p>
        </w:tc>
        <w:tc>
          <w:tcPr>
            <w:tcW w:w="1710" w:type="dxa"/>
            <w:noWrap/>
            <w:hideMark/>
          </w:tcPr>
          <w:p w14:paraId="50B6353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16</w:t>
            </w:r>
          </w:p>
        </w:tc>
        <w:tc>
          <w:tcPr>
            <w:tcW w:w="1890" w:type="dxa"/>
            <w:noWrap/>
            <w:hideMark/>
          </w:tcPr>
          <w:p w14:paraId="7923770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7.7</w:t>
            </w:r>
          </w:p>
        </w:tc>
      </w:tr>
      <w:tr w:rsidR="00AC1791" w:rsidRPr="002551A7" w14:paraId="4DB34284" w14:textId="77777777" w:rsidTr="00D56280">
        <w:trPr>
          <w:trHeight w:val="285"/>
        </w:trPr>
        <w:tc>
          <w:tcPr>
            <w:tcW w:w="3150" w:type="dxa"/>
            <w:noWrap/>
            <w:hideMark/>
          </w:tcPr>
          <w:p w14:paraId="44E30B4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20,000–30,000 TRY</w:t>
            </w:r>
          </w:p>
        </w:tc>
        <w:tc>
          <w:tcPr>
            <w:tcW w:w="1710" w:type="dxa"/>
            <w:noWrap/>
            <w:hideMark/>
          </w:tcPr>
          <w:p w14:paraId="5533F4A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28</w:t>
            </w:r>
          </w:p>
        </w:tc>
        <w:tc>
          <w:tcPr>
            <w:tcW w:w="1890" w:type="dxa"/>
            <w:noWrap/>
            <w:hideMark/>
          </w:tcPr>
          <w:p w14:paraId="453CEF4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13.5</w:t>
            </w:r>
          </w:p>
        </w:tc>
      </w:tr>
      <w:tr w:rsidR="00AC1791" w:rsidRPr="002551A7" w14:paraId="5B427BBA" w14:textId="77777777" w:rsidTr="00D56280">
        <w:trPr>
          <w:trHeight w:val="285"/>
        </w:trPr>
        <w:tc>
          <w:tcPr>
            <w:tcW w:w="3150" w:type="dxa"/>
            <w:noWrap/>
            <w:hideMark/>
          </w:tcPr>
          <w:p w14:paraId="710B9AB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30,000–50,000 TRY</w:t>
            </w:r>
          </w:p>
        </w:tc>
        <w:tc>
          <w:tcPr>
            <w:tcW w:w="1710" w:type="dxa"/>
            <w:noWrap/>
            <w:hideMark/>
          </w:tcPr>
          <w:p w14:paraId="653C4E3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44</w:t>
            </w:r>
          </w:p>
        </w:tc>
        <w:tc>
          <w:tcPr>
            <w:tcW w:w="1890" w:type="dxa"/>
            <w:noWrap/>
            <w:hideMark/>
          </w:tcPr>
          <w:p w14:paraId="5591F3C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21.2</w:t>
            </w:r>
          </w:p>
        </w:tc>
      </w:tr>
      <w:tr w:rsidR="00AC1791" w:rsidRPr="002551A7" w14:paraId="029C2524" w14:textId="77777777" w:rsidTr="00D56280">
        <w:trPr>
          <w:trHeight w:val="285"/>
        </w:trPr>
        <w:tc>
          <w:tcPr>
            <w:tcW w:w="3150" w:type="dxa"/>
            <w:noWrap/>
            <w:hideMark/>
          </w:tcPr>
          <w:p w14:paraId="2091654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Above 50,000 TRY</w:t>
            </w:r>
          </w:p>
        </w:tc>
        <w:tc>
          <w:tcPr>
            <w:tcW w:w="1710" w:type="dxa"/>
            <w:noWrap/>
            <w:hideMark/>
          </w:tcPr>
          <w:p w14:paraId="04E69B4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76</w:t>
            </w:r>
          </w:p>
        </w:tc>
        <w:tc>
          <w:tcPr>
            <w:tcW w:w="1890" w:type="dxa"/>
            <w:noWrap/>
            <w:hideMark/>
          </w:tcPr>
          <w:p w14:paraId="1DDEACE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36.5</w:t>
            </w:r>
          </w:p>
        </w:tc>
      </w:tr>
      <w:tr w:rsidR="00AC1791" w:rsidRPr="002551A7" w14:paraId="1D763E8C" w14:textId="77777777" w:rsidTr="00D56280">
        <w:trPr>
          <w:trHeight w:val="285"/>
        </w:trPr>
        <w:tc>
          <w:tcPr>
            <w:tcW w:w="3150" w:type="dxa"/>
            <w:noWrap/>
            <w:hideMark/>
          </w:tcPr>
          <w:p w14:paraId="3B4975E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1710" w:type="dxa"/>
            <w:noWrap/>
            <w:hideMark/>
          </w:tcPr>
          <w:p w14:paraId="0C3DC02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1890" w:type="dxa"/>
            <w:noWrap/>
            <w:hideMark/>
          </w:tcPr>
          <w:p w14:paraId="38011B0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5C4A4F62" w14:textId="77777777" w:rsidR="00AC1791" w:rsidRPr="002551A7" w:rsidRDefault="00AC1791" w:rsidP="002551A7">
      <w:pPr>
        <w:spacing w:line="360" w:lineRule="auto"/>
        <w:jc w:val="center"/>
        <w:rPr>
          <w:rFonts w:asciiTheme="majorBidi" w:hAnsiTheme="majorBidi" w:cstheme="majorBidi"/>
          <w:sz w:val="24"/>
          <w:szCs w:val="24"/>
          <w:rtl/>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p w14:paraId="29D44A3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table presents the distribution of respondents according to their monthly income level. The largest group belongs to those earning above 50,000 TRY, representing 36.5% of the sample, followed by two groups earning below 10,000 TRY and 30,000–50,000 TRY, each constituting 21.2%. The middle-income groups (10,000–30,000 TRY) make up a smaller portion.</w:t>
      </w:r>
    </w:p>
    <w:p w14:paraId="503074E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distribution indicates that a significant portion of respondents has relatively high purchasing power, which may reflect their willingness to try alternative products</w:t>
      </w: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especially in the context of a boycott campaign.</w:t>
      </w:r>
    </w:p>
    <w:p w14:paraId="6E028A7A" w14:textId="7EC158A8" w:rsidR="00AC1791" w:rsidRPr="00F31763" w:rsidRDefault="00AC1791" w:rsidP="00F31763">
      <w:pPr>
        <w:pStyle w:val="ListParagraph"/>
        <w:numPr>
          <w:ilvl w:val="2"/>
          <w:numId w:val="39"/>
        </w:numPr>
        <w:spacing w:line="360" w:lineRule="auto"/>
        <w:jc w:val="both"/>
        <w:rPr>
          <w:rFonts w:asciiTheme="majorBidi" w:hAnsiTheme="majorBidi" w:cstheme="majorBidi"/>
          <w:b/>
          <w:bCs/>
          <w:sz w:val="24"/>
          <w:szCs w:val="24"/>
          <w:lang w:val="en-US"/>
        </w:rPr>
      </w:pPr>
      <w:bookmarkStart w:id="359" w:name="_Toc200721744"/>
      <w:bookmarkStart w:id="360" w:name="_Hlk197781405"/>
      <w:r w:rsidRPr="005E488F">
        <w:rPr>
          <w:rStyle w:val="Heading5Char"/>
          <w:rFonts w:eastAsiaTheme="minorHAnsi"/>
        </w:rPr>
        <w:t>Distribution of the research sample by marital status</w:t>
      </w:r>
      <w:bookmarkEnd w:id="359"/>
      <w:r w:rsidRPr="00F31763">
        <w:rPr>
          <w:rFonts w:asciiTheme="majorBidi" w:hAnsiTheme="majorBidi" w:cstheme="majorBidi"/>
          <w:b/>
          <w:bCs/>
          <w:sz w:val="24"/>
          <w:szCs w:val="24"/>
          <w:lang w:val="en-US"/>
        </w:rPr>
        <w:t>:</w:t>
      </w:r>
    </w:p>
    <w:p w14:paraId="7287571D"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25:</w:t>
      </w:r>
      <w:r w:rsidRPr="002551A7">
        <w:rPr>
          <w:rFonts w:asciiTheme="majorBidi" w:hAnsiTheme="majorBidi" w:cstheme="majorBidi"/>
          <w:sz w:val="24"/>
          <w:szCs w:val="24"/>
          <w:lang w:val="en-US"/>
        </w:rPr>
        <w:t xml:space="preserve"> distribution of the sample according to </w:t>
      </w:r>
      <w:bookmarkEnd w:id="360"/>
      <w:r w:rsidRPr="002551A7">
        <w:rPr>
          <w:rFonts w:asciiTheme="majorBidi" w:hAnsiTheme="majorBidi" w:cstheme="majorBidi"/>
          <w:sz w:val="24"/>
          <w:szCs w:val="24"/>
          <w:lang w:val="en-US"/>
        </w:rPr>
        <w:t>marital status</w:t>
      </w:r>
    </w:p>
    <w:tbl>
      <w:tblPr>
        <w:tblStyle w:val="TableGrid"/>
        <w:tblW w:w="0" w:type="auto"/>
        <w:tblInd w:w="1075" w:type="dxa"/>
        <w:tblLook w:val="04A0" w:firstRow="1" w:lastRow="0" w:firstColumn="1" w:lastColumn="0" w:noHBand="0" w:noVBand="1"/>
      </w:tblPr>
      <w:tblGrid>
        <w:gridCol w:w="3150"/>
        <w:gridCol w:w="1710"/>
        <w:gridCol w:w="1890"/>
      </w:tblGrid>
      <w:tr w:rsidR="00AC1791" w:rsidRPr="002551A7" w14:paraId="7A0AB56A" w14:textId="77777777" w:rsidTr="00D56280">
        <w:trPr>
          <w:trHeight w:val="285"/>
        </w:trPr>
        <w:tc>
          <w:tcPr>
            <w:tcW w:w="3150" w:type="dxa"/>
            <w:noWrap/>
            <w:hideMark/>
          </w:tcPr>
          <w:p w14:paraId="4D25E9D9" w14:textId="77777777" w:rsidR="00AC1791" w:rsidRPr="002551A7" w:rsidRDefault="00AC1791" w:rsidP="002551A7">
            <w:pPr>
              <w:spacing w:line="360" w:lineRule="auto"/>
              <w:jc w:val="center"/>
              <w:rPr>
                <w:rFonts w:asciiTheme="majorBidi" w:hAnsiTheme="majorBidi" w:cstheme="majorBidi"/>
                <w:sz w:val="24"/>
                <w:szCs w:val="24"/>
                <w:lang w:val="en-US"/>
              </w:rPr>
            </w:pPr>
          </w:p>
        </w:tc>
        <w:tc>
          <w:tcPr>
            <w:tcW w:w="1710" w:type="dxa"/>
            <w:noWrap/>
            <w:hideMark/>
          </w:tcPr>
          <w:p w14:paraId="4288FC7A"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1890" w:type="dxa"/>
            <w:noWrap/>
            <w:hideMark/>
          </w:tcPr>
          <w:p w14:paraId="1C4ABB93"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4EC41537" w14:textId="77777777" w:rsidTr="00D56280">
        <w:trPr>
          <w:trHeight w:val="285"/>
        </w:trPr>
        <w:tc>
          <w:tcPr>
            <w:tcW w:w="3150" w:type="dxa"/>
            <w:noWrap/>
            <w:hideMark/>
          </w:tcPr>
          <w:p w14:paraId="07DE9A7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Single</w:t>
            </w:r>
          </w:p>
        </w:tc>
        <w:tc>
          <w:tcPr>
            <w:tcW w:w="1710" w:type="dxa"/>
            <w:noWrap/>
            <w:hideMark/>
          </w:tcPr>
          <w:p w14:paraId="01D9BEB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143</w:t>
            </w:r>
          </w:p>
        </w:tc>
        <w:tc>
          <w:tcPr>
            <w:tcW w:w="1890" w:type="dxa"/>
            <w:noWrap/>
            <w:hideMark/>
          </w:tcPr>
          <w:p w14:paraId="1975943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68.8</w:t>
            </w:r>
          </w:p>
        </w:tc>
      </w:tr>
      <w:tr w:rsidR="00AC1791" w:rsidRPr="002551A7" w14:paraId="18B4DE0C" w14:textId="77777777" w:rsidTr="00D56280">
        <w:trPr>
          <w:trHeight w:val="285"/>
        </w:trPr>
        <w:tc>
          <w:tcPr>
            <w:tcW w:w="3150" w:type="dxa"/>
            <w:noWrap/>
            <w:hideMark/>
          </w:tcPr>
          <w:p w14:paraId="536ECCE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Married</w:t>
            </w:r>
          </w:p>
        </w:tc>
        <w:tc>
          <w:tcPr>
            <w:tcW w:w="1710" w:type="dxa"/>
            <w:noWrap/>
            <w:hideMark/>
          </w:tcPr>
          <w:p w14:paraId="5CB77F4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57</w:t>
            </w:r>
          </w:p>
        </w:tc>
        <w:tc>
          <w:tcPr>
            <w:tcW w:w="1890" w:type="dxa"/>
            <w:noWrap/>
            <w:hideMark/>
          </w:tcPr>
          <w:p w14:paraId="069B8E7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27.4</w:t>
            </w:r>
          </w:p>
        </w:tc>
      </w:tr>
      <w:tr w:rsidR="00AC1791" w:rsidRPr="002551A7" w14:paraId="7C7CEBC3" w14:textId="77777777" w:rsidTr="00D56280">
        <w:trPr>
          <w:trHeight w:val="285"/>
        </w:trPr>
        <w:tc>
          <w:tcPr>
            <w:tcW w:w="3150" w:type="dxa"/>
            <w:noWrap/>
            <w:hideMark/>
          </w:tcPr>
          <w:p w14:paraId="6DB727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Divorced</w:t>
            </w:r>
          </w:p>
        </w:tc>
        <w:tc>
          <w:tcPr>
            <w:tcW w:w="1710" w:type="dxa"/>
            <w:noWrap/>
            <w:hideMark/>
          </w:tcPr>
          <w:p w14:paraId="2661525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w:t>
            </w:r>
          </w:p>
        </w:tc>
        <w:tc>
          <w:tcPr>
            <w:tcW w:w="1890" w:type="dxa"/>
            <w:noWrap/>
            <w:hideMark/>
          </w:tcPr>
          <w:p w14:paraId="7EA0DE4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3.8</w:t>
            </w:r>
          </w:p>
        </w:tc>
      </w:tr>
      <w:tr w:rsidR="00AC1791" w:rsidRPr="002551A7" w14:paraId="4649B0D7" w14:textId="77777777" w:rsidTr="00D56280">
        <w:trPr>
          <w:trHeight w:val="285"/>
        </w:trPr>
        <w:tc>
          <w:tcPr>
            <w:tcW w:w="3150" w:type="dxa"/>
            <w:noWrap/>
            <w:hideMark/>
          </w:tcPr>
          <w:p w14:paraId="5F6D963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1710" w:type="dxa"/>
            <w:noWrap/>
            <w:hideMark/>
          </w:tcPr>
          <w:p w14:paraId="0A29B2D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1890" w:type="dxa"/>
            <w:noWrap/>
            <w:hideMark/>
          </w:tcPr>
          <w:p w14:paraId="7CBEFF0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1411FC1A" w14:textId="77777777" w:rsidR="00AC1791" w:rsidRPr="002551A7" w:rsidRDefault="00AC1791" w:rsidP="002551A7">
      <w:pPr>
        <w:spacing w:line="360" w:lineRule="auto"/>
        <w:jc w:val="center"/>
        <w:rPr>
          <w:rFonts w:asciiTheme="majorBidi" w:hAnsiTheme="majorBidi" w:cstheme="majorBidi"/>
          <w:sz w:val="24"/>
          <w:szCs w:val="24"/>
          <w:rtl/>
          <w:lang w:val="en-US"/>
        </w:rPr>
      </w:pPr>
      <w:bookmarkStart w:id="361" w:name="_Hlk197781527"/>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p w14:paraId="11013CA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table below shows the distribution of the respondents based on their marital status. Single individuals make up the largest portion, with 68.8%, followed by married individuals at 27.4%. Divorced individuals represent a very small percentage, at 3.8%.</w:t>
      </w:r>
    </w:p>
    <w:p w14:paraId="77817A68"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distribution might be important when analyzing people's attitudes towards the products being promoted, as marital status can influence values and purchasing interests.</w:t>
      </w:r>
    </w:p>
    <w:p w14:paraId="3D41E583" w14:textId="58C0C322" w:rsidR="00AC1791" w:rsidRPr="00F31763" w:rsidRDefault="00AC1791" w:rsidP="00F31763">
      <w:pPr>
        <w:pStyle w:val="ListParagraph"/>
        <w:numPr>
          <w:ilvl w:val="2"/>
          <w:numId w:val="39"/>
        </w:numPr>
        <w:spacing w:line="360" w:lineRule="auto"/>
        <w:jc w:val="both"/>
        <w:rPr>
          <w:rFonts w:asciiTheme="majorBidi" w:hAnsiTheme="majorBidi" w:cstheme="majorBidi"/>
          <w:b/>
          <w:bCs/>
          <w:sz w:val="24"/>
          <w:szCs w:val="24"/>
          <w:lang w:val="en-US"/>
        </w:rPr>
      </w:pPr>
      <w:bookmarkStart w:id="362" w:name="_Toc200721745"/>
      <w:bookmarkEnd w:id="361"/>
      <w:r w:rsidRPr="005E488F">
        <w:rPr>
          <w:rStyle w:val="Heading5Char"/>
          <w:rFonts w:eastAsiaTheme="minorHAnsi"/>
        </w:rPr>
        <w:t>Distribution of the research sample by family number</w:t>
      </w:r>
      <w:bookmarkEnd w:id="362"/>
      <w:r w:rsidRPr="00F31763">
        <w:rPr>
          <w:rFonts w:asciiTheme="majorBidi" w:hAnsiTheme="majorBidi" w:cstheme="majorBidi"/>
          <w:b/>
          <w:bCs/>
          <w:sz w:val="24"/>
          <w:szCs w:val="24"/>
          <w:lang w:val="en-US"/>
        </w:rPr>
        <w:t>:</w:t>
      </w:r>
    </w:p>
    <w:p w14:paraId="240EA4A3"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26:</w:t>
      </w:r>
      <w:r w:rsidRPr="002551A7">
        <w:rPr>
          <w:rFonts w:asciiTheme="majorBidi" w:hAnsiTheme="majorBidi" w:cstheme="majorBidi"/>
          <w:sz w:val="24"/>
          <w:szCs w:val="24"/>
          <w:lang w:val="en-US"/>
        </w:rPr>
        <w:t xml:space="preserve"> distribution of the sample according to family number</w:t>
      </w:r>
    </w:p>
    <w:tbl>
      <w:tblPr>
        <w:tblStyle w:val="TableGrid"/>
        <w:tblW w:w="0" w:type="auto"/>
        <w:tblInd w:w="1075" w:type="dxa"/>
        <w:tblLook w:val="04A0" w:firstRow="1" w:lastRow="0" w:firstColumn="1" w:lastColumn="0" w:noHBand="0" w:noVBand="1"/>
      </w:tblPr>
      <w:tblGrid>
        <w:gridCol w:w="3150"/>
        <w:gridCol w:w="1620"/>
        <w:gridCol w:w="1980"/>
      </w:tblGrid>
      <w:tr w:rsidR="00AC1791" w:rsidRPr="002551A7" w14:paraId="5B17D820" w14:textId="77777777" w:rsidTr="00D56280">
        <w:trPr>
          <w:trHeight w:val="285"/>
        </w:trPr>
        <w:tc>
          <w:tcPr>
            <w:tcW w:w="3150" w:type="dxa"/>
            <w:noWrap/>
            <w:hideMark/>
          </w:tcPr>
          <w:p w14:paraId="60CED715" w14:textId="77777777" w:rsidR="00AC1791" w:rsidRPr="002551A7" w:rsidRDefault="00AC1791" w:rsidP="002551A7">
            <w:pPr>
              <w:spacing w:line="360" w:lineRule="auto"/>
              <w:jc w:val="center"/>
              <w:rPr>
                <w:rFonts w:asciiTheme="majorBidi" w:hAnsiTheme="majorBidi" w:cstheme="majorBidi"/>
                <w:sz w:val="24"/>
                <w:szCs w:val="24"/>
                <w:lang w:val="en-US"/>
              </w:rPr>
            </w:pPr>
          </w:p>
        </w:tc>
        <w:tc>
          <w:tcPr>
            <w:tcW w:w="1620" w:type="dxa"/>
            <w:noWrap/>
            <w:hideMark/>
          </w:tcPr>
          <w:p w14:paraId="7A1E209C"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1980" w:type="dxa"/>
            <w:noWrap/>
            <w:hideMark/>
          </w:tcPr>
          <w:p w14:paraId="70D5F4A9"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5E8EFAD5" w14:textId="77777777" w:rsidTr="00D56280">
        <w:trPr>
          <w:trHeight w:val="285"/>
        </w:trPr>
        <w:tc>
          <w:tcPr>
            <w:tcW w:w="3150" w:type="dxa"/>
            <w:noWrap/>
            <w:hideMark/>
          </w:tcPr>
          <w:p w14:paraId="3CCB30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 (Living alone)</w:t>
            </w:r>
          </w:p>
        </w:tc>
        <w:tc>
          <w:tcPr>
            <w:tcW w:w="1620" w:type="dxa"/>
            <w:noWrap/>
            <w:hideMark/>
          </w:tcPr>
          <w:p w14:paraId="5A160EC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24</w:t>
            </w:r>
          </w:p>
        </w:tc>
        <w:tc>
          <w:tcPr>
            <w:tcW w:w="1980" w:type="dxa"/>
            <w:noWrap/>
            <w:hideMark/>
          </w:tcPr>
          <w:p w14:paraId="1B426E5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11.5</w:t>
            </w:r>
          </w:p>
        </w:tc>
      </w:tr>
      <w:tr w:rsidR="00AC1791" w:rsidRPr="002551A7" w14:paraId="5EDE3D8E" w14:textId="77777777" w:rsidTr="00D56280">
        <w:trPr>
          <w:trHeight w:val="285"/>
        </w:trPr>
        <w:tc>
          <w:tcPr>
            <w:tcW w:w="3150" w:type="dxa"/>
            <w:noWrap/>
            <w:hideMark/>
          </w:tcPr>
          <w:p w14:paraId="2E399C5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2–3</w:t>
            </w:r>
          </w:p>
        </w:tc>
        <w:tc>
          <w:tcPr>
            <w:tcW w:w="1620" w:type="dxa"/>
            <w:noWrap/>
            <w:hideMark/>
          </w:tcPr>
          <w:p w14:paraId="732E883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96</w:t>
            </w:r>
          </w:p>
        </w:tc>
        <w:tc>
          <w:tcPr>
            <w:tcW w:w="1980" w:type="dxa"/>
            <w:noWrap/>
            <w:hideMark/>
          </w:tcPr>
          <w:p w14:paraId="5B2CC06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46.2</w:t>
            </w:r>
          </w:p>
        </w:tc>
      </w:tr>
      <w:tr w:rsidR="00AC1791" w:rsidRPr="002551A7" w14:paraId="751EA323" w14:textId="77777777" w:rsidTr="00D56280">
        <w:trPr>
          <w:trHeight w:val="285"/>
        </w:trPr>
        <w:tc>
          <w:tcPr>
            <w:tcW w:w="3150" w:type="dxa"/>
            <w:noWrap/>
            <w:hideMark/>
          </w:tcPr>
          <w:p w14:paraId="0EEC606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4–5</w:t>
            </w:r>
          </w:p>
        </w:tc>
        <w:tc>
          <w:tcPr>
            <w:tcW w:w="1620" w:type="dxa"/>
            <w:noWrap/>
            <w:hideMark/>
          </w:tcPr>
          <w:p w14:paraId="1D3A436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80</w:t>
            </w:r>
          </w:p>
        </w:tc>
        <w:tc>
          <w:tcPr>
            <w:tcW w:w="1980" w:type="dxa"/>
            <w:noWrap/>
            <w:hideMark/>
          </w:tcPr>
          <w:p w14:paraId="5F37A76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38.5</w:t>
            </w:r>
          </w:p>
        </w:tc>
      </w:tr>
      <w:tr w:rsidR="00AC1791" w:rsidRPr="002551A7" w14:paraId="12BAD5D2" w14:textId="77777777" w:rsidTr="00D56280">
        <w:trPr>
          <w:trHeight w:val="285"/>
        </w:trPr>
        <w:tc>
          <w:tcPr>
            <w:tcW w:w="3150" w:type="dxa"/>
            <w:noWrap/>
            <w:hideMark/>
          </w:tcPr>
          <w:p w14:paraId="33656BC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More than 5</w:t>
            </w:r>
          </w:p>
        </w:tc>
        <w:tc>
          <w:tcPr>
            <w:tcW w:w="1620" w:type="dxa"/>
            <w:noWrap/>
            <w:hideMark/>
          </w:tcPr>
          <w:p w14:paraId="54E57B8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8</w:t>
            </w:r>
          </w:p>
        </w:tc>
        <w:tc>
          <w:tcPr>
            <w:tcW w:w="1980" w:type="dxa"/>
            <w:noWrap/>
            <w:hideMark/>
          </w:tcPr>
          <w:p w14:paraId="02BFCA2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3.8</w:t>
            </w:r>
          </w:p>
        </w:tc>
      </w:tr>
      <w:tr w:rsidR="00AC1791" w:rsidRPr="002551A7" w14:paraId="22532A80" w14:textId="77777777" w:rsidTr="00D56280">
        <w:trPr>
          <w:trHeight w:val="285"/>
        </w:trPr>
        <w:tc>
          <w:tcPr>
            <w:tcW w:w="3150" w:type="dxa"/>
            <w:noWrap/>
            <w:hideMark/>
          </w:tcPr>
          <w:p w14:paraId="24A98DB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1620" w:type="dxa"/>
            <w:noWrap/>
            <w:hideMark/>
          </w:tcPr>
          <w:p w14:paraId="17AF823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1980" w:type="dxa"/>
            <w:noWrap/>
            <w:hideMark/>
          </w:tcPr>
          <w:p w14:paraId="43229FA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6B9234C2" w14:textId="77777777" w:rsidR="00AC1791" w:rsidRPr="002551A7" w:rsidRDefault="00AC1791" w:rsidP="002551A7">
      <w:pPr>
        <w:spacing w:line="360" w:lineRule="auto"/>
        <w:jc w:val="center"/>
        <w:rPr>
          <w:rFonts w:asciiTheme="majorBidi" w:hAnsiTheme="majorBidi" w:cstheme="majorBidi"/>
          <w:sz w:val="24"/>
          <w:szCs w:val="24"/>
          <w:rtl/>
          <w:lang w:val="en-US"/>
        </w:rPr>
      </w:pPr>
      <w:bookmarkStart w:id="363" w:name="_Hlk197781711"/>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p w14:paraId="62FEE285"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table below shows the distribution of respondents according to the number of family members. Individuals living alone or with 1 person make up 11.5% of the sample, while those living with 2-3 family members represent 46.2%. Individuals living with 4-5 family members make up 38.5% of the sample. Those living with more than 5 family members represent only 3.8%.</w:t>
      </w:r>
    </w:p>
    <w:p w14:paraId="674505D2"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distribution could have an impact on consumer behavior, as the family size may influence the types of products needed or the interest in family-oriented products.</w:t>
      </w:r>
    </w:p>
    <w:p w14:paraId="5DFD2CA4" w14:textId="1D8B9BEA" w:rsidR="00AC1791" w:rsidRPr="00F31763" w:rsidRDefault="00AC1791" w:rsidP="00F31763">
      <w:pPr>
        <w:pStyle w:val="ListParagraph"/>
        <w:numPr>
          <w:ilvl w:val="2"/>
          <w:numId w:val="39"/>
        </w:numPr>
        <w:spacing w:line="360" w:lineRule="auto"/>
        <w:jc w:val="both"/>
        <w:rPr>
          <w:rFonts w:asciiTheme="majorBidi" w:hAnsiTheme="majorBidi" w:cstheme="majorBidi"/>
          <w:b/>
          <w:bCs/>
          <w:sz w:val="24"/>
          <w:szCs w:val="24"/>
          <w:lang w:val="en-US"/>
        </w:rPr>
      </w:pPr>
      <w:bookmarkStart w:id="364" w:name="_Toc200721746"/>
      <w:bookmarkEnd w:id="363"/>
      <w:r w:rsidRPr="005E488F">
        <w:rPr>
          <w:rStyle w:val="Heading5Char"/>
          <w:rFonts w:eastAsiaTheme="minorHAnsi"/>
        </w:rPr>
        <w:t>Distribution of the research sample by purchase place</w:t>
      </w:r>
      <w:bookmarkEnd w:id="364"/>
      <w:r w:rsidRPr="00F31763">
        <w:rPr>
          <w:rFonts w:asciiTheme="majorBidi" w:hAnsiTheme="majorBidi" w:cstheme="majorBidi"/>
          <w:b/>
          <w:bCs/>
          <w:sz w:val="24"/>
          <w:szCs w:val="24"/>
          <w:lang w:val="en-US"/>
        </w:rPr>
        <w:t>:</w:t>
      </w:r>
    </w:p>
    <w:p w14:paraId="54A68A3C"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27:</w:t>
      </w:r>
      <w:r w:rsidRPr="002551A7">
        <w:rPr>
          <w:rFonts w:asciiTheme="majorBidi" w:hAnsiTheme="majorBidi" w:cstheme="majorBidi"/>
          <w:sz w:val="24"/>
          <w:szCs w:val="24"/>
          <w:lang w:val="en-US"/>
        </w:rPr>
        <w:t xml:space="preserve"> distribution of the sample according to purchase place</w:t>
      </w:r>
    </w:p>
    <w:tbl>
      <w:tblPr>
        <w:tblStyle w:val="TableGrid"/>
        <w:tblW w:w="0" w:type="auto"/>
        <w:tblInd w:w="1075" w:type="dxa"/>
        <w:tblLook w:val="04A0" w:firstRow="1" w:lastRow="0" w:firstColumn="1" w:lastColumn="0" w:noHBand="0" w:noVBand="1"/>
      </w:tblPr>
      <w:tblGrid>
        <w:gridCol w:w="3150"/>
        <w:gridCol w:w="1620"/>
        <w:gridCol w:w="1980"/>
      </w:tblGrid>
      <w:tr w:rsidR="00AC1791" w:rsidRPr="002551A7" w14:paraId="72AAE7AC" w14:textId="77777777" w:rsidTr="00D56280">
        <w:trPr>
          <w:trHeight w:val="285"/>
        </w:trPr>
        <w:tc>
          <w:tcPr>
            <w:tcW w:w="3150" w:type="dxa"/>
            <w:noWrap/>
            <w:hideMark/>
          </w:tcPr>
          <w:p w14:paraId="141206E7" w14:textId="77777777" w:rsidR="00AC1791" w:rsidRPr="002551A7" w:rsidRDefault="00AC1791" w:rsidP="002551A7">
            <w:pPr>
              <w:spacing w:line="360" w:lineRule="auto"/>
              <w:jc w:val="center"/>
              <w:rPr>
                <w:rFonts w:asciiTheme="majorBidi" w:hAnsiTheme="majorBidi" w:cstheme="majorBidi"/>
                <w:sz w:val="24"/>
                <w:szCs w:val="24"/>
                <w:lang w:val="en-US"/>
              </w:rPr>
            </w:pPr>
          </w:p>
        </w:tc>
        <w:tc>
          <w:tcPr>
            <w:tcW w:w="1620" w:type="dxa"/>
            <w:noWrap/>
            <w:hideMark/>
          </w:tcPr>
          <w:p w14:paraId="129F7D00"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Frequency</w:t>
            </w:r>
          </w:p>
        </w:tc>
        <w:tc>
          <w:tcPr>
            <w:tcW w:w="1980" w:type="dxa"/>
            <w:noWrap/>
            <w:hideMark/>
          </w:tcPr>
          <w:p w14:paraId="0B8B1B81" w14:textId="77777777" w:rsidR="00AC1791" w:rsidRPr="002551A7" w:rsidRDefault="00AC1791" w:rsidP="002551A7">
            <w:pPr>
              <w:spacing w:line="360" w:lineRule="auto"/>
              <w:jc w:val="center"/>
              <w:rPr>
                <w:rFonts w:asciiTheme="majorBidi" w:hAnsiTheme="majorBidi" w:cstheme="majorBidi"/>
                <w:b/>
                <w:bCs/>
                <w:sz w:val="24"/>
                <w:szCs w:val="24"/>
              </w:rPr>
            </w:pPr>
            <w:r w:rsidRPr="002551A7">
              <w:rPr>
                <w:rFonts w:asciiTheme="majorBidi" w:hAnsiTheme="majorBidi" w:cstheme="majorBidi"/>
                <w:b/>
                <w:bCs/>
                <w:sz w:val="24"/>
                <w:szCs w:val="24"/>
              </w:rPr>
              <w:t>Pourcentage</w:t>
            </w:r>
          </w:p>
        </w:tc>
      </w:tr>
      <w:tr w:rsidR="00AC1791" w:rsidRPr="002551A7" w14:paraId="5DC9842A" w14:textId="77777777" w:rsidTr="00D56280">
        <w:trPr>
          <w:trHeight w:val="285"/>
        </w:trPr>
        <w:tc>
          <w:tcPr>
            <w:tcW w:w="3150" w:type="dxa"/>
            <w:noWrap/>
            <w:hideMark/>
          </w:tcPr>
          <w:p w14:paraId="21869A1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Shopping malls</w:t>
            </w:r>
          </w:p>
        </w:tc>
        <w:tc>
          <w:tcPr>
            <w:tcW w:w="1620" w:type="dxa"/>
            <w:noWrap/>
            <w:hideMark/>
          </w:tcPr>
          <w:p w14:paraId="43D2075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40</w:t>
            </w:r>
          </w:p>
        </w:tc>
        <w:tc>
          <w:tcPr>
            <w:tcW w:w="1980" w:type="dxa"/>
            <w:noWrap/>
            <w:hideMark/>
          </w:tcPr>
          <w:p w14:paraId="6B70B48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19.2</w:t>
            </w:r>
          </w:p>
        </w:tc>
      </w:tr>
      <w:tr w:rsidR="00AC1791" w:rsidRPr="002551A7" w14:paraId="59D49A44" w14:textId="77777777" w:rsidTr="00D56280">
        <w:trPr>
          <w:trHeight w:val="285"/>
        </w:trPr>
        <w:tc>
          <w:tcPr>
            <w:tcW w:w="3150" w:type="dxa"/>
            <w:noWrap/>
            <w:hideMark/>
          </w:tcPr>
          <w:p w14:paraId="16E02E3B"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Cosmetic stores (Gratis, Watsons, etc.)</w:t>
            </w:r>
          </w:p>
        </w:tc>
        <w:tc>
          <w:tcPr>
            <w:tcW w:w="1620" w:type="dxa"/>
            <w:noWrap/>
            <w:hideMark/>
          </w:tcPr>
          <w:p w14:paraId="315A414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98</w:t>
            </w:r>
          </w:p>
        </w:tc>
        <w:tc>
          <w:tcPr>
            <w:tcW w:w="1980" w:type="dxa"/>
            <w:noWrap/>
            <w:hideMark/>
          </w:tcPr>
          <w:p w14:paraId="6E875BA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47.1</w:t>
            </w:r>
          </w:p>
        </w:tc>
      </w:tr>
      <w:tr w:rsidR="00AC1791" w:rsidRPr="002551A7" w14:paraId="256E102E" w14:textId="77777777" w:rsidTr="00D56280">
        <w:trPr>
          <w:trHeight w:val="285"/>
        </w:trPr>
        <w:tc>
          <w:tcPr>
            <w:tcW w:w="3150" w:type="dxa"/>
            <w:noWrap/>
            <w:hideMark/>
          </w:tcPr>
          <w:p w14:paraId="4C2F195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Online shopping platforms</w:t>
            </w:r>
          </w:p>
        </w:tc>
        <w:tc>
          <w:tcPr>
            <w:tcW w:w="1620" w:type="dxa"/>
            <w:noWrap/>
            <w:hideMark/>
          </w:tcPr>
          <w:p w14:paraId="45EB008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48</w:t>
            </w:r>
          </w:p>
        </w:tc>
        <w:tc>
          <w:tcPr>
            <w:tcW w:w="1980" w:type="dxa"/>
            <w:noWrap/>
            <w:hideMark/>
          </w:tcPr>
          <w:p w14:paraId="637F4B0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23.1</w:t>
            </w:r>
          </w:p>
        </w:tc>
      </w:tr>
      <w:tr w:rsidR="00AC1791" w:rsidRPr="002551A7" w14:paraId="39BD2C5B" w14:textId="77777777" w:rsidTr="00D56280">
        <w:trPr>
          <w:trHeight w:val="285"/>
        </w:trPr>
        <w:tc>
          <w:tcPr>
            <w:tcW w:w="3150" w:type="dxa"/>
            <w:noWrap/>
            <w:hideMark/>
          </w:tcPr>
          <w:p w14:paraId="0A6F76E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Other</w:t>
            </w:r>
          </w:p>
        </w:tc>
        <w:tc>
          <w:tcPr>
            <w:tcW w:w="1620" w:type="dxa"/>
            <w:noWrap/>
            <w:hideMark/>
          </w:tcPr>
          <w:p w14:paraId="713031C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22</w:t>
            </w:r>
          </w:p>
        </w:tc>
        <w:tc>
          <w:tcPr>
            <w:tcW w:w="1980" w:type="dxa"/>
            <w:noWrap/>
            <w:hideMark/>
          </w:tcPr>
          <w:p w14:paraId="60F1DD2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10.6</w:t>
            </w:r>
          </w:p>
        </w:tc>
      </w:tr>
      <w:tr w:rsidR="00AC1791" w:rsidRPr="002551A7" w14:paraId="5CDBC5A4" w14:textId="77777777" w:rsidTr="00D56280">
        <w:trPr>
          <w:trHeight w:val="285"/>
        </w:trPr>
        <w:tc>
          <w:tcPr>
            <w:tcW w:w="3150" w:type="dxa"/>
            <w:noWrap/>
            <w:hideMark/>
          </w:tcPr>
          <w:p w14:paraId="295B721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Total</w:t>
            </w:r>
          </w:p>
        </w:tc>
        <w:tc>
          <w:tcPr>
            <w:tcW w:w="1620" w:type="dxa"/>
            <w:noWrap/>
            <w:hideMark/>
          </w:tcPr>
          <w:p w14:paraId="34344CF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208</w:t>
            </w:r>
          </w:p>
        </w:tc>
        <w:tc>
          <w:tcPr>
            <w:tcW w:w="1980" w:type="dxa"/>
            <w:noWrap/>
            <w:hideMark/>
          </w:tcPr>
          <w:p w14:paraId="557AA36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w:t>
            </w:r>
          </w:p>
        </w:tc>
      </w:tr>
    </w:tbl>
    <w:p w14:paraId="7639FDE4" w14:textId="77777777" w:rsidR="00AC1791" w:rsidRPr="002551A7" w:rsidRDefault="00AC1791" w:rsidP="002551A7">
      <w:pPr>
        <w:spacing w:line="360" w:lineRule="auto"/>
        <w:jc w:val="center"/>
        <w:rPr>
          <w:rFonts w:asciiTheme="majorBidi" w:hAnsiTheme="majorBidi" w:cstheme="majorBidi"/>
          <w:sz w:val="24"/>
          <w:szCs w:val="24"/>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spss v27</w:t>
      </w:r>
    </w:p>
    <w:p w14:paraId="29CE017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table below shows the distribution of respondents according to the place of purchase. The results indicate that cosmetic stores such as (Gratis, Watsons, etc.) were the most popular, accounting for 47.1% of the sample. This was followed by online shopping platforms, representing 23.1%, while shopping malls accounted for 19.2%. Other sources, such as small shops or unconventional places, made up only 10.6%.</w:t>
      </w:r>
    </w:p>
    <w:p w14:paraId="5F1A68B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These data suggest a significant preference for shopping in specialized cosmetic stores, which offer a wide variety of beauty products, along with a growing reliance on online shopping platforms.</w:t>
      </w:r>
    </w:p>
    <w:p w14:paraId="13307A25" w14:textId="77777777" w:rsidR="00AC1791" w:rsidRPr="002551A7" w:rsidRDefault="00AC1791" w:rsidP="002551A7">
      <w:pPr>
        <w:spacing w:line="360" w:lineRule="auto"/>
        <w:jc w:val="center"/>
        <w:rPr>
          <w:rFonts w:asciiTheme="majorBidi" w:hAnsiTheme="majorBidi" w:cstheme="majorBidi"/>
          <w:sz w:val="24"/>
          <w:szCs w:val="24"/>
          <w:lang w:val="en-GB"/>
        </w:rPr>
      </w:pPr>
      <w:r w:rsidRPr="002551A7">
        <w:rPr>
          <w:rFonts w:asciiTheme="majorBidi" w:hAnsiTheme="majorBidi" w:cstheme="majorBidi"/>
          <w:b/>
          <w:bCs/>
          <w:sz w:val="24"/>
          <w:szCs w:val="24"/>
          <w:lang w:val="en-GB"/>
        </w:rPr>
        <w:t>Figure 23:</w:t>
      </w:r>
      <w:r w:rsidRPr="002551A7">
        <w:rPr>
          <w:rFonts w:asciiTheme="majorBidi" w:hAnsiTheme="majorBidi" w:cstheme="majorBidi"/>
          <w:sz w:val="24"/>
          <w:szCs w:val="24"/>
          <w:lang w:val="en-GB"/>
        </w:rPr>
        <w:t xml:space="preserve"> Micro model</w:t>
      </w:r>
    </w:p>
    <w:p w14:paraId="45CA975C" w14:textId="77777777" w:rsidR="00AC1791" w:rsidRPr="002551A7" w:rsidRDefault="00AC1791" w:rsidP="002551A7">
      <w:pPr>
        <w:spacing w:line="360" w:lineRule="auto"/>
        <w:jc w:val="center"/>
        <w:rPr>
          <w:rFonts w:asciiTheme="majorBidi" w:hAnsiTheme="majorBidi" w:cstheme="majorBidi"/>
          <w:sz w:val="24"/>
          <w:szCs w:val="24"/>
          <w:lang w:val="en-GB"/>
        </w:rPr>
      </w:pPr>
      <w:r w:rsidRPr="002551A7">
        <w:rPr>
          <w:rFonts w:asciiTheme="majorBidi" w:hAnsiTheme="majorBidi" w:cstheme="majorBidi"/>
          <w:noProof/>
          <w:sz w:val="24"/>
          <w:szCs w:val="24"/>
          <w:lang w:val="en-GB"/>
        </w:rPr>
        <w:drawing>
          <wp:inline distT="0" distB="0" distL="0" distR="0" wp14:anchorId="3AEE9D12" wp14:editId="6F0C8DBC">
            <wp:extent cx="2330570" cy="2235315"/>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1">
                      <a:extLst>
                        <a:ext uri="{28A0092B-C50C-407E-A947-70E740481C1C}">
                          <a14:useLocalDpi xmlns:a14="http://schemas.microsoft.com/office/drawing/2010/main" val="0"/>
                        </a:ext>
                      </a:extLst>
                    </a:blip>
                    <a:stretch>
                      <a:fillRect/>
                    </a:stretch>
                  </pic:blipFill>
                  <pic:spPr>
                    <a:xfrm>
                      <a:off x="0" y="0"/>
                      <a:ext cx="2330570" cy="2235315"/>
                    </a:xfrm>
                    <a:prstGeom prst="rect">
                      <a:avLst/>
                    </a:prstGeom>
                  </pic:spPr>
                </pic:pic>
              </a:graphicData>
            </a:graphic>
          </wp:inline>
        </w:drawing>
      </w:r>
    </w:p>
    <w:p w14:paraId="081D8DED" w14:textId="7237F2B2" w:rsidR="00AC1791" w:rsidRPr="002551A7" w:rsidRDefault="00AC1791" w:rsidP="002551A7">
      <w:pPr>
        <w:spacing w:line="360" w:lineRule="auto"/>
        <w:jc w:val="center"/>
        <w:rPr>
          <w:rFonts w:asciiTheme="majorBidi" w:hAnsiTheme="majorBidi" w:cstheme="majorBidi"/>
          <w:sz w:val="24"/>
          <w:szCs w:val="24"/>
          <w:lang w:val="en-GB"/>
        </w:rPr>
      </w:pPr>
      <w:r w:rsidRPr="00A41295">
        <w:rPr>
          <w:rFonts w:asciiTheme="majorBidi" w:hAnsiTheme="majorBidi" w:cstheme="majorBidi"/>
          <w:b/>
          <w:bCs/>
          <w:sz w:val="24"/>
          <w:szCs w:val="24"/>
          <w:lang w:val="en-GB"/>
        </w:rPr>
        <w:t>Source:</w:t>
      </w:r>
      <w:r w:rsidRPr="002551A7">
        <w:rPr>
          <w:rFonts w:asciiTheme="majorBidi" w:hAnsiTheme="majorBidi" w:cstheme="majorBidi"/>
          <w:sz w:val="24"/>
          <w:szCs w:val="24"/>
          <w:lang w:val="en-GB"/>
        </w:rPr>
        <w:t xml:space="preserve"> Made by the students depend on smartpls 4</w:t>
      </w:r>
    </w:p>
    <w:p w14:paraId="70DA66FB" w14:textId="1DBE2BB5" w:rsidR="00AC1791" w:rsidRPr="002551A7" w:rsidRDefault="00AC1791" w:rsidP="002551A7">
      <w:pPr>
        <w:spacing w:line="360" w:lineRule="auto"/>
        <w:jc w:val="both"/>
        <w:rPr>
          <w:rFonts w:asciiTheme="majorBidi" w:hAnsiTheme="majorBidi" w:cstheme="majorBidi"/>
          <w:sz w:val="24"/>
          <w:szCs w:val="24"/>
          <w:lang w:val="en-GB"/>
        </w:rPr>
      </w:pPr>
      <w:r w:rsidRPr="002551A7">
        <w:rPr>
          <w:rFonts w:asciiTheme="majorBidi" w:hAnsiTheme="majorBidi" w:cstheme="majorBidi"/>
          <w:sz w:val="24"/>
          <w:szCs w:val="24"/>
          <w:lang w:val="en-GB"/>
        </w:rPr>
        <w:t>This model explores the impact of boycott behavior on Turkish consumers’ willingness to try new alternative products. It integrates key behavioral and perceptual factors</w:t>
      </w:r>
      <w:r w:rsidR="00A41295">
        <w:rPr>
          <w:rFonts w:asciiTheme="majorBidi" w:hAnsiTheme="majorBidi" w:cstheme="majorBidi"/>
          <w:sz w:val="24"/>
          <w:szCs w:val="24"/>
          <w:lang w:val="en-GB"/>
        </w:rPr>
        <w:t xml:space="preserve"> </w:t>
      </w:r>
      <w:r w:rsidRPr="002551A7">
        <w:rPr>
          <w:rFonts w:asciiTheme="majorBidi" w:hAnsiTheme="majorBidi" w:cstheme="majorBidi"/>
          <w:sz w:val="24"/>
          <w:szCs w:val="24"/>
          <w:lang w:val="en-GB"/>
        </w:rPr>
        <w:t>such as perceived price, product quality, cultural alignment, and accessibility/availability</w:t>
      </w:r>
      <w:r w:rsidR="00A41295">
        <w:rPr>
          <w:rFonts w:asciiTheme="majorBidi" w:hAnsiTheme="majorBidi" w:cstheme="majorBidi"/>
          <w:sz w:val="24"/>
          <w:szCs w:val="24"/>
          <w:lang w:val="en-GB"/>
        </w:rPr>
        <w:t xml:space="preserve"> </w:t>
      </w:r>
      <w:r w:rsidRPr="002551A7">
        <w:rPr>
          <w:rFonts w:asciiTheme="majorBidi" w:hAnsiTheme="majorBidi" w:cstheme="majorBidi"/>
          <w:sz w:val="24"/>
          <w:szCs w:val="24"/>
          <w:lang w:val="en-GB"/>
        </w:rPr>
        <w:t>as mediators that shape consumer response. The framework captures both the behavioral trigger (boycott) and the individual evaluation criteria that influence market decisions. By linking external consumer actions with internal decision-making processes, this model provides a comprehensive approach to understanding how Turkish consumers shift toward alternative, often local, products.</w:t>
      </w:r>
    </w:p>
    <w:p w14:paraId="05AD99A2" w14:textId="5657B4D2" w:rsidR="00AC1791" w:rsidRPr="00471BD8" w:rsidRDefault="00471BD8" w:rsidP="00471BD8">
      <w:pPr>
        <w:pStyle w:val="ListParagraph"/>
        <w:numPr>
          <w:ilvl w:val="1"/>
          <w:numId w:val="39"/>
        </w:num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65" w:name="_Toc200721747"/>
      <w:r w:rsidR="00AC1791" w:rsidRPr="005E488F">
        <w:rPr>
          <w:rStyle w:val="Heading4Char"/>
        </w:rPr>
        <w:t>Data analysis regarding the boycott part</w:t>
      </w:r>
      <w:bookmarkEnd w:id="365"/>
      <w:r w:rsidR="00AC1791" w:rsidRPr="00471BD8">
        <w:rPr>
          <w:rFonts w:asciiTheme="majorBidi" w:hAnsiTheme="majorBidi" w:cstheme="majorBidi"/>
          <w:b/>
          <w:bCs/>
          <w:sz w:val="24"/>
          <w:szCs w:val="24"/>
          <w:lang w:val="en-US"/>
        </w:rPr>
        <w:t>:</w:t>
      </w:r>
    </w:p>
    <w:p w14:paraId="6FEB856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This part deals with the analysis of information concerning the awareness of boycott, consumer motivation for boycott, trust in alternative products and effectiveness of boycott in changing habits.</w:t>
      </w:r>
    </w:p>
    <w:p w14:paraId="396AEC42" w14:textId="275964B6" w:rsidR="00AC1791" w:rsidRPr="00E22940" w:rsidRDefault="00AC1791" w:rsidP="00E22940">
      <w:pPr>
        <w:pStyle w:val="ListParagraph"/>
        <w:numPr>
          <w:ilvl w:val="2"/>
          <w:numId w:val="39"/>
        </w:numPr>
        <w:spacing w:line="360" w:lineRule="auto"/>
        <w:jc w:val="both"/>
        <w:rPr>
          <w:rFonts w:asciiTheme="majorBidi" w:hAnsiTheme="majorBidi" w:cstheme="majorBidi"/>
          <w:b/>
          <w:bCs/>
          <w:sz w:val="24"/>
          <w:szCs w:val="24"/>
          <w:lang w:val="en-US"/>
        </w:rPr>
      </w:pPr>
      <w:bookmarkStart w:id="366" w:name="_Toc200721748"/>
      <w:r w:rsidRPr="005E488F">
        <w:rPr>
          <w:rStyle w:val="Heading5Char"/>
          <w:rFonts w:eastAsiaTheme="minorHAnsi"/>
        </w:rPr>
        <w:t>Axis reliability</w:t>
      </w:r>
      <w:bookmarkEnd w:id="366"/>
      <w:r w:rsidRPr="00E22940">
        <w:rPr>
          <w:rFonts w:asciiTheme="majorBidi" w:hAnsiTheme="majorBidi" w:cstheme="majorBidi"/>
          <w:b/>
          <w:bCs/>
          <w:sz w:val="24"/>
          <w:szCs w:val="24"/>
          <w:lang w:val="en-US"/>
        </w:rPr>
        <w:t>:</w:t>
      </w:r>
    </w:p>
    <w:p w14:paraId="55F6806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researcher used Cronbach's Alpha method to measure the reliability of the questionnaire,</w:t>
      </w:r>
    </w:p>
    <w:p w14:paraId="6CA90D3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when the Cronbach alpha coefficient is greater than 0.6 implies that there is reliability between</w:t>
      </w:r>
    </w:p>
    <w:p w14:paraId="2C6CE55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questionnaire expressions.</w:t>
      </w:r>
    </w:p>
    <w:p w14:paraId="68A7769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28:</w:t>
      </w:r>
      <w:r w:rsidRPr="002551A7">
        <w:rPr>
          <w:rFonts w:asciiTheme="majorBidi" w:hAnsiTheme="majorBidi" w:cstheme="majorBidi"/>
          <w:sz w:val="24"/>
          <w:szCs w:val="24"/>
          <w:lang w:val="en-US"/>
        </w:rPr>
        <w:t xml:space="preserve"> reliability coefficient of parts of boycott</w:t>
      </w:r>
    </w:p>
    <w:tbl>
      <w:tblPr>
        <w:tblStyle w:val="TableGrid"/>
        <w:tblW w:w="0" w:type="auto"/>
        <w:tblLook w:val="04A0" w:firstRow="1" w:lastRow="0" w:firstColumn="1" w:lastColumn="0" w:noHBand="0" w:noVBand="1"/>
      </w:tblPr>
      <w:tblGrid>
        <w:gridCol w:w="3020"/>
        <w:gridCol w:w="3021"/>
        <w:gridCol w:w="3021"/>
      </w:tblGrid>
      <w:tr w:rsidR="00AC1791" w:rsidRPr="002551A7" w14:paraId="2C46D306" w14:textId="77777777" w:rsidTr="00020719">
        <w:tc>
          <w:tcPr>
            <w:tcW w:w="3020" w:type="dxa"/>
          </w:tcPr>
          <w:p w14:paraId="7B7DC1AA"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Axis</w:t>
            </w:r>
          </w:p>
        </w:tc>
        <w:tc>
          <w:tcPr>
            <w:tcW w:w="3021" w:type="dxa"/>
          </w:tcPr>
          <w:p w14:paraId="227BA127"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Cronbach's Alpha</w:t>
            </w:r>
          </w:p>
        </w:tc>
        <w:tc>
          <w:tcPr>
            <w:tcW w:w="3021" w:type="dxa"/>
          </w:tcPr>
          <w:p w14:paraId="7BE21B86"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Number of Items</w:t>
            </w:r>
          </w:p>
        </w:tc>
      </w:tr>
      <w:tr w:rsidR="00AC1791" w:rsidRPr="002551A7" w14:paraId="1C5F9EAA" w14:textId="77777777" w:rsidTr="00020719">
        <w:tc>
          <w:tcPr>
            <w:tcW w:w="3020" w:type="dxa"/>
          </w:tcPr>
          <w:p w14:paraId="341A6406"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Awareness of boycott</w:t>
            </w:r>
          </w:p>
        </w:tc>
        <w:tc>
          <w:tcPr>
            <w:tcW w:w="3021" w:type="dxa"/>
          </w:tcPr>
          <w:p w14:paraId="737C01A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0.73</w:t>
            </w:r>
          </w:p>
        </w:tc>
        <w:tc>
          <w:tcPr>
            <w:tcW w:w="3021" w:type="dxa"/>
          </w:tcPr>
          <w:p w14:paraId="7758952C"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5</w:t>
            </w:r>
          </w:p>
        </w:tc>
      </w:tr>
      <w:tr w:rsidR="00AC1791" w:rsidRPr="002551A7" w14:paraId="64DF4E76" w14:textId="77777777" w:rsidTr="00020719">
        <w:tc>
          <w:tcPr>
            <w:tcW w:w="3020" w:type="dxa"/>
          </w:tcPr>
          <w:p w14:paraId="1B56A5F8"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Consumer motivation for boycott</w:t>
            </w:r>
          </w:p>
        </w:tc>
        <w:tc>
          <w:tcPr>
            <w:tcW w:w="3021" w:type="dxa"/>
          </w:tcPr>
          <w:p w14:paraId="6629D623"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0.8</w:t>
            </w:r>
            <w:r w:rsidRPr="002551A7">
              <w:rPr>
                <w:rFonts w:asciiTheme="majorBidi" w:hAnsiTheme="majorBidi" w:cstheme="majorBidi"/>
                <w:sz w:val="24"/>
                <w:szCs w:val="24"/>
                <w:rtl/>
              </w:rPr>
              <w:t>5</w:t>
            </w:r>
          </w:p>
        </w:tc>
        <w:tc>
          <w:tcPr>
            <w:tcW w:w="3021" w:type="dxa"/>
          </w:tcPr>
          <w:p w14:paraId="6E08DBA6"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5</w:t>
            </w:r>
          </w:p>
        </w:tc>
      </w:tr>
      <w:tr w:rsidR="00AC1791" w:rsidRPr="002551A7" w14:paraId="5D614482" w14:textId="77777777" w:rsidTr="00020719">
        <w:tc>
          <w:tcPr>
            <w:tcW w:w="3020" w:type="dxa"/>
          </w:tcPr>
          <w:p w14:paraId="65D1F914"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Trust in alternative product</w:t>
            </w:r>
          </w:p>
        </w:tc>
        <w:tc>
          <w:tcPr>
            <w:tcW w:w="3021" w:type="dxa"/>
          </w:tcPr>
          <w:p w14:paraId="434D69E7"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0.87</w:t>
            </w:r>
          </w:p>
        </w:tc>
        <w:tc>
          <w:tcPr>
            <w:tcW w:w="3021" w:type="dxa"/>
          </w:tcPr>
          <w:p w14:paraId="0BE4A381"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4</w:t>
            </w:r>
          </w:p>
        </w:tc>
      </w:tr>
      <w:tr w:rsidR="00AC1791" w:rsidRPr="002551A7" w14:paraId="04F4D1EE" w14:textId="77777777" w:rsidTr="00020719">
        <w:tc>
          <w:tcPr>
            <w:tcW w:w="3020" w:type="dxa"/>
          </w:tcPr>
          <w:p w14:paraId="778E155A" w14:textId="77777777" w:rsidR="00AC1791" w:rsidRPr="002551A7" w:rsidRDefault="00AC1791" w:rsidP="002551A7">
            <w:pPr>
              <w:spacing w:after="16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Effectiveness of boycott in changing habits</w:t>
            </w:r>
          </w:p>
        </w:tc>
        <w:tc>
          <w:tcPr>
            <w:tcW w:w="3021" w:type="dxa"/>
          </w:tcPr>
          <w:p w14:paraId="20D60DA4"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rPr>
              <w:t>0.8</w:t>
            </w:r>
            <w:r w:rsidRPr="002551A7">
              <w:rPr>
                <w:rFonts w:asciiTheme="majorBidi" w:hAnsiTheme="majorBidi" w:cstheme="majorBidi"/>
                <w:sz w:val="24"/>
                <w:szCs w:val="24"/>
                <w:rtl/>
              </w:rPr>
              <w:t>9</w:t>
            </w:r>
          </w:p>
        </w:tc>
        <w:tc>
          <w:tcPr>
            <w:tcW w:w="3021" w:type="dxa"/>
          </w:tcPr>
          <w:p w14:paraId="4ED60E71"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5</w:t>
            </w:r>
          </w:p>
        </w:tc>
      </w:tr>
      <w:tr w:rsidR="00AC1791" w:rsidRPr="002551A7" w14:paraId="65BA7800" w14:textId="77777777" w:rsidTr="00020719">
        <w:tc>
          <w:tcPr>
            <w:tcW w:w="3020" w:type="dxa"/>
          </w:tcPr>
          <w:p w14:paraId="3F2658E0"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Boycott</w:t>
            </w:r>
          </w:p>
        </w:tc>
        <w:tc>
          <w:tcPr>
            <w:tcW w:w="3021" w:type="dxa"/>
          </w:tcPr>
          <w:p w14:paraId="3D2C52CE"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0.94</w:t>
            </w:r>
          </w:p>
        </w:tc>
        <w:tc>
          <w:tcPr>
            <w:tcW w:w="3021" w:type="dxa"/>
          </w:tcPr>
          <w:p w14:paraId="687182F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19</w:t>
            </w:r>
          </w:p>
        </w:tc>
      </w:tr>
    </w:tbl>
    <w:p w14:paraId="3D9A8745"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67" w:name="_Hlk197786055"/>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367"/>
    <w:p w14:paraId="6C4431C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According to the previous table, we notice that the Cronbach alpha coefficient is higher to 0.6 implies that there is reliability between the questionnaire expressions.</w:t>
      </w:r>
    </w:p>
    <w:p w14:paraId="0F36F66A" w14:textId="74256ED6" w:rsidR="00AC1791" w:rsidRPr="00E22940" w:rsidRDefault="00AC1791" w:rsidP="00E22940">
      <w:pPr>
        <w:pStyle w:val="ListParagraph"/>
        <w:numPr>
          <w:ilvl w:val="2"/>
          <w:numId w:val="39"/>
        </w:numPr>
        <w:spacing w:line="360" w:lineRule="auto"/>
        <w:jc w:val="both"/>
        <w:rPr>
          <w:rFonts w:asciiTheme="majorBidi" w:hAnsiTheme="majorBidi" w:cstheme="majorBidi"/>
          <w:sz w:val="24"/>
          <w:szCs w:val="24"/>
          <w:lang w:val="en-US"/>
        </w:rPr>
      </w:pPr>
      <w:bookmarkStart w:id="368" w:name="_Toc200721749"/>
      <w:r w:rsidRPr="005E488F">
        <w:rPr>
          <w:rStyle w:val="Heading5Char"/>
          <w:rFonts w:eastAsiaTheme="minorHAnsi"/>
        </w:rPr>
        <w:t>Analysis of individuals' response</w:t>
      </w:r>
      <w:bookmarkEnd w:id="368"/>
      <w:r w:rsidRPr="00E22940">
        <w:rPr>
          <w:rFonts w:asciiTheme="majorBidi" w:hAnsiTheme="majorBidi" w:cstheme="majorBidi"/>
          <w:b/>
          <w:bCs/>
          <w:sz w:val="24"/>
          <w:szCs w:val="24"/>
          <w:lang w:val="en-US"/>
        </w:rPr>
        <w:t>s</w:t>
      </w:r>
    </w:p>
    <w:p w14:paraId="4A9806DD" w14:textId="0F42A271" w:rsidR="00AC1791" w:rsidRPr="001548C7" w:rsidRDefault="00E22940" w:rsidP="00E22940">
      <w:pPr>
        <w:pStyle w:val="ListParagraph"/>
        <w:numPr>
          <w:ilvl w:val="3"/>
          <w:numId w:val="39"/>
        </w:num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69" w:name="_Toc200721750"/>
      <w:r w:rsidR="00AC1791" w:rsidRPr="001548C7">
        <w:rPr>
          <w:rStyle w:val="Heading6Char"/>
          <w:rFonts w:cstheme="majorBidi"/>
          <w:sz w:val="24"/>
          <w:szCs w:val="24"/>
          <w:lang w:val="en-US"/>
        </w:rPr>
        <w:t>Analysis of individuals' responses regarding the measurement of boycot</w:t>
      </w:r>
      <w:bookmarkEnd w:id="369"/>
      <w:r w:rsidR="00AC1791" w:rsidRPr="001548C7">
        <w:rPr>
          <w:rFonts w:asciiTheme="majorBidi" w:hAnsiTheme="majorBidi" w:cstheme="majorBidi"/>
          <w:b/>
          <w:bCs/>
          <w:sz w:val="24"/>
          <w:szCs w:val="24"/>
          <w:lang w:val="en-US"/>
        </w:rPr>
        <w:t>t</w:t>
      </w:r>
    </w:p>
    <w:p w14:paraId="454C3BA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study relied on a five-point Likert scale, as indicated in the table, where a score of (5) indicates strongly agree and a score of (1) indicates strongly disagree for the following:</w:t>
      </w:r>
    </w:p>
    <w:p w14:paraId="1898662F"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29:</w:t>
      </w:r>
      <w:r w:rsidRPr="002551A7">
        <w:rPr>
          <w:rFonts w:asciiTheme="majorBidi" w:hAnsiTheme="majorBidi" w:cstheme="majorBidi"/>
          <w:sz w:val="24"/>
          <w:szCs w:val="24"/>
          <w:lang w:val="en-US"/>
        </w:rPr>
        <w:t xml:space="preserve"> Five-point Likert scale</w:t>
      </w:r>
    </w:p>
    <w:tbl>
      <w:tblPr>
        <w:tblStyle w:val="TableGrid"/>
        <w:tblW w:w="0" w:type="auto"/>
        <w:tblLook w:val="04A0" w:firstRow="1" w:lastRow="0" w:firstColumn="1" w:lastColumn="0" w:noHBand="0" w:noVBand="1"/>
      </w:tblPr>
      <w:tblGrid>
        <w:gridCol w:w="1546"/>
        <w:gridCol w:w="1516"/>
        <w:gridCol w:w="1516"/>
        <w:gridCol w:w="1496"/>
        <w:gridCol w:w="1476"/>
        <w:gridCol w:w="1512"/>
      </w:tblGrid>
      <w:tr w:rsidR="00AC1791" w:rsidRPr="002551A7" w14:paraId="49BA2EBE" w14:textId="77777777" w:rsidTr="00BB3290">
        <w:tc>
          <w:tcPr>
            <w:tcW w:w="1596" w:type="dxa"/>
          </w:tcPr>
          <w:p w14:paraId="2994D29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Evaluation</w:t>
            </w:r>
          </w:p>
        </w:tc>
        <w:tc>
          <w:tcPr>
            <w:tcW w:w="1596" w:type="dxa"/>
          </w:tcPr>
          <w:p w14:paraId="4D60E46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Strongly Disagree</w:t>
            </w:r>
          </w:p>
        </w:tc>
        <w:tc>
          <w:tcPr>
            <w:tcW w:w="1596" w:type="dxa"/>
          </w:tcPr>
          <w:p w14:paraId="1927C1B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Disagree</w:t>
            </w:r>
          </w:p>
        </w:tc>
        <w:tc>
          <w:tcPr>
            <w:tcW w:w="1596" w:type="dxa"/>
          </w:tcPr>
          <w:p w14:paraId="253FC2C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Neutral</w:t>
            </w:r>
          </w:p>
        </w:tc>
        <w:tc>
          <w:tcPr>
            <w:tcW w:w="1596" w:type="dxa"/>
          </w:tcPr>
          <w:p w14:paraId="1A202DB4"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Agree</w:t>
            </w:r>
          </w:p>
        </w:tc>
        <w:tc>
          <w:tcPr>
            <w:tcW w:w="1596" w:type="dxa"/>
          </w:tcPr>
          <w:p w14:paraId="5F860AF6"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Strongly</w:t>
            </w:r>
          </w:p>
          <w:p w14:paraId="345F5E8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Agree</w:t>
            </w:r>
          </w:p>
        </w:tc>
      </w:tr>
      <w:tr w:rsidR="00AC1791" w:rsidRPr="002551A7" w14:paraId="0177527B" w14:textId="77777777" w:rsidTr="00BB3290">
        <w:tc>
          <w:tcPr>
            <w:tcW w:w="1596" w:type="dxa"/>
          </w:tcPr>
          <w:p w14:paraId="06A016B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The degree</w:t>
            </w:r>
          </w:p>
        </w:tc>
        <w:tc>
          <w:tcPr>
            <w:tcW w:w="1596" w:type="dxa"/>
          </w:tcPr>
          <w:p w14:paraId="4694A00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w:t>
            </w:r>
          </w:p>
        </w:tc>
        <w:tc>
          <w:tcPr>
            <w:tcW w:w="1596" w:type="dxa"/>
          </w:tcPr>
          <w:p w14:paraId="4ECC312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2</w:t>
            </w:r>
          </w:p>
        </w:tc>
        <w:tc>
          <w:tcPr>
            <w:tcW w:w="1596" w:type="dxa"/>
          </w:tcPr>
          <w:p w14:paraId="0A87056F"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3</w:t>
            </w:r>
          </w:p>
        </w:tc>
        <w:tc>
          <w:tcPr>
            <w:tcW w:w="1596" w:type="dxa"/>
          </w:tcPr>
          <w:p w14:paraId="78E8196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4</w:t>
            </w:r>
          </w:p>
        </w:tc>
        <w:tc>
          <w:tcPr>
            <w:tcW w:w="1596" w:type="dxa"/>
          </w:tcPr>
          <w:p w14:paraId="7B22CF4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5</w:t>
            </w:r>
          </w:p>
        </w:tc>
      </w:tr>
    </w:tbl>
    <w:p w14:paraId="59A3F141" w14:textId="77777777" w:rsidR="00AC1791" w:rsidRPr="002551A7" w:rsidRDefault="00AC1791" w:rsidP="002551A7">
      <w:pPr>
        <w:tabs>
          <w:tab w:val="center" w:pos="4680"/>
          <w:tab w:val="right" w:pos="9360"/>
        </w:tabs>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b/>
      </w:r>
      <w:r w:rsidRPr="002551A7">
        <w:rPr>
          <w:rFonts w:asciiTheme="majorBidi" w:hAnsiTheme="majorBidi" w:cstheme="majorBidi"/>
          <w:sz w:val="24"/>
          <w:szCs w:val="24"/>
          <w:lang w:val="en-US"/>
        </w:rPr>
        <w:tab/>
      </w:r>
    </w:p>
    <w:p w14:paraId="016B29C7"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data was encoded and entered into the computer. To determine the cell length of the Likert enthusiasm scale (lower and upper bounds), the range between scale grades was calculated        (5- 1=4). It was then divided by the highest value on the scale to obtain the cell length (0.80=4/5). After that, it was divided by the largest value on the scale (the beginning of the scale), which is one, to determine the upper limit of this cell. As a result, the cell lengths are as shown in the following table.</w:t>
      </w:r>
    </w:p>
    <w:p w14:paraId="072E6A1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30:</w:t>
      </w:r>
      <w:r w:rsidRPr="002551A7">
        <w:rPr>
          <w:rFonts w:asciiTheme="majorBidi" w:hAnsiTheme="majorBidi" w:cstheme="majorBidi"/>
          <w:sz w:val="24"/>
          <w:szCs w:val="24"/>
          <w:lang w:val="en-US"/>
        </w:rPr>
        <w:t xml:space="preserve"> the distribution of average values grades</w:t>
      </w:r>
    </w:p>
    <w:tbl>
      <w:tblPr>
        <w:tblStyle w:val="TableGrid"/>
        <w:tblW w:w="0" w:type="auto"/>
        <w:tblLook w:val="04A0" w:firstRow="1" w:lastRow="0" w:firstColumn="1" w:lastColumn="0" w:noHBand="0" w:noVBand="1"/>
      </w:tblPr>
      <w:tblGrid>
        <w:gridCol w:w="3011"/>
        <w:gridCol w:w="3020"/>
        <w:gridCol w:w="3031"/>
      </w:tblGrid>
      <w:tr w:rsidR="00AC1791" w:rsidRPr="002551A7" w14:paraId="40DFA877" w14:textId="77777777" w:rsidTr="00BB3290">
        <w:tc>
          <w:tcPr>
            <w:tcW w:w="3192" w:type="dxa"/>
          </w:tcPr>
          <w:p w14:paraId="1AA8FA6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average values</w:t>
            </w:r>
          </w:p>
        </w:tc>
        <w:tc>
          <w:tcPr>
            <w:tcW w:w="3192" w:type="dxa"/>
          </w:tcPr>
          <w:p w14:paraId="5F9B250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Likert five-point scale</w:t>
            </w:r>
          </w:p>
        </w:tc>
        <w:tc>
          <w:tcPr>
            <w:tcW w:w="3192" w:type="dxa"/>
          </w:tcPr>
          <w:p w14:paraId="5DE8A3C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level of agreement</w:t>
            </w:r>
          </w:p>
        </w:tc>
      </w:tr>
      <w:tr w:rsidR="00AC1791" w:rsidRPr="002551A7" w14:paraId="0ACCB189" w14:textId="77777777" w:rsidTr="00BB3290">
        <w:tc>
          <w:tcPr>
            <w:tcW w:w="3192" w:type="dxa"/>
          </w:tcPr>
          <w:p w14:paraId="5F4EA64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[1.00-1.80]</w:t>
            </w:r>
          </w:p>
        </w:tc>
        <w:tc>
          <w:tcPr>
            <w:tcW w:w="3192" w:type="dxa"/>
          </w:tcPr>
          <w:p w14:paraId="674E1C2E"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Strongly disagree</w:t>
            </w:r>
          </w:p>
        </w:tc>
        <w:tc>
          <w:tcPr>
            <w:tcW w:w="3192" w:type="dxa"/>
          </w:tcPr>
          <w:p w14:paraId="3A9BEC8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Very low</w:t>
            </w:r>
          </w:p>
        </w:tc>
      </w:tr>
      <w:tr w:rsidR="00AC1791" w:rsidRPr="002551A7" w14:paraId="332C711C" w14:textId="77777777" w:rsidTr="00BB3290">
        <w:tc>
          <w:tcPr>
            <w:tcW w:w="3192" w:type="dxa"/>
          </w:tcPr>
          <w:p w14:paraId="69C38FBC" w14:textId="5EF94D78" w:rsidR="00AC1791" w:rsidRPr="002551A7" w:rsidRDefault="00A41295" w:rsidP="00A41295">
            <w:pPr>
              <w:spacing w:line="360" w:lineRule="auto"/>
              <w:jc w:val="center"/>
              <w:rPr>
                <w:rFonts w:asciiTheme="majorBidi" w:hAnsiTheme="majorBidi" w:cstheme="majorBidi"/>
                <w:sz w:val="24"/>
                <w:szCs w:val="24"/>
              </w:rPr>
            </w:pPr>
            <w:r>
              <w:rPr>
                <w:rFonts w:asciiTheme="majorBidi" w:hAnsiTheme="majorBidi" w:cstheme="majorBidi"/>
                <w:sz w:val="24"/>
                <w:szCs w:val="24"/>
              </w:rPr>
              <w:t>[</w:t>
            </w:r>
            <w:r w:rsidR="00AC1791" w:rsidRPr="002551A7">
              <w:rPr>
                <w:rFonts w:asciiTheme="majorBidi" w:hAnsiTheme="majorBidi" w:cstheme="majorBidi"/>
                <w:sz w:val="24"/>
                <w:szCs w:val="24"/>
              </w:rPr>
              <w:t>1.81-2.60]</w:t>
            </w:r>
          </w:p>
        </w:tc>
        <w:tc>
          <w:tcPr>
            <w:tcW w:w="3192" w:type="dxa"/>
          </w:tcPr>
          <w:p w14:paraId="0E6E1DA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Disagree</w:t>
            </w:r>
          </w:p>
        </w:tc>
        <w:tc>
          <w:tcPr>
            <w:tcW w:w="3192" w:type="dxa"/>
          </w:tcPr>
          <w:p w14:paraId="31736668"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Low</w:t>
            </w:r>
          </w:p>
        </w:tc>
      </w:tr>
      <w:tr w:rsidR="00AC1791" w:rsidRPr="002551A7" w14:paraId="66A557E2" w14:textId="77777777" w:rsidTr="00BB3290">
        <w:tc>
          <w:tcPr>
            <w:tcW w:w="3192" w:type="dxa"/>
          </w:tcPr>
          <w:p w14:paraId="4AFC0408" w14:textId="4CF9A9DF" w:rsidR="00AC1791" w:rsidRPr="002551A7" w:rsidRDefault="00A41295" w:rsidP="002551A7">
            <w:pPr>
              <w:spacing w:line="360" w:lineRule="auto"/>
              <w:jc w:val="center"/>
              <w:rPr>
                <w:rFonts w:asciiTheme="majorBidi" w:hAnsiTheme="majorBidi" w:cstheme="majorBidi"/>
                <w:sz w:val="24"/>
                <w:szCs w:val="24"/>
              </w:rPr>
            </w:pPr>
            <w:r>
              <w:rPr>
                <w:rFonts w:asciiTheme="majorBidi" w:hAnsiTheme="majorBidi" w:cstheme="majorBidi"/>
                <w:sz w:val="24"/>
                <w:szCs w:val="24"/>
              </w:rPr>
              <w:t>[</w:t>
            </w:r>
            <w:r w:rsidR="00AC1791" w:rsidRPr="002551A7">
              <w:rPr>
                <w:rFonts w:asciiTheme="majorBidi" w:hAnsiTheme="majorBidi" w:cstheme="majorBidi"/>
                <w:sz w:val="24"/>
                <w:szCs w:val="24"/>
              </w:rPr>
              <w:t>2.61-3.40]</w:t>
            </w:r>
          </w:p>
        </w:tc>
        <w:tc>
          <w:tcPr>
            <w:tcW w:w="3192" w:type="dxa"/>
          </w:tcPr>
          <w:p w14:paraId="41337DF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Neutral</w:t>
            </w:r>
          </w:p>
        </w:tc>
        <w:tc>
          <w:tcPr>
            <w:tcW w:w="3192" w:type="dxa"/>
          </w:tcPr>
          <w:p w14:paraId="6F7495D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Medium</w:t>
            </w:r>
          </w:p>
        </w:tc>
      </w:tr>
      <w:tr w:rsidR="00AC1791" w:rsidRPr="002551A7" w14:paraId="2FB6C500" w14:textId="77777777" w:rsidTr="00BB3290">
        <w:tc>
          <w:tcPr>
            <w:tcW w:w="3192" w:type="dxa"/>
          </w:tcPr>
          <w:p w14:paraId="70295FD3" w14:textId="2FEAB85F" w:rsidR="00AC1791" w:rsidRPr="002551A7" w:rsidRDefault="00A41295" w:rsidP="002551A7">
            <w:pPr>
              <w:spacing w:line="360" w:lineRule="auto"/>
              <w:jc w:val="center"/>
              <w:rPr>
                <w:rFonts w:asciiTheme="majorBidi" w:hAnsiTheme="majorBidi" w:cstheme="majorBidi"/>
                <w:sz w:val="24"/>
                <w:szCs w:val="24"/>
              </w:rPr>
            </w:pPr>
            <w:r>
              <w:rPr>
                <w:rFonts w:asciiTheme="majorBidi" w:hAnsiTheme="majorBidi" w:cstheme="majorBidi"/>
                <w:sz w:val="24"/>
                <w:szCs w:val="24"/>
              </w:rPr>
              <w:t>[</w:t>
            </w:r>
            <w:r w:rsidR="00AC1791" w:rsidRPr="002551A7">
              <w:rPr>
                <w:rFonts w:asciiTheme="majorBidi" w:hAnsiTheme="majorBidi" w:cstheme="majorBidi"/>
                <w:sz w:val="24"/>
                <w:szCs w:val="24"/>
              </w:rPr>
              <w:t>3.41-4.20]</w:t>
            </w:r>
          </w:p>
        </w:tc>
        <w:tc>
          <w:tcPr>
            <w:tcW w:w="3192" w:type="dxa"/>
          </w:tcPr>
          <w:p w14:paraId="7E4E22F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Agree</w:t>
            </w:r>
          </w:p>
        </w:tc>
        <w:tc>
          <w:tcPr>
            <w:tcW w:w="3192" w:type="dxa"/>
          </w:tcPr>
          <w:p w14:paraId="16A0BE71"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High</w:t>
            </w:r>
          </w:p>
        </w:tc>
      </w:tr>
      <w:tr w:rsidR="00AC1791" w:rsidRPr="002551A7" w14:paraId="6561E621" w14:textId="77777777" w:rsidTr="00BB3290">
        <w:tc>
          <w:tcPr>
            <w:tcW w:w="3192" w:type="dxa"/>
          </w:tcPr>
          <w:p w14:paraId="11B06393" w14:textId="28805994" w:rsidR="00AC1791" w:rsidRPr="002551A7" w:rsidRDefault="00A41295" w:rsidP="002551A7">
            <w:pPr>
              <w:spacing w:line="360" w:lineRule="auto"/>
              <w:jc w:val="center"/>
              <w:rPr>
                <w:rFonts w:asciiTheme="majorBidi" w:hAnsiTheme="majorBidi" w:cstheme="majorBidi"/>
                <w:sz w:val="24"/>
                <w:szCs w:val="24"/>
              </w:rPr>
            </w:pPr>
            <w:r>
              <w:rPr>
                <w:rFonts w:asciiTheme="majorBidi" w:hAnsiTheme="majorBidi" w:cstheme="majorBidi"/>
                <w:sz w:val="24"/>
                <w:szCs w:val="24"/>
              </w:rPr>
              <w:t>[</w:t>
            </w:r>
            <w:r w:rsidR="00AC1791" w:rsidRPr="002551A7">
              <w:rPr>
                <w:rFonts w:asciiTheme="majorBidi" w:hAnsiTheme="majorBidi" w:cstheme="majorBidi"/>
                <w:sz w:val="24"/>
                <w:szCs w:val="24"/>
              </w:rPr>
              <w:t>4.21-5.00]</w:t>
            </w:r>
          </w:p>
        </w:tc>
        <w:tc>
          <w:tcPr>
            <w:tcW w:w="3192" w:type="dxa"/>
          </w:tcPr>
          <w:p w14:paraId="36E8B85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Strongly agree</w:t>
            </w:r>
          </w:p>
        </w:tc>
        <w:tc>
          <w:tcPr>
            <w:tcW w:w="3192" w:type="dxa"/>
          </w:tcPr>
          <w:p w14:paraId="18F40B4A"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Very high</w:t>
            </w:r>
          </w:p>
        </w:tc>
      </w:tr>
    </w:tbl>
    <w:p w14:paraId="77C66E6E" w14:textId="77777777" w:rsidR="00AC1791" w:rsidRPr="002551A7" w:rsidRDefault="00AC1791" w:rsidP="002551A7">
      <w:pPr>
        <w:spacing w:line="360" w:lineRule="auto"/>
        <w:jc w:val="both"/>
        <w:rPr>
          <w:rFonts w:asciiTheme="majorBidi" w:hAnsiTheme="majorBidi" w:cstheme="majorBidi"/>
          <w:sz w:val="24"/>
          <w:szCs w:val="24"/>
        </w:rPr>
      </w:pPr>
    </w:p>
    <w:p w14:paraId="12876820"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To interpret the study results and assess the level of response, the researchers relied on the ranking of mean values at the domain level of the instrument as a whole, as well as the ranking of individual items within each domain. The researchers determined the degree of availability based on the criteria adopted in the study.</w:t>
      </w:r>
    </w:p>
    <w:p w14:paraId="6FB25855" w14:textId="70DD8B5B" w:rsidR="00AC1791" w:rsidRPr="00E22940" w:rsidRDefault="00AC1791" w:rsidP="00E22940">
      <w:pPr>
        <w:pStyle w:val="ListParagraph"/>
        <w:numPr>
          <w:ilvl w:val="4"/>
          <w:numId w:val="39"/>
        </w:numPr>
        <w:spacing w:line="360" w:lineRule="auto"/>
        <w:jc w:val="both"/>
        <w:rPr>
          <w:rFonts w:asciiTheme="majorBidi" w:hAnsiTheme="majorBidi" w:cstheme="majorBidi"/>
          <w:b/>
          <w:bCs/>
          <w:sz w:val="24"/>
          <w:szCs w:val="24"/>
          <w:lang w:val="en-US"/>
        </w:rPr>
      </w:pPr>
      <w:r w:rsidRPr="00E22940">
        <w:rPr>
          <w:rFonts w:asciiTheme="majorBidi" w:hAnsiTheme="majorBidi" w:cstheme="majorBidi"/>
          <w:b/>
          <w:bCs/>
          <w:sz w:val="24"/>
          <w:szCs w:val="24"/>
          <w:lang w:val="en-US"/>
        </w:rPr>
        <w:t>Analysis of the first axis the Awareness of boycott:</w:t>
      </w:r>
    </w:p>
    <w:p w14:paraId="27F3A460"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31:</w:t>
      </w:r>
      <w:r w:rsidRPr="002551A7">
        <w:rPr>
          <w:rFonts w:asciiTheme="majorBidi" w:hAnsiTheme="majorBidi" w:cstheme="majorBidi"/>
          <w:sz w:val="24"/>
          <w:szCs w:val="24"/>
          <w:lang w:val="en-US"/>
        </w:rPr>
        <w:t xml:space="preserve"> Analysis of the first axis the awareness of boycott</w:t>
      </w:r>
    </w:p>
    <w:tbl>
      <w:tblPr>
        <w:tblStyle w:val="TableGrid1"/>
        <w:tblW w:w="0" w:type="auto"/>
        <w:tblLook w:val="04A0" w:firstRow="1" w:lastRow="0" w:firstColumn="1" w:lastColumn="0" w:noHBand="0" w:noVBand="1"/>
      </w:tblPr>
      <w:tblGrid>
        <w:gridCol w:w="1098"/>
        <w:gridCol w:w="763"/>
        <w:gridCol w:w="1171"/>
        <w:gridCol w:w="976"/>
        <w:gridCol w:w="702"/>
        <w:gridCol w:w="1600"/>
        <w:gridCol w:w="1536"/>
        <w:gridCol w:w="1216"/>
      </w:tblGrid>
      <w:tr w:rsidR="00AC1791" w:rsidRPr="002551A7" w14:paraId="6BD219E9" w14:textId="77777777" w:rsidTr="00984DD3">
        <w:tc>
          <w:tcPr>
            <w:tcW w:w="1098" w:type="dxa"/>
          </w:tcPr>
          <w:p w14:paraId="48F5B524"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Question</w:t>
            </w:r>
          </w:p>
        </w:tc>
        <w:tc>
          <w:tcPr>
            <w:tcW w:w="763" w:type="dxa"/>
          </w:tcPr>
          <w:p w14:paraId="1532FDB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Mean</w:t>
            </w:r>
          </w:p>
        </w:tc>
        <w:tc>
          <w:tcPr>
            <w:tcW w:w="1171" w:type="dxa"/>
          </w:tcPr>
          <w:p w14:paraId="603D4FC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Standard deviation</w:t>
            </w:r>
          </w:p>
        </w:tc>
        <w:tc>
          <w:tcPr>
            <w:tcW w:w="976" w:type="dxa"/>
          </w:tcPr>
          <w:p w14:paraId="2B2AFC8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Test t</w:t>
            </w:r>
          </w:p>
        </w:tc>
        <w:tc>
          <w:tcPr>
            <w:tcW w:w="702" w:type="dxa"/>
          </w:tcPr>
          <w:p w14:paraId="2B27BD50"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Df</w:t>
            </w:r>
          </w:p>
        </w:tc>
        <w:tc>
          <w:tcPr>
            <w:tcW w:w="1600" w:type="dxa"/>
          </w:tcPr>
          <w:p w14:paraId="2E9664D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Sig(2-tailes)</w:t>
            </w:r>
          </w:p>
        </w:tc>
        <w:tc>
          <w:tcPr>
            <w:tcW w:w="1536" w:type="dxa"/>
          </w:tcPr>
          <w:p w14:paraId="5AA7E146"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Classification</w:t>
            </w:r>
          </w:p>
        </w:tc>
        <w:tc>
          <w:tcPr>
            <w:tcW w:w="1216" w:type="dxa"/>
          </w:tcPr>
          <w:p w14:paraId="757A31B6"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Level of agreement</w:t>
            </w:r>
          </w:p>
        </w:tc>
      </w:tr>
      <w:tr w:rsidR="00AC1791" w:rsidRPr="002551A7" w14:paraId="482256B5" w14:textId="77777777" w:rsidTr="00984DD3">
        <w:tc>
          <w:tcPr>
            <w:tcW w:w="1098" w:type="dxa"/>
          </w:tcPr>
          <w:p w14:paraId="7638F727"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1</w:t>
            </w:r>
          </w:p>
        </w:tc>
        <w:tc>
          <w:tcPr>
            <w:tcW w:w="763" w:type="dxa"/>
          </w:tcPr>
          <w:p w14:paraId="026E8896"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3.68</w:t>
            </w:r>
          </w:p>
        </w:tc>
        <w:tc>
          <w:tcPr>
            <w:tcW w:w="1171" w:type="dxa"/>
          </w:tcPr>
          <w:p w14:paraId="657A87E1"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1.46</w:t>
            </w:r>
          </w:p>
        </w:tc>
        <w:tc>
          <w:tcPr>
            <w:tcW w:w="976" w:type="dxa"/>
          </w:tcPr>
          <w:p w14:paraId="28BBB515"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6.76</w:t>
            </w:r>
          </w:p>
        </w:tc>
        <w:tc>
          <w:tcPr>
            <w:tcW w:w="702" w:type="dxa"/>
          </w:tcPr>
          <w:p w14:paraId="441EB82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698B7B9E"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1.49927E-10</w:t>
            </w:r>
          </w:p>
        </w:tc>
        <w:tc>
          <w:tcPr>
            <w:tcW w:w="1536" w:type="dxa"/>
          </w:tcPr>
          <w:p w14:paraId="2712593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2</w:t>
            </w:r>
          </w:p>
        </w:tc>
        <w:tc>
          <w:tcPr>
            <w:tcW w:w="1216" w:type="dxa"/>
          </w:tcPr>
          <w:p w14:paraId="05F5F77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24E64C1D" w14:textId="77777777" w:rsidTr="00984DD3">
        <w:tc>
          <w:tcPr>
            <w:tcW w:w="1098" w:type="dxa"/>
          </w:tcPr>
          <w:p w14:paraId="6865417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2</w:t>
            </w:r>
          </w:p>
        </w:tc>
        <w:tc>
          <w:tcPr>
            <w:tcW w:w="763" w:type="dxa"/>
          </w:tcPr>
          <w:p w14:paraId="0F8E02D3"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3.39</w:t>
            </w:r>
          </w:p>
        </w:tc>
        <w:tc>
          <w:tcPr>
            <w:tcW w:w="1171" w:type="dxa"/>
          </w:tcPr>
          <w:p w14:paraId="560F04C9"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1.34</w:t>
            </w:r>
          </w:p>
        </w:tc>
        <w:tc>
          <w:tcPr>
            <w:tcW w:w="976" w:type="dxa"/>
          </w:tcPr>
          <w:p w14:paraId="19376C56"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4.24</w:t>
            </w:r>
          </w:p>
        </w:tc>
        <w:tc>
          <w:tcPr>
            <w:tcW w:w="702" w:type="dxa"/>
          </w:tcPr>
          <w:p w14:paraId="7E43E67F"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0DEE8C61"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3.32477E-05</w:t>
            </w:r>
          </w:p>
        </w:tc>
        <w:tc>
          <w:tcPr>
            <w:tcW w:w="1536" w:type="dxa"/>
          </w:tcPr>
          <w:p w14:paraId="138C0AA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3</w:t>
            </w:r>
          </w:p>
        </w:tc>
        <w:tc>
          <w:tcPr>
            <w:tcW w:w="1216" w:type="dxa"/>
          </w:tcPr>
          <w:p w14:paraId="7E808E76"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75E8B8F3" w14:textId="77777777" w:rsidTr="00984DD3">
        <w:tc>
          <w:tcPr>
            <w:tcW w:w="1098" w:type="dxa"/>
          </w:tcPr>
          <w:p w14:paraId="3202C92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3</w:t>
            </w:r>
          </w:p>
        </w:tc>
        <w:tc>
          <w:tcPr>
            <w:tcW w:w="763" w:type="dxa"/>
          </w:tcPr>
          <w:p w14:paraId="2FEAD39A"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3.83</w:t>
            </w:r>
          </w:p>
        </w:tc>
        <w:tc>
          <w:tcPr>
            <w:tcW w:w="1171" w:type="dxa"/>
          </w:tcPr>
          <w:p w14:paraId="5EC481E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1.33</w:t>
            </w:r>
          </w:p>
        </w:tc>
        <w:tc>
          <w:tcPr>
            <w:tcW w:w="976" w:type="dxa"/>
          </w:tcPr>
          <w:p w14:paraId="33B8554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8.95</w:t>
            </w:r>
          </w:p>
        </w:tc>
        <w:tc>
          <w:tcPr>
            <w:tcW w:w="702" w:type="dxa"/>
          </w:tcPr>
          <w:p w14:paraId="41AC873E"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12CD386F"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2.08469E-16</w:t>
            </w:r>
          </w:p>
        </w:tc>
        <w:tc>
          <w:tcPr>
            <w:tcW w:w="1536" w:type="dxa"/>
          </w:tcPr>
          <w:p w14:paraId="65FAA4CE" w14:textId="77777777" w:rsidR="00AC1791" w:rsidRPr="002551A7" w:rsidRDefault="00AC1791" w:rsidP="002551A7">
            <w:pPr>
              <w:spacing w:line="360" w:lineRule="auto"/>
              <w:jc w:val="center"/>
              <w:rPr>
                <w:rFonts w:asciiTheme="majorBidi" w:eastAsia="Calibri" w:hAnsiTheme="majorBidi" w:cstheme="majorBidi"/>
                <w:sz w:val="24"/>
                <w:szCs w:val="24"/>
                <w:lang w:val="fr-FR"/>
              </w:rPr>
            </w:pPr>
            <w:r w:rsidRPr="002551A7">
              <w:rPr>
                <w:rFonts w:asciiTheme="majorBidi" w:eastAsia="Calibri" w:hAnsiTheme="majorBidi" w:cstheme="majorBidi"/>
                <w:sz w:val="24"/>
                <w:szCs w:val="24"/>
                <w:lang w:val="fr-FR"/>
              </w:rPr>
              <w:t>1</w:t>
            </w:r>
          </w:p>
        </w:tc>
        <w:tc>
          <w:tcPr>
            <w:tcW w:w="1216" w:type="dxa"/>
          </w:tcPr>
          <w:p w14:paraId="5B9172AA"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6EE83DF8" w14:textId="77777777" w:rsidTr="00984DD3">
        <w:tc>
          <w:tcPr>
            <w:tcW w:w="1098" w:type="dxa"/>
          </w:tcPr>
          <w:p w14:paraId="7C0C3045"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4</w:t>
            </w:r>
          </w:p>
        </w:tc>
        <w:tc>
          <w:tcPr>
            <w:tcW w:w="763" w:type="dxa"/>
          </w:tcPr>
          <w:p w14:paraId="7AA4B9C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3.11</w:t>
            </w:r>
          </w:p>
        </w:tc>
        <w:tc>
          <w:tcPr>
            <w:tcW w:w="1171" w:type="dxa"/>
          </w:tcPr>
          <w:p w14:paraId="1C780B1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1.23</w:t>
            </w:r>
          </w:p>
        </w:tc>
        <w:tc>
          <w:tcPr>
            <w:tcW w:w="976" w:type="dxa"/>
          </w:tcPr>
          <w:p w14:paraId="444E5EAD"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1.24</w:t>
            </w:r>
          </w:p>
        </w:tc>
        <w:tc>
          <w:tcPr>
            <w:tcW w:w="702" w:type="dxa"/>
          </w:tcPr>
          <w:p w14:paraId="0D92ED3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58A30CB4"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0.21667868</w:t>
            </w:r>
          </w:p>
        </w:tc>
        <w:tc>
          <w:tcPr>
            <w:tcW w:w="1536" w:type="dxa"/>
          </w:tcPr>
          <w:p w14:paraId="022B384D"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4</w:t>
            </w:r>
          </w:p>
        </w:tc>
        <w:tc>
          <w:tcPr>
            <w:tcW w:w="1216" w:type="dxa"/>
          </w:tcPr>
          <w:p w14:paraId="4F1B8C75"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Medium</w:t>
            </w:r>
          </w:p>
        </w:tc>
      </w:tr>
      <w:tr w:rsidR="00AC1791" w:rsidRPr="002551A7" w14:paraId="573A2103" w14:textId="77777777" w:rsidTr="00984DD3">
        <w:tc>
          <w:tcPr>
            <w:tcW w:w="1098" w:type="dxa"/>
          </w:tcPr>
          <w:p w14:paraId="5E9E3F4A"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5</w:t>
            </w:r>
          </w:p>
        </w:tc>
        <w:tc>
          <w:tcPr>
            <w:tcW w:w="763" w:type="dxa"/>
          </w:tcPr>
          <w:p w14:paraId="77EEDECF"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3.11</w:t>
            </w:r>
          </w:p>
        </w:tc>
        <w:tc>
          <w:tcPr>
            <w:tcW w:w="1171" w:type="dxa"/>
          </w:tcPr>
          <w:p w14:paraId="21E69EBE"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1.26</w:t>
            </w:r>
          </w:p>
        </w:tc>
        <w:tc>
          <w:tcPr>
            <w:tcW w:w="976" w:type="dxa"/>
          </w:tcPr>
          <w:p w14:paraId="27649619"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1.27</w:t>
            </w:r>
          </w:p>
        </w:tc>
        <w:tc>
          <w:tcPr>
            <w:tcW w:w="702" w:type="dxa"/>
          </w:tcPr>
          <w:p w14:paraId="58DF03F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7EA7EE1F"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0.205546959</w:t>
            </w:r>
          </w:p>
        </w:tc>
        <w:tc>
          <w:tcPr>
            <w:tcW w:w="1536" w:type="dxa"/>
          </w:tcPr>
          <w:p w14:paraId="0B6721D6"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4</w:t>
            </w:r>
          </w:p>
        </w:tc>
        <w:tc>
          <w:tcPr>
            <w:tcW w:w="1216" w:type="dxa"/>
          </w:tcPr>
          <w:p w14:paraId="0E89CAEA"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Medium</w:t>
            </w:r>
          </w:p>
        </w:tc>
      </w:tr>
      <w:tr w:rsidR="00AC1791" w:rsidRPr="002551A7" w14:paraId="7B69B36C" w14:textId="77777777" w:rsidTr="00984DD3">
        <w:tc>
          <w:tcPr>
            <w:tcW w:w="1098" w:type="dxa"/>
          </w:tcPr>
          <w:p w14:paraId="6C115E28"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Total</w:t>
            </w:r>
          </w:p>
        </w:tc>
        <w:tc>
          <w:tcPr>
            <w:tcW w:w="763" w:type="dxa"/>
          </w:tcPr>
          <w:p w14:paraId="71561E36"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3.42</w:t>
            </w:r>
          </w:p>
        </w:tc>
        <w:tc>
          <w:tcPr>
            <w:tcW w:w="1171" w:type="dxa"/>
          </w:tcPr>
          <w:p w14:paraId="0FD1FD39"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0.92</w:t>
            </w:r>
          </w:p>
        </w:tc>
        <w:tc>
          <w:tcPr>
            <w:tcW w:w="976" w:type="dxa"/>
          </w:tcPr>
          <w:p w14:paraId="05EC3413"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6.644</w:t>
            </w:r>
          </w:p>
        </w:tc>
        <w:tc>
          <w:tcPr>
            <w:tcW w:w="702" w:type="dxa"/>
          </w:tcPr>
          <w:p w14:paraId="51967180"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eastAsia="Calibri" w:hAnsiTheme="majorBidi" w:cstheme="majorBidi"/>
                <w:color w:val="010205"/>
                <w:sz w:val="24"/>
                <w:szCs w:val="24"/>
              </w:rPr>
              <w:t>207</w:t>
            </w:r>
          </w:p>
        </w:tc>
        <w:tc>
          <w:tcPr>
            <w:tcW w:w="1600" w:type="dxa"/>
          </w:tcPr>
          <w:p w14:paraId="138D28F9"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eastAsia="Calibri" w:hAnsiTheme="majorBidi" w:cstheme="majorBidi"/>
                <w:color w:val="010205"/>
                <w:sz w:val="24"/>
                <w:szCs w:val="24"/>
              </w:rPr>
              <w:t>0.000</w:t>
            </w:r>
          </w:p>
        </w:tc>
        <w:tc>
          <w:tcPr>
            <w:tcW w:w="1536" w:type="dxa"/>
          </w:tcPr>
          <w:p w14:paraId="29699A65"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w:t>
            </w:r>
          </w:p>
        </w:tc>
        <w:tc>
          <w:tcPr>
            <w:tcW w:w="1216" w:type="dxa"/>
          </w:tcPr>
          <w:p w14:paraId="5354E889"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bl>
    <w:p w14:paraId="21152667" w14:textId="77777777" w:rsidR="00AC1791" w:rsidRPr="002551A7" w:rsidRDefault="00AC1791" w:rsidP="002551A7">
      <w:pPr>
        <w:spacing w:line="360" w:lineRule="auto"/>
        <w:jc w:val="center"/>
        <w:rPr>
          <w:rFonts w:asciiTheme="majorBidi" w:hAnsiTheme="majorBidi" w:cstheme="majorBidi"/>
          <w:sz w:val="24"/>
          <w:szCs w:val="24"/>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436F141C"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following table shows the analysis of the questions related to awareness of the boycott, with the mean, standard deviation, t-test, and significance level for each question </w:t>
      </w:r>
      <w:bookmarkStart w:id="370" w:name="_Hlk198037631"/>
      <w:r w:rsidRPr="002551A7">
        <w:rPr>
          <w:rFonts w:asciiTheme="majorBidi" w:hAnsiTheme="majorBidi" w:cstheme="majorBidi"/>
          <w:sz w:val="24"/>
          <w:szCs w:val="24"/>
          <w:lang w:val="en-US"/>
        </w:rPr>
        <w:t>where the critical value equal to 3:</w:t>
      </w:r>
    </w:p>
    <w:bookmarkEnd w:id="370"/>
    <w:p w14:paraId="17635615"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3.68 and a standard deviation of 1.46, indicating high agreement with the responses, with a t-test value of 6.76 and a significance level of 0.000, indicating high awareness of the boycott.</w:t>
      </w:r>
    </w:p>
    <w:p w14:paraId="58EA2A49"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Has a mean of 3.39 and a standard deviation of 1.34, with a t-test value of 4.24 and a significance level of 0.00003, also indicating high awareness.</w:t>
      </w:r>
    </w:p>
    <w:p w14:paraId="2A651760"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Has a mean of 3.83 and a standard deviation of 1.33, reflecting high awareness of the boycott, with a t-test value of 8.95 and a significance level of 0.000.</w:t>
      </w:r>
    </w:p>
    <w:p w14:paraId="033E841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Has a mean of 3.11 and a standard deviation of 1.23, indicating medium awareness, with a t-test significance of 0.2167, which is not statistically significant.</w:t>
      </w:r>
    </w:p>
    <w:p w14:paraId="105DFB0A"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Almost identical to Item 4, with a mean of 3.11 and a standard deviation of 1.26, and a non-significant t-test value 0.2055.</w:t>
      </w:r>
    </w:p>
    <w:p w14:paraId="0074673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axis overall has a mean of 3.42 and a standard deviation of 0.92, indicating that there is generally a high level of awareness of the boycott in the sample. The high values for Items 1 to 3 suggest that most respondents have high awareness of the boycott.</w:t>
      </w:r>
    </w:p>
    <w:p w14:paraId="0CA82C0E" w14:textId="221CCC94" w:rsidR="00AC1791" w:rsidRPr="001548C7" w:rsidRDefault="00AC1791" w:rsidP="00E22940">
      <w:pPr>
        <w:pStyle w:val="ListParagraph"/>
        <w:numPr>
          <w:ilvl w:val="4"/>
          <w:numId w:val="39"/>
        </w:numPr>
        <w:spacing w:line="360" w:lineRule="auto"/>
        <w:jc w:val="both"/>
        <w:rPr>
          <w:rFonts w:asciiTheme="majorBidi" w:hAnsiTheme="majorBidi" w:cstheme="majorBidi"/>
          <w:b/>
          <w:bCs/>
          <w:sz w:val="24"/>
          <w:szCs w:val="24"/>
          <w:lang w:val="en-US"/>
        </w:rPr>
      </w:pPr>
      <w:bookmarkStart w:id="371" w:name="_Toc200721751"/>
      <w:bookmarkStart w:id="372" w:name="_Hlk197786693"/>
      <w:r w:rsidRPr="001548C7">
        <w:rPr>
          <w:rStyle w:val="Heading6Char"/>
          <w:rFonts w:cstheme="majorBidi"/>
          <w:sz w:val="24"/>
          <w:szCs w:val="24"/>
          <w:lang w:val="en-US"/>
        </w:rPr>
        <w:t>Analysis of the second axis the consumer motivation for boycott</w:t>
      </w:r>
      <w:bookmarkEnd w:id="371"/>
      <w:r w:rsidRPr="001548C7">
        <w:rPr>
          <w:rFonts w:asciiTheme="majorBidi" w:hAnsiTheme="majorBidi" w:cstheme="majorBidi"/>
          <w:b/>
          <w:bCs/>
          <w:sz w:val="24"/>
          <w:szCs w:val="24"/>
          <w:lang w:val="en-US"/>
        </w:rPr>
        <w:t>:</w:t>
      </w:r>
    </w:p>
    <w:p w14:paraId="2AAED9B9"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32:</w:t>
      </w:r>
      <w:r w:rsidRPr="002551A7">
        <w:rPr>
          <w:rFonts w:asciiTheme="majorBidi" w:hAnsiTheme="majorBidi" w:cstheme="majorBidi"/>
          <w:sz w:val="24"/>
          <w:szCs w:val="24"/>
          <w:lang w:val="en-US"/>
        </w:rPr>
        <w:t xml:space="preserve"> Analysis of the second axis the consumer motivation for boycott</w:t>
      </w:r>
    </w:p>
    <w:tbl>
      <w:tblPr>
        <w:tblStyle w:val="TableGrid1"/>
        <w:tblW w:w="0" w:type="auto"/>
        <w:tblLook w:val="04A0" w:firstRow="1" w:lastRow="0" w:firstColumn="1" w:lastColumn="0" w:noHBand="0" w:noVBand="1"/>
      </w:tblPr>
      <w:tblGrid>
        <w:gridCol w:w="1092"/>
        <w:gridCol w:w="876"/>
        <w:gridCol w:w="1148"/>
        <w:gridCol w:w="895"/>
        <w:gridCol w:w="700"/>
        <w:gridCol w:w="1599"/>
        <w:gridCol w:w="1536"/>
        <w:gridCol w:w="1216"/>
      </w:tblGrid>
      <w:tr w:rsidR="00AC1791" w:rsidRPr="002551A7" w14:paraId="02AC99EE" w14:textId="77777777" w:rsidTr="00BB3290">
        <w:tc>
          <w:tcPr>
            <w:tcW w:w="1098" w:type="dxa"/>
          </w:tcPr>
          <w:p w14:paraId="10E35BE0"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Question</w:t>
            </w:r>
          </w:p>
        </w:tc>
        <w:tc>
          <w:tcPr>
            <w:tcW w:w="763" w:type="dxa"/>
          </w:tcPr>
          <w:p w14:paraId="7D484B0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Mean</w:t>
            </w:r>
          </w:p>
        </w:tc>
        <w:tc>
          <w:tcPr>
            <w:tcW w:w="1171" w:type="dxa"/>
          </w:tcPr>
          <w:p w14:paraId="5973E310"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Standard deviation</w:t>
            </w:r>
          </w:p>
        </w:tc>
        <w:tc>
          <w:tcPr>
            <w:tcW w:w="976" w:type="dxa"/>
          </w:tcPr>
          <w:p w14:paraId="4DDABAF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Test t</w:t>
            </w:r>
          </w:p>
        </w:tc>
        <w:tc>
          <w:tcPr>
            <w:tcW w:w="702" w:type="dxa"/>
          </w:tcPr>
          <w:p w14:paraId="5B44AED6"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Df</w:t>
            </w:r>
          </w:p>
        </w:tc>
        <w:tc>
          <w:tcPr>
            <w:tcW w:w="1600" w:type="dxa"/>
          </w:tcPr>
          <w:p w14:paraId="74F43EA7"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Sig(2-tailes)</w:t>
            </w:r>
          </w:p>
        </w:tc>
        <w:tc>
          <w:tcPr>
            <w:tcW w:w="1536" w:type="dxa"/>
          </w:tcPr>
          <w:p w14:paraId="5914709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Classification</w:t>
            </w:r>
          </w:p>
        </w:tc>
        <w:tc>
          <w:tcPr>
            <w:tcW w:w="1216" w:type="dxa"/>
          </w:tcPr>
          <w:p w14:paraId="00316998"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Level of agreement</w:t>
            </w:r>
          </w:p>
        </w:tc>
      </w:tr>
      <w:tr w:rsidR="00AC1791" w:rsidRPr="002551A7" w14:paraId="225683CF" w14:textId="77777777" w:rsidTr="00BB3290">
        <w:tc>
          <w:tcPr>
            <w:tcW w:w="1098" w:type="dxa"/>
          </w:tcPr>
          <w:p w14:paraId="3299EB4C"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1</w:t>
            </w:r>
          </w:p>
        </w:tc>
        <w:tc>
          <w:tcPr>
            <w:tcW w:w="763" w:type="dxa"/>
          </w:tcPr>
          <w:p w14:paraId="55E48E6D"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3.59</w:t>
            </w:r>
          </w:p>
        </w:tc>
        <w:tc>
          <w:tcPr>
            <w:tcW w:w="1171" w:type="dxa"/>
          </w:tcPr>
          <w:p w14:paraId="3C38BEA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1.46</w:t>
            </w:r>
          </w:p>
        </w:tc>
        <w:tc>
          <w:tcPr>
            <w:tcW w:w="976" w:type="dxa"/>
          </w:tcPr>
          <w:p w14:paraId="67F70719"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5.82</w:t>
            </w:r>
          </w:p>
        </w:tc>
        <w:tc>
          <w:tcPr>
            <w:tcW w:w="702" w:type="dxa"/>
          </w:tcPr>
          <w:p w14:paraId="0AD842A5"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25817162"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2.19809E-08</w:t>
            </w:r>
          </w:p>
        </w:tc>
        <w:tc>
          <w:tcPr>
            <w:tcW w:w="1536" w:type="dxa"/>
          </w:tcPr>
          <w:p w14:paraId="71E79457"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2</w:t>
            </w:r>
          </w:p>
        </w:tc>
        <w:tc>
          <w:tcPr>
            <w:tcW w:w="1216" w:type="dxa"/>
          </w:tcPr>
          <w:p w14:paraId="5C32C258"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67D958E7" w14:textId="77777777" w:rsidTr="00BB3290">
        <w:tc>
          <w:tcPr>
            <w:tcW w:w="1098" w:type="dxa"/>
          </w:tcPr>
          <w:p w14:paraId="6C0B6DDE"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2</w:t>
            </w:r>
          </w:p>
        </w:tc>
        <w:tc>
          <w:tcPr>
            <w:tcW w:w="763" w:type="dxa"/>
          </w:tcPr>
          <w:p w14:paraId="0D82DD6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3.56</w:t>
            </w:r>
          </w:p>
        </w:tc>
        <w:tc>
          <w:tcPr>
            <w:tcW w:w="1171" w:type="dxa"/>
          </w:tcPr>
          <w:p w14:paraId="707486B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1.47</w:t>
            </w:r>
          </w:p>
        </w:tc>
        <w:tc>
          <w:tcPr>
            <w:tcW w:w="976" w:type="dxa"/>
          </w:tcPr>
          <w:p w14:paraId="41611391"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5.53</w:t>
            </w:r>
          </w:p>
        </w:tc>
        <w:tc>
          <w:tcPr>
            <w:tcW w:w="702" w:type="dxa"/>
          </w:tcPr>
          <w:p w14:paraId="4438698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433567AA"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9.50699E-08</w:t>
            </w:r>
          </w:p>
        </w:tc>
        <w:tc>
          <w:tcPr>
            <w:tcW w:w="1536" w:type="dxa"/>
          </w:tcPr>
          <w:p w14:paraId="72D6B5C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4</w:t>
            </w:r>
          </w:p>
        </w:tc>
        <w:tc>
          <w:tcPr>
            <w:tcW w:w="1216" w:type="dxa"/>
          </w:tcPr>
          <w:p w14:paraId="32079484"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4B012F1A" w14:textId="77777777" w:rsidTr="00BB3290">
        <w:tc>
          <w:tcPr>
            <w:tcW w:w="1098" w:type="dxa"/>
          </w:tcPr>
          <w:p w14:paraId="183484AA"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3</w:t>
            </w:r>
          </w:p>
        </w:tc>
        <w:tc>
          <w:tcPr>
            <w:tcW w:w="763" w:type="dxa"/>
          </w:tcPr>
          <w:p w14:paraId="31D23311"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3.57</w:t>
            </w:r>
          </w:p>
        </w:tc>
        <w:tc>
          <w:tcPr>
            <w:tcW w:w="1171" w:type="dxa"/>
          </w:tcPr>
          <w:p w14:paraId="67FDEDB0"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1.43</w:t>
            </w:r>
          </w:p>
        </w:tc>
        <w:tc>
          <w:tcPr>
            <w:tcW w:w="976" w:type="dxa"/>
          </w:tcPr>
          <w:p w14:paraId="139462F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5.76</w:t>
            </w:r>
          </w:p>
        </w:tc>
        <w:tc>
          <w:tcPr>
            <w:tcW w:w="702" w:type="dxa"/>
          </w:tcPr>
          <w:p w14:paraId="3EA5520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6748CE80"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3.02806E-08</w:t>
            </w:r>
          </w:p>
        </w:tc>
        <w:tc>
          <w:tcPr>
            <w:tcW w:w="1536" w:type="dxa"/>
          </w:tcPr>
          <w:p w14:paraId="6F26FD48"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3</w:t>
            </w:r>
          </w:p>
        </w:tc>
        <w:tc>
          <w:tcPr>
            <w:tcW w:w="1216" w:type="dxa"/>
          </w:tcPr>
          <w:p w14:paraId="45CFABDE"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2AC7A153" w14:textId="77777777" w:rsidTr="00BB3290">
        <w:tc>
          <w:tcPr>
            <w:tcW w:w="1098" w:type="dxa"/>
          </w:tcPr>
          <w:p w14:paraId="0778CEE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4</w:t>
            </w:r>
          </w:p>
        </w:tc>
        <w:tc>
          <w:tcPr>
            <w:tcW w:w="763" w:type="dxa"/>
          </w:tcPr>
          <w:p w14:paraId="40A6B203"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2.71</w:t>
            </w:r>
          </w:p>
        </w:tc>
        <w:tc>
          <w:tcPr>
            <w:tcW w:w="1171" w:type="dxa"/>
          </w:tcPr>
          <w:p w14:paraId="5607F01C"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1.34</w:t>
            </w:r>
          </w:p>
        </w:tc>
        <w:tc>
          <w:tcPr>
            <w:tcW w:w="976" w:type="dxa"/>
          </w:tcPr>
          <w:p w14:paraId="099345E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-3.15</w:t>
            </w:r>
          </w:p>
        </w:tc>
        <w:tc>
          <w:tcPr>
            <w:tcW w:w="702" w:type="dxa"/>
          </w:tcPr>
          <w:p w14:paraId="71ED7FB0"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3F487BCC"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0.001871914</w:t>
            </w:r>
          </w:p>
        </w:tc>
        <w:tc>
          <w:tcPr>
            <w:tcW w:w="1536" w:type="dxa"/>
          </w:tcPr>
          <w:p w14:paraId="5AC21A7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5</w:t>
            </w:r>
          </w:p>
        </w:tc>
        <w:tc>
          <w:tcPr>
            <w:tcW w:w="1216" w:type="dxa"/>
          </w:tcPr>
          <w:p w14:paraId="637F6EB9"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Medium</w:t>
            </w:r>
          </w:p>
        </w:tc>
      </w:tr>
      <w:tr w:rsidR="00AC1791" w:rsidRPr="002551A7" w14:paraId="2DB389D8" w14:textId="77777777" w:rsidTr="00BB3290">
        <w:tc>
          <w:tcPr>
            <w:tcW w:w="1098" w:type="dxa"/>
          </w:tcPr>
          <w:p w14:paraId="4784B92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Item 5</w:t>
            </w:r>
          </w:p>
        </w:tc>
        <w:tc>
          <w:tcPr>
            <w:tcW w:w="763" w:type="dxa"/>
          </w:tcPr>
          <w:p w14:paraId="49BF07DF"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3.61</w:t>
            </w:r>
          </w:p>
        </w:tc>
        <w:tc>
          <w:tcPr>
            <w:tcW w:w="1171" w:type="dxa"/>
          </w:tcPr>
          <w:p w14:paraId="409DCA8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1.40</w:t>
            </w:r>
          </w:p>
        </w:tc>
        <w:tc>
          <w:tcPr>
            <w:tcW w:w="976" w:type="dxa"/>
          </w:tcPr>
          <w:p w14:paraId="006F990E"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6.45</w:t>
            </w:r>
          </w:p>
        </w:tc>
        <w:tc>
          <w:tcPr>
            <w:tcW w:w="702" w:type="dxa"/>
          </w:tcPr>
          <w:p w14:paraId="544F52CD"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207</w:t>
            </w:r>
          </w:p>
        </w:tc>
        <w:tc>
          <w:tcPr>
            <w:tcW w:w="1600" w:type="dxa"/>
          </w:tcPr>
          <w:p w14:paraId="02285C78"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7.92539E-10</w:t>
            </w:r>
          </w:p>
        </w:tc>
        <w:tc>
          <w:tcPr>
            <w:tcW w:w="1536" w:type="dxa"/>
          </w:tcPr>
          <w:p w14:paraId="617005F0"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216" w:type="dxa"/>
          </w:tcPr>
          <w:p w14:paraId="21A0B7AF"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r w:rsidR="00AC1791" w:rsidRPr="002551A7" w14:paraId="18081570" w14:textId="77777777" w:rsidTr="00BB3290">
        <w:tc>
          <w:tcPr>
            <w:tcW w:w="1098" w:type="dxa"/>
          </w:tcPr>
          <w:p w14:paraId="5BBBF211"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Total</w:t>
            </w:r>
          </w:p>
        </w:tc>
        <w:tc>
          <w:tcPr>
            <w:tcW w:w="763" w:type="dxa"/>
          </w:tcPr>
          <w:p w14:paraId="544264C5"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3.412</w:t>
            </w:r>
          </w:p>
        </w:tc>
        <w:tc>
          <w:tcPr>
            <w:tcW w:w="1171" w:type="dxa"/>
          </w:tcPr>
          <w:p w14:paraId="1220B74E"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1.122</w:t>
            </w:r>
          </w:p>
        </w:tc>
        <w:tc>
          <w:tcPr>
            <w:tcW w:w="976" w:type="dxa"/>
          </w:tcPr>
          <w:p w14:paraId="0C24E7BB"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hAnsiTheme="majorBidi" w:cstheme="majorBidi"/>
                <w:sz w:val="24"/>
                <w:szCs w:val="24"/>
              </w:rPr>
              <w:t>5.29</w:t>
            </w:r>
          </w:p>
        </w:tc>
        <w:tc>
          <w:tcPr>
            <w:tcW w:w="702" w:type="dxa"/>
          </w:tcPr>
          <w:p w14:paraId="7EDAB3D7"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eastAsia="Calibri" w:hAnsiTheme="majorBidi" w:cstheme="majorBidi"/>
                <w:color w:val="010205"/>
                <w:sz w:val="24"/>
                <w:szCs w:val="24"/>
              </w:rPr>
              <w:t>207</w:t>
            </w:r>
          </w:p>
        </w:tc>
        <w:tc>
          <w:tcPr>
            <w:tcW w:w="1600" w:type="dxa"/>
          </w:tcPr>
          <w:p w14:paraId="2732472D" w14:textId="77777777" w:rsidR="00AC1791" w:rsidRPr="002551A7" w:rsidRDefault="00AC1791" w:rsidP="002551A7">
            <w:pPr>
              <w:spacing w:line="360" w:lineRule="auto"/>
              <w:ind w:left="60" w:right="60"/>
              <w:jc w:val="center"/>
              <w:rPr>
                <w:rFonts w:asciiTheme="majorBidi" w:eastAsia="Calibri" w:hAnsiTheme="majorBidi" w:cstheme="majorBidi"/>
                <w:color w:val="010205"/>
                <w:sz w:val="24"/>
                <w:szCs w:val="24"/>
              </w:rPr>
            </w:pPr>
            <w:r w:rsidRPr="002551A7">
              <w:rPr>
                <w:rFonts w:asciiTheme="majorBidi" w:eastAsia="Calibri" w:hAnsiTheme="majorBidi" w:cstheme="majorBidi"/>
                <w:color w:val="010205"/>
                <w:sz w:val="24"/>
                <w:szCs w:val="24"/>
              </w:rPr>
              <w:t>0.000</w:t>
            </w:r>
          </w:p>
        </w:tc>
        <w:tc>
          <w:tcPr>
            <w:tcW w:w="1536" w:type="dxa"/>
          </w:tcPr>
          <w:p w14:paraId="4EE15DCB"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w:t>
            </w:r>
          </w:p>
        </w:tc>
        <w:tc>
          <w:tcPr>
            <w:tcW w:w="1216" w:type="dxa"/>
          </w:tcPr>
          <w:p w14:paraId="36D8036C" w14:textId="77777777" w:rsidR="00AC1791" w:rsidRPr="002551A7" w:rsidRDefault="00AC1791" w:rsidP="002551A7">
            <w:pPr>
              <w:spacing w:line="360" w:lineRule="auto"/>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High</w:t>
            </w:r>
          </w:p>
        </w:tc>
      </w:tr>
    </w:tbl>
    <w:p w14:paraId="092B1CF1" w14:textId="77777777" w:rsidR="00AC1791" w:rsidRPr="002551A7" w:rsidRDefault="00AC1791" w:rsidP="002551A7">
      <w:pPr>
        <w:spacing w:line="360" w:lineRule="auto"/>
        <w:jc w:val="center"/>
        <w:rPr>
          <w:rFonts w:asciiTheme="majorBidi" w:hAnsiTheme="majorBidi" w:cstheme="majorBidi"/>
          <w:sz w:val="24"/>
          <w:szCs w:val="24"/>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372"/>
    <w:p w14:paraId="5602065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shows the analysis of the questions related to consumer motivation for boycott, with the mean, standard deviation, t-test, and significance level for each question where the critical value equal to 3:</w:t>
      </w:r>
    </w:p>
    <w:p w14:paraId="26B9372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3.59 and a standard deviation of 1.46, indicating high agreement among respondents. The t-test value is 5.82, and the significance level is 0.0000000219, which confirms that this item is statistically significant and reflects strong consumer motivation for boycotting.</w:t>
      </w:r>
    </w:p>
    <w:p w14:paraId="2A86ACD0"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Has a mean of 3.56 and a standard deviation of 1.47, with a t-test value of 5.53 and a significance level of 0.0000000951. This result also indicates a high level of motivation and is statistically significant.</w:t>
      </w:r>
    </w:p>
    <w:p w14:paraId="0BA07DE2"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Shows a mean of 3.57 and a standard deviation of 1.43, with a t-test value of 5.76 and a significance level of 0.0000000302, suggesting high motivation and strong statistical support.</w:t>
      </w:r>
    </w:p>
    <w:p w14:paraId="270A042C"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Has a lower mean of 2.71 and a standard deviation of 1.34, indicating only a medium level of agreement. The t-test value is -3.15, and the significance level is 0.0018, showing that although the result is statistically significant, the level of consumer motivation expressed in this item is moderate.</w:t>
      </w:r>
    </w:p>
    <w:p w14:paraId="464EC0E2"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Has the highest mean of 3.61 and a standard deviation of 1.40, indicating strong consumer motivation for boycott. The t-test value is 6.45, with a significance level of 0.00000000079, confirming its high statistical significance.</w:t>
      </w:r>
    </w:p>
    <w:p w14:paraId="564A8115"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total axis has a mean of 3.41 and a standard deviation of 1.12, suggesting a generally high level of consumer motivation to boycott among the sample. The high significance levels and means in Items 1, 2, 3, and 5 reflect strong consumer sentiment supporting the boycott, while Item 4 presents a moderate view.</w:t>
      </w:r>
    </w:p>
    <w:p w14:paraId="0346DA73" w14:textId="0E1AC54A" w:rsidR="00AC1791" w:rsidRPr="001548C7" w:rsidRDefault="00AC1791" w:rsidP="00E22940">
      <w:pPr>
        <w:pStyle w:val="ListParagraph"/>
        <w:numPr>
          <w:ilvl w:val="4"/>
          <w:numId w:val="39"/>
        </w:numPr>
        <w:spacing w:line="360" w:lineRule="auto"/>
        <w:jc w:val="both"/>
        <w:rPr>
          <w:rFonts w:asciiTheme="majorBidi" w:hAnsiTheme="majorBidi" w:cstheme="majorBidi"/>
          <w:b/>
          <w:bCs/>
          <w:sz w:val="24"/>
          <w:szCs w:val="24"/>
          <w:lang w:val="en-US"/>
        </w:rPr>
      </w:pPr>
      <w:bookmarkStart w:id="373" w:name="_Toc200721752"/>
      <w:r w:rsidRPr="001548C7">
        <w:rPr>
          <w:rStyle w:val="Heading6Char"/>
          <w:rFonts w:cstheme="majorBidi"/>
          <w:sz w:val="24"/>
          <w:szCs w:val="24"/>
          <w:lang w:val="en-US"/>
        </w:rPr>
        <w:t>Analysis of the third axis the trust in alternative products</w:t>
      </w:r>
      <w:bookmarkEnd w:id="373"/>
      <w:r w:rsidRPr="001548C7">
        <w:rPr>
          <w:rFonts w:asciiTheme="majorBidi" w:hAnsiTheme="majorBidi" w:cstheme="majorBidi"/>
          <w:b/>
          <w:bCs/>
          <w:sz w:val="24"/>
          <w:szCs w:val="24"/>
          <w:lang w:val="en-US"/>
        </w:rPr>
        <w:t>:</w:t>
      </w:r>
    </w:p>
    <w:p w14:paraId="50371CC2"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33:</w:t>
      </w:r>
      <w:r w:rsidRPr="002551A7">
        <w:rPr>
          <w:rFonts w:asciiTheme="majorBidi" w:hAnsiTheme="majorBidi" w:cstheme="majorBidi"/>
          <w:sz w:val="24"/>
          <w:szCs w:val="24"/>
          <w:lang w:val="en-US"/>
        </w:rPr>
        <w:t xml:space="preserve"> Analysis of the third axis the trust in alternative products</w:t>
      </w:r>
    </w:p>
    <w:tbl>
      <w:tblPr>
        <w:tblStyle w:val="TableGrid1"/>
        <w:tblW w:w="0" w:type="auto"/>
        <w:tblLook w:val="04A0" w:firstRow="1" w:lastRow="0" w:firstColumn="1" w:lastColumn="0" w:noHBand="0" w:noVBand="1"/>
      </w:tblPr>
      <w:tblGrid>
        <w:gridCol w:w="1083"/>
        <w:gridCol w:w="1020"/>
        <w:gridCol w:w="1199"/>
        <w:gridCol w:w="956"/>
        <w:gridCol w:w="576"/>
        <w:gridCol w:w="1476"/>
        <w:gridCol w:w="1536"/>
        <w:gridCol w:w="1216"/>
      </w:tblGrid>
      <w:tr w:rsidR="00AC1791" w:rsidRPr="002551A7" w14:paraId="089E7C28" w14:textId="77777777" w:rsidTr="00A70462">
        <w:tc>
          <w:tcPr>
            <w:tcW w:w="954" w:type="dxa"/>
          </w:tcPr>
          <w:p w14:paraId="6D57140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292" w:type="dxa"/>
          </w:tcPr>
          <w:p w14:paraId="40A8EB7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93" w:type="dxa"/>
          </w:tcPr>
          <w:p w14:paraId="2B5E560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293" w:type="dxa"/>
          </w:tcPr>
          <w:p w14:paraId="5D161E0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28" w:type="dxa"/>
          </w:tcPr>
          <w:p w14:paraId="348BFA0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293" w:type="dxa"/>
          </w:tcPr>
          <w:p w14:paraId="7904549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341" w:type="dxa"/>
          </w:tcPr>
          <w:p w14:paraId="362EABA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068" w:type="dxa"/>
          </w:tcPr>
          <w:p w14:paraId="377B19E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3988789F" w14:textId="77777777" w:rsidTr="00A70462">
        <w:tc>
          <w:tcPr>
            <w:tcW w:w="954" w:type="dxa"/>
          </w:tcPr>
          <w:p w14:paraId="430DC2F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292" w:type="dxa"/>
          </w:tcPr>
          <w:p w14:paraId="01FCDBD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3.37</w:t>
            </w:r>
          </w:p>
        </w:tc>
        <w:tc>
          <w:tcPr>
            <w:tcW w:w="1293" w:type="dxa"/>
          </w:tcPr>
          <w:p w14:paraId="5C8B833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1.48</w:t>
            </w:r>
          </w:p>
        </w:tc>
        <w:tc>
          <w:tcPr>
            <w:tcW w:w="1293" w:type="dxa"/>
          </w:tcPr>
          <w:p w14:paraId="6F362F0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3.56</w:t>
            </w:r>
          </w:p>
        </w:tc>
        <w:tc>
          <w:tcPr>
            <w:tcW w:w="528" w:type="dxa"/>
          </w:tcPr>
          <w:p w14:paraId="0CB6D9B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5DCA0CF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0.000464353</w:t>
            </w:r>
          </w:p>
        </w:tc>
        <w:tc>
          <w:tcPr>
            <w:tcW w:w="1341" w:type="dxa"/>
          </w:tcPr>
          <w:p w14:paraId="2B60BD12" w14:textId="77777777" w:rsidR="00AC1791" w:rsidRPr="002551A7" w:rsidRDefault="00AC1791" w:rsidP="002551A7">
            <w:pPr>
              <w:spacing w:after="160" w:line="360" w:lineRule="auto"/>
              <w:jc w:val="center"/>
              <w:rPr>
                <w:rFonts w:asciiTheme="majorBidi" w:hAnsiTheme="majorBidi" w:cstheme="majorBidi"/>
                <w:kern w:val="2"/>
                <w:sz w:val="24"/>
                <w:szCs w:val="24"/>
                <w:lang w:val="fr-FR"/>
                <w14:ligatures w14:val="standardContextual"/>
              </w:rPr>
            </w:pPr>
            <w:r w:rsidRPr="002551A7">
              <w:rPr>
                <w:rFonts w:asciiTheme="majorBidi" w:hAnsiTheme="majorBidi" w:cstheme="majorBidi"/>
                <w:kern w:val="2"/>
                <w:sz w:val="24"/>
                <w:szCs w:val="24"/>
                <w:lang w:val="fr-FR"/>
                <w14:ligatures w14:val="standardContextual"/>
              </w:rPr>
              <w:t>1</w:t>
            </w:r>
          </w:p>
        </w:tc>
        <w:tc>
          <w:tcPr>
            <w:tcW w:w="1068" w:type="dxa"/>
          </w:tcPr>
          <w:p w14:paraId="394224B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3B871342" w14:textId="77777777" w:rsidTr="00A70462">
        <w:tc>
          <w:tcPr>
            <w:tcW w:w="954" w:type="dxa"/>
          </w:tcPr>
          <w:p w14:paraId="43883F4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292" w:type="dxa"/>
          </w:tcPr>
          <w:p w14:paraId="5CF1817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3.08</w:t>
            </w:r>
          </w:p>
        </w:tc>
        <w:tc>
          <w:tcPr>
            <w:tcW w:w="1293" w:type="dxa"/>
          </w:tcPr>
          <w:p w14:paraId="380125F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1.19</w:t>
            </w:r>
          </w:p>
        </w:tc>
        <w:tc>
          <w:tcPr>
            <w:tcW w:w="1293" w:type="dxa"/>
          </w:tcPr>
          <w:p w14:paraId="1F1A969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0.94</w:t>
            </w:r>
          </w:p>
        </w:tc>
        <w:tc>
          <w:tcPr>
            <w:tcW w:w="528" w:type="dxa"/>
          </w:tcPr>
          <w:p w14:paraId="5A0F6C6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1CBF887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0.350337948</w:t>
            </w:r>
          </w:p>
        </w:tc>
        <w:tc>
          <w:tcPr>
            <w:tcW w:w="1341" w:type="dxa"/>
          </w:tcPr>
          <w:p w14:paraId="7AE1E74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068" w:type="dxa"/>
          </w:tcPr>
          <w:p w14:paraId="4773AB7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055B22D3" w14:textId="77777777" w:rsidTr="00A70462">
        <w:tc>
          <w:tcPr>
            <w:tcW w:w="954" w:type="dxa"/>
          </w:tcPr>
          <w:p w14:paraId="47FAA8F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292" w:type="dxa"/>
          </w:tcPr>
          <w:p w14:paraId="762FD07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3.18</w:t>
            </w:r>
          </w:p>
        </w:tc>
        <w:tc>
          <w:tcPr>
            <w:tcW w:w="1293" w:type="dxa"/>
          </w:tcPr>
          <w:p w14:paraId="235E01F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1.28</w:t>
            </w:r>
          </w:p>
        </w:tc>
        <w:tc>
          <w:tcPr>
            <w:tcW w:w="1293" w:type="dxa"/>
          </w:tcPr>
          <w:p w14:paraId="687DF6D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2.06</w:t>
            </w:r>
          </w:p>
        </w:tc>
        <w:tc>
          <w:tcPr>
            <w:tcW w:w="528" w:type="dxa"/>
          </w:tcPr>
          <w:p w14:paraId="4373399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3676665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0.040771803</w:t>
            </w:r>
          </w:p>
        </w:tc>
        <w:tc>
          <w:tcPr>
            <w:tcW w:w="1341" w:type="dxa"/>
          </w:tcPr>
          <w:p w14:paraId="7741392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068" w:type="dxa"/>
          </w:tcPr>
          <w:p w14:paraId="1C3A585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37529625" w14:textId="77777777" w:rsidTr="00CF1314">
        <w:tc>
          <w:tcPr>
            <w:tcW w:w="954" w:type="dxa"/>
          </w:tcPr>
          <w:p w14:paraId="1453B4B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292" w:type="dxa"/>
          </w:tcPr>
          <w:p w14:paraId="6A49D0C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3.16</w:t>
            </w:r>
          </w:p>
        </w:tc>
        <w:tc>
          <w:tcPr>
            <w:tcW w:w="1293" w:type="dxa"/>
          </w:tcPr>
          <w:p w14:paraId="2CDBA13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1.25</w:t>
            </w:r>
          </w:p>
        </w:tc>
        <w:tc>
          <w:tcPr>
            <w:tcW w:w="1293" w:type="dxa"/>
          </w:tcPr>
          <w:p w14:paraId="00C4679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1.89</w:t>
            </w:r>
          </w:p>
        </w:tc>
        <w:tc>
          <w:tcPr>
            <w:tcW w:w="528" w:type="dxa"/>
          </w:tcPr>
          <w:p w14:paraId="09C5DC1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Borders>
              <w:bottom w:val="single" w:sz="4" w:space="0" w:color="auto"/>
            </w:tcBorders>
          </w:tcPr>
          <w:p w14:paraId="069899C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0.060304902</w:t>
            </w:r>
          </w:p>
        </w:tc>
        <w:tc>
          <w:tcPr>
            <w:tcW w:w="1341" w:type="dxa"/>
          </w:tcPr>
          <w:p w14:paraId="275104B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068" w:type="dxa"/>
          </w:tcPr>
          <w:p w14:paraId="6A2F656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5A09949A" w14:textId="77777777" w:rsidTr="00CF1314">
        <w:tc>
          <w:tcPr>
            <w:tcW w:w="954" w:type="dxa"/>
          </w:tcPr>
          <w:p w14:paraId="7656EA8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292" w:type="dxa"/>
          </w:tcPr>
          <w:p w14:paraId="7F70E64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3.20</w:t>
            </w:r>
          </w:p>
        </w:tc>
        <w:tc>
          <w:tcPr>
            <w:tcW w:w="1293" w:type="dxa"/>
          </w:tcPr>
          <w:p w14:paraId="293F47E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1.11</w:t>
            </w:r>
          </w:p>
        </w:tc>
        <w:tc>
          <w:tcPr>
            <w:tcW w:w="1293" w:type="dxa"/>
          </w:tcPr>
          <w:p w14:paraId="7BB52F9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2.57</w:t>
            </w:r>
          </w:p>
        </w:tc>
        <w:tc>
          <w:tcPr>
            <w:tcW w:w="528" w:type="dxa"/>
          </w:tcPr>
          <w:p w14:paraId="70F0B90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293" w:type="dxa"/>
            <w:tcBorders>
              <w:bottom w:val="single" w:sz="4" w:space="0" w:color="auto"/>
            </w:tcBorders>
          </w:tcPr>
          <w:p w14:paraId="5DF752D4" w14:textId="77777777" w:rsidR="00AC1791" w:rsidRPr="002551A7" w:rsidRDefault="00AC1791" w:rsidP="002551A7">
            <w:pPr>
              <w:spacing w:line="360" w:lineRule="auto"/>
              <w:jc w:val="center"/>
              <w:rPr>
                <w:rFonts w:asciiTheme="majorBidi" w:hAnsiTheme="majorBidi" w:cstheme="majorBidi"/>
                <w:sz w:val="24"/>
                <w:szCs w:val="24"/>
                <w:lang w:val="fr-FR"/>
              </w:rPr>
            </w:pPr>
            <w:r w:rsidRPr="002551A7">
              <w:rPr>
                <w:rFonts w:asciiTheme="majorBidi" w:hAnsiTheme="majorBidi" w:cstheme="majorBidi"/>
                <w:sz w:val="24"/>
                <w:szCs w:val="24"/>
                <w:lang w:val="fr-FR"/>
              </w:rPr>
              <w:t>0.0109</w:t>
            </w:r>
          </w:p>
        </w:tc>
        <w:tc>
          <w:tcPr>
            <w:tcW w:w="1341" w:type="dxa"/>
          </w:tcPr>
          <w:p w14:paraId="743170A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068" w:type="dxa"/>
          </w:tcPr>
          <w:p w14:paraId="27BB5DC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bl>
    <w:p w14:paraId="3C96B4B5" w14:textId="77777777" w:rsidR="00AC1791" w:rsidRPr="002551A7" w:rsidRDefault="00AC1791" w:rsidP="002551A7">
      <w:pPr>
        <w:spacing w:line="360" w:lineRule="auto"/>
        <w:jc w:val="center"/>
        <w:rPr>
          <w:rFonts w:asciiTheme="majorBidi" w:hAnsiTheme="majorBidi" w:cstheme="majorBidi"/>
          <w:sz w:val="24"/>
          <w:szCs w:val="24"/>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7C9F58A5"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axis examines the level of trust in alternative products among the sample. The results show that most respondents have a moderate level of trust in such products</w:t>
      </w: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where the critical value equal to 3:</w:t>
      </w:r>
    </w:p>
    <w:p w14:paraId="0818AA6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3.37 and a standard deviation of 1.48, with a t-test value of 3.56 and a significance level of 0.0004, indicating a statistically significant moderate level of trust.</w:t>
      </w:r>
    </w:p>
    <w:p w14:paraId="354EF46F"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3.08 with a standard deviation of 1.19, and a non-significant t-test value of 0.35, reflecting a neutral or unclear perception of this item.</w:t>
      </w:r>
    </w:p>
    <w:p w14:paraId="31042230"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Has a mean of 3.18, a standard deviation of 1.28, and a t-test value of 2.06 with a significance of 0.040, indicating a statistically significant moderate trust.</w:t>
      </w:r>
    </w:p>
    <w:p w14:paraId="06A05971"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rtl/>
          <w:lang w:val="en-US"/>
        </w:rPr>
      </w:pPr>
      <w:r w:rsidRPr="002551A7">
        <w:rPr>
          <w:rFonts w:asciiTheme="majorBidi" w:hAnsiTheme="majorBidi" w:cstheme="majorBidi"/>
          <w:sz w:val="24"/>
          <w:szCs w:val="24"/>
          <w:lang w:val="en-US"/>
        </w:rPr>
        <w:t>Item 4: Has a mean of 3.16, a standard deviation of 1.25, and a t-test value of 1.89 with a significance of 0.060, which is slightly above the threshold 0.05, suggesting moderate but statistically non-significant trust.</w:t>
      </w:r>
    </w:p>
    <w:p w14:paraId="5093FAE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total mean is 3.20 with a standard deviation of 1.11, and the t-test significance is 0.0109, indicating that the general level of trust in alternative products is moderate and statistically significant.</w:t>
      </w:r>
    </w:p>
    <w:p w14:paraId="580D21E5" w14:textId="6DB4C4CD" w:rsidR="00AC1791" w:rsidRPr="001548C7" w:rsidRDefault="00AC1791" w:rsidP="00E22940">
      <w:pPr>
        <w:pStyle w:val="ListParagraph"/>
        <w:numPr>
          <w:ilvl w:val="4"/>
          <w:numId w:val="39"/>
        </w:numPr>
        <w:spacing w:line="360" w:lineRule="auto"/>
        <w:jc w:val="both"/>
        <w:rPr>
          <w:rFonts w:asciiTheme="majorBidi" w:hAnsiTheme="majorBidi" w:cstheme="majorBidi"/>
          <w:b/>
          <w:bCs/>
          <w:sz w:val="24"/>
          <w:szCs w:val="24"/>
          <w:lang w:val="en-US"/>
        </w:rPr>
      </w:pPr>
      <w:bookmarkStart w:id="374" w:name="_Toc200721753"/>
      <w:r w:rsidRPr="001548C7">
        <w:rPr>
          <w:rStyle w:val="Heading6Char"/>
          <w:rFonts w:cstheme="majorBidi"/>
          <w:sz w:val="24"/>
          <w:szCs w:val="24"/>
          <w:lang w:val="en-US"/>
        </w:rPr>
        <w:t xml:space="preserve">Analysis of the fourth axis the </w:t>
      </w:r>
      <w:bookmarkStart w:id="375" w:name="_Hlk197787552"/>
      <w:r w:rsidRPr="001548C7">
        <w:rPr>
          <w:rStyle w:val="Heading6Char"/>
          <w:rFonts w:cstheme="majorBidi"/>
          <w:sz w:val="24"/>
          <w:szCs w:val="24"/>
          <w:lang w:val="en-US"/>
        </w:rPr>
        <w:t>effectiveness of boycott in changing habits</w:t>
      </w:r>
      <w:bookmarkEnd w:id="374"/>
      <w:bookmarkEnd w:id="375"/>
      <w:r w:rsidRPr="001548C7">
        <w:rPr>
          <w:rFonts w:asciiTheme="majorBidi" w:hAnsiTheme="majorBidi" w:cstheme="majorBidi"/>
          <w:b/>
          <w:bCs/>
          <w:sz w:val="24"/>
          <w:szCs w:val="24"/>
          <w:lang w:val="en-US"/>
        </w:rPr>
        <w:t>:</w:t>
      </w:r>
    </w:p>
    <w:p w14:paraId="0ADA2DF4"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34:</w:t>
      </w:r>
      <w:r w:rsidRPr="002551A7">
        <w:rPr>
          <w:rFonts w:asciiTheme="majorBidi" w:hAnsiTheme="majorBidi" w:cstheme="majorBidi"/>
          <w:sz w:val="24"/>
          <w:szCs w:val="24"/>
          <w:lang w:val="en-US"/>
        </w:rPr>
        <w:t xml:space="preserve"> Analysis of the second axis the effectiveness of boycott in changing habits</w:t>
      </w:r>
    </w:p>
    <w:tbl>
      <w:tblPr>
        <w:tblStyle w:val="TableGrid1"/>
        <w:tblW w:w="0" w:type="auto"/>
        <w:tblLook w:val="04A0" w:firstRow="1" w:lastRow="0" w:firstColumn="1" w:lastColumn="0" w:noHBand="0" w:noVBand="1"/>
      </w:tblPr>
      <w:tblGrid>
        <w:gridCol w:w="1083"/>
        <w:gridCol w:w="897"/>
        <w:gridCol w:w="1476"/>
        <w:gridCol w:w="802"/>
        <w:gridCol w:w="576"/>
        <w:gridCol w:w="1476"/>
        <w:gridCol w:w="1536"/>
        <w:gridCol w:w="1216"/>
      </w:tblGrid>
      <w:tr w:rsidR="00AC1791" w:rsidRPr="002551A7" w14:paraId="61FAFD0B" w14:textId="77777777" w:rsidTr="00A70462">
        <w:tc>
          <w:tcPr>
            <w:tcW w:w="954" w:type="dxa"/>
          </w:tcPr>
          <w:p w14:paraId="6F21A25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bookmarkStart w:id="376" w:name="_Hlk197870177"/>
            <w:r w:rsidRPr="002551A7">
              <w:rPr>
                <w:rFonts w:asciiTheme="majorBidi" w:hAnsiTheme="majorBidi" w:cstheme="majorBidi"/>
                <w:kern w:val="2"/>
                <w:sz w:val="24"/>
                <w:szCs w:val="24"/>
                <w14:ligatures w14:val="standardContextual"/>
              </w:rPr>
              <w:t>Question</w:t>
            </w:r>
          </w:p>
        </w:tc>
        <w:tc>
          <w:tcPr>
            <w:tcW w:w="1292" w:type="dxa"/>
          </w:tcPr>
          <w:p w14:paraId="785E90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93" w:type="dxa"/>
          </w:tcPr>
          <w:p w14:paraId="5EDB03C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293" w:type="dxa"/>
          </w:tcPr>
          <w:p w14:paraId="132CAB7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28" w:type="dxa"/>
          </w:tcPr>
          <w:p w14:paraId="33BA69E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293" w:type="dxa"/>
          </w:tcPr>
          <w:p w14:paraId="117D271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341" w:type="dxa"/>
          </w:tcPr>
          <w:p w14:paraId="09529B3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068" w:type="dxa"/>
          </w:tcPr>
          <w:p w14:paraId="411872D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4243C0F9" w14:textId="77777777" w:rsidTr="00A70462">
        <w:tc>
          <w:tcPr>
            <w:tcW w:w="954" w:type="dxa"/>
          </w:tcPr>
          <w:p w14:paraId="74CA85C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292" w:type="dxa"/>
          </w:tcPr>
          <w:p w14:paraId="187A397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3.53</w:t>
            </w:r>
          </w:p>
        </w:tc>
        <w:tc>
          <w:tcPr>
            <w:tcW w:w="1293" w:type="dxa"/>
          </w:tcPr>
          <w:p w14:paraId="23FC84B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1.47</w:t>
            </w:r>
          </w:p>
        </w:tc>
        <w:tc>
          <w:tcPr>
            <w:tcW w:w="1293" w:type="dxa"/>
          </w:tcPr>
          <w:p w14:paraId="297B660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5.19</w:t>
            </w:r>
          </w:p>
        </w:tc>
        <w:tc>
          <w:tcPr>
            <w:tcW w:w="528" w:type="dxa"/>
          </w:tcPr>
          <w:p w14:paraId="7E06BBD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63610D0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5.11355E-07</w:t>
            </w:r>
          </w:p>
        </w:tc>
        <w:tc>
          <w:tcPr>
            <w:tcW w:w="1341" w:type="dxa"/>
          </w:tcPr>
          <w:p w14:paraId="1D3CE0C4" w14:textId="77777777" w:rsidR="00AC1791" w:rsidRPr="002551A7" w:rsidRDefault="00AC1791" w:rsidP="002551A7">
            <w:pPr>
              <w:spacing w:after="160" w:line="360" w:lineRule="auto"/>
              <w:jc w:val="center"/>
              <w:rPr>
                <w:rFonts w:asciiTheme="majorBidi" w:hAnsiTheme="majorBidi" w:cstheme="majorBidi"/>
                <w:kern w:val="2"/>
                <w:sz w:val="24"/>
                <w:szCs w:val="24"/>
                <w:lang w:val="fr-FR"/>
                <w14:ligatures w14:val="standardContextual"/>
              </w:rPr>
            </w:pPr>
            <w:r w:rsidRPr="002551A7">
              <w:rPr>
                <w:rFonts w:asciiTheme="majorBidi" w:hAnsiTheme="majorBidi" w:cstheme="majorBidi"/>
                <w:kern w:val="2"/>
                <w:sz w:val="24"/>
                <w:szCs w:val="24"/>
                <w:lang w:val="fr-FR"/>
                <w14:ligatures w14:val="standardContextual"/>
              </w:rPr>
              <w:t>1</w:t>
            </w:r>
          </w:p>
        </w:tc>
        <w:tc>
          <w:tcPr>
            <w:tcW w:w="1068" w:type="dxa"/>
          </w:tcPr>
          <w:p w14:paraId="43878D4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7D34A29F" w14:textId="77777777" w:rsidTr="00A70462">
        <w:tc>
          <w:tcPr>
            <w:tcW w:w="954" w:type="dxa"/>
          </w:tcPr>
          <w:p w14:paraId="3C4EE4A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292" w:type="dxa"/>
          </w:tcPr>
          <w:p w14:paraId="39A7A0F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3.35</w:t>
            </w:r>
          </w:p>
        </w:tc>
        <w:tc>
          <w:tcPr>
            <w:tcW w:w="1293" w:type="dxa"/>
          </w:tcPr>
          <w:p w14:paraId="6ED798B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1.44</w:t>
            </w:r>
          </w:p>
        </w:tc>
        <w:tc>
          <w:tcPr>
            <w:tcW w:w="1293" w:type="dxa"/>
          </w:tcPr>
          <w:p w14:paraId="600BAFE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3.51</w:t>
            </w:r>
          </w:p>
        </w:tc>
        <w:tc>
          <w:tcPr>
            <w:tcW w:w="528" w:type="dxa"/>
          </w:tcPr>
          <w:p w14:paraId="3B67122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7C2FF34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0.000557112</w:t>
            </w:r>
          </w:p>
        </w:tc>
        <w:tc>
          <w:tcPr>
            <w:tcW w:w="1341" w:type="dxa"/>
          </w:tcPr>
          <w:p w14:paraId="5693C7F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068" w:type="dxa"/>
          </w:tcPr>
          <w:p w14:paraId="7E6B80A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186CC29" w14:textId="77777777" w:rsidTr="00A70462">
        <w:tc>
          <w:tcPr>
            <w:tcW w:w="954" w:type="dxa"/>
          </w:tcPr>
          <w:p w14:paraId="674FA11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292" w:type="dxa"/>
          </w:tcPr>
          <w:p w14:paraId="74E344B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3.53</w:t>
            </w:r>
          </w:p>
        </w:tc>
        <w:tc>
          <w:tcPr>
            <w:tcW w:w="1293" w:type="dxa"/>
          </w:tcPr>
          <w:p w14:paraId="4DD0397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1.35</w:t>
            </w:r>
          </w:p>
        </w:tc>
        <w:tc>
          <w:tcPr>
            <w:tcW w:w="1293" w:type="dxa"/>
          </w:tcPr>
          <w:p w14:paraId="483A209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5.63</w:t>
            </w:r>
          </w:p>
        </w:tc>
        <w:tc>
          <w:tcPr>
            <w:tcW w:w="528" w:type="dxa"/>
          </w:tcPr>
          <w:p w14:paraId="790112D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393C1DE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5.80376E-08</w:t>
            </w:r>
          </w:p>
        </w:tc>
        <w:tc>
          <w:tcPr>
            <w:tcW w:w="1341" w:type="dxa"/>
          </w:tcPr>
          <w:p w14:paraId="52547E3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068" w:type="dxa"/>
          </w:tcPr>
          <w:p w14:paraId="0E79CBA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121DA3B7" w14:textId="77777777" w:rsidTr="00A70462">
        <w:tc>
          <w:tcPr>
            <w:tcW w:w="954" w:type="dxa"/>
          </w:tcPr>
          <w:p w14:paraId="5B5342D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292" w:type="dxa"/>
          </w:tcPr>
          <w:p w14:paraId="24374AE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3.51</w:t>
            </w:r>
          </w:p>
        </w:tc>
        <w:tc>
          <w:tcPr>
            <w:tcW w:w="1293" w:type="dxa"/>
          </w:tcPr>
          <w:p w14:paraId="784261B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1.40</w:t>
            </w:r>
          </w:p>
        </w:tc>
        <w:tc>
          <w:tcPr>
            <w:tcW w:w="1293" w:type="dxa"/>
          </w:tcPr>
          <w:p w14:paraId="25AC118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5.28</w:t>
            </w:r>
          </w:p>
        </w:tc>
        <w:tc>
          <w:tcPr>
            <w:tcW w:w="528" w:type="dxa"/>
          </w:tcPr>
          <w:p w14:paraId="55297D1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33B0269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3.18095E-07</w:t>
            </w:r>
          </w:p>
        </w:tc>
        <w:tc>
          <w:tcPr>
            <w:tcW w:w="1341" w:type="dxa"/>
          </w:tcPr>
          <w:p w14:paraId="07C5E6F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068" w:type="dxa"/>
          </w:tcPr>
          <w:p w14:paraId="4E39953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78D1B309" w14:textId="77777777" w:rsidTr="00A70462">
        <w:tc>
          <w:tcPr>
            <w:tcW w:w="954" w:type="dxa"/>
          </w:tcPr>
          <w:p w14:paraId="161E635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292" w:type="dxa"/>
          </w:tcPr>
          <w:p w14:paraId="26D5115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3.52</w:t>
            </w:r>
          </w:p>
        </w:tc>
        <w:tc>
          <w:tcPr>
            <w:tcW w:w="1293" w:type="dxa"/>
          </w:tcPr>
          <w:p w14:paraId="5706F43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1.333193973</w:t>
            </w:r>
          </w:p>
        </w:tc>
        <w:tc>
          <w:tcPr>
            <w:tcW w:w="1293" w:type="dxa"/>
          </w:tcPr>
          <w:p w14:paraId="40D307D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5.62</w:t>
            </w:r>
          </w:p>
        </w:tc>
        <w:tc>
          <w:tcPr>
            <w:tcW w:w="528" w:type="dxa"/>
          </w:tcPr>
          <w:p w14:paraId="7AE0AF9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207</w:t>
            </w:r>
          </w:p>
        </w:tc>
        <w:tc>
          <w:tcPr>
            <w:tcW w:w="1293" w:type="dxa"/>
          </w:tcPr>
          <w:p w14:paraId="18BD816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6.21583E-08</w:t>
            </w:r>
          </w:p>
        </w:tc>
        <w:tc>
          <w:tcPr>
            <w:tcW w:w="1341" w:type="dxa"/>
          </w:tcPr>
          <w:p w14:paraId="39196FB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068" w:type="dxa"/>
          </w:tcPr>
          <w:p w14:paraId="1FE03EB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483E5806" w14:textId="77777777" w:rsidTr="00A70462">
        <w:tc>
          <w:tcPr>
            <w:tcW w:w="954" w:type="dxa"/>
          </w:tcPr>
          <w:p w14:paraId="1FCE5CF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292" w:type="dxa"/>
          </w:tcPr>
          <w:p w14:paraId="4AD0B9B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3.49</w:t>
            </w:r>
          </w:p>
        </w:tc>
        <w:tc>
          <w:tcPr>
            <w:tcW w:w="1293" w:type="dxa"/>
          </w:tcPr>
          <w:p w14:paraId="4471300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1.174</w:t>
            </w:r>
          </w:p>
        </w:tc>
        <w:tc>
          <w:tcPr>
            <w:tcW w:w="1293" w:type="dxa"/>
          </w:tcPr>
          <w:p w14:paraId="454BEC6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sz w:val="24"/>
                <w:szCs w:val="24"/>
              </w:rPr>
              <w:t>6.00</w:t>
            </w:r>
          </w:p>
        </w:tc>
        <w:tc>
          <w:tcPr>
            <w:tcW w:w="528" w:type="dxa"/>
          </w:tcPr>
          <w:p w14:paraId="0CBA362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293" w:type="dxa"/>
          </w:tcPr>
          <w:p w14:paraId="5EBBD86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341" w:type="dxa"/>
          </w:tcPr>
          <w:p w14:paraId="676A7CC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068" w:type="dxa"/>
          </w:tcPr>
          <w:p w14:paraId="7B42AEF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bl>
    <w:p w14:paraId="1AC3BD6B"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77" w:name="_Hlk197788344"/>
      <w:bookmarkEnd w:id="376"/>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377"/>
    <w:p w14:paraId="6246602D" w14:textId="77777777" w:rsidR="00AC1791" w:rsidRPr="002551A7" w:rsidRDefault="00AC1791" w:rsidP="002551A7">
      <w:pPr>
        <w:spacing w:line="360" w:lineRule="auto"/>
        <w:jc w:val="both"/>
        <w:rPr>
          <w:rFonts w:asciiTheme="majorBidi" w:hAnsiTheme="majorBidi" w:cstheme="majorBidi"/>
          <w:sz w:val="24"/>
          <w:szCs w:val="24"/>
          <w:rtl/>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This axis analyzes the effectiveness of boycott in changing consumer habits, and the results show that most respondents believe in the boycott's ability to influence consumer behavior.</w:t>
      </w:r>
    </w:p>
    <w:p w14:paraId="40E481E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critical value equal to 3:</w:t>
      </w:r>
    </w:p>
    <w:p w14:paraId="19594A4D"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3.53 and a standard deviation of 1.47, with a t-test value of 5.19 and a significance level of 0.0000005, indicating a high and statistically significant level of agreement.</w:t>
      </w:r>
    </w:p>
    <w:p w14:paraId="1184205A"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Has a mean of 3.35, a standard deviation of 1.44, and a t-test value of 3.51 with a significance level of 0.0005, reflecting a medium but statistically significant level of agreement.</w:t>
      </w:r>
    </w:p>
    <w:p w14:paraId="14D9CEE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With a mean of 3.53, standard deviation 1.35, and a t-test value of 5.63 at significance 0.000000058, indicates high agreement.</w:t>
      </w:r>
    </w:p>
    <w:p w14:paraId="02E31BDC"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Shows a mean of 3.51, standard deviation 1.40, and t-value of 5.28 with significance 0.0000003, confirming a high level of agreement.</w:t>
      </w:r>
    </w:p>
    <w:p w14:paraId="5DB07347"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Has a mean of 3.52, a standard deviation of 1.33, and a t-test value of 5.62 with significance 0.000000062, indicating strong agreement.</w:t>
      </w:r>
    </w:p>
    <w:p w14:paraId="55435904"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rtl/>
          <w:lang w:val="en-US"/>
        </w:rPr>
        <w:t xml:space="preserve">   </w:t>
      </w:r>
      <w:r w:rsidRPr="002551A7">
        <w:rPr>
          <w:rFonts w:asciiTheme="majorBidi" w:hAnsiTheme="majorBidi" w:cstheme="majorBidi"/>
          <w:sz w:val="24"/>
          <w:szCs w:val="24"/>
          <w:lang w:val="en-US"/>
        </w:rPr>
        <w:t>The axis has an overall mean of 3.49, a standard deviation of 1.17, and a t-test value of 6.00 with a significance of 0.000, showing that the sample believes the boycott is effective in changing consumer habits, with strong statistical support.</w:t>
      </w:r>
    </w:p>
    <w:p w14:paraId="13BAC05A" w14:textId="0E286800" w:rsidR="00AC1791" w:rsidRPr="00511F0B" w:rsidRDefault="00A41295" w:rsidP="00511F0B">
      <w:pPr>
        <w:pStyle w:val="ListParagraph"/>
        <w:numPr>
          <w:ilvl w:val="2"/>
          <w:numId w:val="39"/>
        </w:numPr>
        <w:spacing w:line="360" w:lineRule="auto"/>
        <w:jc w:val="both"/>
        <w:rPr>
          <w:rFonts w:asciiTheme="majorBidi" w:hAnsiTheme="majorBidi" w:cstheme="majorBidi"/>
          <w:b/>
          <w:bCs/>
          <w:sz w:val="24"/>
          <w:szCs w:val="24"/>
          <w:lang w:val="en-US"/>
        </w:rPr>
      </w:pPr>
      <w:bookmarkStart w:id="378" w:name="_Toc200721754"/>
      <w:bookmarkStart w:id="379" w:name="_Hlk197871713"/>
      <w:r w:rsidRPr="005E488F">
        <w:rPr>
          <w:rStyle w:val="Heading5Char"/>
          <w:rFonts w:eastAsiaTheme="minorHAnsi"/>
        </w:rPr>
        <w:t>O</w:t>
      </w:r>
      <w:r w:rsidR="00AC1791" w:rsidRPr="005E488F">
        <w:rPr>
          <w:rStyle w:val="Heading5Char"/>
          <w:rFonts w:eastAsiaTheme="minorHAnsi"/>
        </w:rPr>
        <w:t>verall degree of boycot</w:t>
      </w:r>
      <w:bookmarkEnd w:id="378"/>
      <w:r w:rsidR="00AC1791" w:rsidRPr="00511F0B">
        <w:rPr>
          <w:rFonts w:asciiTheme="majorBidi" w:hAnsiTheme="majorBidi" w:cstheme="majorBidi"/>
          <w:b/>
          <w:bCs/>
          <w:sz w:val="24"/>
          <w:szCs w:val="24"/>
          <w:lang w:val="en-US"/>
        </w:rPr>
        <w:t>t</w:t>
      </w:r>
    </w:p>
    <w:p w14:paraId="7E72049F"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35:</w:t>
      </w:r>
      <w:r w:rsidRPr="002551A7">
        <w:rPr>
          <w:rFonts w:asciiTheme="majorBidi" w:hAnsiTheme="majorBidi" w:cstheme="majorBidi"/>
          <w:sz w:val="24"/>
          <w:szCs w:val="24"/>
          <w:lang w:val="en-US"/>
        </w:rPr>
        <w:t xml:space="preserve"> overall degree of boycott</w:t>
      </w:r>
    </w:p>
    <w:tbl>
      <w:tblPr>
        <w:tblStyle w:val="TableGrid"/>
        <w:tblW w:w="0" w:type="auto"/>
        <w:tblInd w:w="720" w:type="dxa"/>
        <w:tblLook w:val="04A0" w:firstRow="1" w:lastRow="0" w:firstColumn="1" w:lastColumn="0" w:noHBand="0" w:noVBand="1"/>
      </w:tblPr>
      <w:tblGrid>
        <w:gridCol w:w="2344"/>
        <w:gridCol w:w="1125"/>
        <w:gridCol w:w="1181"/>
        <w:gridCol w:w="8"/>
        <w:gridCol w:w="1088"/>
        <w:gridCol w:w="8"/>
        <w:gridCol w:w="1069"/>
        <w:gridCol w:w="1128"/>
      </w:tblGrid>
      <w:tr w:rsidR="00AC1791" w:rsidRPr="002551A7" w14:paraId="5F27D72B" w14:textId="77777777" w:rsidTr="00BB3290">
        <w:trPr>
          <w:trHeight w:val="800"/>
        </w:trPr>
        <w:tc>
          <w:tcPr>
            <w:tcW w:w="2344" w:type="dxa"/>
          </w:tcPr>
          <w:p w14:paraId="77285659"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Axix</w:t>
            </w:r>
          </w:p>
        </w:tc>
        <w:tc>
          <w:tcPr>
            <w:tcW w:w="1125" w:type="dxa"/>
          </w:tcPr>
          <w:p w14:paraId="618587A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Mean</w:t>
            </w:r>
          </w:p>
        </w:tc>
        <w:tc>
          <w:tcPr>
            <w:tcW w:w="1181" w:type="dxa"/>
          </w:tcPr>
          <w:p w14:paraId="5AB1B3C2"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Standard deviation</w:t>
            </w:r>
          </w:p>
        </w:tc>
        <w:tc>
          <w:tcPr>
            <w:tcW w:w="1104" w:type="dxa"/>
            <w:gridSpan w:val="3"/>
          </w:tcPr>
          <w:p w14:paraId="6E4A0C1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Test t</w:t>
            </w:r>
          </w:p>
        </w:tc>
        <w:tc>
          <w:tcPr>
            <w:tcW w:w="1069" w:type="dxa"/>
          </w:tcPr>
          <w:p w14:paraId="29BFB14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Df</w:t>
            </w:r>
          </w:p>
        </w:tc>
        <w:tc>
          <w:tcPr>
            <w:tcW w:w="1128" w:type="dxa"/>
          </w:tcPr>
          <w:p w14:paraId="3A014E5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Sig(2-tailed)</w:t>
            </w:r>
          </w:p>
        </w:tc>
      </w:tr>
      <w:tr w:rsidR="00AC1791" w:rsidRPr="002551A7" w14:paraId="71C6F4E3" w14:textId="77777777" w:rsidTr="00BB3290">
        <w:tc>
          <w:tcPr>
            <w:tcW w:w="2344" w:type="dxa"/>
          </w:tcPr>
          <w:p w14:paraId="16766BD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lang w:val="en-US"/>
              </w:rPr>
              <w:t>awareness of boycott</w:t>
            </w:r>
          </w:p>
        </w:tc>
        <w:tc>
          <w:tcPr>
            <w:tcW w:w="1125" w:type="dxa"/>
          </w:tcPr>
          <w:p w14:paraId="5814853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3.42</w:t>
            </w:r>
          </w:p>
        </w:tc>
        <w:tc>
          <w:tcPr>
            <w:tcW w:w="1181" w:type="dxa"/>
          </w:tcPr>
          <w:p w14:paraId="2647E5A7"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0.92</w:t>
            </w:r>
          </w:p>
        </w:tc>
        <w:tc>
          <w:tcPr>
            <w:tcW w:w="1104" w:type="dxa"/>
            <w:gridSpan w:val="3"/>
          </w:tcPr>
          <w:p w14:paraId="2F41FA81"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6.644</w:t>
            </w:r>
          </w:p>
        </w:tc>
        <w:tc>
          <w:tcPr>
            <w:tcW w:w="1069" w:type="dxa"/>
          </w:tcPr>
          <w:p w14:paraId="1134019B"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132E4983"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0.000</w:t>
            </w:r>
          </w:p>
        </w:tc>
      </w:tr>
      <w:tr w:rsidR="00AC1791" w:rsidRPr="002551A7" w14:paraId="4C97F9A4" w14:textId="77777777" w:rsidTr="00BB3290">
        <w:tc>
          <w:tcPr>
            <w:tcW w:w="2344" w:type="dxa"/>
          </w:tcPr>
          <w:p w14:paraId="78ADA18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Consumer motivation for boycott</w:t>
            </w:r>
          </w:p>
        </w:tc>
        <w:tc>
          <w:tcPr>
            <w:tcW w:w="1125" w:type="dxa"/>
          </w:tcPr>
          <w:p w14:paraId="381B6614"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3.412</w:t>
            </w:r>
          </w:p>
        </w:tc>
        <w:tc>
          <w:tcPr>
            <w:tcW w:w="1181" w:type="dxa"/>
          </w:tcPr>
          <w:p w14:paraId="0E27EE9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1.122</w:t>
            </w:r>
          </w:p>
        </w:tc>
        <w:tc>
          <w:tcPr>
            <w:tcW w:w="1104" w:type="dxa"/>
            <w:gridSpan w:val="3"/>
          </w:tcPr>
          <w:p w14:paraId="2CF93B8D"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5.29</w:t>
            </w:r>
          </w:p>
        </w:tc>
        <w:tc>
          <w:tcPr>
            <w:tcW w:w="1069" w:type="dxa"/>
          </w:tcPr>
          <w:p w14:paraId="706E4D23"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52922B67"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0.000</w:t>
            </w:r>
          </w:p>
        </w:tc>
      </w:tr>
      <w:tr w:rsidR="00AC1791" w:rsidRPr="002551A7" w14:paraId="42E82680" w14:textId="77777777" w:rsidTr="00BB3290">
        <w:tc>
          <w:tcPr>
            <w:tcW w:w="2344" w:type="dxa"/>
          </w:tcPr>
          <w:p w14:paraId="7D50DFA4" w14:textId="0FE87029" w:rsidR="00AC1791" w:rsidRPr="002551A7" w:rsidRDefault="001548C7" w:rsidP="002551A7">
            <w:pPr>
              <w:spacing w:line="360" w:lineRule="auto"/>
              <w:jc w:val="center"/>
              <w:rPr>
                <w:rFonts w:asciiTheme="majorBidi" w:hAnsiTheme="majorBidi" w:cstheme="majorBidi"/>
                <w:sz w:val="24"/>
                <w:szCs w:val="24"/>
              </w:rPr>
            </w:pPr>
            <w:r>
              <w:rPr>
                <w:rFonts w:asciiTheme="majorBidi" w:hAnsiTheme="majorBidi" w:cstheme="majorBidi"/>
                <w:sz w:val="24"/>
                <w:szCs w:val="24"/>
              </w:rPr>
              <w:t>Trust in alternative products</w:t>
            </w:r>
          </w:p>
        </w:tc>
        <w:tc>
          <w:tcPr>
            <w:tcW w:w="1125" w:type="dxa"/>
          </w:tcPr>
          <w:p w14:paraId="22A09955"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3.20</w:t>
            </w:r>
          </w:p>
        </w:tc>
        <w:tc>
          <w:tcPr>
            <w:tcW w:w="1181" w:type="dxa"/>
          </w:tcPr>
          <w:p w14:paraId="06270403"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1.11</w:t>
            </w:r>
          </w:p>
        </w:tc>
        <w:tc>
          <w:tcPr>
            <w:tcW w:w="1104" w:type="dxa"/>
            <w:gridSpan w:val="3"/>
          </w:tcPr>
          <w:p w14:paraId="21D1880F"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2.57</w:t>
            </w:r>
          </w:p>
        </w:tc>
        <w:tc>
          <w:tcPr>
            <w:tcW w:w="1069" w:type="dxa"/>
          </w:tcPr>
          <w:p w14:paraId="7E5D7E4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63C2CAB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0.0109</w:t>
            </w:r>
          </w:p>
        </w:tc>
      </w:tr>
      <w:tr w:rsidR="00AC1791" w:rsidRPr="002551A7" w14:paraId="62058C61" w14:textId="77777777" w:rsidTr="00BB3290">
        <w:tc>
          <w:tcPr>
            <w:tcW w:w="2344" w:type="dxa"/>
          </w:tcPr>
          <w:p w14:paraId="5F19C9AD" w14:textId="64368190" w:rsidR="00AC1791" w:rsidRPr="002551A7" w:rsidRDefault="001548C7" w:rsidP="002551A7">
            <w:pPr>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E</w:t>
            </w:r>
            <w:r w:rsidR="00AC1791" w:rsidRPr="002551A7">
              <w:rPr>
                <w:rFonts w:asciiTheme="majorBidi" w:hAnsiTheme="majorBidi" w:cstheme="majorBidi"/>
                <w:sz w:val="24"/>
                <w:szCs w:val="24"/>
                <w:lang w:val="en-US"/>
              </w:rPr>
              <w:t>ffectiveness of boycott in changing habits</w:t>
            </w:r>
          </w:p>
        </w:tc>
        <w:tc>
          <w:tcPr>
            <w:tcW w:w="1125" w:type="dxa"/>
          </w:tcPr>
          <w:p w14:paraId="7B5ACF21"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3.49</w:t>
            </w:r>
          </w:p>
        </w:tc>
        <w:tc>
          <w:tcPr>
            <w:tcW w:w="1181" w:type="dxa"/>
          </w:tcPr>
          <w:p w14:paraId="65C92AA9"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1.174</w:t>
            </w:r>
          </w:p>
        </w:tc>
        <w:tc>
          <w:tcPr>
            <w:tcW w:w="1104" w:type="dxa"/>
            <w:gridSpan w:val="3"/>
          </w:tcPr>
          <w:p w14:paraId="71767107"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6.00</w:t>
            </w:r>
          </w:p>
        </w:tc>
        <w:tc>
          <w:tcPr>
            <w:tcW w:w="1069" w:type="dxa"/>
          </w:tcPr>
          <w:p w14:paraId="67DB1F5D"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207</w:t>
            </w:r>
          </w:p>
        </w:tc>
        <w:tc>
          <w:tcPr>
            <w:tcW w:w="1128" w:type="dxa"/>
          </w:tcPr>
          <w:p w14:paraId="5C4F1C82"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0.000</w:t>
            </w:r>
          </w:p>
        </w:tc>
      </w:tr>
      <w:tr w:rsidR="00AC1791" w:rsidRPr="002551A7" w14:paraId="1EF70231" w14:textId="77777777" w:rsidTr="00BB3290">
        <w:tblPrEx>
          <w:tblLook w:val="0000" w:firstRow="0" w:lastRow="0" w:firstColumn="0" w:lastColumn="0" w:noHBand="0" w:noVBand="0"/>
        </w:tblPrEx>
        <w:trPr>
          <w:trHeight w:val="350"/>
        </w:trPr>
        <w:tc>
          <w:tcPr>
            <w:tcW w:w="2344" w:type="dxa"/>
          </w:tcPr>
          <w:p w14:paraId="09E74753" w14:textId="77777777" w:rsidR="00AC1791" w:rsidRPr="002551A7" w:rsidRDefault="00AC1791" w:rsidP="002551A7">
            <w:pPr>
              <w:spacing w:line="360" w:lineRule="auto"/>
              <w:ind w:left="-90"/>
              <w:jc w:val="center"/>
              <w:rPr>
                <w:rFonts w:asciiTheme="majorBidi" w:hAnsiTheme="majorBidi" w:cstheme="majorBidi"/>
                <w:b/>
                <w:bCs/>
                <w:sz w:val="24"/>
                <w:szCs w:val="24"/>
              </w:rPr>
            </w:pPr>
            <w:r w:rsidRPr="002551A7">
              <w:rPr>
                <w:rFonts w:asciiTheme="majorBidi" w:hAnsiTheme="majorBidi" w:cstheme="majorBidi"/>
                <w:b/>
                <w:bCs/>
                <w:sz w:val="24"/>
                <w:szCs w:val="24"/>
              </w:rPr>
              <w:t>Boycott</w:t>
            </w:r>
          </w:p>
        </w:tc>
        <w:tc>
          <w:tcPr>
            <w:tcW w:w="1125" w:type="dxa"/>
          </w:tcPr>
          <w:p w14:paraId="08A7E5B7"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3.38</w:t>
            </w:r>
          </w:p>
        </w:tc>
        <w:tc>
          <w:tcPr>
            <w:tcW w:w="1189" w:type="dxa"/>
            <w:gridSpan w:val="2"/>
          </w:tcPr>
          <w:p w14:paraId="2C24578D"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0.948</w:t>
            </w:r>
          </w:p>
        </w:tc>
        <w:tc>
          <w:tcPr>
            <w:tcW w:w="1088" w:type="dxa"/>
          </w:tcPr>
          <w:p w14:paraId="093F8D4C"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5.788</w:t>
            </w:r>
          </w:p>
        </w:tc>
        <w:tc>
          <w:tcPr>
            <w:tcW w:w="1077" w:type="dxa"/>
            <w:gridSpan w:val="2"/>
          </w:tcPr>
          <w:p w14:paraId="661C649D"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color w:val="010205"/>
                <w:sz w:val="24"/>
                <w:szCs w:val="24"/>
              </w:rPr>
              <w:t>207</w:t>
            </w:r>
          </w:p>
        </w:tc>
        <w:tc>
          <w:tcPr>
            <w:tcW w:w="1128" w:type="dxa"/>
          </w:tcPr>
          <w:p w14:paraId="6A4CCA3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0.000</w:t>
            </w:r>
          </w:p>
        </w:tc>
      </w:tr>
    </w:tbl>
    <w:p w14:paraId="051BD397"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380" w:name="_Hlk197869062"/>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379"/>
    <w:bookmarkEnd w:id="380"/>
    <w:p w14:paraId="17910DC4"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presents the overall analysis of the four boycott dimensions, in addition to the general boycott score, based on statistical results using the T-test where the critical value is 3:</w:t>
      </w:r>
    </w:p>
    <w:p w14:paraId="32C9DDBD"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Awareness of the boycott: Has a mean of 3.42 and a standard deviation of 0.92, with a t-value of 6.644 and a significance of 0.000, indicating that respondents have a high level of awareness about the boycott.</w:t>
      </w:r>
    </w:p>
    <w:p w14:paraId="054C64B8"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Consumer motivation for boycott: With a mean of 3.412, standard deviation of 1.122, t-value of 5.29, and significance level of 0.000, this reflects strong consumer motivation to engage in boycott activities.</w:t>
      </w:r>
    </w:p>
    <w:p w14:paraId="5EC09E24"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Trust in alternative products: This axis has a mean of 3.20, a standard deviation of 1.11, a t-value of 2.57, and a significance of 0.0109, indicating a moderate level of trust in alternatives.</w:t>
      </w:r>
    </w:p>
    <w:p w14:paraId="1E7FA6D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Effectiveness of boycott in changing habits: Shows a mean of 3.49, a standard deviation of 1.174, a t-value of 6.00, and a significance of 0.000, reflecting a strong belief in the boycott’s ability to change consumption habits.</w:t>
      </w:r>
    </w:p>
    <w:p w14:paraId="223159A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total mean is 3.38, with a standard deviation of 0.948, a t-test value of 5.788, and a significance of 0.000. This indicates that the sample demonstrates a high degree of inclination toward boycotting and belief in its effectiveness, supported by strong statistical evidence.</w:t>
      </w:r>
    </w:p>
    <w:p w14:paraId="5A4A498B" w14:textId="7B2CB576" w:rsidR="00AC1791" w:rsidRPr="00511F0B" w:rsidRDefault="00511F0B" w:rsidP="00511F0B">
      <w:pPr>
        <w:pStyle w:val="ListParagraph"/>
        <w:numPr>
          <w:ilvl w:val="1"/>
          <w:numId w:val="39"/>
        </w:numPr>
        <w:spacing w:line="360" w:lineRule="auto"/>
        <w:jc w:val="both"/>
        <w:rPr>
          <w:rFonts w:asciiTheme="majorBidi" w:hAnsiTheme="majorBidi" w:cstheme="majorBidi"/>
          <w:b/>
          <w:bCs/>
          <w:sz w:val="24"/>
          <w:szCs w:val="24"/>
          <w:lang w:val="en-US"/>
        </w:rPr>
      </w:pPr>
      <w:bookmarkStart w:id="381" w:name="_Hlk197872389"/>
      <w:r>
        <w:rPr>
          <w:rFonts w:asciiTheme="majorBidi" w:hAnsiTheme="majorBidi" w:cstheme="majorBidi"/>
          <w:b/>
          <w:bCs/>
          <w:sz w:val="24"/>
          <w:szCs w:val="24"/>
          <w:lang w:val="en-US"/>
        </w:rPr>
        <w:t xml:space="preserve"> </w:t>
      </w:r>
      <w:bookmarkStart w:id="382" w:name="_Toc200721755"/>
      <w:r w:rsidR="00AC1791" w:rsidRPr="005E488F">
        <w:rPr>
          <w:rStyle w:val="Heading4Char"/>
        </w:rPr>
        <w:t>Data analysis regarding the alternative product appeal part</w:t>
      </w:r>
      <w:bookmarkEnd w:id="382"/>
      <w:r w:rsidR="00AC1791" w:rsidRPr="00511F0B">
        <w:rPr>
          <w:rFonts w:asciiTheme="majorBidi" w:hAnsiTheme="majorBidi" w:cstheme="majorBidi"/>
          <w:b/>
          <w:bCs/>
          <w:sz w:val="24"/>
          <w:szCs w:val="24"/>
          <w:lang w:val="en-US"/>
        </w:rPr>
        <w:t>:</w:t>
      </w:r>
    </w:p>
    <w:p w14:paraId="6EF4317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This part deals with the analysis of information concerning the product quality perception, price competitiveness, cultural alignment and availability and accessibility.</w:t>
      </w:r>
    </w:p>
    <w:p w14:paraId="291A5F26" w14:textId="4262E88D" w:rsidR="00AC1791" w:rsidRPr="00511F0B" w:rsidRDefault="00A41295" w:rsidP="00511F0B">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83" w:name="_Toc200721756"/>
      <w:r w:rsidRPr="005E488F">
        <w:rPr>
          <w:rStyle w:val="Heading5Char"/>
          <w:rFonts w:eastAsia="Calibri"/>
        </w:rPr>
        <w:t>A</w:t>
      </w:r>
      <w:r w:rsidR="00AC1791" w:rsidRPr="005E488F">
        <w:rPr>
          <w:rStyle w:val="Heading5Char"/>
          <w:rFonts w:eastAsia="Calibri"/>
        </w:rPr>
        <w:t>xis reliability</w:t>
      </w:r>
      <w:bookmarkEnd w:id="383"/>
      <w:r w:rsidR="00AC1791" w:rsidRPr="00511F0B">
        <w:rPr>
          <w:rFonts w:asciiTheme="majorBidi" w:eastAsia="Calibri" w:hAnsiTheme="majorBidi" w:cstheme="majorBidi"/>
          <w:b/>
          <w:bCs/>
          <w:sz w:val="24"/>
          <w:szCs w:val="24"/>
          <w:lang w:val="en-US"/>
        </w:rPr>
        <w:t>:</w:t>
      </w:r>
    </w:p>
    <w:p w14:paraId="73C10234" w14:textId="756D7460"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36:</w:t>
      </w:r>
      <w:r w:rsidRPr="002551A7">
        <w:rPr>
          <w:rFonts w:asciiTheme="majorBidi" w:eastAsia="Calibri" w:hAnsiTheme="majorBidi" w:cstheme="majorBidi"/>
          <w:sz w:val="24"/>
          <w:szCs w:val="24"/>
          <w:lang w:val="en-US"/>
        </w:rPr>
        <w:t xml:space="preserve"> </w:t>
      </w:r>
      <w:r w:rsidR="009470F3">
        <w:rPr>
          <w:rFonts w:asciiTheme="majorBidi" w:eastAsia="Calibri" w:hAnsiTheme="majorBidi" w:cstheme="majorBidi"/>
          <w:sz w:val="24"/>
          <w:szCs w:val="24"/>
          <w:lang w:val="en-US"/>
        </w:rPr>
        <w:t>R</w:t>
      </w:r>
      <w:r w:rsidRPr="002551A7">
        <w:rPr>
          <w:rFonts w:asciiTheme="majorBidi" w:eastAsia="Calibri" w:hAnsiTheme="majorBidi" w:cstheme="majorBidi"/>
          <w:sz w:val="24"/>
          <w:szCs w:val="24"/>
          <w:lang w:val="en-US"/>
        </w:rPr>
        <w:t>eliability coefficient of parts of alternative products appeal</w:t>
      </w:r>
    </w:p>
    <w:tbl>
      <w:tblPr>
        <w:tblStyle w:val="TableGrid"/>
        <w:tblW w:w="0" w:type="auto"/>
        <w:tblLook w:val="04A0" w:firstRow="1" w:lastRow="0" w:firstColumn="1" w:lastColumn="0" w:noHBand="0" w:noVBand="1"/>
      </w:tblPr>
      <w:tblGrid>
        <w:gridCol w:w="3020"/>
        <w:gridCol w:w="3021"/>
        <w:gridCol w:w="3021"/>
      </w:tblGrid>
      <w:tr w:rsidR="00AC1791" w:rsidRPr="002551A7" w14:paraId="20A9FF27" w14:textId="77777777" w:rsidTr="006B57C5">
        <w:tc>
          <w:tcPr>
            <w:tcW w:w="3020" w:type="dxa"/>
          </w:tcPr>
          <w:p w14:paraId="4E7E7715"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Axis</w:t>
            </w:r>
          </w:p>
        </w:tc>
        <w:tc>
          <w:tcPr>
            <w:tcW w:w="3021" w:type="dxa"/>
          </w:tcPr>
          <w:p w14:paraId="64AB339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Cronbach's Alpha</w:t>
            </w:r>
          </w:p>
        </w:tc>
        <w:tc>
          <w:tcPr>
            <w:tcW w:w="3021" w:type="dxa"/>
          </w:tcPr>
          <w:p w14:paraId="16E66B2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Number of Items</w:t>
            </w:r>
          </w:p>
        </w:tc>
      </w:tr>
      <w:tr w:rsidR="00AC1791" w:rsidRPr="002551A7" w14:paraId="64F02FC1" w14:textId="77777777" w:rsidTr="006B57C5">
        <w:tc>
          <w:tcPr>
            <w:tcW w:w="3020" w:type="dxa"/>
          </w:tcPr>
          <w:p w14:paraId="34AE4D4A"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Product quality</w:t>
            </w:r>
          </w:p>
        </w:tc>
        <w:tc>
          <w:tcPr>
            <w:tcW w:w="3021" w:type="dxa"/>
          </w:tcPr>
          <w:p w14:paraId="1DD7ECB9"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Times New Roman" w:hAnsiTheme="majorBidi" w:cstheme="majorBidi"/>
                <w:color w:val="000000"/>
                <w:sz w:val="24"/>
                <w:szCs w:val="24"/>
                <w:bdr w:val="none" w:sz="0" w:space="0" w:color="auto" w:frame="1"/>
                <w:lang w:val="en-US"/>
              </w:rPr>
              <w:t>0.88</w:t>
            </w:r>
          </w:p>
        </w:tc>
        <w:tc>
          <w:tcPr>
            <w:tcW w:w="3021" w:type="dxa"/>
          </w:tcPr>
          <w:p w14:paraId="7FA12AB4"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5</w:t>
            </w:r>
          </w:p>
        </w:tc>
      </w:tr>
      <w:tr w:rsidR="00AC1791" w:rsidRPr="002551A7" w14:paraId="1B7681B2" w14:textId="77777777" w:rsidTr="006B57C5">
        <w:tc>
          <w:tcPr>
            <w:tcW w:w="3020" w:type="dxa"/>
          </w:tcPr>
          <w:p w14:paraId="6D64DC66"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Price competitiveness</w:t>
            </w:r>
          </w:p>
        </w:tc>
        <w:tc>
          <w:tcPr>
            <w:tcW w:w="3021" w:type="dxa"/>
          </w:tcPr>
          <w:p w14:paraId="5168145D"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0.85</w:t>
            </w:r>
          </w:p>
        </w:tc>
        <w:tc>
          <w:tcPr>
            <w:tcW w:w="3021" w:type="dxa"/>
          </w:tcPr>
          <w:p w14:paraId="20E20F6D"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5</w:t>
            </w:r>
          </w:p>
        </w:tc>
      </w:tr>
      <w:tr w:rsidR="00AC1791" w:rsidRPr="002551A7" w14:paraId="7CFA57E1" w14:textId="77777777" w:rsidTr="006B57C5">
        <w:tc>
          <w:tcPr>
            <w:tcW w:w="3020" w:type="dxa"/>
          </w:tcPr>
          <w:p w14:paraId="2C5A4CE0"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Cultural alignment</w:t>
            </w:r>
          </w:p>
        </w:tc>
        <w:tc>
          <w:tcPr>
            <w:tcW w:w="3021" w:type="dxa"/>
          </w:tcPr>
          <w:p w14:paraId="1F440498"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0.85</w:t>
            </w:r>
          </w:p>
        </w:tc>
        <w:tc>
          <w:tcPr>
            <w:tcW w:w="3021" w:type="dxa"/>
          </w:tcPr>
          <w:p w14:paraId="0F70FF2F"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5</w:t>
            </w:r>
          </w:p>
        </w:tc>
      </w:tr>
      <w:tr w:rsidR="00AC1791" w:rsidRPr="002551A7" w14:paraId="2D57911A" w14:textId="77777777" w:rsidTr="006B57C5">
        <w:tc>
          <w:tcPr>
            <w:tcW w:w="3020" w:type="dxa"/>
          </w:tcPr>
          <w:p w14:paraId="2B0A6094"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Availability and accessibility</w:t>
            </w:r>
          </w:p>
        </w:tc>
        <w:tc>
          <w:tcPr>
            <w:tcW w:w="3021" w:type="dxa"/>
          </w:tcPr>
          <w:p w14:paraId="4827E1C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0.86</w:t>
            </w:r>
          </w:p>
        </w:tc>
        <w:tc>
          <w:tcPr>
            <w:tcW w:w="3021" w:type="dxa"/>
          </w:tcPr>
          <w:p w14:paraId="3D0CC111"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5</w:t>
            </w:r>
          </w:p>
        </w:tc>
      </w:tr>
      <w:tr w:rsidR="00AC1791" w:rsidRPr="002551A7" w14:paraId="7B1B0A55" w14:textId="77777777" w:rsidTr="006B57C5">
        <w:tc>
          <w:tcPr>
            <w:tcW w:w="3020" w:type="dxa"/>
          </w:tcPr>
          <w:p w14:paraId="136669D1"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alternative products appeal</w:t>
            </w:r>
          </w:p>
        </w:tc>
        <w:tc>
          <w:tcPr>
            <w:tcW w:w="3021" w:type="dxa"/>
          </w:tcPr>
          <w:p w14:paraId="5AF62275"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0.94</w:t>
            </w:r>
          </w:p>
        </w:tc>
        <w:tc>
          <w:tcPr>
            <w:tcW w:w="3021" w:type="dxa"/>
          </w:tcPr>
          <w:p w14:paraId="2F94D0CD"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20</w:t>
            </w:r>
          </w:p>
        </w:tc>
      </w:tr>
    </w:tbl>
    <w:p w14:paraId="5768521E"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bookmarkStart w:id="384" w:name="_Hlk197870659"/>
      <w:r w:rsidRPr="002551A7">
        <w:rPr>
          <w:rFonts w:asciiTheme="majorBidi" w:eastAsia="Calibri" w:hAnsiTheme="majorBidi" w:cstheme="majorBidi"/>
          <w:sz w:val="24"/>
          <w:szCs w:val="24"/>
          <w:lang w:val="en-US"/>
        </w:rPr>
        <w:t>Source: established by the student based on the results of R 4.4.0</w:t>
      </w:r>
    </w:p>
    <w:bookmarkEnd w:id="384"/>
    <w:p w14:paraId="582330D3"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According to the previous table, we notice that the Cronbach alpha coefficient is higher or equal to 0.6 implies that there is reliability between the questionnaire expressions.</w:t>
      </w:r>
    </w:p>
    <w:p w14:paraId="5914E604" w14:textId="29D82A74" w:rsidR="00AC1791" w:rsidRPr="00511F0B" w:rsidRDefault="00AC1791" w:rsidP="00511F0B">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85" w:name="_Hlk197870156"/>
      <w:bookmarkStart w:id="386" w:name="_Toc200721757"/>
      <w:bookmarkStart w:id="387" w:name="_Hlk197870683"/>
      <w:r w:rsidRPr="005E488F">
        <w:rPr>
          <w:rStyle w:val="Heading5Char"/>
          <w:rFonts w:eastAsia="Calibri"/>
        </w:rPr>
        <w:t>Analysis of the product quality perception</w:t>
      </w:r>
      <w:bookmarkEnd w:id="385"/>
      <w:bookmarkEnd w:id="386"/>
      <w:r w:rsidRPr="00511F0B">
        <w:rPr>
          <w:rFonts w:asciiTheme="majorBidi" w:eastAsia="Calibri" w:hAnsiTheme="majorBidi" w:cstheme="majorBidi"/>
          <w:b/>
          <w:bCs/>
          <w:sz w:val="24"/>
          <w:szCs w:val="24"/>
          <w:lang w:val="en-US"/>
        </w:rPr>
        <w:t>:</w:t>
      </w:r>
    </w:p>
    <w:p w14:paraId="11C91FB7"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37:</w:t>
      </w:r>
      <w:r w:rsidRPr="002551A7">
        <w:rPr>
          <w:rFonts w:asciiTheme="majorBidi" w:eastAsia="Calibri" w:hAnsiTheme="majorBidi" w:cstheme="majorBidi"/>
          <w:sz w:val="24"/>
          <w:szCs w:val="24"/>
          <w:lang w:val="en-US"/>
        </w:rPr>
        <w:t xml:space="preserve"> Analysis of the product quality</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492C8778" w14:textId="77777777" w:rsidTr="001729CF">
        <w:tc>
          <w:tcPr>
            <w:tcW w:w="1083" w:type="dxa"/>
          </w:tcPr>
          <w:p w14:paraId="6BD2776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043BDF6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07F50C7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5EEBF99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1DD3C15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5FAD277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10D083B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2A59916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7114B43F" w14:textId="77777777" w:rsidTr="001729CF">
        <w:tc>
          <w:tcPr>
            <w:tcW w:w="1083" w:type="dxa"/>
          </w:tcPr>
          <w:p w14:paraId="4C55D90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147340C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3.05</w:t>
            </w:r>
          </w:p>
        </w:tc>
        <w:tc>
          <w:tcPr>
            <w:tcW w:w="1240" w:type="dxa"/>
          </w:tcPr>
          <w:p w14:paraId="2489C3D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1.27</w:t>
            </w:r>
          </w:p>
        </w:tc>
        <w:tc>
          <w:tcPr>
            <w:tcW w:w="1103" w:type="dxa"/>
          </w:tcPr>
          <w:p w14:paraId="542B51B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0.54</w:t>
            </w:r>
          </w:p>
        </w:tc>
        <w:tc>
          <w:tcPr>
            <w:tcW w:w="576" w:type="dxa"/>
          </w:tcPr>
          <w:p w14:paraId="1CE9E8C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5494600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0.5866</w:t>
            </w:r>
          </w:p>
        </w:tc>
        <w:tc>
          <w:tcPr>
            <w:tcW w:w="1536" w:type="dxa"/>
          </w:tcPr>
          <w:p w14:paraId="5B34D3C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14ADF82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0446BA72" w14:textId="77777777" w:rsidTr="001729CF">
        <w:tc>
          <w:tcPr>
            <w:tcW w:w="1083" w:type="dxa"/>
          </w:tcPr>
          <w:p w14:paraId="4253BFC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21F249D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2.96</w:t>
            </w:r>
          </w:p>
        </w:tc>
        <w:tc>
          <w:tcPr>
            <w:tcW w:w="1240" w:type="dxa"/>
          </w:tcPr>
          <w:p w14:paraId="67073DD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1.17</w:t>
            </w:r>
          </w:p>
        </w:tc>
        <w:tc>
          <w:tcPr>
            <w:tcW w:w="1103" w:type="dxa"/>
          </w:tcPr>
          <w:p w14:paraId="1BDCCD5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- 0.53</w:t>
            </w:r>
          </w:p>
        </w:tc>
        <w:tc>
          <w:tcPr>
            <w:tcW w:w="576" w:type="dxa"/>
          </w:tcPr>
          <w:p w14:paraId="00BEEA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745BD3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0.5952</w:t>
            </w:r>
          </w:p>
        </w:tc>
        <w:tc>
          <w:tcPr>
            <w:tcW w:w="1536" w:type="dxa"/>
          </w:tcPr>
          <w:p w14:paraId="09799E8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w:t>
            </w:r>
          </w:p>
        </w:tc>
        <w:tc>
          <w:tcPr>
            <w:tcW w:w="1216" w:type="dxa"/>
          </w:tcPr>
          <w:p w14:paraId="19C3B6C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5F88DACE" w14:textId="77777777" w:rsidTr="001729CF">
        <w:tc>
          <w:tcPr>
            <w:tcW w:w="1083" w:type="dxa"/>
          </w:tcPr>
          <w:p w14:paraId="286B60F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3A73840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3.08</w:t>
            </w:r>
          </w:p>
        </w:tc>
        <w:tc>
          <w:tcPr>
            <w:tcW w:w="1240" w:type="dxa"/>
          </w:tcPr>
          <w:p w14:paraId="7C9CBF0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1.15</w:t>
            </w:r>
          </w:p>
        </w:tc>
        <w:tc>
          <w:tcPr>
            <w:tcW w:w="1103" w:type="dxa"/>
          </w:tcPr>
          <w:p w14:paraId="2459827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1.03</w:t>
            </w:r>
          </w:p>
        </w:tc>
        <w:tc>
          <w:tcPr>
            <w:tcW w:w="576" w:type="dxa"/>
          </w:tcPr>
          <w:p w14:paraId="18EF63C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2D4956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0.3047</w:t>
            </w:r>
          </w:p>
        </w:tc>
        <w:tc>
          <w:tcPr>
            <w:tcW w:w="1536" w:type="dxa"/>
          </w:tcPr>
          <w:p w14:paraId="20735EE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050D051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59A0E2A3" w14:textId="77777777" w:rsidTr="001729CF">
        <w:tc>
          <w:tcPr>
            <w:tcW w:w="1083" w:type="dxa"/>
          </w:tcPr>
          <w:p w14:paraId="203F0B6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2DA5E80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3.15</w:t>
            </w:r>
          </w:p>
        </w:tc>
        <w:tc>
          <w:tcPr>
            <w:tcW w:w="1240" w:type="dxa"/>
          </w:tcPr>
          <w:p w14:paraId="50C249E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1.14</w:t>
            </w:r>
          </w:p>
        </w:tc>
        <w:tc>
          <w:tcPr>
            <w:tcW w:w="1103" w:type="dxa"/>
          </w:tcPr>
          <w:p w14:paraId="489AE19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1.95</w:t>
            </w:r>
          </w:p>
        </w:tc>
        <w:tc>
          <w:tcPr>
            <w:tcW w:w="576" w:type="dxa"/>
          </w:tcPr>
          <w:p w14:paraId="78CD252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118794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0.0521</w:t>
            </w:r>
          </w:p>
        </w:tc>
        <w:tc>
          <w:tcPr>
            <w:tcW w:w="1536" w:type="dxa"/>
          </w:tcPr>
          <w:p w14:paraId="52F186B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16C9DFF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083C4CC" w14:textId="77777777" w:rsidTr="001729CF">
        <w:tc>
          <w:tcPr>
            <w:tcW w:w="1083" w:type="dxa"/>
          </w:tcPr>
          <w:p w14:paraId="0C23690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457FDA0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3.28</w:t>
            </w:r>
          </w:p>
        </w:tc>
        <w:tc>
          <w:tcPr>
            <w:tcW w:w="1240" w:type="dxa"/>
          </w:tcPr>
          <w:p w14:paraId="54DCEF4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1.22</w:t>
            </w:r>
          </w:p>
        </w:tc>
        <w:tc>
          <w:tcPr>
            <w:tcW w:w="1103" w:type="dxa"/>
          </w:tcPr>
          <w:p w14:paraId="3AD4465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3.34</w:t>
            </w:r>
          </w:p>
        </w:tc>
        <w:tc>
          <w:tcPr>
            <w:tcW w:w="576" w:type="dxa"/>
          </w:tcPr>
          <w:p w14:paraId="7C9C5A3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153ECB0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0.001</w:t>
            </w:r>
          </w:p>
        </w:tc>
        <w:tc>
          <w:tcPr>
            <w:tcW w:w="1536" w:type="dxa"/>
          </w:tcPr>
          <w:p w14:paraId="250072F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1D480F6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486F7F19" w14:textId="77777777" w:rsidTr="001729CF">
        <w:tc>
          <w:tcPr>
            <w:tcW w:w="1083" w:type="dxa"/>
          </w:tcPr>
          <w:p w14:paraId="0A21B2E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49D93E3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w:t>
            </w:r>
          </w:p>
        </w:tc>
        <w:tc>
          <w:tcPr>
            <w:tcW w:w="1240" w:type="dxa"/>
          </w:tcPr>
          <w:p w14:paraId="2E35300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0.98</w:t>
            </w:r>
          </w:p>
        </w:tc>
        <w:tc>
          <w:tcPr>
            <w:tcW w:w="1103" w:type="dxa"/>
          </w:tcPr>
          <w:p w14:paraId="497F76A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1.54</w:t>
            </w:r>
          </w:p>
        </w:tc>
        <w:tc>
          <w:tcPr>
            <w:tcW w:w="576" w:type="dxa"/>
          </w:tcPr>
          <w:p w14:paraId="39F7817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672D9C4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0.1257</w:t>
            </w:r>
          </w:p>
        </w:tc>
        <w:tc>
          <w:tcPr>
            <w:tcW w:w="1536" w:type="dxa"/>
          </w:tcPr>
          <w:p w14:paraId="5BD1FE0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220C2E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bl>
    <w:p w14:paraId="786BCA9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bookmarkEnd w:id="387"/>
    <w:p w14:paraId="5A48850F"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The table presents the analysis of the questions related to product quality, including the mean, standard deviation, t-test values </w:t>
      </w:r>
      <w:bookmarkStart w:id="388" w:name="_Hlk198043013"/>
      <w:r w:rsidRPr="002551A7">
        <w:rPr>
          <w:rFonts w:asciiTheme="majorBidi" w:eastAsia="Calibri" w:hAnsiTheme="majorBidi" w:cstheme="majorBidi"/>
          <w:sz w:val="24"/>
          <w:szCs w:val="24"/>
          <w:lang w:val="en-US"/>
        </w:rPr>
        <w:t>where the critical value equal to 3</w:t>
      </w:r>
      <w:bookmarkEnd w:id="388"/>
      <w:r w:rsidRPr="002551A7">
        <w:rPr>
          <w:rFonts w:asciiTheme="majorBidi" w:eastAsia="Calibri" w:hAnsiTheme="majorBidi" w:cstheme="majorBidi"/>
          <w:sz w:val="24"/>
          <w:szCs w:val="24"/>
          <w:lang w:val="en-US"/>
        </w:rPr>
        <w:t>, and significance level:</w:t>
      </w:r>
    </w:p>
    <w:p w14:paraId="2B2567E4"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1: Has a mean of 3.05 and a standard deviation of 1.27, with a t-value of 0.54 and significance level of 0.5866, indicating a medium level of agreement with no statistical significance.</w:t>
      </w:r>
    </w:p>
    <w:p w14:paraId="550F6EB1"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2: Shows a mean of 2.96 and a standard deviation of 1.17, with a negative t-value of -0.53 and significance of 0.5952, also reflecting a medium level of agreement, not statistically significant.</w:t>
      </w:r>
    </w:p>
    <w:p w14:paraId="4C166679"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3: Has a mean of 3.08 and a standard deviation of 1.15, with a t-value of 1.03 and significance of 0.3047, indicating a medium perception of product quality.</w:t>
      </w:r>
    </w:p>
    <w:p w14:paraId="1266188F"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4: Shows a mean of 3.15 and a standard deviation of 1.14, with a t-value of 1.95 and a significance level of 0.0521, close to statistical significance, suggesting a medium but potentially notable level of agreement.</w:t>
      </w:r>
    </w:p>
    <w:p w14:paraId="71C8EF4D"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5: Has the highest mean of 3.28, with a standard deviation of 1.22, t-value of 3.34, and significance of 0.001, reflecting a relatively strong medium agreement with clear statistical significance.</w:t>
      </w:r>
    </w:p>
    <w:p w14:paraId="44915682"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The total mean is 3.1 with a standard deviation of 0.98, a t-test value of 1.54, and a significance of 0.1257, indicating a general medium perception of product quality among the sample, with no overall statistical significance.</w:t>
      </w:r>
    </w:p>
    <w:p w14:paraId="16B084AF" w14:textId="4C90B9D4" w:rsidR="00AC1791" w:rsidRPr="00511F0B" w:rsidRDefault="00AC1791" w:rsidP="00511F0B">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89" w:name="_Toc200721758"/>
      <w:bookmarkStart w:id="390" w:name="_Hlk197870995"/>
      <w:r w:rsidRPr="005E488F">
        <w:rPr>
          <w:rStyle w:val="Heading5Char"/>
          <w:rFonts w:eastAsia="Calibri"/>
        </w:rPr>
        <w:t>Analysis of the price competition</w:t>
      </w:r>
      <w:bookmarkEnd w:id="389"/>
      <w:r w:rsidRPr="00511F0B">
        <w:rPr>
          <w:rFonts w:asciiTheme="majorBidi" w:eastAsia="Calibri" w:hAnsiTheme="majorBidi" w:cstheme="majorBidi"/>
          <w:b/>
          <w:bCs/>
          <w:sz w:val="24"/>
          <w:szCs w:val="24"/>
          <w:lang w:val="en-US"/>
        </w:rPr>
        <w:t>:</w:t>
      </w:r>
    </w:p>
    <w:p w14:paraId="0CDEDDAE"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38:</w:t>
      </w:r>
      <w:r w:rsidRPr="002551A7">
        <w:rPr>
          <w:rFonts w:asciiTheme="majorBidi" w:eastAsia="Calibri" w:hAnsiTheme="majorBidi" w:cstheme="majorBidi"/>
          <w:sz w:val="24"/>
          <w:szCs w:val="24"/>
          <w:lang w:val="en-US"/>
        </w:rPr>
        <w:t xml:space="preserve"> Analysis of the price competition</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593DFEA1" w14:textId="77777777" w:rsidTr="00E963F1">
        <w:tc>
          <w:tcPr>
            <w:tcW w:w="1083" w:type="dxa"/>
          </w:tcPr>
          <w:p w14:paraId="5CEB273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444C3C0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3BA6AFB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04B069B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7ED4173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298CCB9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196A40E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1C49E0B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0C3D14A4" w14:textId="77777777" w:rsidTr="00E963F1">
        <w:tc>
          <w:tcPr>
            <w:tcW w:w="1083" w:type="dxa"/>
          </w:tcPr>
          <w:p w14:paraId="3A5E4AE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4E6BF5F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2.93</w:t>
            </w:r>
          </w:p>
        </w:tc>
        <w:tc>
          <w:tcPr>
            <w:tcW w:w="1240" w:type="dxa"/>
          </w:tcPr>
          <w:p w14:paraId="1EC7656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1.34</w:t>
            </w:r>
          </w:p>
        </w:tc>
        <w:tc>
          <w:tcPr>
            <w:tcW w:w="1103" w:type="dxa"/>
          </w:tcPr>
          <w:p w14:paraId="628A49D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- 0.37</w:t>
            </w:r>
          </w:p>
        </w:tc>
        <w:tc>
          <w:tcPr>
            <w:tcW w:w="576" w:type="dxa"/>
          </w:tcPr>
          <w:p w14:paraId="6E3F3E4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0B460C9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0.468</w:t>
            </w:r>
          </w:p>
        </w:tc>
        <w:tc>
          <w:tcPr>
            <w:tcW w:w="1536" w:type="dxa"/>
          </w:tcPr>
          <w:p w14:paraId="195D664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w:t>
            </w:r>
          </w:p>
        </w:tc>
        <w:tc>
          <w:tcPr>
            <w:tcW w:w="1216" w:type="dxa"/>
          </w:tcPr>
          <w:p w14:paraId="2F2A7E5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4359EE91" w14:textId="77777777" w:rsidTr="00E963F1">
        <w:tc>
          <w:tcPr>
            <w:tcW w:w="1083" w:type="dxa"/>
          </w:tcPr>
          <w:p w14:paraId="1E4D8CE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2024468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3.13</w:t>
            </w:r>
          </w:p>
        </w:tc>
        <w:tc>
          <w:tcPr>
            <w:tcW w:w="1240" w:type="dxa"/>
          </w:tcPr>
          <w:p w14:paraId="2AB2682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1.18</w:t>
            </w:r>
          </w:p>
        </w:tc>
        <w:tc>
          <w:tcPr>
            <w:tcW w:w="1103" w:type="dxa"/>
          </w:tcPr>
          <w:p w14:paraId="1951B7F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1.65</w:t>
            </w:r>
          </w:p>
        </w:tc>
        <w:tc>
          <w:tcPr>
            <w:tcW w:w="576" w:type="dxa"/>
          </w:tcPr>
          <w:p w14:paraId="6F0A7F5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00C481A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0.1014</w:t>
            </w:r>
          </w:p>
        </w:tc>
        <w:tc>
          <w:tcPr>
            <w:tcW w:w="1536" w:type="dxa"/>
          </w:tcPr>
          <w:p w14:paraId="0DADC08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5DC0AA8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6AA758DE" w14:textId="77777777" w:rsidTr="00E963F1">
        <w:tc>
          <w:tcPr>
            <w:tcW w:w="1083" w:type="dxa"/>
          </w:tcPr>
          <w:p w14:paraId="6C220EC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719E144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w:t>
            </w:r>
          </w:p>
        </w:tc>
        <w:tc>
          <w:tcPr>
            <w:tcW w:w="1240" w:type="dxa"/>
          </w:tcPr>
          <w:p w14:paraId="587BD65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1.31</w:t>
            </w:r>
          </w:p>
        </w:tc>
        <w:tc>
          <w:tcPr>
            <w:tcW w:w="1103" w:type="dxa"/>
          </w:tcPr>
          <w:p w14:paraId="21DB4BA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3.34</w:t>
            </w:r>
          </w:p>
        </w:tc>
        <w:tc>
          <w:tcPr>
            <w:tcW w:w="576" w:type="dxa"/>
          </w:tcPr>
          <w:p w14:paraId="74F33E4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2A840F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0.001</w:t>
            </w:r>
          </w:p>
        </w:tc>
        <w:tc>
          <w:tcPr>
            <w:tcW w:w="1536" w:type="dxa"/>
          </w:tcPr>
          <w:p w14:paraId="7BD13F9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2581410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4480857E" w14:textId="77777777" w:rsidTr="00E963F1">
        <w:tc>
          <w:tcPr>
            <w:tcW w:w="1083" w:type="dxa"/>
          </w:tcPr>
          <w:p w14:paraId="31091B8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4571226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3.11</w:t>
            </w:r>
          </w:p>
        </w:tc>
        <w:tc>
          <w:tcPr>
            <w:tcW w:w="1240" w:type="dxa"/>
          </w:tcPr>
          <w:p w14:paraId="204234B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1.23</w:t>
            </w:r>
          </w:p>
        </w:tc>
        <w:tc>
          <w:tcPr>
            <w:tcW w:w="1103" w:type="dxa"/>
          </w:tcPr>
          <w:p w14:paraId="26EC51A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1.29</w:t>
            </w:r>
          </w:p>
        </w:tc>
        <w:tc>
          <w:tcPr>
            <w:tcW w:w="576" w:type="dxa"/>
          </w:tcPr>
          <w:p w14:paraId="5304537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6803157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0.1971</w:t>
            </w:r>
          </w:p>
        </w:tc>
        <w:tc>
          <w:tcPr>
            <w:tcW w:w="1536" w:type="dxa"/>
          </w:tcPr>
          <w:p w14:paraId="595B14C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1639DA8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0C748BA" w14:textId="77777777" w:rsidTr="00E963F1">
        <w:tc>
          <w:tcPr>
            <w:tcW w:w="1083" w:type="dxa"/>
          </w:tcPr>
          <w:p w14:paraId="118E0B9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115E768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3.32</w:t>
            </w:r>
          </w:p>
        </w:tc>
        <w:tc>
          <w:tcPr>
            <w:tcW w:w="1240" w:type="dxa"/>
          </w:tcPr>
          <w:p w14:paraId="6FF592A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1.29</w:t>
            </w:r>
          </w:p>
        </w:tc>
        <w:tc>
          <w:tcPr>
            <w:tcW w:w="1103" w:type="dxa"/>
          </w:tcPr>
          <w:p w14:paraId="3B08BFD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3.54</w:t>
            </w:r>
          </w:p>
        </w:tc>
        <w:tc>
          <w:tcPr>
            <w:tcW w:w="576" w:type="dxa"/>
          </w:tcPr>
          <w:p w14:paraId="59B3FED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6945056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5E-04</w:t>
            </w:r>
          </w:p>
        </w:tc>
        <w:tc>
          <w:tcPr>
            <w:tcW w:w="1536" w:type="dxa"/>
          </w:tcPr>
          <w:p w14:paraId="17ED253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7FB8D4C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3B29351D" w14:textId="77777777" w:rsidTr="00E963F1">
        <w:tc>
          <w:tcPr>
            <w:tcW w:w="1083" w:type="dxa"/>
          </w:tcPr>
          <w:p w14:paraId="283E0C9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6F75006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3.16</w:t>
            </w:r>
          </w:p>
        </w:tc>
        <w:tc>
          <w:tcPr>
            <w:tcW w:w="1240" w:type="dxa"/>
          </w:tcPr>
          <w:p w14:paraId="769D2E3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1.01</w:t>
            </w:r>
          </w:p>
        </w:tc>
        <w:tc>
          <w:tcPr>
            <w:tcW w:w="1103" w:type="dxa"/>
          </w:tcPr>
          <w:p w14:paraId="0702897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2.28</w:t>
            </w:r>
          </w:p>
        </w:tc>
        <w:tc>
          <w:tcPr>
            <w:tcW w:w="576" w:type="dxa"/>
          </w:tcPr>
          <w:p w14:paraId="076138F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7D3D45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0.0237</w:t>
            </w:r>
          </w:p>
        </w:tc>
        <w:tc>
          <w:tcPr>
            <w:tcW w:w="1536" w:type="dxa"/>
          </w:tcPr>
          <w:p w14:paraId="548601A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33FAE4D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bl>
    <w:p w14:paraId="36E777CC"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bookmarkEnd w:id="390"/>
    <w:p w14:paraId="68EB93EA" w14:textId="77777777" w:rsidR="00AC1791" w:rsidRPr="002551A7" w:rsidRDefault="00AC1791" w:rsidP="002551A7">
      <w:p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presents the analysis of the questions related to price competition, including the mean, standard deviation, t-test values where the critical value equal to 3, and significance level:</w:t>
      </w:r>
    </w:p>
    <w:p w14:paraId="30966ACD" w14:textId="77777777" w:rsidR="00AC1791" w:rsidRPr="002551A7" w:rsidRDefault="00AC1791" w:rsidP="00413B73">
      <w:pPr>
        <w:pStyle w:val="ListParagraph"/>
        <w:numPr>
          <w:ilvl w:val="0"/>
          <w:numId w:val="52"/>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2.93 and a standard deviation of 1.34, with a negative t-value of -0.37 and a significance level of 0.468, indicating a medium level of agreement without statistical significance.</w:t>
      </w:r>
    </w:p>
    <w:p w14:paraId="158BF871" w14:textId="77777777" w:rsidR="00AC1791" w:rsidRPr="002551A7" w:rsidRDefault="00AC1791" w:rsidP="00413B73">
      <w:pPr>
        <w:pStyle w:val="ListParagraph"/>
        <w:numPr>
          <w:ilvl w:val="0"/>
          <w:numId w:val="52"/>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3.13 and a standard deviation of 1.18, with a t-value of 1.65 and significance of 0.1014, reflecting a medium level of agreement, also not statistically significant.</w:t>
      </w:r>
    </w:p>
    <w:p w14:paraId="35C6C2D8" w14:textId="77777777" w:rsidR="00AC1791" w:rsidRPr="002551A7" w:rsidRDefault="00AC1791" w:rsidP="00413B73">
      <w:pPr>
        <w:pStyle w:val="ListParagraph"/>
        <w:numPr>
          <w:ilvl w:val="0"/>
          <w:numId w:val="52"/>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Item 3: Has a mean of 3.30 and a standard deviation of 1.31, with a t-value of 3.34 and a significance of 0.001, indicating a medium level of agreement with strong statistical significance.</w:t>
      </w:r>
    </w:p>
    <w:p w14:paraId="252DB05D" w14:textId="77777777" w:rsidR="00AC1791" w:rsidRPr="002551A7" w:rsidRDefault="00AC1791" w:rsidP="00413B73">
      <w:pPr>
        <w:pStyle w:val="ListParagraph"/>
        <w:numPr>
          <w:ilvl w:val="0"/>
          <w:numId w:val="52"/>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Item 4: Recorded a mean of 3.11 and a standard deviation of 1.23, with a t-value of 1.29 and a significance of 0.1971, which reflects a medium level of agreement without statistical significance.</w:t>
      </w:r>
    </w:p>
    <w:p w14:paraId="64D395BB" w14:textId="77777777" w:rsidR="00AC1791" w:rsidRPr="002551A7" w:rsidRDefault="00AC1791" w:rsidP="00413B73">
      <w:pPr>
        <w:pStyle w:val="ListParagraph"/>
        <w:numPr>
          <w:ilvl w:val="0"/>
          <w:numId w:val="52"/>
        </w:num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Item 5: Achieved the highest mean (3.32) with a standard deviation of 1.29, a t-value of 3.54, and significance of 0.0005, indicating a medium level of agreement with clear statistical significance.</w:t>
      </w:r>
    </w:p>
    <w:p w14:paraId="24241EB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total mean is 3.16 with a standard deviation of 1.01, a t-value of 2.28, and a significance of 0.0237, indicating a generally positive medium evaluation of price competition, with weak but present statistical significance.</w:t>
      </w:r>
    </w:p>
    <w:p w14:paraId="18BC49E0" w14:textId="587542D0" w:rsidR="00AC1791" w:rsidRPr="00511F0B" w:rsidRDefault="00AC1791" w:rsidP="00511F0B">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91" w:name="_Toc200721759"/>
      <w:bookmarkStart w:id="392" w:name="_Hlk197871277"/>
      <w:r w:rsidRPr="005E488F">
        <w:rPr>
          <w:rStyle w:val="Heading5Char"/>
          <w:rFonts w:eastAsia="Calibri"/>
        </w:rPr>
        <w:t>Analysis of the cultural alignment</w:t>
      </w:r>
      <w:bookmarkEnd w:id="391"/>
      <w:r w:rsidRPr="00511F0B">
        <w:rPr>
          <w:rFonts w:asciiTheme="majorBidi" w:eastAsia="Calibri" w:hAnsiTheme="majorBidi" w:cstheme="majorBidi"/>
          <w:b/>
          <w:bCs/>
          <w:sz w:val="24"/>
          <w:szCs w:val="24"/>
          <w:lang w:val="en-US"/>
        </w:rPr>
        <w:t>:</w:t>
      </w:r>
    </w:p>
    <w:p w14:paraId="0A6ACA9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39:</w:t>
      </w:r>
      <w:r w:rsidRPr="002551A7">
        <w:rPr>
          <w:rFonts w:asciiTheme="majorBidi" w:eastAsia="Calibri" w:hAnsiTheme="majorBidi" w:cstheme="majorBidi"/>
          <w:sz w:val="24"/>
          <w:szCs w:val="24"/>
          <w:lang w:val="en-US"/>
        </w:rPr>
        <w:t xml:space="preserve"> Analysis of the cultural alignment</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2C9050F4" w14:textId="77777777" w:rsidTr="00E963F1">
        <w:tc>
          <w:tcPr>
            <w:tcW w:w="1083" w:type="dxa"/>
          </w:tcPr>
          <w:p w14:paraId="3DEB409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05191DF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2F9E9E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7342395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4E9F88E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5953601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6E99C3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1BEEA08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4FCD98D4" w14:textId="77777777" w:rsidTr="00E963F1">
        <w:tc>
          <w:tcPr>
            <w:tcW w:w="1083" w:type="dxa"/>
          </w:tcPr>
          <w:p w14:paraId="377E5D2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05C9A4E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3.21</w:t>
            </w:r>
          </w:p>
        </w:tc>
        <w:tc>
          <w:tcPr>
            <w:tcW w:w="1240" w:type="dxa"/>
          </w:tcPr>
          <w:p w14:paraId="23C8CB3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1.36</w:t>
            </w:r>
          </w:p>
        </w:tc>
        <w:tc>
          <w:tcPr>
            <w:tcW w:w="1103" w:type="dxa"/>
          </w:tcPr>
          <w:p w14:paraId="692838B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2.19</w:t>
            </w:r>
          </w:p>
        </w:tc>
        <w:tc>
          <w:tcPr>
            <w:tcW w:w="576" w:type="dxa"/>
          </w:tcPr>
          <w:p w14:paraId="4714D8D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05CF7C7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0.0293</w:t>
            </w:r>
          </w:p>
        </w:tc>
        <w:tc>
          <w:tcPr>
            <w:tcW w:w="1536" w:type="dxa"/>
          </w:tcPr>
          <w:p w14:paraId="03E671D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3AAB119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6157BEE3" w14:textId="77777777" w:rsidTr="00E963F1">
        <w:tc>
          <w:tcPr>
            <w:tcW w:w="1083" w:type="dxa"/>
          </w:tcPr>
          <w:p w14:paraId="1D6CDCD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746156E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2.96</w:t>
            </w:r>
          </w:p>
        </w:tc>
        <w:tc>
          <w:tcPr>
            <w:tcW w:w="1240" w:type="dxa"/>
          </w:tcPr>
          <w:p w14:paraId="554F051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1.26</w:t>
            </w:r>
          </w:p>
        </w:tc>
        <w:tc>
          <w:tcPr>
            <w:tcW w:w="1103" w:type="dxa"/>
          </w:tcPr>
          <w:p w14:paraId="5382962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-0.5</w:t>
            </w:r>
          </w:p>
        </w:tc>
        <w:tc>
          <w:tcPr>
            <w:tcW w:w="576" w:type="dxa"/>
          </w:tcPr>
          <w:p w14:paraId="53C801E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AFD042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0.6209</w:t>
            </w:r>
          </w:p>
        </w:tc>
        <w:tc>
          <w:tcPr>
            <w:tcW w:w="1536" w:type="dxa"/>
          </w:tcPr>
          <w:p w14:paraId="1795503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w:t>
            </w:r>
          </w:p>
        </w:tc>
        <w:tc>
          <w:tcPr>
            <w:tcW w:w="1216" w:type="dxa"/>
          </w:tcPr>
          <w:p w14:paraId="5632439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124F6D93" w14:textId="77777777" w:rsidTr="00E963F1">
        <w:tc>
          <w:tcPr>
            <w:tcW w:w="1083" w:type="dxa"/>
          </w:tcPr>
          <w:p w14:paraId="7E42EBC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685CC91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w:t>
            </w:r>
          </w:p>
        </w:tc>
        <w:tc>
          <w:tcPr>
            <w:tcW w:w="1240" w:type="dxa"/>
          </w:tcPr>
          <w:p w14:paraId="4A9AC15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1.22</w:t>
            </w:r>
          </w:p>
        </w:tc>
        <w:tc>
          <w:tcPr>
            <w:tcW w:w="1103" w:type="dxa"/>
          </w:tcPr>
          <w:p w14:paraId="2DF7B52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1.19</w:t>
            </w:r>
          </w:p>
        </w:tc>
        <w:tc>
          <w:tcPr>
            <w:tcW w:w="576" w:type="dxa"/>
          </w:tcPr>
          <w:p w14:paraId="12ED091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A815C4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0.2346</w:t>
            </w:r>
          </w:p>
        </w:tc>
        <w:tc>
          <w:tcPr>
            <w:tcW w:w="1536" w:type="dxa"/>
          </w:tcPr>
          <w:p w14:paraId="3FBD720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61CD0BE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80B771B" w14:textId="77777777" w:rsidTr="00E963F1">
        <w:tc>
          <w:tcPr>
            <w:tcW w:w="1083" w:type="dxa"/>
          </w:tcPr>
          <w:p w14:paraId="0C2B582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75E1890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3.09</w:t>
            </w:r>
          </w:p>
        </w:tc>
        <w:tc>
          <w:tcPr>
            <w:tcW w:w="1240" w:type="dxa"/>
          </w:tcPr>
          <w:p w14:paraId="6853194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1.42</w:t>
            </w:r>
          </w:p>
        </w:tc>
        <w:tc>
          <w:tcPr>
            <w:tcW w:w="1103" w:type="dxa"/>
          </w:tcPr>
          <w:p w14:paraId="56FE82B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0.93</w:t>
            </w:r>
          </w:p>
        </w:tc>
        <w:tc>
          <w:tcPr>
            <w:tcW w:w="576" w:type="dxa"/>
          </w:tcPr>
          <w:p w14:paraId="7CE9042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125191C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0.3545</w:t>
            </w:r>
          </w:p>
        </w:tc>
        <w:tc>
          <w:tcPr>
            <w:tcW w:w="1536" w:type="dxa"/>
          </w:tcPr>
          <w:p w14:paraId="5E51728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75A28D1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233DE463" w14:textId="77777777" w:rsidTr="00E963F1">
        <w:tc>
          <w:tcPr>
            <w:tcW w:w="1083" w:type="dxa"/>
          </w:tcPr>
          <w:p w14:paraId="6AE5393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76D127A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3.13</w:t>
            </w:r>
          </w:p>
        </w:tc>
        <w:tc>
          <w:tcPr>
            <w:tcW w:w="1240" w:type="dxa"/>
          </w:tcPr>
          <w:p w14:paraId="50EA494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1.4</w:t>
            </w:r>
          </w:p>
        </w:tc>
        <w:tc>
          <w:tcPr>
            <w:tcW w:w="1103" w:type="dxa"/>
          </w:tcPr>
          <w:p w14:paraId="470A9B3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1.39</w:t>
            </w:r>
          </w:p>
        </w:tc>
        <w:tc>
          <w:tcPr>
            <w:tcW w:w="576" w:type="dxa"/>
          </w:tcPr>
          <w:p w14:paraId="7CF04B3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982617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0.1662</w:t>
            </w:r>
          </w:p>
        </w:tc>
        <w:tc>
          <w:tcPr>
            <w:tcW w:w="1536" w:type="dxa"/>
          </w:tcPr>
          <w:p w14:paraId="09E1B5A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33035E1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5595560" w14:textId="77777777" w:rsidTr="00E963F1">
        <w:tc>
          <w:tcPr>
            <w:tcW w:w="1083" w:type="dxa"/>
          </w:tcPr>
          <w:p w14:paraId="186F74B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06DE818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w:t>
            </w:r>
          </w:p>
        </w:tc>
        <w:tc>
          <w:tcPr>
            <w:tcW w:w="1240" w:type="dxa"/>
          </w:tcPr>
          <w:p w14:paraId="211AFB9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1.05</w:t>
            </w:r>
          </w:p>
        </w:tc>
        <w:tc>
          <w:tcPr>
            <w:tcW w:w="1103" w:type="dxa"/>
          </w:tcPr>
          <w:p w14:paraId="2332C5D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1.34</w:t>
            </w:r>
          </w:p>
        </w:tc>
        <w:tc>
          <w:tcPr>
            <w:tcW w:w="576" w:type="dxa"/>
          </w:tcPr>
          <w:p w14:paraId="6DDDB2B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6D1DBA8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0.1814</w:t>
            </w:r>
          </w:p>
        </w:tc>
        <w:tc>
          <w:tcPr>
            <w:tcW w:w="1536" w:type="dxa"/>
          </w:tcPr>
          <w:p w14:paraId="2889686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3A76A9B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bl>
    <w:p w14:paraId="7F2D2EC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bookmarkEnd w:id="392"/>
    <w:p w14:paraId="036929B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presents the analysis of the questions related to cultural alignment, including the mean, standard deviation, t-test values where the critical value equal to 3, and significance level:</w:t>
      </w:r>
    </w:p>
    <w:p w14:paraId="74732B92"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3.21 and a standard deviation of 1.36, with a t-value of 2.19 and significance of 0.0293, indicating a medium level of agreement with acceptable statistical significance.</w:t>
      </w:r>
    </w:p>
    <w:p w14:paraId="015B802C"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2.96 and a standard deviation of 1.26, with a negative t-value of -0.5 and a significance level of 0.6209, reflecting a medium level of agreement without statistical significance.</w:t>
      </w:r>
    </w:p>
    <w:p w14:paraId="2E50BC7A"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Has a mean of 3.10 and a standard deviation of 1.22, with a t-value of 1.19 and significance of 0.2346, indicating a medium level of agreement, not statistically significant.</w:t>
      </w:r>
    </w:p>
    <w:p w14:paraId="6A5B5967"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Recorded a mean of 3.09 and a standard deviation of 1.42, with a t-value of 0.93 and a significance level of 0.3545, showing a medium level of agreement without statistical significance.</w:t>
      </w:r>
    </w:p>
    <w:p w14:paraId="4D81BBE4"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Has a mean of 3.13 and a standard deviation of 1.40, with a t-value of 1.39 and significance of 0.1662, indicating a medium level of agreement, also not statistically significant.</w:t>
      </w:r>
    </w:p>
    <w:p w14:paraId="0511F88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total mean is 3.10 with a standard deviation of 1.05, a t-value of 1.34, and a significance level of 0.1814, suggesting that the cultural alignment level is generally medium without statistical significance.</w:t>
      </w:r>
    </w:p>
    <w:p w14:paraId="1D789064" w14:textId="28690377" w:rsidR="00AC1791" w:rsidRPr="00511F0B" w:rsidRDefault="00AC1791" w:rsidP="00413B73">
      <w:pPr>
        <w:pStyle w:val="ListParagraph"/>
        <w:numPr>
          <w:ilvl w:val="2"/>
          <w:numId w:val="91"/>
        </w:numPr>
        <w:spacing w:after="200" w:line="360" w:lineRule="auto"/>
        <w:jc w:val="both"/>
        <w:rPr>
          <w:rFonts w:asciiTheme="majorBidi" w:eastAsia="Calibri" w:hAnsiTheme="majorBidi" w:cstheme="majorBidi"/>
          <w:b/>
          <w:bCs/>
          <w:sz w:val="24"/>
          <w:szCs w:val="24"/>
          <w:lang w:val="en-US"/>
        </w:rPr>
      </w:pPr>
      <w:bookmarkStart w:id="393" w:name="_Toc200721760"/>
      <w:r w:rsidRPr="005E488F">
        <w:rPr>
          <w:rStyle w:val="Heading5Char"/>
          <w:rFonts w:eastAsia="Calibri"/>
        </w:rPr>
        <w:t xml:space="preserve">Analysis of the </w:t>
      </w:r>
      <w:bookmarkStart w:id="394" w:name="_Hlk197871675"/>
      <w:r w:rsidRPr="005E488F">
        <w:rPr>
          <w:rStyle w:val="Heading5Char"/>
          <w:rFonts w:eastAsia="Calibri"/>
        </w:rPr>
        <w:t xml:space="preserve">availability and </w:t>
      </w:r>
      <w:bookmarkEnd w:id="394"/>
      <w:r w:rsidRPr="005E488F">
        <w:rPr>
          <w:rStyle w:val="Heading5Char"/>
          <w:rFonts w:eastAsia="Calibri"/>
        </w:rPr>
        <w:t>accessibility</w:t>
      </w:r>
      <w:bookmarkEnd w:id="393"/>
      <w:r w:rsidRPr="00511F0B">
        <w:rPr>
          <w:rFonts w:asciiTheme="majorBidi" w:eastAsia="Calibri" w:hAnsiTheme="majorBidi" w:cstheme="majorBidi"/>
          <w:b/>
          <w:bCs/>
          <w:sz w:val="24"/>
          <w:szCs w:val="24"/>
          <w:lang w:val="en-US"/>
        </w:rPr>
        <w:t>:</w:t>
      </w:r>
    </w:p>
    <w:p w14:paraId="35480008"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40:</w:t>
      </w:r>
      <w:r w:rsidRPr="002551A7">
        <w:rPr>
          <w:rFonts w:asciiTheme="majorBidi" w:eastAsia="Calibri" w:hAnsiTheme="majorBidi" w:cstheme="majorBidi"/>
          <w:sz w:val="24"/>
          <w:szCs w:val="24"/>
          <w:lang w:val="en-US"/>
        </w:rPr>
        <w:t xml:space="preserve"> Analysis of the availability and accessibility</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5C7C3498" w14:textId="77777777" w:rsidTr="00E963F1">
        <w:tc>
          <w:tcPr>
            <w:tcW w:w="1083" w:type="dxa"/>
          </w:tcPr>
          <w:p w14:paraId="2635F31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7EBCB94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291D1B3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5CAA8E0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1618B74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4D3D0DB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3A44124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607DFDB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31494D79" w14:textId="77777777" w:rsidTr="00E963F1">
        <w:tc>
          <w:tcPr>
            <w:tcW w:w="1083" w:type="dxa"/>
          </w:tcPr>
          <w:p w14:paraId="23FA8B8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5DC696F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3.03</w:t>
            </w:r>
          </w:p>
        </w:tc>
        <w:tc>
          <w:tcPr>
            <w:tcW w:w="1240" w:type="dxa"/>
          </w:tcPr>
          <w:p w14:paraId="269BAB4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1.32</w:t>
            </w:r>
          </w:p>
        </w:tc>
        <w:tc>
          <w:tcPr>
            <w:tcW w:w="1103" w:type="dxa"/>
          </w:tcPr>
          <w:p w14:paraId="3D057E5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0.32</w:t>
            </w:r>
          </w:p>
        </w:tc>
        <w:tc>
          <w:tcPr>
            <w:tcW w:w="576" w:type="dxa"/>
          </w:tcPr>
          <w:p w14:paraId="16CC52A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78CA1D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0.7527</w:t>
            </w:r>
          </w:p>
        </w:tc>
        <w:tc>
          <w:tcPr>
            <w:tcW w:w="1536" w:type="dxa"/>
          </w:tcPr>
          <w:p w14:paraId="2929C3F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w:t>
            </w:r>
          </w:p>
        </w:tc>
        <w:tc>
          <w:tcPr>
            <w:tcW w:w="1216" w:type="dxa"/>
          </w:tcPr>
          <w:p w14:paraId="4250D00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143336F5" w14:textId="77777777" w:rsidTr="00E963F1">
        <w:tc>
          <w:tcPr>
            <w:tcW w:w="1083" w:type="dxa"/>
          </w:tcPr>
          <w:p w14:paraId="642DE5E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4FD901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3.09</w:t>
            </w:r>
          </w:p>
        </w:tc>
        <w:tc>
          <w:tcPr>
            <w:tcW w:w="1240" w:type="dxa"/>
          </w:tcPr>
          <w:p w14:paraId="531C0CC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1.31</w:t>
            </w:r>
          </w:p>
        </w:tc>
        <w:tc>
          <w:tcPr>
            <w:tcW w:w="1103" w:type="dxa"/>
          </w:tcPr>
          <w:p w14:paraId="76240B3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0.95</w:t>
            </w:r>
          </w:p>
        </w:tc>
        <w:tc>
          <w:tcPr>
            <w:tcW w:w="576" w:type="dxa"/>
          </w:tcPr>
          <w:p w14:paraId="5FCFD2D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42D7637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0.3413</w:t>
            </w:r>
          </w:p>
        </w:tc>
        <w:tc>
          <w:tcPr>
            <w:tcW w:w="1536" w:type="dxa"/>
          </w:tcPr>
          <w:p w14:paraId="5C10516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7910CA7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40993E8C" w14:textId="77777777" w:rsidTr="00E963F1">
        <w:tc>
          <w:tcPr>
            <w:tcW w:w="1083" w:type="dxa"/>
          </w:tcPr>
          <w:p w14:paraId="0BD009A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4710264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3.38</w:t>
            </w:r>
          </w:p>
        </w:tc>
        <w:tc>
          <w:tcPr>
            <w:tcW w:w="1240" w:type="dxa"/>
          </w:tcPr>
          <w:p w14:paraId="5199A2B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1.33</w:t>
            </w:r>
          </w:p>
        </w:tc>
        <w:tc>
          <w:tcPr>
            <w:tcW w:w="1103" w:type="dxa"/>
          </w:tcPr>
          <w:p w14:paraId="0E03814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4.06</w:t>
            </w:r>
          </w:p>
        </w:tc>
        <w:tc>
          <w:tcPr>
            <w:tcW w:w="576" w:type="dxa"/>
          </w:tcPr>
          <w:p w14:paraId="37822E0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182C516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1E-04</w:t>
            </w:r>
          </w:p>
        </w:tc>
        <w:tc>
          <w:tcPr>
            <w:tcW w:w="1536" w:type="dxa"/>
          </w:tcPr>
          <w:p w14:paraId="773ACEB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2619A34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10578AF0" w14:textId="77777777" w:rsidTr="00E963F1">
        <w:tc>
          <w:tcPr>
            <w:tcW w:w="1083" w:type="dxa"/>
          </w:tcPr>
          <w:p w14:paraId="5201485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1641166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3.19</w:t>
            </w:r>
          </w:p>
        </w:tc>
        <w:tc>
          <w:tcPr>
            <w:tcW w:w="1240" w:type="dxa"/>
          </w:tcPr>
          <w:p w14:paraId="5A04933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w:t>
            </w:r>
          </w:p>
        </w:tc>
        <w:tc>
          <w:tcPr>
            <w:tcW w:w="1103" w:type="dxa"/>
          </w:tcPr>
          <w:p w14:paraId="7C90176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2.32</w:t>
            </w:r>
          </w:p>
        </w:tc>
        <w:tc>
          <w:tcPr>
            <w:tcW w:w="576" w:type="dxa"/>
          </w:tcPr>
          <w:p w14:paraId="3EDF426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160458C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0.0214</w:t>
            </w:r>
          </w:p>
        </w:tc>
        <w:tc>
          <w:tcPr>
            <w:tcW w:w="1536" w:type="dxa"/>
          </w:tcPr>
          <w:p w14:paraId="3FCF2DA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0A1630B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78199373" w14:textId="77777777" w:rsidTr="00E963F1">
        <w:tc>
          <w:tcPr>
            <w:tcW w:w="1083" w:type="dxa"/>
          </w:tcPr>
          <w:p w14:paraId="0979E45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2439BE9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3.04</w:t>
            </w:r>
          </w:p>
        </w:tc>
        <w:tc>
          <w:tcPr>
            <w:tcW w:w="1240" w:type="dxa"/>
          </w:tcPr>
          <w:p w14:paraId="565075C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1.23</w:t>
            </w:r>
          </w:p>
        </w:tc>
        <w:tc>
          <w:tcPr>
            <w:tcW w:w="1103" w:type="dxa"/>
          </w:tcPr>
          <w:p w14:paraId="67C40AF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0.45</w:t>
            </w:r>
          </w:p>
        </w:tc>
        <w:tc>
          <w:tcPr>
            <w:tcW w:w="576" w:type="dxa"/>
          </w:tcPr>
          <w:p w14:paraId="66E6A41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931DCD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0.6527</w:t>
            </w:r>
          </w:p>
        </w:tc>
        <w:tc>
          <w:tcPr>
            <w:tcW w:w="1536" w:type="dxa"/>
          </w:tcPr>
          <w:p w14:paraId="48F155A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6D6FE10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02360178" w14:textId="77777777" w:rsidTr="00E963F1">
        <w:tc>
          <w:tcPr>
            <w:tcW w:w="1083" w:type="dxa"/>
          </w:tcPr>
          <w:p w14:paraId="083A99F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4B32587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3.14</w:t>
            </w:r>
          </w:p>
        </w:tc>
        <w:tc>
          <w:tcPr>
            <w:tcW w:w="1240" w:type="dxa"/>
          </w:tcPr>
          <w:p w14:paraId="65780FF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1.02</w:t>
            </w:r>
          </w:p>
        </w:tc>
        <w:tc>
          <w:tcPr>
            <w:tcW w:w="1103" w:type="dxa"/>
          </w:tcPr>
          <w:p w14:paraId="4A08541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2.04</w:t>
            </w:r>
          </w:p>
        </w:tc>
        <w:tc>
          <w:tcPr>
            <w:tcW w:w="576" w:type="dxa"/>
          </w:tcPr>
          <w:p w14:paraId="3C8DB68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3A0A5F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0.0429</w:t>
            </w:r>
          </w:p>
        </w:tc>
        <w:tc>
          <w:tcPr>
            <w:tcW w:w="1536" w:type="dxa"/>
          </w:tcPr>
          <w:p w14:paraId="650C132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1B46B26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bl>
    <w:p w14:paraId="6CE2FDF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p w14:paraId="5B367886" w14:textId="77777777" w:rsidR="00AC1791" w:rsidRPr="002551A7" w:rsidRDefault="00AC1791" w:rsidP="002551A7">
      <w:pPr>
        <w:spacing w:line="360" w:lineRule="auto"/>
        <w:jc w:val="both"/>
        <w:rPr>
          <w:rFonts w:asciiTheme="majorBidi" w:hAnsiTheme="majorBidi" w:cstheme="majorBidi"/>
          <w:sz w:val="24"/>
          <w:szCs w:val="24"/>
          <w:lang w:val="en-US"/>
        </w:rPr>
      </w:pPr>
      <w:bookmarkStart w:id="395" w:name="_Hlk197874959"/>
      <w:bookmarkEnd w:id="381"/>
      <w:r w:rsidRPr="002551A7">
        <w:rPr>
          <w:rFonts w:asciiTheme="majorBidi" w:hAnsiTheme="majorBidi" w:cstheme="majorBidi"/>
          <w:sz w:val="24"/>
          <w:szCs w:val="24"/>
          <w:lang w:val="en-US"/>
        </w:rPr>
        <w:t xml:space="preserve">   The following table presents the analysis of the items related to availability and accessibility, using the mean, standard deviation, t-test value where the critical value equal to 3, and significance level:</w:t>
      </w:r>
    </w:p>
    <w:p w14:paraId="53BAA4A4"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Has a mean of 3.03 and a standard deviation of 1.32, with a t-value of 0.32 and significance level of 0.7527, indicating a medium level of agreement without statistical significance.</w:t>
      </w:r>
    </w:p>
    <w:p w14:paraId="3A4AFA00"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3.09 and a standard deviation of 1.31, with a t-value of 0.95 and significance level of 0.3413, indicating a medium level of agreement without statistical significance.</w:t>
      </w:r>
    </w:p>
    <w:p w14:paraId="6965A458"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Recorded a mean of 3.38 and a standard deviation of 1.33, with a t-value of 4.06 and significance of 0.0001, indicating a medium level of agreement with strong statistical significance.</w:t>
      </w:r>
    </w:p>
    <w:p w14:paraId="7B5EB5B5"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Has a mean of 3.19 and a standard deviation of 1.20, with a t-value of 2.32 and significance level of 0.0214, indicating a medium level of agreement with acceptable statistical significance.</w:t>
      </w:r>
    </w:p>
    <w:p w14:paraId="7B6DD69D"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Shows a mean of 3.04 and a standard deviation of 1.23, with a t-value of 0.45 and significance of 0.6527, indicating a medium level of agreement without significance.</w:t>
      </w:r>
    </w:p>
    <w:p w14:paraId="3FCF3A9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overall mean is 3.14 with a standard deviation of 1.02, t-value of 2.04, and a significance level of 0.0429, suggesting that the level of availability and accessibility is medium with statistically significant results.</w:t>
      </w:r>
    </w:p>
    <w:p w14:paraId="0C07D946" w14:textId="2CAB4ED2" w:rsidR="00AC1791" w:rsidRPr="00511F0B" w:rsidRDefault="00AC1791" w:rsidP="00511F0B">
      <w:pPr>
        <w:pStyle w:val="ListParagraph"/>
        <w:numPr>
          <w:ilvl w:val="2"/>
          <w:numId w:val="39"/>
        </w:numPr>
        <w:spacing w:line="360" w:lineRule="auto"/>
        <w:jc w:val="both"/>
        <w:rPr>
          <w:rFonts w:asciiTheme="majorBidi" w:hAnsiTheme="majorBidi" w:cstheme="majorBidi"/>
          <w:b/>
          <w:bCs/>
          <w:sz w:val="24"/>
          <w:szCs w:val="24"/>
          <w:lang w:val="en-US"/>
        </w:rPr>
      </w:pPr>
      <w:bookmarkStart w:id="396" w:name="_Toc200721761"/>
      <w:r w:rsidRPr="005E488F">
        <w:rPr>
          <w:rStyle w:val="Heading5Char"/>
          <w:rFonts w:eastAsiaTheme="minorHAnsi"/>
        </w:rPr>
        <w:t>Overall degree of alternative product appea</w:t>
      </w:r>
      <w:bookmarkEnd w:id="396"/>
      <w:r w:rsidRPr="00511F0B">
        <w:rPr>
          <w:rFonts w:asciiTheme="majorBidi" w:hAnsiTheme="majorBidi" w:cstheme="majorBidi"/>
          <w:b/>
          <w:bCs/>
          <w:sz w:val="24"/>
          <w:szCs w:val="24"/>
          <w:lang w:val="en-US"/>
        </w:rPr>
        <w:t>l</w:t>
      </w:r>
    </w:p>
    <w:p w14:paraId="2427162B"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41:</w:t>
      </w:r>
      <w:r w:rsidRPr="002551A7">
        <w:rPr>
          <w:rFonts w:asciiTheme="majorBidi" w:hAnsiTheme="majorBidi" w:cstheme="majorBidi"/>
          <w:sz w:val="24"/>
          <w:szCs w:val="24"/>
          <w:lang w:val="en-US"/>
        </w:rPr>
        <w:t xml:space="preserve"> overall degree of alternative product appeal</w:t>
      </w:r>
    </w:p>
    <w:tbl>
      <w:tblPr>
        <w:tblStyle w:val="TableGrid"/>
        <w:tblW w:w="0" w:type="auto"/>
        <w:tblInd w:w="720" w:type="dxa"/>
        <w:tblLook w:val="04A0" w:firstRow="1" w:lastRow="0" w:firstColumn="1" w:lastColumn="0" w:noHBand="0" w:noVBand="1"/>
      </w:tblPr>
      <w:tblGrid>
        <w:gridCol w:w="2344"/>
        <w:gridCol w:w="1125"/>
        <w:gridCol w:w="1181"/>
        <w:gridCol w:w="8"/>
        <w:gridCol w:w="1088"/>
        <w:gridCol w:w="8"/>
        <w:gridCol w:w="1069"/>
        <w:gridCol w:w="1128"/>
      </w:tblGrid>
      <w:tr w:rsidR="00AC1791" w:rsidRPr="002551A7" w14:paraId="1B8C25F5" w14:textId="77777777" w:rsidTr="00E963F1">
        <w:trPr>
          <w:trHeight w:val="800"/>
        </w:trPr>
        <w:tc>
          <w:tcPr>
            <w:tcW w:w="2344" w:type="dxa"/>
          </w:tcPr>
          <w:p w14:paraId="0A8A2AE5"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Axis</w:t>
            </w:r>
          </w:p>
        </w:tc>
        <w:tc>
          <w:tcPr>
            <w:tcW w:w="1125" w:type="dxa"/>
          </w:tcPr>
          <w:p w14:paraId="719C3A4D"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Mean</w:t>
            </w:r>
          </w:p>
        </w:tc>
        <w:tc>
          <w:tcPr>
            <w:tcW w:w="1181" w:type="dxa"/>
          </w:tcPr>
          <w:p w14:paraId="1175952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Standard deviation</w:t>
            </w:r>
          </w:p>
        </w:tc>
        <w:tc>
          <w:tcPr>
            <w:tcW w:w="1104" w:type="dxa"/>
            <w:gridSpan w:val="3"/>
          </w:tcPr>
          <w:p w14:paraId="66E7084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Test t</w:t>
            </w:r>
          </w:p>
        </w:tc>
        <w:tc>
          <w:tcPr>
            <w:tcW w:w="1069" w:type="dxa"/>
          </w:tcPr>
          <w:p w14:paraId="4834635B"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Df</w:t>
            </w:r>
          </w:p>
        </w:tc>
        <w:tc>
          <w:tcPr>
            <w:tcW w:w="1128" w:type="dxa"/>
          </w:tcPr>
          <w:p w14:paraId="1CD46750"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Sig(2-tailed)</w:t>
            </w:r>
          </w:p>
        </w:tc>
      </w:tr>
      <w:tr w:rsidR="00AC1791" w:rsidRPr="002551A7" w14:paraId="7970EA09" w14:textId="77777777" w:rsidTr="00E963F1">
        <w:tc>
          <w:tcPr>
            <w:tcW w:w="2344" w:type="dxa"/>
          </w:tcPr>
          <w:p w14:paraId="6A98DCD3"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Product quality</w:t>
            </w:r>
          </w:p>
        </w:tc>
        <w:tc>
          <w:tcPr>
            <w:tcW w:w="1125" w:type="dxa"/>
          </w:tcPr>
          <w:p w14:paraId="055C8D08"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3.1</w:t>
            </w:r>
          </w:p>
        </w:tc>
        <w:tc>
          <w:tcPr>
            <w:tcW w:w="1181" w:type="dxa"/>
          </w:tcPr>
          <w:p w14:paraId="4A9B217B"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0.98</w:t>
            </w:r>
          </w:p>
        </w:tc>
        <w:tc>
          <w:tcPr>
            <w:tcW w:w="1104" w:type="dxa"/>
            <w:gridSpan w:val="3"/>
          </w:tcPr>
          <w:p w14:paraId="3C6040A7"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1.54</w:t>
            </w:r>
          </w:p>
        </w:tc>
        <w:tc>
          <w:tcPr>
            <w:tcW w:w="1069" w:type="dxa"/>
          </w:tcPr>
          <w:p w14:paraId="539D1FC2"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4DD82E31"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0.1257</w:t>
            </w:r>
          </w:p>
        </w:tc>
      </w:tr>
      <w:tr w:rsidR="00AC1791" w:rsidRPr="002551A7" w14:paraId="139E985D" w14:textId="77777777" w:rsidTr="00E963F1">
        <w:tc>
          <w:tcPr>
            <w:tcW w:w="2344" w:type="dxa"/>
          </w:tcPr>
          <w:p w14:paraId="7BCF4C1C"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Price competiveness</w:t>
            </w:r>
          </w:p>
        </w:tc>
        <w:tc>
          <w:tcPr>
            <w:tcW w:w="1125" w:type="dxa"/>
          </w:tcPr>
          <w:p w14:paraId="5AA7BD4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3.16</w:t>
            </w:r>
          </w:p>
        </w:tc>
        <w:tc>
          <w:tcPr>
            <w:tcW w:w="1181" w:type="dxa"/>
          </w:tcPr>
          <w:p w14:paraId="7015A81B"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1.01</w:t>
            </w:r>
          </w:p>
        </w:tc>
        <w:tc>
          <w:tcPr>
            <w:tcW w:w="1104" w:type="dxa"/>
            <w:gridSpan w:val="3"/>
          </w:tcPr>
          <w:p w14:paraId="09DF070D"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2.28</w:t>
            </w:r>
          </w:p>
        </w:tc>
        <w:tc>
          <w:tcPr>
            <w:tcW w:w="1069" w:type="dxa"/>
          </w:tcPr>
          <w:p w14:paraId="4C1E3F49"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3F6EAAE3"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0.0237</w:t>
            </w:r>
          </w:p>
        </w:tc>
      </w:tr>
      <w:tr w:rsidR="00AC1791" w:rsidRPr="002551A7" w14:paraId="79EDCBF4" w14:textId="77777777" w:rsidTr="00E963F1">
        <w:tc>
          <w:tcPr>
            <w:tcW w:w="2344" w:type="dxa"/>
          </w:tcPr>
          <w:p w14:paraId="4647EFB7" w14:textId="77777777" w:rsidR="00AC1791" w:rsidRPr="002551A7" w:rsidRDefault="00AC1791" w:rsidP="002551A7">
            <w:pPr>
              <w:spacing w:line="360" w:lineRule="auto"/>
              <w:jc w:val="center"/>
              <w:rPr>
                <w:rFonts w:asciiTheme="majorBidi" w:hAnsiTheme="majorBidi" w:cstheme="majorBidi"/>
                <w:sz w:val="24"/>
                <w:szCs w:val="24"/>
              </w:rPr>
            </w:pPr>
            <w:r w:rsidRPr="002551A7">
              <w:rPr>
                <w:rFonts w:asciiTheme="majorBidi" w:hAnsiTheme="majorBidi" w:cstheme="majorBidi"/>
                <w:sz w:val="24"/>
                <w:szCs w:val="24"/>
              </w:rPr>
              <w:t>Cultural alignment</w:t>
            </w:r>
          </w:p>
        </w:tc>
        <w:tc>
          <w:tcPr>
            <w:tcW w:w="1125" w:type="dxa"/>
          </w:tcPr>
          <w:p w14:paraId="50C427B4"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3.1</w:t>
            </w:r>
          </w:p>
        </w:tc>
        <w:tc>
          <w:tcPr>
            <w:tcW w:w="1181" w:type="dxa"/>
          </w:tcPr>
          <w:p w14:paraId="103417A2"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3.1</w:t>
            </w:r>
          </w:p>
        </w:tc>
        <w:tc>
          <w:tcPr>
            <w:tcW w:w="1104" w:type="dxa"/>
            <w:gridSpan w:val="3"/>
          </w:tcPr>
          <w:p w14:paraId="397B6344"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1.34</w:t>
            </w:r>
          </w:p>
        </w:tc>
        <w:tc>
          <w:tcPr>
            <w:tcW w:w="1069" w:type="dxa"/>
          </w:tcPr>
          <w:p w14:paraId="4D9BF122"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727E7F7D"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0.1814</w:t>
            </w:r>
          </w:p>
        </w:tc>
      </w:tr>
      <w:tr w:rsidR="00AC1791" w:rsidRPr="002551A7" w14:paraId="71F674A5" w14:textId="77777777" w:rsidTr="00E963F1">
        <w:tc>
          <w:tcPr>
            <w:tcW w:w="2344" w:type="dxa"/>
          </w:tcPr>
          <w:p w14:paraId="32B63F0F"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Availability and accessibility</w:t>
            </w:r>
          </w:p>
        </w:tc>
        <w:tc>
          <w:tcPr>
            <w:tcW w:w="1125" w:type="dxa"/>
          </w:tcPr>
          <w:p w14:paraId="149E0030"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3.14</w:t>
            </w:r>
          </w:p>
        </w:tc>
        <w:tc>
          <w:tcPr>
            <w:tcW w:w="1181" w:type="dxa"/>
          </w:tcPr>
          <w:p w14:paraId="0C79EDD5"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1.02</w:t>
            </w:r>
          </w:p>
        </w:tc>
        <w:tc>
          <w:tcPr>
            <w:tcW w:w="1104" w:type="dxa"/>
            <w:gridSpan w:val="3"/>
          </w:tcPr>
          <w:p w14:paraId="3CA5C74A"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2.04</w:t>
            </w:r>
          </w:p>
        </w:tc>
        <w:tc>
          <w:tcPr>
            <w:tcW w:w="1069" w:type="dxa"/>
          </w:tcPr>
          <w:p w14:paraId="3EDB4397"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207</w:t>
            </w:r>
          </w:p>
        </w:tc>
        <w:tc>
          <w:tcPr>
            <w:tcW w:w="1128" w:type="dxa"/>
          </w:tcPr>
          <w:p w14:paraId="7CBCCC4C" w14:textId="77777777" w:rsidR="00AC1791" w:rsidRPr="002551A7" w:rsidRDefault="00AC1791" w:rsidP="002551A7">
            <w:pPr>
              <w:spacing w:line="360" w:lineRule="auto"/>
              <w:ind w:left="60" w:right="60"/>
              <w:jc w:val="center"/>
              <w:rPr>
                <w:rFonts w:asciiTheme="majorBidi" w:hAnsiTheme="majorBidi" w:cstheme="majorBidi"/>
                <w:color w:val="010205"/>
                <w:sz w:val="24"/>
                <w:szCs w:val="24"/>
                <w:lang w:val="en-US"/>
              </w:rPr>
            </w:pPr>
            <w:r w:rsidRPr="002551A7">
              <w:rPr>
                <w:rFonts w:asciiTheme="majorBidi" w:hAnsiTheme="majorBidi" w:cstheme="majorBidi"/>
                <w:sz w:val="24"/>
                <w:szCs w:val="24"/>
              </w:rPr>
              <w:t>0.0429</w:t>
            </w:r>
          </w:p>
        </w:tc>
      </w:tr>
      <w:tr w:rsidR="00AC1791" w:rsidRPr="002551A7" w14:paraId="0B09F725" w14:textId="77777777" w:rsidTr="00E963F1">
        <w:tblPrEx>
          <w:tblLook w:val="0000" w:firstRow="0" w:lastRow="0" w:firstColumn="0" w:lastColumn="0" w:noHBand="0" w:noVBand="0"/>
        </w:tblPrEx>
        <w:trPr>
          <w:trHeight w:val="350"/>
        </w:trPr>
        <w:tc>
          <w:tcPr>
            <w:tcW w:w="2344" w:type="dxa"/>
          </w:tcPr>
          <w:p w14:paraId="16E5D3A8" w14:textId="77777777" w:rsidR="00AC1791" w:rsidRPr="002551A7" w:rsidRDefault="00AC1791" w:rsidP="002551A7">
            <w:pPr>
              <w:spacing w:line="360" w:lineRule="auto"/>
              <w:ind w:left="-90"/>
              <w:jc w:val="center"/>
              <w:rPr>
                <w:rFonts w:asciiTheme="majorBidi" w:hAnsiTheme="majorBidi" w:cstheme="majorBidi"/>
                <w:b/>
                <w:bCs/>
                <w:sz w:val="24"/>
                <w:szCs w:val="24"/>
              </w:rPr>
            </w:pPr>
            <w:r w:rsidRPr="002551A7">
              <w:rPr>
                <w:rFonts w:asciiTheme="majorBidi" w:hAnsiTheme="majorBidi" w:cstheme="majorBidi"/>
                <w:b/>
                <w:bCs/>
                <w:sz w:val="24"/>
                <w:szCs w:val="24"/>
              </w:rPr>
              <w:t>Alternative product appeal</w:t>
            </w:r>
          </w:p>
        </w:tc>
        <w:tc>
          <w:tcPr>
            <w:tcW w:w="1125" w:type="dxa"/>
          </w:tcPr>
          <w:p w14:paraId="09F5954C"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sz w:val="24"/>
                <w:szCs w:val="24"/>
              </w:rPr>
              <w:t>3.13</w:t>
            </w:r>
          </w:p>
        </w:tc>
        <w:tc>
          <w:tcPr>
            <w:tcW w:w="1189" w:type="dxa"/>
            <w:gridSpan w:val="2"/>
          </w:tcPr>
          <w:p w14:paraId="2D6D401B" w14:textId="77777777" w:rsidR="00AC1791" w:rsidRPr="002551A7" w:rsidRDefault="00AC1791" w:rsidP="002551A7">
            <w:pPr>
              <w:spacing w:line="360" w:lineRule="auto"/>
              <w:ind w:right="60"/>
              <w:jc w:val="center"/>
              <w:rPr>
                <w:rFonts w:asciiTheme="majorBidi" w:hAnsiTheme="majorBidi" w:cstheme="majorBidi"/>
                <w:color w:val="010205"/>
                <w:sz w:val="24"/>
                <w:szCs w:val="24"/>
              </w:rPr>
            </w:pPr>
            <w:r w:rsidRPr="002551A7">
              <w:rPr>
                <w:rFonts w:asciiTheme="majorBidi" w:hAnsiTheme="majorBidi" w:cstheme="majorBidi"/>
                <w:color w:val="010205"/>
                <w:sz w:val="24"/>
                <w:szCs w:val="24"/>
              </w:rPr>
              <w:t>0.87</w:t>
            </w:r>
          </w:p>
        </w:tc>
        <w:tc>
          <w:tcPr>
            <w:tcW w:w="1088" w:type="dxa"/>
          </w:tcPr>
          <w:p w14:paraId="534107D3"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color w:val="010205"/>
                <w:sz w:val="24"/>
                <w:szCs w:val="24"/>
              </w:rPr>
              <w:t>2.09</w:t>
            </w:r>
          </w:p>
        </w:tc>
        <w:tc>
          <w:tcPr>
            <w:tcW w:w="1077" w:type="dxa"/>
            <w:gridSpan w:val="2"/>
          </w:tcPr>
          <w:p w14:paraId="00D61674"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color w:val="010205"/>
                <w:sz w:val="24"/>
                <w:szCs w:val="24"/>
              </w:rPr>
              <w:t>207</w:t>
            </w:r>
          </w:p>
        </w:tc>
        <w:tc>
          <w:tcPr>
            <w:tcW w:w="1128" w:type="dxa"/>
          </w:tcPr>
          <w:p w14:paraId="302809BA" w14:textId="77777777" w:rsidR="00AC1791" w:rsidRPr="002551A7" w:rsidRDefault="00AC1791" w:rsidP="002551A7">
            <w:pPr>
              <w:spacing w:line="360" w:lineRule="auto"/>
              <w:ind w:left="60" w:right="60"/>
              <w:jc w:val="center"/>
              <w:rPr>
                <w:rFonts w:asciiTheme="majorBidi" w:hAnsiTheme="majorBidi" w:cstheme="majorBidi"/>
                <w:color w:val="010205"/>
                <w:sz w:val="24"/>
                <w:szCs w:val="24"/>
              </w:rPr>
            </w:pPr>
            <w:r w:rsidRPr="002551A7">
              <w:rPr>
                <w:rFonts w:asciiTheme="majorBidi" w:hAnsiTheme="majorBidi" w:cstheme="majorBidi"/>
                <w:color w:val="010205"/>
                <w:sz w:val="24"/>
                <w:szCs w:val="24"/>
              </w:rPr>
              <w:t>0.0378</w:t>
            </w:r>
          </w:p>
        </w:tc>
      </w:tr>
    </w:tbl>
    <w:p w14:paraId="185B0BDD" w14:textId="77777777" w:rsidR="00AC1791" w:rsidRPr="002551A7" w:rsidRDefault="00AC1791" w:rsidP="002551A7">
      <w:pPr>
        <w:spacing w:line="360" w:lineRule="auto"/>
        <w:jc w:val="center"/>
        <w:rPr>
          <w:rFonts w:asciiTheme="majorBidi" w:hAnsiTheme="majorBidi" w:cstheme="majorBidi"/>
          <w:sz w:val="24"/>
          <w:szCs w:val="24"/>
          <w:lang w:val="en-US"/>
        </w:rPr>
      </w:pPr>
      <w:r w:rsidRPr="00A41295">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395"/>
    <w:p w14:paraId="77E2EF1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below presents the analysis of means, standard deviations, t-test values, and significance levels for each axis under the alternative product appeal category:</w:t>
      </w:r>
    </w:p>
    <w:p w14:paraId="57FA5633"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Product quality: The mean is 3.10 with a standard deviation of 0.98. The t-value is 1.54 with a significance level of 0.1257, indicating a medium level of appeal without statistical significance.</w:t>
      </w:r>
    </w:p>
    <w:p w14:paraId="39C9BDD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Price competitiveness: Shows a mean of 3.16 and a standard deviation of 1.01, with a t-value of 2.28 and significance of 0.0237, indicating a medium level of appeal with acceptable statistical significance.</w:t>
      </w:r>
    </w:p>
    <w:p w14:paraId="0B85B13D"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Cultural alignment: The mean is 3.10 with a (likely incorrect) standard deviation of 3.10, and a t-value of 1.34 with a significance level of 0.1814, indicating a medium level of appeal without statistical significance.</w:t>
      </w:r>
    </w:p>
    <w:p w14:paraId="22ED1E7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Availability and accessibility: Recorded a mean of 3.14 and a standard deviation of 1.02, with a t-value of 2.04 and significance level of 0.0429, reflecting a medium level of appeal with statistically significant results.</w:t>
      </w:r>
    </w:p>
    <w:p w14:paraId="7DB79D7D"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overall mean for alternative product appeal is 3.13, with a standard deviation of 0.87, a t-value of 2.09, and a significance level of 0.0378. This indicates that alternative products enjoy a medium level of appeal among consumers, with statistically significant results supporting this evaluation.</w:t>
      </w:r>
    </w:p>
    <w:p w14:paraId="0821BCD3" w14:textId="67CD9CF7" w:rsidR="00AC1791" w:rsidRPr="005E7889" w:rsidRDefault="005E7889" w:rsidP="005E7889">
      <w:pPr>
        <w:pStyle w:val="ListParagraph"/>
        <w:numPr>
          <w:ilvl w:val="1"/>
          <w:numId w:val="39"/>
        </w:num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bookmarkStart w:id="397" w:name="_Toc200721762"/>
      <w:r w:rsidR="00AC1791" w:rsidRPr="005E488F">
        <w:rPr>
          <w:rStyle w:val="Heading4Char"/>
        </w:rPr>
        <w:t>Data analysis regarding the Turkish consumer behavior</w:t>
      </w:r>
      <w:bookmarkEnd w:id="397"/>
      <w:r w:rsidR="00AC1791" w:rsidRPr="005E7889">
        <w:rPr>
          <w:rFonts w:asciiTheme="majorBidi" w:hAnsiTheme="majorBidi" w:cstheme="majorBidi"/>
          <w:b/>
          <w:bCs/>
          <w:sz w:val="24"/>
          <w:szCs w:val="24"/>
          <w:lang w:val="en-US"/>
        </w:rPr>
        <w:t>:</w:t>
      </w:r>
    </w:p>
    <w:p w14:paraId="11559A3C"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This part deals with the analysis of information concerning the pre-boycott habits, willingness to try new alternatives and key decision-making factors.</w:t>
      </w:r>
    </w:p>
    <w:p w14:paraId="1C0AB063" w14:textId="215E6D0C" w:rsidR="00AC1791" w:rsidRPr="005E7889" w:rsidRDefault="00AC1791" w:rsidP="005E7889">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398" w:name="_Toc200721763"/>
      <w:r w:rsidRPr="005E488F">
        <w:rPr>
          <w:rStyle w:val="Heading5Char"/>
          <w:rFonts w:eastAsia="Calibri"/>
        </w:rPr>
        <w:t>axis reliability</w:t>
      </w:r>
      <w:bookmarkEnd w:id="398"/>
      <w:r w:rsidRPr="005E7889">
        <w:rPr>
          <w:rFonts w:asciiTheme="majorBidi" w:eastAsia="Calibri" w:hAnsiTheme="majorBidi" w:cstheme="majorBidi"/>
          <w:b/>
          <w:bCs/>
          <w:sz w:val="24"/>
          <w:szCs w:val="24"/>
          <w:lang w:val="en-US"/>
        </w:rPr>
        <w:t>:</w:t>
      </w:r>
    </w:p>
    <w:p w14:paraId="611D8F78"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42:</w:t>
      </w:r>
      <w:r w:rsidRPr="002551A7">
        <w:rPr>
          <w:rFonts w:asciiTheme="majorBidi" w:eastAsia="Calibri" w:hAnsiTheme="majorBidi" w:cstheme="majorBidi"/>
          <w:sz w:val="24"/>
          <w:szCs w:val="24"/>
          <w:lang w:val="en-US"/>
        </w:rPr>
        <w:t xml:space="preserve"> reliability coefficient of parts of Turkish consumer behavior</w:t>
      </w:r>
    </w:p>
    <w:tbl>
      <w:tblPr>
        <w:tblStyle w:val="TableGrid"/>
        <w:tblW w:w="0" w:type="auto"/>
        <w:tblLook w:val="04A0" w:firstRow="1" w:lastRow="0" w:firstColumn="1" w:lastColumn="0" w:noHBand="0" w:noVBand="1"/>
      </w:tblPr>
      <w:tblGrid>
        <w:gridCol w:w="3020"/>
        <w:gridCol w:w="3021"/>
        <w:gridCol w:w="3021"/>
      </w:tblGrid>
      <w:tr w:rsidR="00AC1791" w:rsidRPr="002551A7" w14:paraId="6098416F" w14:textId="77777777" w:rsidTr="00E963F1">
        <w:tc>
          <w:tcPr>
            <w:tcW w:w="3020" w:type="dxa"/>
          </w:tcPr>
          <w:p w14:paraId="4615CFB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Axis</w:t>
            </w:r>
          </w:p>
        </w:tc>
        <w:tc>
          <w:tcPr>
            <w:tcW w:w="3021" w:type="dxa"/>
          </w:tcPr>
          <w:p w14:paraId="4DCDEF7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Cronbach's Alpha</w:t>
            </w:r>
          </w:p>
        </w:tc>
        <w:tc>
          <w:tcPr>
            <w:tcW w:w="3021" w:type="dxa"/>
          </w:tcPr>
          <w:p w14:paraId="7067FE6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hAnsiTheme="majorBidi" w:cstheme="majorBidi"/>
                <w:sz w:val="24"/>
                <w:szCs w:val="24"/>
              </w:rPr>
              <w:t>Number of Items</w:t>
            </w:r>
          </w:p>
        </w:tc>
      </w:tr>
      <w:tr w:rsidR="00AC1791" w:rsidRPr="002551A7" w14:paraId="4550B541" w14:textId="77777777" w:rsidTr="00E963F1">
        <w:tc>
          <w:tcPr>
            <w:tcW w:w="3020" w:type="dxa"/>
          </w:tcPr>
          <w:p w14:paraId="4C133530"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bookmarkStart w:id="399" w:name="_Hlk197872971"/>
            <w:r w:rsidRPr="002551A7">
              <w:rPr>
                <w:rFonts w:asciiTheme="majorBidi" w:hAnsiTheme="majorBidi" w:cstheme="majorBidi"/>
                <w:sz w:val="24"/>
                <w:szCs w:val="24"/>
                <w:lang w:val="en-US"/>
              </w:rPr>
              <w:t>pre-boycott habits</w:t>
            </w:r>
            <w:bookmarkEnd w:id="399"/>
          </w:p>
        </w:tc>
        <w:tc>
          <w:tcPr>
            <w:tcW w:w="3021" w:type="dxa"/>
          </w:tcPr>
          <w:p w14:paraId="17EC4191"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0.7</w:t>
            </w:r>
          </w:p>
        </w:tc>
        <w:tc>
          <w:tcPr>
            <w:tcW w:w="3021" w:type="dxa"/>
          </w:tcPr>
          <w:p w14:paraId="5D9C03F5"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5</w:t>
            </w:r>
          </w:p>
        </w:tc>
      </w:tr>
      <w:tr w:rsidR="00AC1791" w:rsidRPr="002551A7" w14:paraId="742BD517" w14:textId="77777777" w:rsidTr="00E963F1">
        <w:tc>
          <w:tcPr>
            <w:tcW w:w="3020" w:type="dxa"/>
          </w:tcPr>
          <w:p w14:paraId="444663FE"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bookmarkStart w:id="400" w:name="_Hlk197873020"/>
            <w:r w:rsidRPr="002551A7">
              <w:rPr>
                <w:rFonts w:asciiTheme="majorBidi" w:eastAsia="Calibri" w:hAnsiTheme="majorBidi" w:cstheme="majorBidi"/>
                <w:sz w:val="24"/>
                <w:szCs w:val="24"/>
                <w:lang w:val="en-US"/>
              </w:rPr>
              <w:t>willingness to try new alternatives</w:t>
            </w:r>
            <w:bookmarkEnd w:id="400"/>
          </w:p>
        </w:tc>
        <w:tc>
          <w:tcPr>
            <w:tcW w:w="3021" w:type="dxa"/>
          </w:tcPr>
          <w:p w14:paraId="5B76D7E5"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0.8</w:t>
            </w:r>
          </w:p>
        </w:tc>
        <w:tc>
          <w:tcPr>
            <w:tcW w:w="3021" w:type="dxa"/>
          </w:tcPr>
          <w:p w14:paraId="7945571C"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5</w:t>
            </w:r>
          </w:p>
        </w:tc>
      </w:tr>
      <w:tr w:rsidR="00AC1791" w:rsidRPr="002551A7" w14:paraId="134E4B61" w14:textId="77777777" w:rsidTr="00E963F1">
        <w:tc>
          <w:tcPr>
            <w:tcW w:w="3020" w:type="dxa"/>
          </w:tcPr>
          <w:p w14:paraId="509AC060"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bookmarkStart w:id="401" w:name="_Hlk197873082"/>
            <w:r w:rsidRPr="002551A7">
              <w:rPr>
                <w:rFonts w:asciiTheme="majorBidi" w:eastAsia="Calibri" w:hAnsiTheme="majorBidi" w:cstheme="majorBidi"/>
                <w:sz w:val="24"/>
                <w:szCs w:val="24"/>
                <w:lang w:val="en-US"/>
              </w:rPr>
              <w:t>key decision-making factors</w:t>
            </w:r>
            <w:bookmarkEnd w:id="401"/>
          </w:p>
        </w:tc>
        <w:tc>
          <w:tcPr>
            <w:tcW w:w="3021" w:type="dxa"/>
          </w:tcPr>
          <w:p w14:paraId="5BD307CD"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0.75</w:t>
            </w:r>
          </w:p>
        </w:tc>
        <w:tc>
          <w:tcPr>
            <w:tcW w:w="3021" w:type="dxa"/>
          </w:tcPr>
          <w:p w14:paraId="49DF370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5</w:t>
            </w:r>
          </w:p>
        </w:tc>
      </w:tr>
      <w:tr w:rsidR="00AC1791" w:rsidRPr="002551A7" w14:paraId="57D47CFA" w14:textId="77777777" w:rsidTr="00E963F1">
        <w:tc>
          <w:tcPr>
            <w:tcW w:w="3020" w:type="dxa"/>
          </w:tcPr>
          <w:p w14:paraId="3DAE812F"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Turkish consumer behavior</w:t>
            </w:r>
          </w:p>
        </w:tc>
        <w:tc>
          <w:tcPr>
            <w:tcW w:w="3021" w:type="dxa"/>
          </w:tcPr>
          <w:p w14:paraId="6A9EC3B6"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0.89</w:t>
            </w:r>
          </w:p>
        </w:tc>
        <w:tc>
          <w:tcPr>
            <w:tcW w:w="3021" w:type="dxa"/>
          </w:tcPr>
          <w:p w14:paraId="67C6FC93"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15</w:t>
            </w:r>
          </w:p>
        </w:tc>
      </w:tr>
    </w:tbl>
    <w:p w14:paraId="0DCB5A0A"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Source: established by the student based on the results of R 4.4.0</w:t>
      </w:r>
    </w:p>
    <w:p w14:paraId="4D49F598"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bookmarkStart w:id="402" w:name="_Hlk198047696"/>
      <w:r w:rsidRPr="002551A7">
        <w:rPr>
          <w:rFonts w:asciiTheme="majorBidi" w:eastAsia="Calibri" w:hAnsiTheme="majorBidi" w:cstheme="majorBidi"/>
          <w:sz w:val="24"/>
          <w:szCs w:val="24"/>
          <w:lang w:val="en-US"/>
        </w:rPr>
        <w:t xml:space="preserve">   According to the previous table, we notice that the Cronbach alpha coefficient is higher or equal to 0.6 implies that there is reliability between the questionnaire expressions.</w:t>
      </w:r>
    </w:p>
    <w:p w14:paraId="295F9865" w14:textId="17E3B70E" w:rsidR="00AC1791" w:rsidRPr="005E7889" w:rsidRDefault="00AC1791" w:rsidP="005E7889">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403" w:name="_Toc200721764"/>
      <w:bookmarkEnd w:id="402"/>
      <w:r w:rsidRPr="005E488F">
        <w:rPr>
          <w:rStyle w:val="Heading5Char"/>
          <w:rFonts w:eastAsia="Calibri"/>
        </w:rPr>
        <w:t>Analysis of the pre-boycott habits</w:t>
      </w:r>
      <w:bookmarkEnd w:id="403"/>
      <w:r w:rsidRPr="005E7889">
        <w:rPr>
          <w:rFonts w:asciiTheme="majorBidi" w:eastAsia="Calibri" w:hAnsiTheme="majorBidi" w:cstheme="majorBidi"/>
          <w:b/>
          <w:bCs/>
          <w:sz w:val="24"/>
          <w:szCs w:val="24"/>
          <w:lang w:val="en-US"/>
        </w:rPr>
        <w:t>:</w:t>
      </w:r>
    </w:p>
    <w:p w14:paraId="53661BCE"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43:</w:t>
      </w:r>
      <w:r w:rsidRPr="002551A7">
        <w:rPr>
          <w:rFonts w:asciiTheme="majorBidi" w:eastAsia="Calibri" w:hAnsiTheme="majorBidi" w:cstheme="majorBidi"/>
          <w:sz w:val="24"/>
          <w:szCs w:val="24"/>
          <w:lang w:val="en-US"/>
        </w:rPr>
        <w:t xml:space="preserve"> Analysis of the </w:t>
      </w:r>
      <w:r w:rsidRPr="002551A7">
        <w:rPr>
          <w:rFonts w:asciiTheme="majorBidi" w:hAnsiTheme="majorBidi" w:cstheme="majorBidi"/>
          <w:sz w:val="24"/>
          <w:szCs w:val="24"/>
          <w:lang w:val="en-US"/>
        </w:rPr>
        <w:t>pre-boycott habits</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5D85AC02" w14:textId="77777777" w:rsidTr="00E963F1">
        <w:tc>
          <w:tcPr>
            <w:tcW w:w="1083" w:type="dxa"/>
          </w:tcPr>
          <w:p w14:paraId="0F4581C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788FB3B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3BEF1F5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5F924A1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0A31F78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39F1CA5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0BEC2C5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7E6E036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53AA3551" w14:textId="77777777" w:rsidTr="00E963F1">
        <w:tc>
          <w:tcPr>
            <w:tcW w:w="1083" w:type="dxa"/>
          </w:tcPr>
          <w:p w14:paraId="6C24B30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56F5C9E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w:t>
            </w:r>
          </w:p>
        </w:tc>
        <w:tc>
          <w:tcPr>
            <w:tcW w:w="1240" w:type="dxa"/>
          </w:tcPr>
          <w:p w14:paraId="2E4F3DD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1.35</w:t>
            </w:r>
          </w:p>
        </w:tc>
        <w:tc>
          <w:tcPr>
            <w:tcW w:w="1103" w:type="dxa"/>
          </w:tcPr>
          <w:p w14:paraId="31035CC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2.16</w:t>
            </w:r>
          </w:p>
        </w:tc>
        <w:tc>
          <w:tcPr>
            <w:tcW w:w="576" w:type="dxa"/>
          </w:tcPr>
          <w:p w14:paraId="690B470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0B1111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0.0318</w:t>
            </w:r>
          </w:p>
        </w:tc>
        <w:tc>
          <w:tcPr>
            <w:tcW w:w="1536" w:type="dxa"/>
          </w:tcPr>
          <w:p w14:paraId="53E8892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1AE1634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595C0C93" w14:textId="77777777" w:rsidTr="00E963F1">
        <w:tc>
          <w:tcPr>
            <w:tcW w:w="1083" w:type="dxa"/>
          </w:tcPr>
          <w:p w14:paraId="43CC49C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0F38347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3.62</w:t>
            </w:r>
          </w:p>
        </w:tc>
        <w:tc>
          <w:tcPr>
            <w:tcW w:w="1240" w:type="dxa"/>
          </w:tcPr>
          <w:p w14:paraId="7A41576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1.29</w:t>
            </w:r>
          </w:p>
        </w:tc>
        <w:tc>
          <w:tcPr>
            <w:tcW w:w="1103" w:type="dxa"/>
          </w:tcPr>
          <w:p w14:paraId="37C3D22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6.96</w:t>
            </w:r>
          </w:p>
        </w:tc>
        <w:tc>
          <w:tcPr>
            <w:tcW w:w="576" w:type="dxa"/>
          </w:tcPr>
          <w:p w14:paraId="6E620F3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42ED894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2DB8C89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24F4AB4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2E51B7EF" w14:textId="77777777" w:rsidTr="00E963F1">
        <w:tc>
          <w:tcPr>
            <w:tcW w:w="1083" w:type="dxa"/>
          </w:tcPr>
          <w:p w14:paraId="3B5B435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37321AB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3.67</w:t>
            </w:r>
          </w:p>
        </w:tc>
        <w:tc>
          <w:tcPr>
            <w:tcW w:w="1240" w:type="dxa"/>
          </w:tcPr>
          <w:p w14:paraId="1837E9B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w:t>
            </w:r>
          </w:p>
        </w:tc>
        <w:tc>
          <w:tcPr>
            <w:tcW w:w="1103" w:type="dxa"/>
          </w:tcPr>
          <w:p w14:paraId="340D3E3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7.49</w:t>
            </w:r>
          </w:p>
        </w:tc>
        <w:tc>
          <w:tcPr>
            <w:tcW w:w="576" w:type="dxa"/>
          </w:tcPr>
          <w:p w14:paraId="7B19653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184C5AD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44452F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2D4AEC2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1BB2D64C" w14:textId="77777777" w:rsidTr="00E963F1">
        <w:tc>
          <w:tcPr>
            <w:tcW w:w="1083" w:type="dxa"/>
          </w:tcPr>
          <w:p w14:paraId="100A0EA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6CE1442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3.69</w:t>
            </w:r>
          </w:p>
        </w:tc>
        <w:tc>
          <w:tcPr>
            <w:tcW w:w="1240" w:type="dxa"/>
          </w:tcPr>
          <w:p w14:paraId="18FFA4E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w:t>
            </w:r>
          </w:p>
        </w:tc>
        <w:tc>
          <w:tcPr>
            <w:tcW w:w="1103" w:type="dxa"/>
          </w:tcPr>
          <w:p w14:paraId="226699D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9.12</w:t>
            </w:r>
          </w:p>
        </w:tc>
        <w:tc>
          <w:tcPr>
            <w:tcW w:w="576" w:type="dxa"/>
          </w:tcPr>
          <w:p w14:paraId="5527EDF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7E042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717306D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64DA09B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212E4F33" w14:textId="77777777" w:rsidTr="00E963F1">
        <w:tc>
          <w:tcPr>
            <w:tcW w:w="1083" w:type="dxa"/>
          </w:tcPr>
          <w:p w14:paraId="36D3D2E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774F226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2.84</w:t>
            </w:r>
          </w:p>
        </w:tc>
        <w:tc>
          <w:tcPr>
            <w:tcW w:w="1240" w:type="dxa"/>
          </w:tcPr>
          <w:p w14:paraId="31E81A5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1.42</w:t>
            </w:r>
          </w:p>
        </w:tc>
        <w:tc>
          <w:tcPr>
            <w:tcW w:w="1103" w:type="dxa"/>
          </w:tcPr>
          <w:p w14:paraId="30467F2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-1.61</w:t>
            </w:r>
          </w:p>
        </w:tc>
        <w:tc>
          <w:tcPr>
            <w:tcW w:w="576" w:type="dxa"/>
          </w:tcPr>
          <w:p w14:paraId="1B88B9F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6752CE1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0.1088</w:t>
            </w:r>
          </w:p>
        </w:tc>
        <w:tc>
          <w:tcPr>
            <w:tcW w:w="1536" w:type="dxa"/>
          </w:tcPr>
          <w:p w14:paraId="6EB8F2E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5</w:t>
            </w:r>
          </w:p>
        </w:tc>
        <w:tc>
          <w:tcPr>
            <w:tcW w:w="1216" w:type="dxa"/>
          </w:tcPr>
          <w:p w14:paraId="484BDB7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0A6861C0" w14:textId="77777777" w:rsidTr="00E963F1">
        <w:tc>
          <w:tcPr>
            <w:tcW w:w="1083" w:type="dxa"/>
          </w:tcPr>
          <w:p w14:paraId="08A1268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294EE79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3.41</w:t>
            </w:r>
          </w:p>
        </w:tc>
        <w:tc>
          <w:tcPr>
            <w:tcW w:w="1240" w:type="dxa"/>
          </w:tcPr>
          <w:p w14:paraId="5316BB8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3.41</w:t>
            </w:r>
          </w:p>
        </w:tc>
        <w:tc>
          <w:tcPr>
            <w:tcW w:w="1103" w:type="dxa"/>
          </w:tcPr>
          <w:p w14:paraId="2A25350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6.73</w:t>
            </w:r>
          </w:p>
        </w:tc>
        <w:tc>
          <w:tcPr>
            <w:tcW w:w="576" w:type="dxa"/>
          </w:tcPr>
          <w:p w14:paraId="707071E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4CFCB9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52C2641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06872A2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bl>
    <w:p w14:paraId="617ABED7"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Source: established by the student based on the results of R 4.4.0</w:t>
      </w:r>
    </w:p>
    <w:p w14:paraId="3CF831DF"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rtl/>
          <w:lang w:val="en-US"/>
        </w:rPr>
        <w:t xml:space="preserve">   </w:t>
      </w:r>
      <w:r w:rsidRPr="002551A7">
        <w:rPr>
          <w:rFonts w:asciiTheme="majorBidi" w:eastAsia="Calibri" w:hAnsiTheme="majorBidi" w:cstheme="majorBidi"/>
          <w:sz w:val="24"/>
          <w:szCs w:val="24"/>
          <w:lang w:val="en-US"/>
        </w:rPr>
        <w:t>The table below presents the analysis of means, standard deviations, t-test values where the critical value is equal to 3, and significance levels for each item under the pre-boycott habits category:</w:t>
      </w:r>
    </w:p>
    <w:p w14:paraId="189E03D8"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1: The mean is 3.20 with a standard deviation of 1.35. The t-value is 2.16 and the significance level is 0.0318, indicating a medium level of agreement with statistically significant results.</w:t>
      </w:r>
    </w:p>
    <w:p w14:paraId="0106220E"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2: Shows a mean of 3.62 and a standard deviation of 1.29. The t-value is 6.96 with a very significant p-value of 0.000, indicating a high level of agreement and strong statistical significance.</w:t>
      </w:r>
    </w:p>
    <w:p w14:paraId="6355297B"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3: Reports a mean of 3.67 with a standard deviation of 1.30. The t-value is 7.49 and the p-value is 0.000, showing a high level of agreement with strong statistical significance.</w:t>
      </w:r>
    </w:p>
    <w:p w14:paraId="55254EF1"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4: Has a mean of 3.69 and a standard deviation of 1.10. The t-value is 9.12 and the significance is 0.000, reflecting a very high level of agreement and very strong statistical significance.</w:t>
      </w:r>
    </w:p>
    <w:p w14:paraId="13525124" w14:textId="77777777" w:rsidR="00AC1791" w:rsidRPr="002551A7" w:rsidRDefault="00AC1791" w:rsidP="00413B73">
      <w:pPr>
        <w:pStyle w:val="ListParagraph"/>
        <w:numPr>
          <w:ilvl w:val="0"/>
          <w:numId w:val="52"/>
        </w:numPr>
        <w:spacing w:after="200" w:line="360" w:lineRule="auto"/>
        <w:jc w:val="both"/>
        <w:rPr>
          <w:rFonts w:asciiTheme="majorBidi" w:eastAsia="Calibri" w:hAnsiTheme="majorBidi" w:cstheme="majorBidi"/>
          <w:kern w:val="0"/>
          <w:sz w:val="24"/>
          <w:szCs w:val="24"/>
          <w:lang w:val="en-US"/>
          <w14:ligatures w14:val="none"/>
        </w:rPr>
      </w:pPr>
      <w:r w:rsidRPr="002551A7">
        <w:rPr>
          <w:rFonts w:asciiTheme="majorBidi" w:eastAsia="Calibri" w:hAnsiTheme="majorBidi" w:cstheme="majorBidi"/>
          <w:kern w:val="0"/>
          <w:sz w:val="24"/>
          <w:szCs w:val="24"/>
          <w:lang w:val="en-US"/>
          <w14:ligatures w14:val="none"/>
        </w:rPr>
        <w:t>Item 5: Records a lower mean of 2.84 with a standard deviation of 1.42. The t-value is -1.61 and the p-value is 0.1088, indicating a medium level of agreement with no statistical significance.</w:t>
      </w:r>
    </w:p>
    <w:p w14:paraId="7FF2D2EB" w14:textId="15E1B97A" w:rsidR="00AC1791" w:rsidRPr="00A41295" w:rsidRDefault="00AC1791" w:rsidP="00A41295">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The total mean for pre-boycott habits is 3.41, with a very strong t-value of 6.73 and a p-value of 0.000, indicating a high level of habitual interaction with the boycotted products before the boycott, supported by strong statistical significance.</w:t>
      </w:r>
    </w:p>
    <w:p w14:paraId="219288B2" w14:textId="01C5BD4D" w:rsidR="00AC1791" w:rsidRPr="005E7889" w:rsidRDefault="00AC1791" w:rsidP="005E7889">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404" w:name="_Toc200721765"/>
      <w:r w:rsidRPr="005E488F">
        <w:rPr>
          <w:rStyle w:val="Heading5Char"/>
          <w:rFonts w:eastAsia="Calibri"/>
        </w:rPr>
        <w:t>Analysis of the willingness to try new alternatives</w:t>
      </w:r>
      <w:bookmarkEnd w:id="404"/>
      <w:r w:rsidRPr="005E7889">
        <w:rPr>
          <w:rFonts w:asciiTheme="majorBidi" w:eastAsia="Calibri" w:hAnsiTheme="majorBidi" w:cstheme="majorBidi"/>
          <w:b/>
          <w:bCs/>
          <w:sz w:val="24"/>
          <w:szCs w:val="24"/>
          <w:lang w:val="en-US"/>
        </w:rPr>
        <w:t>:</w:t>
      </w:r>
    </w:p>
    <w:p w14:paraId="0D92C9F1"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44:</w:t>
      </w:r>
      <w:r w:rsidRPr="002551A7">
        <w:rPr>
          <w:rFonts w:asciiTheme="majorBidi" w:eastAsia="Calibri" w:hAnsiTheme="majorBidi" w:cstheme="majorBidi"/>
          <w:sz w:val="24"/>
          <w:szCs w:val="24"/>
          <w:lang w:val="en-US"/>
        </w:rPr>
        <w:t xml:space="preserve"> Analysis of the willingness to try new alternatives</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0AC699AB" w14:textId="77777777" w:rsidTr="00E963F1">
        <w:tc>
          <w:tcPr>
            <w:tcW w:w="1083" w:type="dxa"/>
          </w:tcPr>
          <w:p w14:paraId="5359DBA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Question</w:t>
            </w:r>
          </w:p>
        </w:tc>
        <w:tc>
          <w:tcPr>
            <w:tcW w:w="1137" w:type="dxa"/>
          </w:tcPr>
          <w:p w14:paraId="394C32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3B3AC92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594460F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2F47F41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766BD77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2235EA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09728E3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23CC6206" w14:textId="77777777" w:rsidTr="00E963F1">
        <w:tc>
          <w:tcPr>
            <w:tcW w:w="1083" w:type="dxa"/>
          </w:tcPr>
          <w:p w14:paraId="0001E5C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63D7CC2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3.85</w:t>
            </w:r>
          </w:p>
        </w:tc>
        <w:tc>
          <w:tcPr>
            <w:tcW w:w="1240" w:type="dxa"/>
          </w:tcPr>
          <w:p w14:paraId="68C06A2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1.32</w:t>
            </w:r>
          </w:p>
        </w:tc>
        <w:tc>
          <w:tcPr>
            <w:tcW w:w="1103" w:type="dxa"/>
          </w:tcPr>
          <w:p w14:paraId="38B574B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9.33</w:t>
            </w:r>
          </w:p>
        </w:tc>
        <w:tc>
          <w:tcPr>
            <w:tcW w:w="576" w:type="dxa"/>
          </w:tcPr>
          <w:p w14:paraId="244C92A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8A33DF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198D7ED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6447712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4E948ED1" w14:textId="77777777" w:rsidTr="00E963F1">
        <w:tc>
          <w:tcPr>
            <w:tcW w:w="1083" w:type="dxa"/>
          </w:tcPr>
          <w:p w14:paraId="72D941E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13C1AD2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3.7</w:t>
            </w:r>
          </w:p>
        </w:tc>
        <w:tc>
          <w:tcPr>
            <w:tcW w:w="1240" w:type="dxa"/>
          </w:tcPr>
          <w:p w14:paraId="081BBB0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1.21</w:t>
            </w:r>
          </w:p>
        </w:tc>
        <w:tc>
          <w:tcPr>
            <w:tcW w:w="1103" w:type="dxa"/>
          </w:tcPr>
          <w:p w14:paraId="2AE2046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8.3</w:t>
            </w:r>
          </w:p>
        </w:tc>
        <w:tc>
          <w:tcPr>
            <w:tcW w:w="576" w:type="dxa"/>
          </w:tcPr>
          <w:p w14:paraId="3BCFEAF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275CFC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6CB030F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3E54999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3FABF315" w14:textId="77777777" w:rsidTr="00E963F1">
        <w:tc>
          <w:tcPr>
            <w:tcW w:w="1083" w:type="dxa"/>
          </w:tcPr>
          <w:p w14:paraId="3437CFC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5C2AD5B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3.7</w:t>
            </w:r>
          </w:p>
        </w:tc>
        <w:tc>
          <w:tcPr>
            <w:tcW w:w="1240" w:type="dxa"/>
          </w:tcPr>
          <w:p w14:paraId="7254BD5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1.18</w:t>
            </w:r>
          </w:p>
        </w:tc>
        <w:tc>
          <w:tcPr>
            <w:tcW w:w="1103" w:type="dxa"/>
          </w:tcPr>
          <w:p w14:paraId="37EFBA5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8.5</w:t>
            </w:r>
          </w:p>
        </w:tc>
        <w:tc>
          <w:tcPr>
            <w:tcW w:w="576" w:type="dxa"/>
          </w:tcPr>
          <w:p w14:paraId="02CCADC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013406D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43F6FB2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750E464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44D85C26" w14:textId="77777777" w:rsidTr="00E963F1">
        <w:tc>
          <w:tcPr>
            <w:tcW w:w="1083" w:type="dxa"/>
          </w:tcPr>
          <w:p w14:paraId="429930E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09F5608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3.38</w:t>
            </w:r>
          </w:p>
        </w:tc>
        <w:tc>
          <w:tcPr>
            <w:tcW w:w="1240" w:type="dxa"/>
          </w:tcPr>
          <w:p w14:paraId="2584589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w:t>
            </w:r>
          </w:p>
        </w:tc>
        <w:tc>
          <w:tcPr>
            <w:tcW w:w="1103" w:type="dxa"/>
          </w:tcPr>
          <w:p w14:paraId="6147218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4.57</w:t>
            </w:r>
          </w:p>
        </w:tc>
        <w:tc>
          <w:tcPr>
            <w:tcW w:w="576" w:type="dxa"/>
          </w:tcPr>
          <w:p w14:paraId="00DED46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F870D0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7B0C3D7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1F9F7F0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13516E75" w14:textId="77777777" w:rsidTr="00E963F1">
        <w:tc>
          <w:tcPr>
            <w:tcW w:w="1083" w:type="dxa"/>
          </w:tcPr>
          <w:p w14:paraId="3B53F14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1E5BF19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3.29</w:t>
            </w:r>
          </w:p>
        </w:tc>
        <w:tc>
          <w:tcPr>
            <w:tcW w:w="1240" w:type="dxa"/>
          </w:tcPr>
          <w:p w14:paraId="4850A5B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1.29</w:t>
            </w:r>
          </w:p>
        </w:tc>
        <w:tc>
          <w:tcPr>
            <w:tcW w:w="1103" w:type="dxa"/>
          </w:tcPr>
          <w:p w14:paraId="58F2589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3.28</w:t>
            </w:r>
          </w:p>
        </w:tc>
        <w:tc>
          <w:tcPr>
            <w:tcW w:w="576" w:type="dxa"/>
          </w:tcPr>
          <w:p w14:paraId="643D5D0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1272DB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0.0012</w:t>
            </w:r>
          </w:p>
        </w:tc>
        <w:tc>
          <w:tcPr>
            <w:tcW w:w="1536" w:type="dxa"/>
          </w:tcPr>
          <w:p w14:paraId="77117A3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748AFE7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08B5866E" w14:textId="77777777" w:rsidTr="00E963F1">
        <w:tc>
          <w:tcPr>
            <w:tcW w:w="1083" w:type="dxa"/>
          </w:tcPr>
          <w:p w14:paraId="360733C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Total</w:t>
            </w:r>
          </w:p>
        </w:tc>
        <w:tc>
          <w:tcPr>
            <w:tcW w:w="1137" w:type="dxa"/>
          </w:tcPr>
          <w:p w14:paraId="4D5A38C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3.58</w:t>
            </w:r>
          </w:p>
        </w:tc>
        <w:tc>
          <w:tcPr>
            <w:tcW w:w="1240" w:type="dxa"/>
          </w:tcPr>
          <w:p w14:paraId="1940075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0.93</w:t>
            </w:r>
          </w:p>
        </w:tc>
        <w:tc>
          <w:tcPr>
            <w:tcW w:w="1103" w:type="dxa"/>
          </w:tcPr>
          <w:p w14:paraId="4865D25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9.08</w:t>
            </w:r>
          </w:p>
        </w:tc>
        <w:tc>
          <w:tcPr>
            <w:tcW w:w="576" w:type="dxa"/>
          </w:tcPr>
          <w:p w14:paraId="05444A7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7E9D42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507BDD7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3AEBF22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bl>
    <w:p w14:paraId="36F2EFA5"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p w14:paraId="20E063EF"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below presents the analysis of means, standard deviations, t-test values where the critical value equal to 3, and significance levels for each item under the willingness to try new alternatives category:</w:t>
      </w:r>
    </w:p>
    <w:p w14:paraId="5B669D3E"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The mean is 3.85 with a standard deviation of 1.32. The t-value is 9.33 with a significance level of 0.000, indicating a high level of agreement and very strong statistical significance.</w:t>
      </w:r>
    </w:p>
    <w:p w14:paraId="0AAB3010"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3.70 and a standard deviation of 1.21. The t-value is 8.30 and the significance level is 0.000, indicating a high level of agreement supported by very strong statistical significance.</w:t>
      </w:r>
    </w:p>
    <w:p w14:paraId="645F95CD"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Also has a mean of 3.70, with a standard deviation of 1.18. The t-value is 8.50 and p-value is 0.000, reflecting a high level of agreement and very significant results.</w:t>
      </w:r>
    </w:p>
    <w:p w14:paraId="4202B7F5"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The mean is 3.38 with a standard deviation of 1.20. The t-value is 4.57 and significance is 0.000, indicating a medium level of agreement with strong statistical significance.</w:t>
      </w:r>
    </w:p>
    <w:p w14:paraId="7D580DB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Reports a mean of 3.29 and a standard deviation of 1.29. The t-value is 3.28 with a p-value of 0.0012, showing a medium level of agreement and statistically significant results.</w:t>
      </w:r>
    </w:p>
    <w:p w14:paraId="36130BE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overall mean for willingness to try new alternatives is 3.58, with a standard deviation of 0.93, a t-value of 9.08, and a significance level of 0.000. This reflects a high level of willingness among respondents to try new alternatives, supported by very strong statistical significance.</w:t>
      </w:r>
    </w:p>
    <w:p w14:paraId="13BCA8D0" w14:textId="007AD4C1" w:rsidR="00AC1791" w:rsidRPr="005E7889" w:rsidRDefault="00AC1791" w:rsidP="005E7889">
      <w:pPr>
        <w:pStyle w:val="ListParagraph"/>
        <w:numPr>
          <w:ilvl w:val="2"/>
          <w:numId w:val="39"/>
        </w:numPr>
        <w:spacing w:after="200" w:line="360" w:lineRule="auto"/>
        <w:jc w:val="both"/>
        <w:rPr>
          <w:rFonts w:asciiTheme="majorBidi" w:eastAsia="Calibri" w:hAnsiTheme="majorBidi" w:cstheme="majorBidi"/>
          <w:b/>
          <w:bCs/>
          <w:sz w:val="24"/>
          <w:szCs w:val="24"/>
          <w:lang w:val="en-US"/>
        </w:rPr>
      </w:pPr>
      <w:bookmarkStart w:id="405" w:name="_Toc200721766"/>
      <w:r w:rsidRPr="005E488F">
        <w:rPr>
          <w:rStyle w:val="Heading5Char"/>
          <w:rFonts w:eastAsia="Calibri"/>
        </w:rPr>
        <w:t>Analysis of the key decision-making factors</w:t>
      </w:r>
      <w:bookmarkEnd w:id="405"/>
      <w:r w:rsidRPr="005E7889">
        <w:rPr>
          <w:rFonts w:asciiTheme="majorBidi" w:eastAsia="Calibri" w:hAnsiTheme="majorBidi" w:cstheme="majorBidi"/>
          <w:b/>
          <w:bCs/>
          <w:sz w:val="24"/>
          <w:szCs w:val="24"/>
          <w:lang w:val="en-US"/>
        </w:rPr>
        <w:t>:</w:t>
      </w:r>
    </w:p>
    <w:p w14:paraId="47A4EBC2"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45:</w:t>
      </w:r>
      <w:r w:rsidRPr="002551A7">
        <w:rPr>
          <w:rFonts w:asciiTheme="majorBidi" w:eastAsia="Calibri" w:hAnsiTheme="majorBidi" w:cstheme="majorBidi"/>
          <w:sz w:val="24"/>
          <w:szCs w:val="24"/>
          <w:lang w:val="en-US"/>
        </w:rPr>
        <w:t xml:space="preserve"> Analysis of the key decision-making factors</w:t>
      </w:r>
    </w:p>
    <w:tbl>
      <w:tblPr>
        <w:tblStyle w:val="TableGrid1"/>
        <w:tblW w:w="0" w:type="auto"/>
        <w:tblLook w:val="04A0" w:firstRow="1" w:lastRow="0" w:firstColumn="1" w:lastColumn="0" w:noHBand="0" w:noVBand="1"/>
      </w:tblPr>
      <w:tblGrid>
        <w:gridCol w:w="1083"/>
        <w:gridCol w:w="1137"/>
        <w:gridCol w:w="1240"/>
        <w:gridCol w:w="1103"/>
        <w:gridCol w:w="576"/>
        <w:gridCol w:w="1171"/>
        <w:gridCol w:w="1536"/>
        <w:gridCol w:w="1216"/>
      </w:tblGrid>
      <w:tr w:rsidR="00AC1791" w:rsidRPr="002551A7" w14:paraId="5822B6B6" w14:textId="77777777" w:rsidTr="00952E92">
        <w:tc>
          <w:tcPr>
            <w:tcW w:w="1083" w:type="dxa"/>
          </w:tcPr>
          <w:p w14:paraId="1CF5542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bookmarkStart w:id="406" w:name="_Hlk197959682"/>
            <w:r w:rsidRPr="002551A7">
              <w:rPr>
                <w:rFonts w:asciiTheme="majorBidi" w:hAnsiTheme="majorBidi" w:cstheme="majorBidi"/>
                <w:kern w:val="2"/>
                <w:sz w:val="24"/>
                <w:szCs w:val="24"/>
                <w14:ligatures w14:val="standardContextual"/>
              </w:rPr>
              <w:t>Question</w:t>
            </w:r>
          </w:p>
        </w:tc>
        <w:tc>
          <w:tcPr>
            <w:tcW w:w="1137" w:type="dxa"/>
          </w:tcPr>
          <w:p w14:paraId="0AAA64D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Mean</w:t>
            </w:r>
          </w:p>
        </w:tc>
        <w:tc>
          <w:tcPr>
            <w:tcW w:w="1240" w:type="dxa"/>
          </w:tcPr>
          <w:p w14:paraId="45EB4B9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Standard deviation</w:t>
            </w:r>
          </w:p>
        </w:tc>
        <w:tc>
          <w:tcPr>
            <w:tcW w:w="1103" w:type="dxa"/>
          </w:tcPr>
          <w:p w14:paraId="6EBEF41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Test t</w:t>
            </w:r>
          </w:p>
        </w:tc>
        <w:tc>
          <w:tcPr>
            <w:tcW w:w="576" w:type="dxa"/>
          </w:tcPr>
          <w:p w14:paraId="2EA7A85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Df</w:t>
            </w:r>
          </w:p>
        </w:tc>
        <w:tc>
          <w:tcPr>
            <w:tcW w:w="1171" w:type="dxa"/>
          </w:tcPr>
          <w:p w14:paraId="70F3020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Sig(2-tailes)</w:t>
            </w:r>
          </w:p>
        </w:tc>
        <w:tc>
          <w:tcPr>
            <w:tcW w:w="1536" w:type="dxa"/>
          </w:tcPr>
          <w:p w14:paraId="35A1A54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Classification</w:t>
            </w:r>
          </w:p>
        </w:tc>
        <w:tc>
          <w:tcPr>
            <w:tcW w:w="1216" w:type="dxa"/>
          </w:tcPr>
          <w:p w14:paraId="154D78D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Level of agreement</w:t>
            </w:r>
          </w:p>
        </w:tc>
      </w:tr>
      <w:tr w:rsidR="00AC1791" w:rsidRPr="002551A7" w14:paraId="565FBBE0" w14:textId="77777777" w:rsidTr="00952E92">
        <w:tc>
          <w:tcPr>
            <w:tcW w:w="1083" w:type="dxa"/>
          </w:tcPr>
          <w:p w14:paraId="46C84AB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1</w:t>
            </w:r>
          </w:p>
        </w:tc>
        <w:tc>
          <w:tcPr>
            <w:tcW w:w="1137" w:type="dxa"/>
          </w:tcPr>
          <w:p w14:paraId="0CE65BB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3.21</w:t>
            </w:r>
          </w:p>
        </w:tc>
        <w:tc>
          <w:tcPr>
            <w:tcW w:w="1240" w:type="dxa"/>
          </w:tcPr>
          <w:p w14:paraId="7C5864A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w:t>
            </w:r>
          </w:p>
        </w:tc>
        <w:tc>
          <w:tcPr>
            <w:tcW w:w="1103" w:type="dxa"/>
          </w:tcPr>
          <w:p w14:paraId="661A1BD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2.54</w:t>
            </w:r>
          </w:p>
        </w:tc>
        <w:tc>
          <w:tcPr>
            <w:tcW w:w="576" w:type="dxa"/>
          </w:tcPr>
          <w:p w14:paraId="12AB7B9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57B16AA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0.0118</w:t>
            </w:r>
          </w:p>
        </w:tc>
        <w:tc>
          <w:tcPr>
            <w:tcW w:w="1536" w:type="dxa"/>
          </w:tcPr>
          <w:p w14:paraId="4C55933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09FD52D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bookmarkEnd w:id="406"/>
      <w:tr w:rsidR="00AC1791" w:rsidRPr="002551A7" w14:paraId="1CF08E5E" w14:textId="77777777" w:rsidTr="00952E92">
        <w:tc>
          <w:tcPr>
            <w:tcW w:w="1083" w:type="dxa"/>
          </w:tcPr>
          <w:p w14:paraId="31B75BF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2</w:t>
            </w:r>
          </w:p>
        </w:tc>
        <w:tc>
          <w:tcPr>
            <w:tcW w:w="1137" w:type="dxa"/>
          </w:tcPr>
          <w:p w14:paraId="624EDEAD"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3.72</w:t>
            </w:r>
          </w:p>
        </w:tc>
        <w:tc>
          <w:tcPr>
            <w:tcW w:w="1240" w:type="dxa"/>
          </w:tcPr>
          <w:p w14:paraId="06C1808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1.19</w:t>
            </w:r>
          </w:p>
        </w:tc>
        <w:tc>
          <w:tcPr>
            <w:tcW w:w="1103" w:type="dxa"/>
          </w:tcPr>
          <w:p w14:paraId="486D2B5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8.69</w:t>
            </w:r>
          </w:p>
        </w:tc>
        <w:tc>
          <w:tcPr>
            <w:tcW w:w="576" w:type="dxa"/>
          </w:tcPr>
          <w:p w14:paraId="1F24701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53ECE0C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4177CB2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w:t>
            </w:r>
          </w:p>
        </w:tc>
        <w:tc>
          <w:tcPr>
            <w:tcW w:w="1216" w:type="dxa"/>
          </w:tcPr>
          <w:p w14:paraId="2BBA162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5739D431" w14:textId="77777777" w:rsidTr="00952E92">
        <w:tc>
          <w:tcPr>
            <w:tcW w:w="1083" w:type="dxa"/>
          </w:tcPr>
          <w:p w14:paraId="5392687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3</w:t>
            </w:r>
          </w:p>
        </w:tc>
        <w:tc>
          <w:tcPr>
            <w:tcW w:w="1137" w:type="dxa"/>
          </w:tcPr>
          <w:p w14:paraId="32BE7F8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3.35</w:t>
            </w:r>
          </w:p>
        </w:tc>
        <w:tc>
          <w:tcPr>
            <w:tcW w:w="1240" w:type="dxa"/>
          </w:tcPr>
          <w:p w14:paraId="512F909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1.28</w:t>
            </w:r>
          </w:p>
        </w:tc>
        <w:tc>
          <w:tcPr>
            <w:tcW w:w="1103" w:type="dxa"/>
          </w:tcPr>
          <w:p w14:paraId="28CB11A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3.95</w:t>
            </w:r>
          </w:p>
        </w:tc>
        <w:tc>
          <w:tcPr>
            <w:tcW w:w="576" w:type="dxa"/>
          </w:tcPr>
          <w:p w14:paraId="117105DE"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37FAD31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1e-04</w:t>
            </w:r>
          </w:p>
        </w:tc>
        <w:tc>
          <w:tcPr>
            <w:tcW w:w="1536" w:type="dxa"/>
          </w:tcPr>
          <w:p w14:paraId="2C80F11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w:t>
            </w:r>
          </w:p>
        </w:tc>
        <w:tc>
          <w:tcPr>
            <w:tcW w:w="1216" w:type="dxa"/>
          </w:tcPr>
          <w:p w14:paraId="69AE1A7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4D7FAAB1" w14:textId="77777777" w:rsidTr="00952E92">
        <w:tc>
          <w:tcPr>
            <w:tcW w:w="1083" w:type="dxa"/>
          </w:tcPr>
          <w:p w14:paraId="608E45E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4</w:t>
            </w:r>
          </w:p>
        </w:tc>
        <w:tc>
          <w:tcPr>
            <w:tcW w:w="1137" w:type="dxa"/>
          </w:tcPr>
          <w:p w14:paraId="4D1C6A30"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3.21</w:t>
            </w:r>
          </w:p>
        </w:tc>
        <w:tc>
          <w:tcPr>
            <w:tcW w:w="1240" w:type="dxa"/>
          </w:tcPr>
          <w:p w14:paraId="562280E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1.18</w:t>
            </w:r>
          </w:p>
        </w:tc>
        <w:tc>
          <w:tcPr>
            <w:tcW w:w="1103" w:type="dxa"/>
          </w:tcPr>
          <w:p w14:paraId="04B863C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2.53</w:t>
            </w:r>
          </w:p>
        </w:tc>
        <w:tc>
          <w:tcPr>
            <w:tcW w:w="576" w:type="dxa"/>
          </w:tcPr>
          <w:p w14:paraId="30D9A4A9"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288EC48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0.0122</w:t>
            </w:r>
          </w:p>
        </w:tc>
        <w:tc>
          <w:tcPr>
            <w:tcW w:w="1536" w:type="dxa"/>
          </w:tcPr>
          <w:p w14:paraId="081666C8"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4</w:t>
            </w:r>
          </w:p>
        </w:tc>
        <w:tc>
          <w:tcPr>
            <w:tcW w:w="1216" w:type="dxa"/>
          </w:tcPr>
          <w:p w14:paraId="5E71C42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Medium</w:t>
            </w:r>
          </w:p>
        </w:tc>
      </w:tr>
      <w:tr w:rsidR="00AC1791" w:rsidRPr="002551A7" w14:paraId="640A5F79" w14:textId="77777777" w:rsidTr="00952E92">
        <w:tc>
          <w:tcPr>
            <w:tcW w:w="1083" w:type="dxa"/>
          </w:tcPr>
          <w:p w14:paraId="35C438EB"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Item 5</w:t>
            </w:r>
          </w:p>
        </w:tc>
        <w:tc>
          <w:tcPr>
            <w:tcW w:w="1137" w:type="dxa"/>
          </w:tcPr>
          <w:p w14:paraId="43C8696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3.79</w:t>
            </w:r>
          </w:p>
        </w:tc>
        <w:tc>
          <w:tcPr>
            <w:tcW w:w="1240" w:type="dxa"/>
          </w:tcPr>
          <w:p w14:paraId="7A81ADE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1.15</w:t>
            </w:r>
          </w:p>
        </w:tc>
        <w:tc>
          <w:tcPr>
            <w:tcW w:w="1103" w:type="dxa"/>
          </w:tcPr>
          <w:p w14:paraId="5BF943F1"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9.98</w:t>
            </w:r>
          </w:p>
        </w:tc>
        <w:tc>
          <w:tcPr>
            <w:tcW w:w="576" w:type="dxa"/>
          </w:tcPr>
          <w:p w14:paraId="04B06A4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EE973E3"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5D0FCCB7"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1</w:t>
            </w:r>
          </w:p>
        </w:tc>
        <w:tc>
          <w:tcPr>
            <w:tcW w:w="1216" w:type="dxa"/>
          </w:tcPr>
          <w:p w14:paraId="422D6F0F"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r w:rsidR="00AC1791" w:rsidRPr="002551A7" w14:paraId="1FCB9E6F" w14:textId="77777777" w:rsidTr="00952E92">
        <w:tc>
          <w:tcPr>
            <w:tcW w:w="1083" w:type="dxa"/>
          </w:tcPr>
          <w:p w14:paraId="7CFD9AAA"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bookmarkStart w:id="407" w:name="_Hlk197875188"/>
            <w:r w:rsidRPr="002551A7">
              <w:rPr>
                <w:rFonts w:asciiTheme="majorBidi" w:hAnsiTheme="majorBidi" w:cstheme="majorBidi"/>
                <w:kern w:val="2"/>
                <w:sz w:val="24"/>
                <w:szCs w:val="24"/>
                <w14:ligatures w14:val="standardContextual"/>
              </w:rPr>
              <w:t>Total</w:t>
            </w:r>
          </w:p>
        </w:tc>
        <w:tc>
          <w:tcPr>
            <w:tcW w:w="1137" w:type="dxa"/>
          </w:tcPr>
          <w:p w14:paraId="282379AC"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3.46</w:t>
            </w:r>
          </w:p>
        </w:tc>
        <w:tc>
          <w:tcPr>
            <w:tcW w:w="1240" w:type="dxa"/>
          </w:tcPr>
          <w:p w14:paraId="73FF968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0.85</w:t>
            </w:r>
          </w:p>
        </w:tc>
        <w:tc>
          <w:tcPr>
            <w:tcW w:w="1103" w:type="dxa"/>
          </w:tcPr>
          <w:p w14:paraId="2F3E60C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7.75</w:t>
            </w:r>
          </w:p>
        </w:tc>
        <w:tc>
          <w:tcPr>
            <w:tcW w:w="576" w:type="dxa"/>
          </w:tcPr>
          <w:p w14:paraId="0712B072"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207</w:t>
            </w:r>
          </w:p>
        </w:tc>
        <w:tc>
          <w:tcPr>
            <w:tcW w:w="1171" w:type="dxa"/>
          </w:tcPr>
          <w:p w14:paraId="7307C134"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0.000</w:t>
            </w:r>
          </w:p>
        </w:tc>
        <w:tc>
          <w:tcPr>
            <w:tcW w:w="1536" w:type="dxa"/>
          </w:tcPr>
          <w:p w14:paraId="0B8BE626"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w:t>
            </w:r>
          </w:p>
        </w:tc>
        <w:tc>
          <w:tcPr>
            <w:tcW w:w="1216" w:type="dxa"/>
          </w:tcPr>
          <w:p w14:paraId="1108F5D5" w14:textId="77777777" w:rsidR="00AC1791" w:rsidRPr="002551A7" w:rsidRDefault="00AC1791" w:rsidP="002551A7">
            <w:pPr>
              <w:spacing w:after="160" w:line="360" w:lineRule="auto"/>
              <w:jc w:val="center"/>
              <w:rPr>
                <w:rFonts w:asciiTheme="majorBidi" w:hAnsiTheme="majorBidi" w:cstheme="majorBidi"/>
                <w:kern w:val="2"/>
                <w:sz w:val="24"/>
                <w:szCs w:val="24"/>
                <w14:ligatures w14:val="standardContextual"/>
              </w:rPr>
            </w:pPr>
            <w:r w:rsidRPr="002551A7">
              <w:rPr>
                <w:rFonts w:asciiTheme="majorBidi" w:hAnsiTheme="majorBidi" w:cstheme="majorBidi"/>
                <w:kern w:val="2"/>
                <w:sz w:val="24"/>
                <w:szCs w:val="24"/>
                <w14:ligatures w14:val="standardContextual"/>
              </w:rPr>
              <w:t>High</w:t>
            </w:r>
          </w:p>
        </w:tc>
      </w:tr>
    </w:tbl>
    <w:bookmarkEnd w:id="407"/>
    <w:p w14:paraId="6189C8B0"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A41295">
        <w:rPr>
          <w:rFonts w:asciiTheme="majorBidi" w:eastAsia="Calibri" w:hAnsiTheme="majorBidi" w:cstheme="majorBidi"/>
          <w:b/>
          <w:bCs/>
          <w:sz w:val="24"/>
          <w:szCs w:val="24"/>
          <w:lang w:val="en-US"/>
        </w:rPr>
        <w:t>Source:</w:t>
      </w:r>
      <w:r w:rsidRPr="002551A7">
        <w:rPr>
          <w:rFonts w:asciiTheme="majorBidi" w:eastAsia="Calibri" w:hAnsiTheme="majorBidi" w:cstheme="majorBidi"/>
          <w:sz w:val="24"/>
          <w:szCs w:val="24"/>
          <w:lang w:val="en-US"/>
        </w:rPr>
        <w:t xml:space="preserve"> established by the student based on the results of R 4.4.0</w:t>
      </w:r>
    </w:p>
    <w:p w14:paraId="7DE4E2E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table below presents the analysis of means, standard deviations, t-test values, and significance levels for each item under the key decision-making factors category:</w:t>
      </w:r>
    </w:p>
    <w:p w14:paraId="50E17F0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1: The mean is 3.21 with a standard deviation of 1.20. The t-value is 2.54 with a significance level of 0.0118, indicating a medium level of agreement with statistically significant results.</w:t>
      </w:r>
    </w:p>
    <w:p w14:paraId="75D2F18D" w14:textId="77777777" w:rsidR="00AC1791" w:rsidRPr="002551A7" w:rsidRDefault="00AC1791" w:rsidP="00413B73">
      <w:pPr>
        <w:pStyle w:val="ListParagraph"/>
        <w:numPr>
          <w:ilvl w:val="0"/>
          <w:numId w:val="52"/>
        </w:numPr>
        <w:spacing w:line="360" w:lineRule="auto"/>
        <w:ind w:firstLine="0"/>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2: Shows a mean of 3.72 and a standard deviation of 1.19, with a t-value of 8.69 and significance of 0.000, indicating a high level of agreement with strong statistical significance.</w:t>
      </w:r>
    </w:p>
    <w:p w14:paraId="3889AF6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3: The mean is 3.35 with a standard deviation of 1.28. The t-value is 3.95 and the significance level is 0.0001, reflecting a medium level of agreement with statistically significant support.</w:t>
      </w:r>
    </w:p>
    <w:p w14:paraId="151ABB97"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4: Recorded a mean of 3.21 and a standard deviation of 1.18. The t-value is 2.53 with a significance of 0.0122, indicating a medium level of agreement with acceptable statistical significance.</w:t>
      </w:r>
    </w:p>
    <w:p w14:paraId="3D9B5A09"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Item 5: The mean is 3.79 with a standard deviation of 1.15, a t-value of 9.98, and a significance level of 0.000, highlighting a high level of agreement with very strong statistical significance.</w:t>
      </w:r>
    </w:p>
    <w:p w14:paraId="0BD9DE5E"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overall mean for the key decision-making factors is 3.46, with a standard deviation of 0.85, a t-value of 7.75, and a significance level of 0.000. This indicates a high level of agreement among respondents, with statistically significant results confirming the importance of decision-making factors in shaping consumer behavior.</w:t>
      </w:r>
    </w:p>
    <w:p w14:paraId="4034807C" w14:textId="7CBD6930" w:rsidR="00AC1791" w:rsidRPr="005E7889" w:rsidRDefault="00AC1791" w:rsidP="005E7889">
      <w:pPr>
        <w:pStyle w:val="ListParagraph"/>
        <w:numPr>
          <w:ilvl w:val="2"/>
          <w:numId w:val="39"/>
        </w:numPr>
        <w:spacing w:line="360" w:lineRule="auto"/>
        <w:jc w:val="both"/>
        <w:rPr>
          <w:rFonts w:asciiTheme="majorBidi" w:hAnsiTheme="majorBidi" w:cstheme="majorBidi"/>
          <w:b/>
          <w:bCs/>
          <w:sz w:val="24"/>
          <w:szCs w:val="24"/>
          <w:lang w:val="en-US"/>
        </w:rPr>
      </w:pPr>
      <w:bookmarkStart w:id="408" w:name="_Toc200721767"/>
      <w:r w:rsidRPr="005E488F">
        <w:rPr>
          <w:rStyle w:val="Heading5Char"/>
          <w:rFonts w:eastAsiaTheme="minorHAnsi"/>
        </w:rPr>
        <w:t xml:space="preserve">overall degree of </w:t>
      </w:r>
      <w:bookmarkStart w:id="409" w:name="_Hlk197874996"/>
      <w:r w:rsidRPr="005E488F">
        <w:rPr>
          <w:rStyle w:val="Heading5Char"/>
          <w:rFonts w:eastAsiaTheme="minorHAnsi"/>
        </w:rPr>
        <w:t>Turkish consumer behavio</w:t>
      </w:r>
      <w:bookmarkEnd w:id="408"/>
      <w:r w:rsidRPr="005E7889">
        <w:rPr>
          <w:rFonts w:asciiTheme="majorBidi" w:hAnsiTheme="majorBidi" w:cstheme="majorBidi"/>
          <w:b/>
          <w:bCs/>
          <w:sz w:val="24"/>
          <w:szCs w:val="24"/>
          <w:lang w:val="en-US"/>
        </w:rPr>
        <w:t>r</w:t>
      </w:r>
      <w:bookmarkEnd w:id="409"/>
    </w:p>
    <w:p w14:paraId="3931E1B3"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46:</w:t>
      </w:r>
      <w:r w:rsidRPr="002551A7">
        <w:rPr>
          <w:rFonts w:asciiTheme="majorBidi" w:hAnsiTheme="majorBidi" w:cstheme="majorBidi"/>
          <w:sz w:val="24"/>
          <w:szCs w:val="24"/>
          <w:lang w:val="en-US"/>
        </w:rPr>
        <w:t xml:space="preserve"> overall degree of Turkish consumer behavior</w:t>
      </w:r>
    </w:p>
    <w:tbl>
      <w:tblPr>
        <w:tblStyle w:val="TableGrid"/>
        <w:tblW w:w="0" w:type="auto"/>
        <w:tblInd w:w="720" w:type="dxa"/>
        <w:tblLook w:val="04A0" w:firstRow="1" w:lastRow="0" w:firstColumn="1" w:lastColumn="0" w:noHBand="0" w:noVBand="1"/>
      </w:tblPr>
      <w:tblGrid>
        <w:gridCol w:w="2344"/>
        <w:gridCol w:w="1125"/>
        <w:gridCol w:w="1181"/>
        <w:gridCol w:w="1104"/>
        <w:gridCol w:w="1069"/>
        <w:gridCol w:w="1128"/>
      </w:tblGrid>
      <w:tr w:rsidR="00AC1791" w:rsidRPr="002551A7" w14:paraId="257FB04E" w14:textId="77777777" w:rsidTr="00E963F1">
        <w:trPr>
          <w:trHeight w:val="800"/>
        </w:trPr>
        <w:tc>
          <w:tcPr>
            <w:tcW w:w="2344" w:type="dxa"/>
          </w:tcPr>
          <w:p w14:paraId="49AC62E6"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Axis</w:t>
            </w:r>
          </w:p>
        </w:tc>
        <w:tc>
          <w:tcPr>
            <w:tcW w:w="1125" w:type="dxa"/>
          </w:tcPr>
          <w:p w14:paraId="755AE758"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Mean</w:t>
            </w:r>
          </w:p>
        </w:tc>
        <w:tc>
          <w:tcPr>
            <w:tcW w:w="1181" w:type="dxa"/>
          </w:tcPr>
          <w:p w14:paraId="3B6A1A59"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Standard deviation</w:t>
            </w:r>
          </w:p>
        </w:tc>
        <w:tc>
          <w:tcPr>
            <w:tcW w:w="1104" w:type="dxa"/>
          </w:tcPr>
          <w:p w14:paraId="70819A13"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Test t</w:t>
            </w:r>
          </w:p>
        </w:tc>
        <w:tc>
          <w:tcPr>
            <w:tcW w:w="1069" w:type="dxa"/>
          </w:tcPr>
          <w:p w14:paraId="3700D1A0"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Df</w:t>
            </w:r>
          </w:p>
        </w:tc>
        <w:tc>
          <w:tcPr>
            <w:tcW w:w="1128" w:type="dxa"/>
          </w:tcPr>
          <w:p w14:paraId="3576B161"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Sig(2-tailed)</w:t>
            </w:r>
          </w:p>
        </w:tc>
      </w:tr>
      <w:tr w:rsidR="00AC1791" w:rsidRPr="002551A7" w14:paraId="507BA5BF" w14:textId="77777777" w:rsidTr="00E963F1">
        <w:tc>
          <w:tcPr>
            <w:tcW w:w="2344" w:type="dxa"/>
          </w:tcPr>
          <w:p w14:paraId="2E9B608D" w14:textId="77777777" w:rsidR="00AC1791" w:rsidRPr="002551A7" w:rsidRDefault="00AC1791" w:rsidP="002551A7">
            <w:pPr>
              <w:spacing w:line="360" w:lineRule="auto"/>
              <w:jc w:val="both"/>
              <w:rPr>
                <w:rFonts w:asciiTheme="majorBidi" w:hAnsiTheme="majorBidi" w:cstheme="majorBidi"/>
                <w:sz w:val="24"/>
                <w:szCs w:val="24"/>
              </w:rPr>
            </w:pPr>
            <w:r w:rsidRPr="002551A7">
              <w:rPr>
                <w:rFonts w:asciiTheme="majorBidi" w:hAnsiTheme="majorBidi" w:cstheme="majorBidi"/>
                <w:sz w:val="24"/>
                <w:szCs w:val="24"/>
              </w:rPr>
              <w:t>Pre-boycott habits</w:t>
            </w:r>
          </w:p>
        </w:tc>
        <w:tc>
          <w:tcPr>
            <w:tcW w:w="1125" w:type="dxa"/>
          </w:tcPr>
          <w:p w14:paraId="19D3CE40" w14:textId="77777777" w:rsidR="00AC1791" w:rsidRPr="002551A7" w:rsidRDefault="00AC1791" w:rsidP="002551A7">
            <w:pPr>
              <w:spacing w:line="360" w:lineRule="auto"/>
              <w:ind w:left="60" w:right="60"/>
              <w:jc w:val="both"/>
              <w:rPr>
                <w:rFonts w:asciiTheme="majorBidi" w:hAnsiTheme="majorBidi" w:cstheme="majorBidi"/>
                <w:color w:val="010205"/>
                <w:sz w:val="24"/>
                <w:szCs w:val="24"/>
              </w:rPr>
            </w:pPr>
            <w:r w:rsidRPr="002551A7">
              <w:rPr>
                <w:rFonts w:asciiTheme="majorBidi" w:hAnsiTheme="majorBidi" w:cstheme="majorBidi"/>
                <w:sz w:val="24"/>
                <w:szCs w:val="24"/>
              </w:rPr>
              <w:t>3.41</w:t>
            </w:r>
          </w:p>
        </w:tc>
        <w:tc>
          <w:tcPr>
            <w:tcW w:w="1181" w:type="dxa"/>
          </w:tcPr>
          <w:p w14:paraId="6D9C3C99" w14:textId="77777777" w:rsidR="00AC1791" w:rsidRPr="002551A7" w:rsidRDefault="00AC1791" w:rsidP="002551A7">
            <w:pPr>
              <w:spacing w:line="360" w:lineRule="auto"/>
              <w:ind w:left="60" w:right="60"/>
              <w:jc w:val="both"/>
              <w:rPr>
                <w:rFonts w:asciiTheme="majorBidi" w:hAnsiTheme="majorBidi" w:cstheme="majorBidi"/>
                <w:color w:val="010205"/>
                <w:sz w:val="24"/>
                <w:szCs w:val="24"/>
              </w:rPr>
            </w:pPr>
            <w:r w:rsidRPr="002551A7">
              <w:rPr>
                <w:rFonts w:asciiTheme="majorBidi" w:hAnsiTheme="majorBidi" w:cstheme="majorBidi"/>
                <w:sz w:val="24"/>
                <w:szCs w:val="24"/>
              </w:rPr>
              <w:t>3.41</w:t>
            </w:r>
          </w:p>
        </w:tc>
        <w:tc>
          <w:tcPr>
            <w:tcW w:w="1104" w:type="dxa"/>
          </w:tcPr>
          <w:p w14:paraId="1DCDA123" w14:textId="77777777" w:rsidR="00AC1791" w:rsidRPr="002551A7" w:rsidRDefault="00AC1791" w:rsidP="002551A7">
            <w:pPr>
              <w:spacing w:line="360" w:lineRule="auto"/>
              <w:ind w:left="60" w:right="60"/>
              <w:jc w:val="both"/>
              <w:rPr>
                <w:rFonts w:asciiTheme="majorBidi" w:hAnsiTheme="majorBidi" w:cstheme="majorBidi"/>
                <w:color w:val="010205"/>
                <w:sz w:val="24"/>
                <w:szCs w:val="24"/>
              </w:rPr>
            </w:pPr>
            <w:r w:rsidRPr="002551A7">
              <w:rPr>
                <w:rFonts w:asciiTheme="majorBidi" w:hAnsiTheme="majorBidi" w:cstheme="majorBidi"/>
                <w:sz w:val="24"/>
                <w:szCs w:val="24"/>
              </w:rPr>
              <w:t>6.73</w:t>
            </w:r>
          </w:p>
        </w:tc>
        <w:tc>
          <w:tcPr>
            <w:tcW w:w="1069" w:type="dxa"/>
          </w:tcPr>
          <w:p w14:paraId="74AB7063" w14:textId="77777777" w:rsidR="00AC1791" w:rsidRPr="002551A7" w:rsidRDefault="00AC1791" w:rsidP="002551A7">
            <w:pPr>
              <w:spacing w:line="360" w:lineRule="auto"/>
              <w:ind w:left="60" w:right="60"/>
              <w:jc w:val="both"/>
              <w:rPr>
                <w:rFonts w:asciiTheme="majorBidi" w:hAnsiTheme="majorBidi" w:cstheme="majorBidi"/>
                <w:color w:val="010205"/>
                <w:sz w:val="24"/>
                <w:szCs w:val="24"/>
              </w:rPr>
            </w:pPr>
            <w:r w:rsidRPr="002551A7">
              <w:rPr>
                <w:rFonts w:asciiTheme="majorBidi" w:hAnsiTheme="majorBidi" w:cstheme="majorBidi"/>
                <w:sz w:val="24"/>
                <w:szCs w:val="24"/>
              </w:rPr>
              <w:t>207</w:t>
            </w:r>
          </w:p>
        </w:tc>
        <w:tc>
          <w:tcPr>
            <w:tcW w:w="1128" w:type="dxa"/>
          </w:tcPr>
          <w:p w14:paraId="70037A67" w14:textId="77777777" w:rsidR="00AC1791" w:rsidRPr="002551A7" w:rsidRDefault="00AC1791" w:rsidP="002551A7">
            <w:pPr>
              <w:spacing w:line="360" w:lineRule="auto"/>
              <w:ind w:left="60" w:right="60"/>
              <w:jc w:val="both"/>
              <w:rPr>
                <w:rFonts w:asciiTheme="majorBidi" w:hAnsiTheme="majorBidi" w:cstheme="majorBidi"/>
                <w:color w:val="010205"/>
                <w:sz w:val="24"/>
                <w:szCs w:val="24"/>
              </w:rPr>
            </w:pPr>
            <w:r w:rsidRPr="002551A7">
              <w:rPr>
                <w:rFonts w:asciiTheme="majorBidi" w:hAnsiTheme="majorBidi" w:cstheme="majorBidi"/>
                <w:sz w:val="24"/>
                <w:szCs w:val="24"/>
              </w:rPr>
              <w:t>0.000</w:t>
            </w:r>
          </w:p>
        </w:tc>
      </w:tr>
      <w:tr w:rsidR="00AC1791" w:rsidRPr="002551A7" w14:paraId="53A77914" w14:textId="77777777" w:rsidTr="00E963F1">
        <w:tc>
          <w:tcPr>
            <w:tcW w:w="2344" w:type="dxa"/>
          </w:tcPr>
          <w:p w14:paraId="3292729E"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alternatives</w:t>
            </w:r>
          </w:p>
        </w:tc>
        <w:tc>
          <w:tcPr>
            <w:tcW w:w="1125" w:type="dxa"/>
          </w:tcPr>
          <w:p w14:paraId="3743F642"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3.58</w:t>
            </w:r>
          </w:p>
        </w:tc>
        <w:tc>
          <w:tcPr>
            <w:tcW w:w="1181" w:type="dxa"/>
          </w:tcPr>
          <w:p w14:paraId="454B1A2B"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0.93</w:t>
            </w:r>
          </w:p>
        </w:tc>
        <w:tc>
          <w:tcPr>
            <w:tcW w:w="1104" w:type="dxa"/>
          </w:tcPr>
          <w:p w14:paraId="6D37B571"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9.08</w:t>
            </w:r>
          </w:p>
        </w:tc>
        <w:tc>
          <w:tcPr>
            <w:tcW w:w="1069" w:type="dxa"/>
          </w:tcPr>
          <w:p w14:paraId="0D389761"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207</w:t>
            </w:r>
          </w:p>
        </w:tc>
        <w:tc>
          <w:tcPr>
            <w:tcW w:w="1128" w:type="dxa"/>
          </w:tcPr>
          <w:p w14:paraId="4F142A4C"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0.000</w:t>
            </w:r>
          </w:p>
        </w:tc>
      </w:tr>
      <w:tr w:rsidR="00AC1791" w:rsidRPr="002551A7" w14:paraId="1F4DB461" w14:textId="77777777" w:rsidTr="00E963F1">
        <w:tc>
          <w:tcPr>
            <w:tcW w:w="2344" w:type="dxa"/>
          </w:tcPr>
          <w:p w14:paraId="5ADCDB7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Key decision-making factors</w:t>
            </w:r>
          </w:p>
        </w:tc>
        <w:tc>
          <w:tcPr>
            <w:tcW w:w="1125" w:type="dxa"/>
          </w:tcPr>
          <w:p w14:paraId="65DB5C75"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3.46</w:t>
            </w:r>
          </w:p>
        </w:tc>
        <w:tc>
          <w:tcPr>
            <w:tcW w:w="1181" w:type="dxa"/>
          </w:tcPr>
          <w:p w14:paraId="2B76EF9D"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0.85</w:t>
            </w:r>
          </w:p>
        </w:tc>
        <w:tc>
          <w:tcPr>
            <w:tcW w:w="1104" w:type="dxa"/>
          </w:tcPr>
          <w:p w14:paraId="0CD31E39"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7.75</w:t>
            </w:r>
          </w:p>
        </w:tc>
        <w:tc>
          <w:tcPr>
            <w:tcW w:w="1069" w:type="dxa"/>
          </w:tcPr>
          <w:p w14:paraId="1A3B2F6D"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207</w:t>
            </w:r>
          </w:p>
        </w:tc>
        <w:tc>
          <w:tcPr>
            <w:tcW w:w="1128" w:type="dxa"/>
          </w:tcPr>
          <w:p w14:paraId="6B971D58"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sz w:val="24"/>
                <w:szCs w:val="24"/>
              </w:rPr>
              <w:t>0.000</w:t>
            </w:r>
          </w:p>
        </w:tc>
      </w:tr>
      <w:tr w:rsidR="00AC1791" w:rsidRPr="002551A7" w14:paraId="23690F3C" w14:textId="77777777" w:rsidTr="00E963F1">
        <w:tc>
          <w:tcPr>
            <w:tcW w:w="2344" w:type="dxa"/>
          </w:tcPr>
          <w:p w14:paraId="030DA703"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w:t>
            </w:r>
          </w:p>
        </w:tc>
        <w:tc>
          <w:tcPr>
            <w:tcW w:w="1125" w:type="dxa"/>
          </w:tcPr>
          <w:p w14:paraId="3DCCD34A"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color w:val="010205"/>
                <w:sz w:val="24"/>
                <w:szCs w:val="24"/>
                <w:lang w:val="en-US"/>
              </w:rPr>
              <w:t>3.48</w:t>
            </w:r>
          </w:p>
        </w:tc>
        <w:tc>
          <w:tcPr>
            <w:tcW w:w="1181" w:type="dxa"/>
          </w:tcPr>
          <w:p w14:paraId="75D2965F"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color w:val="010205"/>
                <w:sz w:val="24"/>
                <w:szCs w:val="24"/>
                <w:lang w:val="en-US"/>
              </w:rPr>
              <w:t>0.79</w:t>
            </w:r>
          </w:p>
        </w:tc>
        <w:tc>
          <w:tcPr>
            <w:tcW w:w="1104" w:type="dxa"/>
          </w:tcPr>
          <w:p w14:paraId="2ADFBF36"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color w:val="010205"/>
                <w:sz w:val="24"/>
                <w:szCs w:val="24"/>
                <w:lang w:val="en-US"/>
              </w:rPr>
              <w:t>8.81</w:t>
            </w:r>
          </w:p>
        </w:tc>
        <w:tc>
          <w:tcPr>
            <w:tcW w:w="1069" w:type="dxa"/>
          </w:tcPr>
          <w:p w14:paraId="64B74877"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color w:val="010205"/>
                <w:sz w:val="24"/>
                <w:szCs w:val="24"/>
                <w:lang w:val="en-US"/>
              </w:rPr>
              <w:t>207</w:t>
            </w:r>
          </w:p>
        </w:tc>
        <w:tc>
          <w:tcPr>
            <w:tcW w:w="1128" w:type="dxa"/>
          </w:tcPr>
          <w:p w14:paraId="6663F2DE" w14:textId="77777777" w:rsidR="00AC1791" w:rsidRPr="002551A7" w:rsidRDefault="00AC1791" w:rsidP="002551A7">
            <w:pPr>
              <w:spacing w:line="360" w:lineRule="auto"/>
              <w:ind w:left="60" w:right="60"/>
              <w:jc w:val="both"/>
              <w:rPr>
                <w:rFonts w:asciiTheme="majorBidi" w:hAnsiTheme="majorBidi" w:cstheme="majorBidi"/>
                <w:color w:val="010205"/>
                <w:sz w:val="24"/>
                <w:szCs w:val="24"/>
                <w:lang w:val="en-US"/>
              </w:rPr>
            </w:pPr>
            <w:r w:rsidRPr="002551A7">
              <w:rPr>
                <w:rFonts w:asciiTheme="majorBidi" w:hAnsiTheme="majorBidi" w:cstheme="majorBidi"/>
                <w:color w:val="010205"/>
                <w:sz w:val="24"/>
                <w:szCs w:val="24"/>
                <w:lang w:val="en-US"/>
              </w:rPr>
              <w:t>0.000</w:t>
            </w:r>
          </w:p>
        </w:tc>
      </w:tr>
    </w:tbl>
    <w:p w14:paraId="107A2972" w14:textId="77777777" w:rsidR="00AC1791" w:rsidRPr="002551A7" w:rsidRDefault="00AC1791" w:rsidP="002551A7">
      <w:pPr>
        <w:spacing w:line="360" w:lineRule="auto"/>
        <w:jc w:val="center"/>
        <w:rPr>
          <w:rFonts w:asciiTheme="majorBidi" w:hAnsiTheme="majorBidi" w:cstheme="majorBidi"/>
          <w:sz w:val="24"/>
          <w:szCs w:val="24"/>
          <w:lang w:val="en-US"/>
        </w:rPr>
      </w:pPr>
      <w:bookmarkStart w:id="410" w:name="_Hlk197876233"/>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410"/>
    <w:p w14:paraId="3994BA2E"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table below presents the analysis of means, standard deviations, t-test values, and significance levels for each axis contributing to Turkish consumer behavior:</w:t>
      </w:r>
    </w:p>
    <w:p w14:paraId="19B7404B"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Pre-boycott habits: The mean is 3.41 with a (likely incorrect) standard deviation of 3.41. The t-value is 6.73 and the significance level is 0.000, indicating a high level of engagement in consumption patterns before the boycott, with strong statistical significance.</w:t>
      </w:r>
    </w:p>
    <w:p w14:paraId="262A3EF6"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alternatives: Shows a mean of 3.58 and a standard deviation of 0.93, with a t-value of 9.08 and a significance level of 0.000. This reflects a high willingness among Turkish consumers to explore alternative products, with highly significant results.</w:t>
      </w:r>
    </w:p>
    <w:p w14:paraId="3DBE224F" w14:textId="77777777" w:rsidR="00AC1791" w:rsidRPr="002551A7" w:rsidRDefault="00AC1791" w:rsidP="00413B73">
      <w:pPr>
        <w:pStyle w:val="ListParagraph"/>
        <w:numPr>
          <w:ilvl w:val="0"/>
          <w:numId w:val="52"/>
        </w:num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Key decision-making factors: Recorded a mean of 3.46 with a standard deviation of 0.85. The t-value is 7.75 with a significance level of 0.000, indicating a high level of importance placed on decision-making criteria, with statistically significant support.</w:t>
      </w:r>
    </w:p>
    <w:p w14:paraId="4236FA5B"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 overall mean for Turkish consumer behavior is 3.48, with a standard deviation of 0.79, a t-value of 8.81, and a significance level of 0.000. This suggests a high level of responsiveness and behavioral change among Turkish consumers during the boycott period, supported by strong statistical significance.</w:t>
      </w:r>
    </w:p>
    <w:p w14:paraId="522F3DBD" w14:textId="5AD454A2" w:rsidR="00AC1791" w:rsidRPr="00941350" w:rsidRDefault="00941350" w:rsidP="00941350">
      <w:pPr>
        <w:pStyle w:val="ListParagraph"/>
        <w:numPr>
          <w:ilvl w:val="1"/>
          <w:numId w:val="39"/>
        </w:numPr>
        <w:spacing w:line="360" w:lineRule="auto"/>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bookmarkStart w:id="411" w:name="_Toc200721768"/>
      <w:r w:rsidR="00AC1791" w:rsidRPr="005E488F">
        <w:rPr>
          <w:rStyle w:val="Heading4Char"/>
        </w:rPr>
        <w:t>Analysis of the Relationship</w:t>
      </w:r>
      <w:bookmarkEnd w:id="411"/>
      <w:r w:rsidR="00AC1791" w:rsidRPr="00941350">
        <w:rPr>
          <w:rFonts w:asciiTheme="majorBidi" w:hAnsiTheme="majorBidi" w:cstheme="majorBidi"/>
          <w:b/>
          <w:bCs/>
          <w:sz w:val="24"/>
          <w:szCs w:val="24"/>
          <w:lang w:val="en-GB"/>
        </w:rPr>
        <w:t>:</w:t>
      </w:r>
    </w:p>
    <w:p w14:paraId="79605CD7" w14:textId="2A2154FF" w:rsidR="00AC1791" w:rsidRPr="002551A7" w:rsidRDefault="00AC1791" w:rsidP="002551A7">
      <w:pPr>
        <w:spacing w:line="360" w:lineRule="auto"/>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In this section, the study focuses on analyzing the relationship between the boycott and Turkish consumer behavior, as well as their willingness to try new alternative products, specifically in the context of Proderma's potential entry into the Turkish market. Additionally, the research aims to identify which dimension of alternative product appeal</w:t>
      </w:r>
      <w:r w:rsidR="009413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product quality, price competitiveness, cultural alignment, or availability and accessibility</w:t>
      </w:r>
      <w:r w:rsidR="00941350">
        <w:rPr>
          <w:rFonts w:asciiTheme="majorBidi" w:hAnsiTheme="majorBidi" w:cstheme="majorBidi"/>
          <w:sz w:val="24"/>
          <w:szCs w:val="24"/>
          <w:lang w:val="en-US"/>
        </w:rPr>
        <w:t xml:space="preserve"> </w:t>
      </w:r>
      <w:r w:rsidRPr="002551A7">
        <w:rPr>
          <w:rFonts w:asciiTheme="majorBidi" w:hAnsiTheme="majorBidi" w:cstheme="majorBidi"/>
          <w:sz w:val="24"/>
          <w:szCs w:val="24"/>
          <w:lang w:val="en-US"/>
        </w:rPr>
        <w:t>has the greatest influence on both Turkish consumers’ behavior and their willingness to try new alternatives, in order to determine the most important factor that would encourage them to purchase Proderma’s products.</w:t>
      </w:r>
    </w:p>
    <w:p w14:paraId="00D69481" w14:textId="77777777" w:rsidR="00AC1791" w:rsidRPr="002551A7" w:rsidRDefault="00AC1791" w:rsidP="002551A7">
      <w:pPr>
        <w:spacing w:line="360" w:lineRule="auto"/>
        <w:jc w:val="center"/>
        <w:rPr>
          <w:rFonts w:asciiTheme="majorBidi" w:hAnsiTheme="majorBidi" w:cstheme="majorBidi"/>
          <w:sz w:val="24"/>
          <w:szCs w:val="24"/>
          <w:lang w:val="en-US"/>
        </w:rPr>
      </w:pPr>
      <w:r w:rsidRPr="002551A7">
        <w:rPr>
          <w:rFonts w:asciiTheme="majorBidi" w:hAnsiTheme="majorBidi" w:cstheme="majorBidi"/>
          <w:b/>
          <w:bCs/>
          <w:sz w:val="24"/>
          <w:szCs w:val="24"/>
          <w:lang w:val="en-US"/>
        </w:rPr>
        <w:t>Table 47:</w:t>
      </w:r>
      <w:r w:rsidRPr="002551A7">
        <w:rPr>
          <w:rFonts w:asciiTheme="majorBidi" w:hAnsiTheme="majorBidi" w:cstheme="majorBidi"/>
          <w:sz w:val="24"/>
          <w:szCs w:val="24"/>
          <w:lang w:val="en-US"/>
        </w:rPr>
        <w:t xml:space="preserve"> The Alpha Cronbach total test.</w:t>
      </w:r>
    </w:p>
    <w:tbl>
      <w:tblPr>
        <w:tblStyle w:val="TableGrid"/>
        <w:tblW w:w="0" w:type="auto"/>
        <w:tblLook w:val="04A0" w:firstRow="1" w:lastRow="0" w:firstColumn="1" w:lastColumn="0" w:noHBand="0" w:noVBand="1"/>
      </w:tblPr>
      <w:tblGrid>
        <w:gridCol w:w="4531"/>
        <w:gridCol w:w="4531"/>
      </w:tblGrid>
      <w:tr w:rsidR="00AC1791" w:rsidRPr="002551A7" w14:paraId="73F319D2" w14:textId="77777777" w:rsidTr="00CE6B79">
        <w:tc>
          <w:tcPr>
            <w:tcW w:w="4531" w:type="dxa"/>
          </w:tcPr>
          <w:p w14:paraId="430BB7A9" w14:textId="77777777" w:rsidR="00AC1791" w:rsidRPr="002551A7" w:rsidRDefault="00AC1791" w:rsidP="002551A7">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Cronbach’s alpha</w:t>
            </w:r>
          </w:p>
        </w:tc>
        <w:tc>
          <w:tcPr>
            <w:tcW w:w="4531" w:type="dxa"/>
          </w:tcPr>
          <w:p w14:paraId="33919AF9" w14:textId="77777777" w:rsidR="00AC1791" w:rsidRPr="002551A7" w:rsidRDefault="00AC1791" w:rsidP="002551A7">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Number of items</w:t>
            </w:r>
          </w:p>
        </w:tc>
      </w:tr>
      <w:tr w:rsidR="00AC1791" w:rsidRPr="002551A7" w14:paraId="7DD8B243" w14:textId="77777777" w:rsidTr="00CE6B79">
        <w:tc>
          <w:tcPr>
            <w:tcW w:w="4531" w:type="dxa"/>
          </w:tcPr>
          <w:p w14:paraId="5032858C" w14:textId="77777777" w:rsidR="00AC1791" w:rsidRPr="002551A7" w:rsidRDefault="00AC1791" w:rsidP="002551A7">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0.97</w:t>
            </w:r>
          </w:p>
        </w:tc>
        <w:tc>
          <w:tcPr>
            <w:tcW w:w="4531" w:type="dxa"/>
          </w:tcPr>
          <w:p w14:paraId="3D3A3A3B" w14:textId="77777777" w:rsidR="00AC1791" w:rsidRPr="002551A7" w:rsidRDefault="00AC1791" w:rsidP="002551A7">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54</w:t>
            </w:r>
          </w:p>
        </w:tc>
      </w:tr>
    </w:tbl>
    <w:p w14:paraId="7D3BA375"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73FAA7BA"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According to the previous table, we notice that the Cronbach alpha coefficient is higher or equal to 0.6 implies that there is reliability between the questionnaire expressions.</w:t>
      </w:r>
    </w:p>
    <w:p w14:paraId="72017DE2" w14:textId="639C73F7" w:rsidR="00AC1791" w:rsidRPr="00941350" w:rsidRDefault="00941350" w:rsidP="00941350">
      <w:pPr>
        <w:pStyle w:val="ListParagraph"/>
        <w:numPr>
          <w:ilvl w:val="1"/>
          <w:numId w:val="39"/>
        </w:numPr>
        <w:spacing w:after="200" w:line="360" w:lineRule="auto"/>
        <w:jc w:val="both"/>
        <w:rPr>
          <w:rFonts w:asciiTheme="majorBidi" w:eastAsia="Calibri" w:hAnsiTheme="majorBidi" w:cstheme="majorBidi"/>
          <w:b/>
          <w:bCs/>
          <w:sz w:val="24"/>
          <w:szCs w:val="24"/>
          <w:lang w:val="en-US"/>
        </w:rPr>
      </w:pPr>
      <w:r>
        <w:rPr>
          <w:rFonts w:asciiTheme="majorBidi" w:eastAsia="Calibri" w:hAnsiTheme="majorBidi" w:cstheme="majorBidi"/>
          <w:b/>
          <w:bCs/>
          <w:sz w:val="24"/>
          <w:szCs w:val="24"/>
          <w:lang w:val="en-US"/>
        </w:rPr>
        <w:t xml:space="preserve"> </w:t>
      </w:r>
      <w:bookmarkStart w:id="412" w:name="_Toc200721769"/>
      <w:r w:rsidR="00AC1791" w:rsidRPr="005E488F">
        <w:rPr>
          <w:rStyle w:val="Heading4Char"/>
        </w:rPr>
        <w:t>Correlation coefficient and regression coefficients analysis</w:t>
      </w:r>
      <w:bookmarkEnd w:id="412"/>
      <w:r w:rsidR="00AC1791" w:rsidRPr="00941350">
        <w:rPr>
          <w:rFonts w:asciiTheme="majorBidi" w:eastAsia="Calibri" w:hAnsiTheme="majorBidi" w:cstheme="majorBidi"/>
          <w:b/>
          <w:bCs/>
          <w:sz w:val="24"/>
          <w:szCs w:val="24"/>
          <w:lang w:val="en-US"/>
        </w:rPr>
        <w:t>:</w:t>
      </w:r>
    </w:p>
    <w:p w14:paraId="3E4735EC" w14:textId="524175D8" w:rsidR="00AC1791" w:rsidRPr="00941350" w:rsidRDefault="00AC1791" w:rsidP="00941350">
      <w:pPr>
        <w:pStyle w:val="ListParagraph"/>
        <w:numPr>
          <w:ilvl w:val="2"/>
          <w:numId w:val="39"/>
        </w:numPr>
        <w:spacing w:before="240" w:line="360" w:lineRule="auto"/>
        <w:jc w:val="both"/>
        <w:rPr>
          <w:rFonts w:asciiTheme="majorBidi" w:hAnsiTheme="majorBidi" w:cstheme="majorBidi"/>
          <w:b/>
          <w:bCs/>
          <w:sz w:val="24"/>
          <w:szCs w:val="24"/>
          <w:lang w:val="en-US"/>
        </w:rPr>
      </w:pPr>
      <w:bookmarkStart w:id="413" w:name="_Toc200721770"/>
      <w:r w:rsidRPr="005E488F">
        <w:rPr>
          <w:rStyle w:val="Heading5Char"/>
          <w:rFonts w:eastAsiaTheme="minorHAnsi"/>
        </w:rPr>
        <w:t>Boycott-Turkish consumer behavio</w:t>
      </w:r>
      <w:bookmarkEnd w:id="413"/>
      <w:r w:rsidRPr="00941350">
        <w:rPr>
          <w:rFonts w:asciiTheme="majorBidi" w:hAnsiTheme="majorBidi" w:cstheme="majorBidi"/>
          <w:b/>
          <w:bCs/>
          <w:sz w:val="24"/>
          <w:szCs w:val="24"/>
          <w:lang w:val="en-US"/>
        </w:rPr>
        <w:t>r</w:t>
      </w:r>
    </w:p>
    <w:p w14:paraId="4CEC6B16" w14:textId="73BC753B"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24D5085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48:</w:t>
      </w:r>
      <w:r w:rsidRPr="002551A7">
        <w:rPr>
          <w:rFonts w:asciiTheme="majorBidi" w:eastAsia="Calibri" w:hAnsiTheme="majorBidi" w:cstheme="majorBidi"/>
          <w:sz w:val="24"/>
          <w:szCs w:val="24"/>
          <w:lang w:val="en-US"/>
        </w:rPr>
        <w:t xml:space="preserve"> Correlation coefficient</w:t>
      </w:r>
    </w:p>
    <w:tbl>
      <w:tblPr>
        <w:tblStyle w:val="TableGrid3"/>
        <w:tblW w:w="0" w:type="auto"/>
        <w:tblInd w:w="1435" w:type="dxa"/>
        <w:tblLook w:val="04A0" w:firstRow="1" w:lastRow="0" w:firstColumn="1" w:lastColumn="0" w:noHBand="0" w:noVBand="1"/>
      </w:tblPr>
      <w:tblGrid>
        <w:gridCol w:w="1277"/>
        <w:gridCol w:w="1792"/>
        <w:gridCol w:w="1807"/>
        <w:gridCol w:w="1831"/>
      </w:tblGrid>
      <w:tr w:rsidR="00AC1791" w:rsidRPr="002551A7" w14:paraId="0EAA22CD" w14:textId="77777777" w:rsidTr="000143B2">
        <w:tc>
          <w:tcPr>
            <w:tcW w:w="1277" w:type="dxa"/>
            <w:vAlign w:val="bottom"/>
          </w:tcPr>
          <w:p w14:paraId="1BAE4AFA"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087F09F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0CAE754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1BD67DF0"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7F838C3A" w14:textId="77777777" w:rsidTr="000143B2">
        <w:tc>
          <w:tcPr>
            <w:tcW w:w="1277" w:type="dxa"/>
          </w:tcPr>
          <w:p w14:paraId="3005D84F"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6B480D43"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rPr>
              <w:t>0.659</w:t>
            </w:r>
          </w:p>
        </w:tc>
        <w:tc>
          <w:tcPr>
            <w:tcW w:w="1807" w:type="dxa"/>
          </w:tcPr>
          <w:p w14:paraId="4631B6E1"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rPr>
              <w:t>0.435</w:t>
            </w:r>
          </w:p>
        </w:tc>
        <w:tc>
          <w:tcPr>
            <w:tcW w:w="1831" w:type="dxa"/>
          </w:tcPr>
          <w:p w14:paraId="7C41B32C"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rPr>
              <w:t>0.432</w:t>
            </w:r>
          </w:p>
        </w:tc>
      </w:tr>
    </w:tbl>
    <w:p w14:paraId="74A786FA"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14" w:name="_Hlk197952558"/>
      <w:r w:rsidRPr="002551A7">
        <w:rPr>
          <w:rFonts w:asciiTheme="majorBidi" w:hAnsiTheme="majorBidi" w:cstheme="majorBidi"/>
          <w:sz w:val="24"/>
          <w:szCs w:val="24"/>
          <w:lang w:val="en-US"/>
        </w:rPr>
        <w:t>Source: established by the student based on the results of R 4.4.0</w:t>
      </w:r>
    </w:p>
    <w:p w14:paraId="59F2130A" w14:textId="77777777" w:rsidR="00AC1791" w:rsidRPr="002551A7" w:rsidRDefault="00AC1791" w:rsidP="002551A7">
      <w:pPr>
        <w:spacing w:line="360" w:lineRule="auto"/>
        <w:jc w:val="both"/>
        <w:rPr>
          <w:rFonts w:asciiTheme="majorBidi" w:hAnsiTheme="majorBidi" w:cstheme="majorBidi"/>
          <w:sz w:val="24"/>
          <w:szCs w:val="24"/>
          <w:lang w:val="en-US"/>
        </w:rPr>
      </w:pPr>
      <w:bookmarkStart w:id="415" w:name="_Hlk198049096"/>
      <w:r w:rsidRPr="002551A7">
        <w:rPr>
          <w:rFonts w:asciiTheme="majorBidi" w:hAnsiTheme="majorBidi" w:cstheme="majorBidi"/>
          <w:sz w:val="24"/>
          <w:szCs w:val="24"/>
          <w:lang w:val="en-US"/>
        </w:rPr>
        <w:t xml:space="preserve">   We note that the coefficient of determination R squared = 0.435 (Boycott explain 43.5% of the variation of Turkish consumer behavior). This indicates that the component or dimension of Boycott affects Turkish consumer behavior and the correlation coefficient reached R=0.659, indicating that there is a moderate direct relationship between Boycott and Turkish consumer behavior with a rate of 65.9%.</w:t>
      </w:r>
    </w:p>
    <w:bookmarkEnd w:id="414"/>
    <w:bookmarkEnd w:id="415"/>
    <w:p w14:paraId="36D147F7" w14:textId="4C38BBD6"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15C2A6B3"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49</w:t>
      </w:r>
      <w:r w:rsidRPr="002551A7">
        <w:rPr>
          <w:rFonts w:asciiTheme="majorBidi" w:eastAsia="Calibri" w:hAnsiTheme="majorBidi" w:cstheme="majorBidi"/>
          <w:sz w:val="24"/>
          <w:szCs w:val="24"/>
        </w:rPr>
        <w:t xml:space="preserve"> :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49E5C488" w14:textId="77777777" w:rsidTr="00D06812">
        <w:tc>
          <w:tcPr>
            <w:tcW w:w="1945" w:type="dxa"/>
            <w:gridSpan w:val="2"/>
            <w:vMerge w:val="restart"/>
            <w:vAlign w:val="bottom"/>
          </w:tcPr>
          <w:p w14:paraId="6781DDF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7C2C5A3D"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4C8EC16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1B9DA3B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099F936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5E9DF0BC" w14:textId="77777777" w:rsidTr="00D06812">
        <w:tc>
          <w:tcPr>
            <w:tcW w:w="1945" w:type="dxa"/>
            <w:gridSpan w:val="2"/>
            <w:vMerge/>
            <w:vAlign w:val="bottom"/>
          </w:tcPr>
          <w:p w14:paraId="0EB17C8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4A025EAB"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57F69EF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2B3E13B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0787627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6FD878C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01EB1890" w14:textId="77777777" w:rsidTr="00D06812">
        <w:tc>
          <w:tcPr>
            <w:tcW w:w="595" w:type="dxa"/>
            <w:vMerge w:val="restart"/>
          </w:tcPr>
          <w:p w14:paraId="6C294E1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07A6850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1A49428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16" w:name="_Hlk198049060"/>
            <w:r w:rsidRPr="002551A7">
              <w:rPr>
                <w:rFonts w:asciiTheme="majorBidi" w:eastAsia="Calibri" w:hAnsiTheme="majorBidi" w:cstheme="majorBidi"/>
                <w:color w:val="000000"/>
                <w:sz w:val="24"/>
                <w:szCs w:val="24"/>
              </w:rPr>
              <w:t>1.62646</w:t>
            </w:r>
            <w:bookmarkEnd w:id="416"/>
          </w:p>
        </w:tc>
        <w:tc>
          <w:tcPr>
            <w:tcW w:w="1427" w:type="dxa"/>
          </w:tcPr>
          <w:p w14:paraId="0789A2E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0.15307</w:t>
            </w:r>
          </w:p>
        </w:tc>
        <w:tc>
          <w:tcPr>
            <w:tcW w:w="1593" w:type="dxa"/>
            <w:vMerge w:val="restart"/>
            <w:vAlign w:val="center"/>
          </w:tcPr>
          <w:p w14:paraId="463BA02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158.5</w:t>
            </w:r>
          </w:p>
        </w:tc>
        <w:tc>
          <w:tcPr>
            <w:tcW w:w="1343" w:type="dxa"/>
          </w:tcPr>
          <w:p w14:paraId="787B09D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10.63   </w:t>
            </w:r>
          </w:p>
        </w:tc>
        <w:tc>
          <w:tcPr>
            <w:tcW w:w="1324" w:type="dxa"/>
          </w:tcPr>
          <w:p w14:paraId="2336A1D4"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2.2e-16</w:t>
            </w:r>
          </w:p>
        </w:tc>
      </w:tr>
      <w:tr w:rsidR="00AC1791" w:rsidRPr="002551A7" w14:paraId="5935CE54" w14:textId="77777777" w:rsidTr="00D06812">
        <w:tc>
          <w:tcPr>
            <w:tcW w:w="595" w:type="dxa"/>
            <w:vMerge/>
          </w:tcPr>
          <w:p w14:paraId="3319F7E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0648E7A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BOYCOTT</w:t>
            </w:r>
          </w:p>
        </w:tc>
        <w:tc>
          <w:tcPr>
            <w:tcW w:w="1430" w:type="dxa"/>
          </w:tcPr>
          <w:p w14:paraId="35EB2CF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0.54894</w:t>
            </w:r>
          </w:p>
        </w:tc>
        <w:tc>
          <w:tcPr>
            <w:tcW w:w="1427" w:type="dxa"/>
          </w:tcPr>
          <w:p w14:paraId="1A289D8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0.04361</w:t>
            </w:r>
          </w:p>
        </w:tc>
        <w:tc>
          <w:tcPr>
            <w:tcW w:w="1593" w:type="dxa"/>
            <w:vMerge/>
          </w:tcPr>
          <w:p w14:paraId="23310F4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2C24D81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12.59   </w:t>
            </w:r>
          </w:p>
        </w:tc>
        <w:tc>
          <w:tcPr>
            <w:tcW w:w="1324" w:type="dxa"/>
          </w:tcPr>
          <w:p w14:paraId="1C82990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2.2e-16</w:t>
            </w:r>
          </w:p>
        </w:tc>
      </w:tr>
    </w:tbl>
    <w:p w14:paraId="0039411D"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2F83ABC9"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17" w:name="_Hlk198049255"/>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696204FA"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Boycott and Turkish consumer behavior is a linear model.</w:t>
      </w:r>
    </w:p>
    <w:p w14:paraId="7065D391"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 = 0.549</w:t>
      </w:r>
      <w:r w:rsidRPr="002551A7">
        <w:rPr>
          <w:rFonts w:asciiTheme="majorBidi" w:hAnsiTheme="majorBidi" w:cstheme="majorBidi"/>
          <w:sz w:val="24"/>
          <w:szCs w:val="24"/>
          <w:vertAlign w:val="subscript"/>
          <w:lang w:val="en-US"/>
        </w:rPr>
        <w:t>*</w:t>
      </w:r>
      <w:bookmarkStart w:id="418" w:name="_Hlk198054163"/>
      <w:r w:rsidRPr="002551A7">
        <w:rPr>
          <w:rFonts w:asciiTheme="majorBidi" w:hAnsiTheme="majorBidi" w:cstheme="majorBidi"/>
          <w:sz w:val="24"/>
          <w:szCs w:val="24"/>
          <w:lang w:val="en-US"/>
        </w:rPr>
        <w:t xml:space="preserve">Boycott </w:t>
      </w:r>
      <w:bookmarkEnd w:id="418"/>
      <w:r w:rsidRPr="002551A7">
        <w:rPr>
          <w:rFonts w:asciiTheme="majorBidi" w:hAnsiTheme="majorBidi" w:cstheme="majorBidi"/>
          <w:sz w:val="24"/>
          <w:szCs w:val="24"/>
          <w:lang w:val="en-US"/>
        </w:rPr>
        <w:t>+ 1.62646</w:t>
      </w:r>
    </w:p>
    <w:p w14:paraId="0D725F55" w14:textId="77777777" w:rsidR="00AC1791" w:rsidRPr="002551A7" w:rsidRDefault="00AC1791" w:rsidP="002551A7">
      <w:pPr>
        <w:tabs>
          <w:tab w:val="left" w:pos="3248"/>
        </w:tabs>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w:t>
      </w:r>
      <w:r w:rsidRPr="002551A7">
        <w:rPr>
          <w:rFonts w:asciiTheme="majorBidi" w:eastAsia="Calibri" w:hAnsiTheme="majorBidi" w:cstheme="majorBidi"/>
          <w:color w:val="000000"/>
          <w:sz w:val="24"/>
          <w:szCs w:val="24"/>
          <w:lang w:val="en-US"/>
        </w:rPr>
        <w:t xml:space="preserve">0.549 </w:t>
      </w:r>
      <w:r w:rsidRPr="002551A7">
        <w:rPr>
          <w:rFonts w:asciiTheme="majorBidi" w:hAnsiTheme="majorBidi" w:cstheme="majorBidi"/>
          <w:sz w:val="24"/>
          <w:szCs w:val="24"/>
          <w:lang w:val="en-US"/>
        </w:rPr>
        <w:t xml:space="preserve">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77C00AE1" w14:textId="77777777" w:rsidR="00AC1791" w:rsidRPr="002551A7" w:rsidRDefault="00AC1791" w:rsidP="002551A7">
      <w:pPr>
        <w:tabs>
          <w:tab w:val="left" w:pos="3248"/>
        </w:tabs>
        <w:spacing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16608" behindDoc="0" locked="0" layoutInCell="1" allowOverlap="1" wp14:anchorId="4FA6491A" wp14:editId="394F4230">
            <wp:simplePos x="0" y="0"/>
            <wp:positionH relativeFrom="column">
              <wp:posOffset>-635</wp:posOffset>
            </wp:positionH>
            <wp:positionV relativeFrom="paragraph">
              <wp:posOffset>235281</wp:posOffset>
            </wp:positionV>
            <wp:extent cx="6035675" cy="1568450"/>
            <wp:effectExtent l="0" t="0" r="3175" b="0"/>
            <wp:wrapTopAndBottom/>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2">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p>
    <w:p w14:paraId="1D6E5320"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2C77AFFE" w14:textId="678575C4" w:rsidR="00AC1791" w:rsidRPr="00941350" w:rsidRDefault="00AC1791" w:rsidP="00941350">
      <w:pPr>
        <w:pStyle w:val="ListParagraph"/>
        <w:numPr>
          <w:ilvl w:val="2"/>
          <w:numId w:val="39"/>
        </w:numPr>
        <w:spacing w:before="240" w:line="360" w:lineRule="auto"/>
        <w:jc w:val="both"/>
        <w:rPr>
          <w:rFonts w:asciiTheme="majorBidi" w:hAnsiTheme="majorBidi" w:cstheme="majorBidi"/>
          <w:b/>
          <w:bCs/>
          <w:sz w:val="24"/>
          <w:szCs w:val="24"/>
          <w:lang w:val="en-US"/>
        </w:rPr>
      </w:pPr>
      <w:bookmarkStart w:id="419" w:name="_Toc200721771"/>
      <w:bookmarkEnd w:id="417"/>
      <w:r w:rsidRPr="005E488F">
        <w:rPr>
          <w:rStyle w:val="Heading5Char"/>
          <w:rFonts w:eastAsiaTheme="minorHAnsi"/>
        </w:rPr>
        <w:t>Boycott-Willigness to try new alternativ</w:t>
      </w:r>
      <w:bookmarkEnd w:id="419"/>
      <w:r w:rsidRPr="00941350">
        <w:rPr>
          <w:rFonts w:asciiTheme="majorBidi" w:hAnsiTheme="majorBidi" w:cstheme="majorBidi"/>
          <w:b/>
          <w:bCs/>
          <w:sz w:val="24"/>
          <w:szCs w:val="24"/>
          <w:lang w:val="en-US"/>
        </w:rPr>
        <w:t>e</w:t>
      </w:r>
    </w:p>
    <w:p w14:paraId="06A7740D" w14:textId="5F896402" w:rsidR="00AC1791" w:rsidRPr="00A74231" w:rsidRDefault="00AC1791" w:rsidP="005E488F">
      <w:pPr>
        <w:pStyle w:val="ListParagraph"/>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611BC2DB"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50:</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58CFC99A" w14:textId="77777777" w:rsidTr="00674288">
        <w:tc>
          <w:tcPr>
            <w:tcW w:w="1803" w:type="dxa"/>
            <w:vAlign w:val="bottom"/>
          </w:tcPr>
          <w:p w14:paraId="010F24E1"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3D066CA2"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3A8252B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34AC80A3"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22FE67C9" w14:textId="77777777" w:rsidTr="00674288">
        <w:tc>
          <w:tcPr>
            <w:tcW w:w="1803" w:type="dxa"/>
          </w:tcPr>
          <w:p w14:paraId="3675F15D"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65B93D26"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0.719</w:t>
            </w:r>
          </w:p>
        </w:tc>
        <w:tc>
          <w:tcPr>
            <w:tcW w:w="1807" w:type="dxa"/>
          </w:tcPr>
          <w:p w14:paraId="0E6BB5C5"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0.5164</w:t>
            </w:r>
          </w:p>
        </w:tc>
        <w:tc>
          <w:tcPr>
            <w:tcW w:w="1831" w:type="dxa"/>
          </w:tcPr>
          <w:p w14:paraId="55290DAC"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0.5141</w:t>
            </w:r>
          </w:p>
        </w:tc>
      </w:tr>
    </w:tbl>
    <w:p w14:paraId="14E05DDE"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7E7DCAF0" w14:textId="77777777" w:rsidR="00AC1791" w:rsidRPr="002551A7" w:rsidRDefault="00AC1791" w:rsidP="002551A7">
      <w:pPr>
        <w:spacing w:line="360" w:lineRule="auto"/>
        <w:jc w:val="both"/>
        <w:rPr>
          <w:rFonts w:asciiTheme="majorBidi" w:hAnsiTheme="majorBidi" w:cstheme="majorBidi"/>
          <w:sz w:val="24"/>
          <w:szCs w:val="24"/>
          <w:lang w:val="en-US"/>
        </w:rPr>
      </w:pPr>
      <w:bookmarkStart w:id="420" w:name="_Hlk198049413"/>
      <w:r w:rsidRPr="002551A7">
        <w:rPr>
          <w:rFonts w:asciiTheme="majorBidi" w:hAnsiTheme="majorBidi" w:cstheme="majorBidi"/>
          <w:sz w:val="24"/>
          <w:szCs w:val="24"/>
          <w:lang w:val="en-US"/>
        </w:rPr>
        <w:t xml:space="preserve">   We note that the coefficient of determination R squared = 0.5164 (Boycott explain 43.5% of the variation of </w:t>
      </w:r>
      <w:bookmarkStart w:id="421" w:name="_Hlk198049190"/>
      <w:r w:rsidRPr="002551A7">
        <w:rPr>
          <w:rFonts w:asciiTheme="majorBidi" w:hAnsiTheme="majorBidi" w:cstheme="majorBidi"/>
          <w:sz w:val="24"/>
          <w:szCs w:val="24"/>
          <w:lang w:val="en-US"/>
        </w:rPr>
        <w:t>willingness to try new alternative</w:t>
      </w:r>
      <w:bookmarkEnd w:id="421"/>
      <w:r w:rsidRPr="002551A7">
        <w:rPr>
          <w:rFonts w:asciiTheme="majorBidi" w:hAnsiTheme="majorBidi" w:cstheme="majorBidi"/>
          <w:sz w:val="24"/>
          <w:szCs w:val="24"/>
          <w:lang w:val="en-US"/>
        </w:rPr>
        <w:t xml:space="preserve">). This indicates that the component or dimension of Boycott affects willingness to try new alternative and the correlation coefficient reached R=0.719, indicating that there is a strong direct relationship between Boycott and </w:t>
      </w:r>
      <w:bookmarkStart w:id="422" w:name="_Hlk198049297"/>
      <w:r w:rsidRPr="002551A7">
        <w:rPr>
          <w:rFonts w:asciiTheme="majorBidi" w:hAnsiTheme="majorBidi" w:cstheme="majorBidi"/>
          <w:sz w:val="24"/>
          <w:szCs w:val="24"/>
          <w:lang w:val="en-US"/>
        </w:rPr>
        <w:t>willingness to try new alternative</w:t>
      </w:r>
      <w:bookmarkEnd w:id="422"/>
      <w:r w:rsidRPr="002551A7">
        <w:rPr>
          <w:rFonts w:asciiTheme="majorBidi" w:hAnsiTheme="majorBidi" w:cstheme="majorBidi"/>
          <w:sz w:val="24"/>
          <w:szCs w:val="24"/>
          <w:lang w:val="en-US"/>
        </w:rPr>
        <w:t xml:space="preserve"> with a rate of 65.9%.</w:t>
      </w:r>
      <w:bookmarkEnd w:id="420"/>
    </w:p>
    <w:p w14:paraId="3ADF495B" w14:textId="4C35862D"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230DFEC1"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51:</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101EE16D" w14:textId="77777777" w:rsidTr="00923DE7">
        <w:tc>
          <w:tcPr>
            <w:tcW w:w="1945" w:type="dxa"/>
            <w:gridSpan w:val="2"/>
            <w:vMerge w:val="restart"/>
            <w:vAlign w:val="bottom"/>
          </w:tcPr>
          <w:p w14:paraId="6AF2EBA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0447790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44FBCCA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0AE6EFD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588C0EC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27D3B3AE" w14:textId="77777777" w:rsidTr="00923DE7">
        <w:tc>
          <w:tcPr>
            <w:tcW w:w="1945" w:type="dxa"/>
            <w:gridSpan w:val="2"/>
            <w:vMerge/>
            <w:vAlign w:val="bottom"/>
          </w:tcPr>
          <w:p w14:paraId="0BBAC7E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1792957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6D7D062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706276D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0C75DA1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203B8E6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5558522F" w14:textId="77777777" w:rsidTr="00923DE7">
        <w:tc>
          <w:tcPr>
            <w:tcW w:w="595" w:type="dxa"/>
            <w:vMerge w:val="restart"/>
          </w:tcPr>
          <w:p w14:paraId="7FA0EA0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5B3E39B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7D3956BB"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23" w:name="_Hlk198049333"/>
            <w:r w:rsidRPr="002551A7">
              <w:rPr>
                <w:rFonts w:asciiTheme="majorBidi" w:eastAsia="Calibri" w:hAnsiTheme="majorBidi" w:cstheme="majorBidi"/>
                <w:color w:val="000000"/>
                <w:sz w:val="24"/>
                <w:szCs w:val="24"/>
                <w:lang w:val="fr-FR"/>
              </w:rPr>
              <w:t xml:space="preserve">1.20663    </w:t>
            </w:r>
            <w:bookmarkEnd w:id="423"/>
          </w:p>
        </w:tc>
        <w:tc>
          <w:tcPr>
            <w:tcW w:w="1427" w:type="dxa"/>
          </w:tcPr>
          <w:p w14:paraId="1BC12CB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0.16641</w:t>
            </w:r>
          </w:p>
        </w:tc>
        <w:tc>
          <w:tcPr>
            <w:tcW w:w="1593" w:type="dxa"/>
            <w:vMerge w:val="restart"/>
            <w:vAlign w:val="center"/>
          </w:tcPr>
          <w:p w14:paraId="5CDC0D0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158.5</w:t>
            </w:r>
          </w:p>
        </w:tc>
        <w:tc>
          <w:tcPr>
            <w:tcW w:w="1343" w:type="dxa"/>
          </w:tcPr>
          <w:p w14:paraId="00EC2B5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10.63   </w:t>
            </w:r>
          </w:p>
        </w:tc>
        <w:tc>
          <w:tcPr>
            <w:tcW w:w="1324" w:type="dxa"/>
          </w:tcPr>
          <w:p w14:paraId="7F46AC9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8.21e-12</w:t>
            </w:r>
          </w:p>
        </w:tc>
      </w:tr>
      <w:tr w:rsidR="00AC1791" w:rsidRPr="002551A7" w14:paraId="057FC816" w14:textId="77777777" w:rsidTr="00923DE7">
        <w:tc>
          <w:tcPr>
            <w:tcW w:w="595" w:type="dxa"/>
            <w:vMerge/>
          </w:tcPr>
          <w:p w14:paraId="3855A9F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4966613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BOYCOTT</w:t>
            </w:r>
          </w:p>
        </w:tc>
        <w:tc>
          <w:tcPr>
            <w:tcW w:w="1430" w:type="dxa"/>
          </w:tcPr>
          <w:p w14:paraId="77AC57D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0.70320    </w:t>
            </w:r>
          </w:p>
        </w:tc>
        <w:tc>
          <w:tcPr>
            <w:tcW w:w="1427" w:type="dxa"/>
          </w:tcPr>
          <w:p w14:paraId="29B1C8C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0.04741</w:t>
            </w:r>
          </w:p>
        </w:tc>
        <w:tc>
          <w:tcPr>
            <w:tcW w:w="1593" w:type="dxa"/>
            <w:vMerge/>
          </w:tcPr>
          <w:p w14:paraId="2470BB8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13D73B8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12.59   </w:t>
            </w:r>
          </w:p>
        </w:tc>
        <w:tc>
          <w:tcPr>
            <w:tcW w:w="1324" w:type="dxa"/>
          </w:tcPr>
          <w:p w14:paraId="431486A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2.2e-16</w:t>
            </w:r>
          </w:p>
        </w:tc>
      </w:tr>
    </w:tbl>
    <w:p w14:paraId="122BA5AC"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2F7F7B5F"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24" w:name="_Hlk198049681"/>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48ACB4B7"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Boycott and willingness to try new alternative is a linear model.</w:t>
      </w:r>
    </w:p>
    <w:p w14:paraId="249DBC14"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 = 0.703</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Boycott + 1.20663 </w:t>
      </w:r>
    </w:p>
    <w:p w14:paraId="52451ECF" w14:textId="77777777" w:rsidR="00AC1791" w:rsidRPr="002551A7" w:rsidRDefault="00AC1791" w:rsidP="002551A7">
      <w:pPr>
        <w:tabs>
          <w:tab w:val="left" w:pos="3248"/>
        </w:tabs>
        <w:spacing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17632" behindDoc="0" locked="0" layoutInCell="1" allowOverlap="1" wp14:anchorId="30AAF9D0" wp14:editId="2A3E7A41">
            <wp:simplePos x="0" y="0"/>
            <wp:positionH relativeFrom="page">
              <wp:align>center</wp:align>
            </wp:positionH>
            <wp:positionV relativeFrom="paragraph">
              <wp:posOffset>502920</wp:posOffset>
            </wp:positionV>
            <wp:extent cx="6035675" cy="1568450"/>
            <wp:effectExtent l="0" t="0" r="3175" b="0"/>
            <wp:wrapTopAndBottom/>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3">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r w:rsidRPr="002551A7">
        <w:rPr>
          <w:rFonts w:asciiTheme="majorBidi" w:hAnsiTheme="majorBidi" w:cstheme="majorBidi"/>
          <w:sz w:val="24"/>
          <w:szCs w:val="24"/>
          <w:lang w:val="en-US"/>
        </w:rPr>
        <w:t xml:space="preserve">Where </w:t>
      </w:r>
      <w:r w:rsidRPr="002551A7">
        <w:rPr>
          <w:rFonts w:asciiTheme="majorBidi" w:eastAsia="Calibri" w:hAnsiTheme="majorBidi" w:cstheme="majorBidi"/>
          <w:color w:val="000000"/>
          <w:sz w:val="24"/>
          <w:szCs w:val="24"/>
          <w:lang w:val="en-US"/>
        </w:rPr>
        <w:t xml:space="preserve">0.703 </w:t>
      </w:r>
      <w:r w:rsidRPr="002551A7">
        <w:rPr>
          <w:rFonts w:asciiTheme="majorBidi" w:hAnsiTheme="majorBidi" w:cstheme="majorBidi"/>
          <w:sz w:val="24"/>
          <w:szCs w:val="24"/>
          <w:lang w:val="en-US"/>
        </w:rPr>
        <w:t xml:space="preserve">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 xml:space="preserve">2 value of the slope of the regression equation.   </w:t>
      </w:r>
    </w:p>
    <w:p w14:paraId="40BBD958"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018DDF43" w14:textId="77777777" w:rsidR="00AC1791" w:rsidRPr="002551A7" w:rsidRDefault="00AC1791" w:rsidP="002551A7">
      <w:pPr>
        <w:tabs>
          <w:tab w:val="left" w:pos="3248"/>
        </w:tabs>
        <w:spacing w:line="360" w:lineRule="auto"/>
        <w:jc w:val="both"/>
        <w:rPr>
          <w:rFonts w:asciiTheme="majorBidi" w:hAnsiTheme="majorBidi" w:cstheme="majorBidi"/>
          <w:sz w:val="24"/>
          <w:szCs w:val="24"/>
          <w:lang w:val="en-US"/>
        </w:rPr>
      </w:pPr>
    </w:p>
    <w:p w14:paraId="3ABABC19" w14:textId="4897D732" w:rsidR="00AC1791" w:rsidRPr="00941350" w:rsidRDefault="00AC1791" w:rsidP="00941350">
      <w:pPr>
        <w:pStyle w:val="ListParagraph"/>
        <w:numPr>
          <w:ilvl w:val="2"/>
          <w:numId w:val="39"/>
        </w:numPr>
        <w:spacing w:before="240" w:line="360" w:lineRule="auto"/>
        <w:jc w:val="both"/>
        <w:rPr>
          <w:rFonts w:asciiTheme="majorBidi" w:hAnsiTheme="majorBidi" w:cstheme="majorBidi"/>
          <w:b/>
          <w:bCs/>
          <w:sz w:val="24"/>
          <w:szCs w:val="24"/>
          <w:lang w:val="en-US"/>
        </w:rPr>
      </w:pPr>
      <w:bookmarkStart w:id="425" w:name="_Toc200721772"/>
      <w:bookmarkStart w:id="426" w:name="_Hlk197955933"/>
      <w:bookmarkEnd w:id="424"/>
      <w:r w:rsidRPr="005E488F">
        <w:rPr>
          <w:rStyle w:val="Heading5Char"/>
          <w:rFonts w:eastAsiaTheme="minorHAnsi"/>
        </w:rPr>
        <w:t>Product quality-Turkish consumer behavio</w:t>
      </w:r>
      <w:bookmarkEnd w:id="425"/>
      <w:r w:rsidRPr="00941350">
        <w:rPr>
          <w:rFonts w:asciiTheme="majorBidi" w:hAnsiTheme="majorBidi" w:cstheme="majorBidi"/>
          <w:b/>
          <w:bCs/>
          <w:sz w:val="24"/>
          <w:szCs w:val="24"/>
          <w:lang w:val="en-US"/>
        </w:rPr>
        <w:t>r</w:t>
      </w:r>
    </w:p>
    <w:p w14:paraId="28CECBC0" w14:textId="3AED7104" w:rsidR="00AC1791" w:rsidRPr="00941350"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bookmarkStart w:id="427" w:name="_Hlk197955993"/>
      <w:r w:rsidRPr="00941350">
        <w:rPr>
          <w:rFonts w:asciiTheme="majorBidi" w:eastAsia="Calibri" w:hAnsiTheme="majorBidi" w:cstheme="majorBidi"/>
          <w:b/>
          <w:bCs/>
          <w:sz w:val="24"/>
          <w:szCs w:val="24"/>
          <w:lang w:val="en-US"/>
        </w:rPr>
        <w:t>Correlation coefficient (R square) (R-square)</w:t>
      </w:r>
    </w:p>
    <w:p w14:paraId="206B3A53" w14:textId="03168D86" w:rsidR="00AC1791"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52:</w:t>
      </w:r>
      <w:r w:rsidRPr="002551A7">
        <w:rPr>
          <w:rFonts w:asciiTheme="majorBidi" w:eastAsia="Calibri" w:hAnsiTheme="majorBidi" w:cstheme="majorBidi"/>
          <w:sz w:val="24"/>
          <w:szCs w:val="24"/>
          <w:lang w:val="en-US"/>
        </w:rPr>
        <w:t xml:space="preserve"> Correlation coefficient</w:t>
      </w:r>
    </w:p>
    <w:p w14:paraId="134010E5" w14:textId="77777777" w:rsidR="009470F3" w:rsidRPr="002551A7" w:rsidRDefault="009470F3" w:rsidP="002551A7">
      <w:pPr>
        <w:spacing w:after="200" w:line="360" w:lineRule="auto"/>
        <w:jc w:val="center"/>
        <w:rPr>
          <w:rFonts w:asciiTheme="majorBidi" w:eastAsia="Calibri" w:hAnsiTheme="majorBidi" w:cstheme="majorBidi"/>
          <w:sz w:val="24"/>
          <w:szCs w:val="24"/>
          <w:lang w:val="en-US"/>
        </w:rPr>
      </w:pP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7A84EC14" w14:textId="77777777" w:rsidTr="00923DE7">
        <w:tc>
          <w:tcPr>
            <w:tcW w:w="1803" w:type="dxa"/>
            <w:vAlign w:val="bottom"/>
          </w:tcPr>
          <w:p w14:paraId="4CA9571F"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1780195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28596A6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09541A63"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14567501" w14:textId="77777777" w:rsidTr="00923DE7">
        <w:tc>
          <w:tcPr>
            <w:tcW w:w="1803" w:type="dxa"/>
          </w:tcPr>
          <w:p w14:paraId="5861AA3C"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35CC9A16"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0.571</w:t>
            </w:r>
          </w:p>
        </w:tc>
        <w:tc>
          <w:tcPr>
            <w:tcW w:w="1807" w:type="dxa"/>
          </w:tcPr>
          <w:p w14:paraId="0540131D"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0.3260</w:t>
            </w:r>
          </w:p>
        </w:tc>
        <w:tc>
          <w:tcPr>
            <w:tcW w:w="1831" w:type="dxa"/>
          </w:tcPr>
          <w:p w14:paraId="062A0034"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0.3227</w:t>
            </w:r>
          </w:p>
        </w:tc>
      </w:tr>
    </w:tbl>
    <w:p w14:paraId="53D35DFC"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6EC97658" w14:textId="77777777" w:rsidR="00AC1791" w:rsidRPr="002551A7" w:rsidRDefault="00AC1791" w:rsidP="002551A7">
      <w:pPr>
        <w:spacing w:line="360" w:lineRule="auto"/>
        <w:jc w:val="both"/>
        <w:rPr>
          <w:rFonts w:asciiTheme="majorBidi" w:hAnsiTheme="majorBidi" w:cstheme="majorBidi"/>
          <w:sz w:val="24"/>
          <w:szCs w:val="24"/>
          <w:lang w:val="en-US"/>
        </w:rPr>
      </w:pPr>
      <w:bookmarkStart w:id="428" w:name="_Hlk198049994"/>
      <w:r w:rsidRPr="002551A7">
        <w:rPr>
          <w:rFonts w:asciiTheme="majorBidi" w:hAnsiTheme="majorBidi" w:cstheme="majorBidi"/>
          <w:sz w:val="24"/>
          <w:szCs w:val="24"/>
          <w:lang w:val="en-US"/>
        </w:rPr>
        <w:t xml:space="preserve">   We note that the coefficient of determination R squared = 0.3260 (Product quality explain 32.6% of the variation of </w:t>
      </w:r>
      <w:bookmarkStart w:id="429" w:name="_Hlk198049529"/>
      <w:r w:rsidRPr="002551A7">
        <w:rPr>
          <w:rFonts w:asciiTheme="majorBidi" w:hAnsiTheme="majorBidi" w:cstheme="majorBidi"/>
          <w:sz w:val="24"/>
          <w:szCs w:val="24"/>
          <w:lang w:val="en-US"/>
        </w:rPr>
        <w:t>Turkish consumer behavior</w:t>
      </w:r>
      <w:bookmarkEnd w:id="429"/>
      <w:r w:rsidRPr="002551A7">
        <w:rPr>
          <w:rFonts w:asciiTheme="majorBidi" w:hAnsiTheme="majorBidi" w:cstheme="majorBidi"/>
          <w:sz w:val="24"/>
          <w:szCs w:val="24"/>
          <w:lang w:val="en-US"/>
        </w:rPr>
        <w:t xml:space="preserve">). This indicates that the component or dimension of </w:t>
      </w:r>
      <w:bookmarkStart w:id="430" w:name="_Hlk198049581"/>
      <w:r w:rsidRPr="002551A7">
        <w:rPr>
          <w:rFonts w:asciiTheme="majorBidi" w:hAnsiTheme="majorBidi" w:cstheme="majorBidi"/>
          <w:sz w:val="24"/>
          <w:szCs w:val="24"/>
          <w:lang w:val="en-US"/>
        </w:rPr>
        <w:t xml:space="preserve">Product quality </w:t>
      </w:r>
      <w:bookmarkEnd w:id="430"/>
      <w:r w:rsidRPr="002551A7">
        <w:rPr>
          <w:rFonts w:asciiTheme="majorBidi" w:hAnsiTheme="majorBidi" w:cstheme="majorBidi"/>
          <w:sz w:val="24"/>
          <w:szCs w:val="24"/>
          <w:lang w:val="en-US"/>
        </w:rPr>
        <w:t xml:space="preserve">affects Turkish consumer behavior and the correlation coefficient reached R=0.571, indicating that there is a moderate direct relationship between Product quality and </w:t>
      </w:r>
      <w:bookmarkStart w:id="431" w:name="_Hlk198049743"/>
      <w:r w:rsidRPr="002551A7">
        <w:rPr>
          <w:rFonts w:asciiTheme="majorBidi" w:hAnsiTheme="majorBidi" w:cstheme="majorBidi"/>
          <w:sz w:val="24"/>
          <w:szCs w:val="24"/>
          <w:lang w:val="en-US"/>
        </w:rPr>
        <w:t xml:space="preserve">Turkish consumer behavior </w:t>
      </w:r>
      <w:bookmarkEnd w:id="431"/>
      <w:r w:rsidRPr="002551A7">
        <w:rPr>
          <w:rFonts w:asciiTheme="majorBidi" w:hAnsiTheme="majorBidi" w:cstheme="majorBidi"/>
          <w:sz w:val="24"/>
          <w:szCs w:val="24"/>
          <w:lang w:val="en-US"/>
        </w:rPr>
        <w:t>with a rate of 57.1%.</w:t>
      </w:r>
    </w:p>
    <w:bookmarkEnd w:id="428"/>
    <w:p w14:paraId="41CDFA17" w14:textId="45BB2BA3" w:rsidR="00AC1791" w:rsidRPr="00941350"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941350">
        <w:rPr>
          <w:rFonts w:asciiTheme="majorBidi" w:eastAsia="Calibri" w:hAnsiTheme="majorBidi" w:cstheme="majorBidi"/>
          <w:b/>
          <w:bCs/>
          <w:sz w:val="24"/>
          <w:szCs w:val="24"/>
        </w:rPr>
        <w:t>Regression coefficients</w:t>
      </w:r>
    </w:p>
    <w:p w14:paraId="16002265"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53:</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5EE2A3C7" w14:textId="77777777" w:rsidTr="00923DE7">
        <w:tc>
          <w:tcPr>
            <w:tcW w:w="1945" w:type="dxa"/>
            <w:gridSpan w:val="2"/>
            <w:vMerge w:val="restart"/>
            <w:vAlign w:val="bottom"/>
          </w:tcPr>
          <w:p w14:paraId="1E342E9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52EC560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4FAC6DE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2502302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5FFF440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2EF8A314" w14:textId="77777777" w:rsidTr="00923DE7">
        <w:tc>
          <w:tcPr>
            <w:tcW w:w="1945" w:type="dxa"/>
            <w:gridSpan w:val="2"/>
            <w:vMerge/>
            <w:vAlign w:val="bottom"/>
          </w:tcPr>
          <w:p w14:paraId="37B1E93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3F4C368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69D57DB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3E449BB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6915905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7B4F5EE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6BD6C0EC" w14:textId="77777777" w:rsidTr="00923DE7">
        <w:tc>
          <w:tcPr>
            <w:tcW w:w="595" w:type="dxa"/>
            <w:vMerge w:val="restart"/>
          </w:tcPr>
          <w:p w14:paraId="1395041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56CBC22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61E4F29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32" w:name="_Hlk198049843"/>
            <w:r w:rsidRPr="002551A7">
              <w:rPr>
                <w:rFonts w:asciiTheme="majorBidi" w:eastAsia="Calibri" w:hAnsiTheme="majorBidi" w:cstheme="majorBidi"/>
                <w:color w:val="000000"/>
                <w:sz w:val="24"/>
                <w:szCs w:val="24"/>
                <w:lang w:val="fr-FR"/>
              </w:rPr>
              <w:t xml:space="preserve">2.0596     </w:t>
            </w:r>
            <w:bookmarkEnd w:id="432"/>
          </w:p>
        </w:tc>
        <w:tc>
          <w:tcPr>
            <w:tcW w:w="1427" w:type="dxa"/>
          </w:tcPr>
          <w:p w14:paraId="273A83B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0.1494</w:t>
            </w:r>
          </w:p>
        </w:tc>
        <w:tc>
          <w:tcPr>
            <w:tcW w:w="1593" w:type="dxa"/>
            <w:vMerge w:val="restart"/>
            <w:vAlign w:val="center"/>
          </w:tcPr>
          <w:p w14:paraId="0ADAB6B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99.63</w:t>
            </w:r>
          </w:p>
        </w:tc>
        <w:tc>
          <w:tcPr>
            <w:tcW w:w="1343" w:type="dxa"/>
          </w:tcPr>
          <w:p w14:paraId="039FE0F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13.781</w:t>
            </w:r>
          </w:p>
        </w:tc>
        <w:tc>
          <w:tcPr>
            <w:tcW w:w="1324" w:type="dxa"/>
          </w:tcPr>
          <w:p w14:paraId="2786722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53D16ABA" w14:textId="77777777" w:rsidTr="00923DE7">
        <w:tc>
          <w:tcPr>
            <w:tcW w:w="595" w:type="dxa"/>
            <w:vMerge/>
          </w:tcPr>
          <w:p w14:paraId="28B40DC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1E806DD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Product quality</w:t>
            </w:r>
          </w:p>
        </w:tc>
        <w:tc>
          <w:tcPr>
            <w:tcW w:w="1430" w:type="dxa"/>
          </w:tcPr>
          <w:p w14:paraId="4003C5C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bookmarkStart w:id="433" w:name="_Hlk198049821"/>
            <w:r w:rsidRPr="002551A7">
              <w:rPr>
                <w:rFonts w:asciiTheme="majorBidi" w:eastAsia="Calibri" w:hAnsiTheme="majorBidi" w:cstheme="majorBidi"/>
                <w:color w:val="000000"/>
                <w:sz w:val="24"/>
                <w:szCs w:val="24"/>
                <w:lang w:val="fr-FR"/>
              </w:rPr>
              <w:t xml:space="preserve">0.4582     </w:t>
            </w:r>
            <w:bookmarkEnd w:id="433"/>
          </w:p>
        </w:tc>
        <w:tc>
          <w:tcPr>
            <w:tcW w:w="1427" w:type="dxa"/>
          </w:tcPr>
          <w:p w14:paraId="6BC80F6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0.0459   </w:t>
            </w:r>
          </w:p>
        </w:tc>
        <w:tc>
          <w:tcPr>
            <w:tcW w:w="1593" w:type="dxa"/>
            <w:vMerge/>
          </w:tcPr>
          <w:p w14:paraId="7502E82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0B904FC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9.981</w:t>
            </w:r>
          </w:p>
        </w:tc>
        <w:tc>
          <w:tcPr>
            <w:tcW w:w="1324" w:type="dxa"/>
          </w:tcPr>
          <w:p w14:paraId="3A51164D" w14:textId="77777777" w:rsidR="00AC1791" w:rsidRPr="002551A7" w:rsidRDefault="00AC1791" w:rsidP="002551A7">
            <w:pPr>
              <w:spacing w:line="360" w:lineRule="auto"/>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&lt; 2.2e-16</w:t>
            </w:r>
          </w:p>
        </w:tc>
      </w:tr>
    </w:tbl>
    <w:p w14:paraId="23F84AD9"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075C222E"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34" w:name="_Hlk198050132"/>
      <w:bookmarkStart w:id="435" w:name="_Hlk197957064"/>
      <w:bookmarkEnd w:id="426"/>
      <w:bookmarkEnd w:id="427"/>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7497ECCA"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Product quality and </w:t>
      </w:r>
      <w:bookmarkStart w:id="436" w:name="_Hlk198049806"/>
      <w:r w:rsidRPr="002551A7">
        <w:rPr>
          <w:rFonts w:asciiTheme="majorBidi" w:hAnsiTheme="majorBidi" w:cstheme="majorBidi"/>
          <w:sz w:val="24"/>
          <w:szCs w:val="24"/>
          <w:lang w:val="en-US"/>
        </w:rPr>
        <w:t xml:space="preserve">Turkish consumer behavior </w:t>
      </w:r>
      <w:bookmarkEnd w:id="436"/>
      <w:r w:rsidRPr="002551A7">
        <w:rPr>
          <w:rFonts w:asciiTheme="majorBidi" w:hAnsiTheme="majorBidi" w:cstheme="majorBidi"/>
          <w:sz w:val="24"/>
          <w:szCs w:val="24"/>
          <w:lang w:val="en-US"/>
        </w:rPr>
        <w:t>is a linear model.</w:t>
      </w:r>
    </w:p>
    <w:p w14:paraId="0363F66D" w14:textId="1BD4D20D" w:rsidR="00AC1791" w:rsidRPr="002551A7" w:rsidRDefault="00AC1791" w:rsidP="009470F3">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 = 0.458</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Product quality + 2.0596</w:t>
      </w:r>
    </w:p>
    <w:p w14:paraId="2CF15C96" w14:textId="77777777" w:rsidR="00AC1791" w:rsidRPr="002551A7" w:rsidRDefault="00AC1791" w:rsidP="002551A7">
      <w:pPr>
        <w:tabs>
          <w:tab w:val="left" w:pos="3248"/>
        </w:tabs>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w:t>
      </w:r>
      <w:r w:rsidRPr="002551A7">
        <w:rPr>
          <w:rFonts w:asciiTheme="majorBidi" w:eastAsia="Calibri" w:hAnsiTheme="majorBidi" w:cstheme="majorBidi"/>
          <w:color w:val="000000"/>
          <w:sz w:val="24"/>
          <w:szCs w:val="24"/>
          <w:lang w:val="en-US"/>
        </w:rPr>
        <w:t xml:space="preserve">0.4582 </w:t>
      </w:r>
      <w:r w:rsidRPr="002551A7">
        <w:rPr>
          <w:rFonts w:asciiTheme="majorBidi" w:hAnsiTheme="majorBidi" w:cstheme="majorBidi"/>
          <w:sz w:val="24"/>
          <w:szCs w:val="24"/>
          <w:lang w:val="en-US"/>
        </w:rPr>
        <w:t xml:space="preserve">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4279A7AE" w14:textId="77777777" w:rsidR="00AC1791" w:rsidRPr="002551A7" w:rsidRDefault="00AC1791" w:rsidP="002551A7">
      <w:pPr>
        <w:tabs>
          <w:tab w:val="left" w:pos="3248"/>
        </w:tabs>
        <w:spacing w:line="360" w:lineRule="auto"/>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r w:rsidRPr="002551A7">
        <w:rPr>
          <w:rFonts w:asciiTheme="majorBidi" w:hAnsiTheme="majorBidi" w:cstheme="majorBidi"/>
          <w:noProof/>
          <w:sz w:val="24"/>
          <w:szCs w:val="24"/>
          <w:lang w:val="en-US"/>
        </w:rPr>
        <w:drawing>
          <wp:anchor distT="0" distB="0" distL="114300" distR="114300" simplePos="0" relativeHeight="251718656" behindDoc="0" locked="0" layoutInCell="1" allowOverlap="1" wp14:anchorId="39E4D359" wp14:editId="1A8CDEF7">
            <wp:simplePos x="0" y="0"/>
            <wp:positionH relativeFrom="column">
              <wp:posOffset>-635</wp:posOffset>
            </wp:positionH>
            <wp:positionV relativeFrom="paragraph">
              <wp:posOffset>124156</wp:posOffset>
            </wp:positionV>
            <wp:extent cx="6035675" cy="1568450"/>
            <wp:effectExtent l="0" t="0" r="3175" b="0"/>
            <wp:wrapTopAndBottom/>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4">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p>
    <w:p w14:paraId="50229919" w14:textId="7E9561F0" w:rsidR="00AC1791" w:rsidRPr="00941350" w:rsidRDefault="00AC1791" w:rsidP="00941350">
      <w:pPr>
        <w:pStyle w:val="ListParagraph"/>
        <w:numPr>
          <w:ilvl w:val="2"/>
          <w:numId w:val="39"/>
        </w:numPr>
        <w:spacing w:before="240" w:line="360" w:lineRule="auto"/>
        <w:jc w:val="both"/>
        <w:rPr>
          <w:rFonts w:asciiTheme="majorBidi" w:hAnsiTheme="majorBidi" w:cstheme="majorBidi"/>
          <w:b/>
          <w:bCs/>
          <w:sz w:val="24"/>
          <w:szCs w:val="24"/>
          <w:lang w:val="en-US"/>
        </w:rPr>
      </w:pPr>
      <w:bookmarkStart w:id="437" w:name="_Toc200721773"/>
      <w:bookmarkEnd w:id="434"/>
      <w:r w:rsidRPr="005E488F">
        <w:rPr>
          <w:rStyle w:val="Heading5Char"/>
          <w:rFonts w:eastAsiaTheme="minorHAnsi"/>
        </w:rPr>
        <w:t>Price competition-Turkish consumer behavio</w:t>
      </w:r>
      <w:bookmarkEnd w:id="437"/>
      <w:r w:rsidRPr="00941350">
        <w:rPr>
          <w:rFonts w:asciiTheme="majorBidi" w:hAnsiTheme="majorBidi" w:cstheme="majorBidi"/>
          <w:b/>
          <w:bCs/>
          <w:sz w:val="24"/>
          <w:szCs w:val="24"/>
          <w:lang w:val="en-US"/>
        </w:rPr>
        <w:t>r</w:t>
      </w:r>
    </w:p>
    <w:p w14:paraId="5A583A95" w14:textId="3DE65A63"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05CC528E"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54:</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500E1E65" w14:textId="77777777" w:rsidTr="00923DE7">
        <w:tc>
          <w:tcPr>
            <w:tcW w:w="1803" w:type="dxa"/>
            <w:vAlign w:val="bottom"/>
          </w:tcPr>
          <w:p w14:paraId="0A87BEB2"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14AB737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1079EDBC"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30A1F3AE"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5B202914" w14:textId="77777777" w:rsidTr="00923DE7">
        <w:tc>
          <w:tcPr>
            <w:tcW w:w="1803" w:type="dxa"/>
          </w:tcPr>
          <w:p w14:paraId="48B0EDC5"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469E79AE"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0.565</w:t>
            </w:r>
          </w:p>
        </w:tc>
        <w:tc>
          <w:tcPr>
            <w:tcW w:w="1807" w:type="dxa"/>
          </w:tcPr>
          <w:p w14:paraId="48AEDD41"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0.3192</w:t>
            </w:r>
          </w:p>
        </w:tc>
        <w:tc>
          <w:tcPr>
            <w:tcW w:w="1831" w:type="dxa"/>
          </w:tcPr>
          <w:p w14:paraId="776AE6AB" w14:textId="77777777" w:rsidR="00AC1791" w:rsidRPr="002551A7" w:rsidRDefault="00AC1791" w:rsidP="002551A7">
            <w:pPr>
              <w:spacing w:line="360" w:lineRule="auto"/>
              <w:ind w:left="60" w:right="60"/>
              <w:jc w:val="right"/>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0.3159</w:t>
            </w:r>
          </w:p>
        </w:tc>
      </w:tr>
    </w:tbl>
    <w:p w14:paraId="7BD4C0F3"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38" w:name="_Hlk198054648"/>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bookmarkEnd w:id="438"/>
    <w:p w14:paraId="2BFB1E91"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t>
      </w:r>
      <w:bookmarkStart w:id="439" w:name="_Hlk198050246"/>
      <w:r w:rsidRPr="002551A7">
        <w:rPr>
          <w:rFonts w:asciiTheme="majorBidi" w:hAnsiTheme="majorBidi" w:cstheme="majorBidi"/>
          <w:sz w:val="24"/>
          <w:szCs w:val="24"/>
          <w:lang w:val="en-US"/>
        </w:rPr>
        <w:t>We note that the coefficient of determination R squared = 0.3192 (</w:t>
      </w:r>
      <w:bookmarkStart w:id="440" w:name="_Hlk198050083"/>
      <w:r w:rsidRPr="002551A7">
        <w:rPr>
          <w:rFonts w:asciiTheme="majorBidi" w:hAnsiTheme="majorBidi" w:cstheme="majorBidi"/>
          <w:sz w:val="24"/>
          <w:szCs w:val="24"/>
          <w:lang w:val="en-US"/>
        </w:rPr>
        <w:t xml:space="preserve">Price competition </w:t>
      </w:r>
      <w:bookmarkEnd w:id="440"/>
      <w:r w:rsidRPr="002551A7">
        <w:rPr>
          <w:rFonts w:asciiTheme="majorBidi" w:hAnsiTheme="majorBidi" w:cstheme="majorBidi"/>
          <w:sz w:val="24"/>
          <w:szCs w:val="24"/>
          <w:lang w:val="en-US"/>
        </w:rPr>
        <w:t>explain 31.92% of the variation of Turkish consumer behavior). This indicates that the component or dimension of Price competition affects Turkish consumer behavior and the correlation coefficient reached R=0.565, indicating that there is a moderate direct relationship between Price competition and Turkish consumer behavior with a rate of 56.5%.</w:t>
      </w:r>
      <w:bookmarkEnd w:id="439"/>
    </w:p>
    <w:p w14:paraId="5BD076EB" w14:textId="3234CCB0" w:rsidR="00AC1791" w:rsidRPr="00A74231" w:rsidRDefault="00AC1791" w:rsidP="00413B73">
      <w:pPr>
        <w:pStyle w:val="ListParagraph"/>
        <w:numPr>
          <w:ilvl w:val="0"/>
          <w:numId w:val="52"/>
        </w:numPr>
        <w:tabs>
          <w:tab w:val="left" w:pos="3430"/>
        </w:tabs>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r w:rsidRPr="00A74231">
        <w:rPr>
          <w:rFonts w:asciiTheme="majorBidi" w:eastAsia="Calibri" w:hAnsiTheme="majorBidi" w:cstheme="majorBidi"/>
          <w:b/>
          <w:bCs/>
          <w:sz w:val="24"/>
          <w:szCs w:val="24"/>
        </w:rPr>
        <w:tab/>
      </w:r>
    </w:p>
    <w:p w14:paraId="676EF1D5"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55:</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63"/>
        <w:gridCol w:w="1427"/>
        <w:gridCol w:w="1426"/>
        <w:gridCol w:w="1589"/>
        <w:gridCol w:w="1341"/>
        <w:gridCol w:w="1321"/>
      </w:tblGrid>
      <w:tr w:rsidR="00AC1791" w:rsidRPr="002551A7" w14:paraId="0AE889EE" w14:textId="77777777" w:rsidTr="00923DE7">
        <w:tc>
          <w:tcPr>
            <w:tcW w:w="1945" w:type="dxa"/>
            <w:gridSpan w:val="2"/>
            <w:vMerge w:val="restart"/>
            <w:vAlign w:val="bottom"/>
          </w:tcPr>
          <w:p w14:paraId="264057C4"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0D73B673"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2B2B0EC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2DE1C5B3"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496A37B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547B619E" w14:textId="77777777" w:rsidTr="00923DE7">
        <w:tc>
          <w:tcPr>
            <w:tcW w:w="1945" w:type="dxa"/>
            <w:gridSpan w:val="2"/>
            <w:vMerge/>
            <w:vAlign w:val="bottom"/>
          </w:tcPr>
          <w:p w14:paraId="16001B2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1D1E305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2A3026A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1448D53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4927E64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1AB95EE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1F481EF5" w14:textId="77777777" w:rsidTr="00923DE7">
        <w:tc>
          <w:tcPr>
            <w:tcW w:w="595" w:type="dxa"/>
            <w:vMerge w:val="restart"/>
          </w:tcPr>
          <w:p w14:paraId="1C5CDB1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314DE264"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13F2D26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2.088    </w:t>
            </w:r>
          </w:p>
        </w:tc>
        <w:tc>
          <w:tcPr>
            <w:tcW w:w="1427" w:type="dxa"/>
          </w:tcPr>
          <w:p w14:paraId="657F46A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0.14888  </w:t>
            </w:r>
          </w:p>
        </w:tc>
        <w:tc>
          <w:tcPr>
            <w:tcW w:w="1593" w:type="dxa"/>
            <w:vMerge w:val="restart"/>
            <w:vAlign w:val="center"/>
          </w:tcPr>
          <w:p w14:paraId="5EC5A70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96.59</w:t>
            </w:r>
          </w:p>
        </w:tc>
        <w:tc>
          <w:tcPr>
            <w:tcW w:w="1343" w:type="dxa"/>
          </w:tcPr>
          <w:p w14:paraId="5FA623F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14.024   </w:t>
            </w:r>
          </w:p>
        </w:tc>
        <w:tc>
          <w:tcPr>
            <w:tcW w:w="1324" w:type="dxa"/>
          </w:tcPr>
          <w:p w14:paraId="03BDB15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2510020C" w14:textId="77777777" w:rsidTr="00923DE7">
        <w:tc>
          <w:tcPr>
            <w:tcW w:w="595" w:type="dxa"/>
            <w:vMerge/>
          </w:tcPr>
          <w:p w14:paraId="2CD86F2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062BFB7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Price competition</w:t>
            </w:r>
          </w:p>
        </w:tc>
        <w:tc>
          <w:tcPr>
            <w:tcW w:w="1430" w:type="dxa"/>
          </w:tcPr>
          <w:p w14:paraId="605AB9B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0.441</w:t>
            </w:r>
          </w:p>
        </w:tc>
        <w:tc>
          <w:tcPr>
            <w:tcW w:w="1427" w:type="dxa"/>
          </w:tcPr>
          <w:p w14:paraId="139408F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0.04489   </w:t>
            </w:r>
          </w:p>
        </w:tc>
        <w:tc>
          <w:tcPr>
            <w:tcW w:w="1593" w:type="dxa"/>
            <w:vMerge/>
          </w:tcPr>
          <w:p w14:paraId="3127960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56B3AF9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9.828   </w:t>
            </w:r>
          </w:p>
        </w:tc>
        <w:tc>
          <w:tcPr>
            <w:tcW w:w="1324" w:type="dxa"/>
          </w:tcPr>
          <w:p w14:paraId="4664D36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2.2e-16</w:t>
            </w:r>
          </w:p>
        </w:tc>
      </w:tr>
    </w:tbl>
    <w:p w14:paraId="722B4D17"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41" w:name="_Hlk198054898"/>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0239572E"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42" w:name="_Hlk198050380"/>
      <w:bookmarkEnd w:id="435"/>
      <w:bookmarkEnd w:id="441"/>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6CD241DF"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Price competition and Turkish consumer behavior is a linear model.</w:t>
      </w:r>
    </w:p>
    <w:p w14:paraId="5935F0C3" w14:textId="4E8AF152" w:rsidR="00AC1791" w:rsidRPr="002551A7" w:rsidRDefault="00AC1791" w:rsidP="009470F3">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 = 0.441</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Price competition + 2.088</w:t>
      </w:r>
    </w:p>
    <w:p w14:paraId="28B87B73" w14:textId="3E38ADA4" w:rsidR="00AC1791" w:rsidRPr="002551A7" w:rsidRDefault="00AC1791" w:rsidP="008F291C">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0.441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r w:rsidRPr="002551A7">
        <w:rPr>
          <w:rFonts w:asciiTheme="majorBidi" w:hAnsiTheme="majorBidi" w:cstheme="majorBidi"/>
          <w:noProof/>
          <w:sz w:val="24"/>
          <w:szCs w:val="24"/>
          <w:lang w:val="en-US"/>
        </w:rPr>
        <w:drawing>
          <wp:anchor distT="0" distB="0" distL="114300" distR="114300" simplePos="0" relativeHeight="251719680" behindDoc="0" locked="0" layoutInCell="1" allowOverlap="1" wp14:anchorId="29527735" wp14:editId="5BB3FF0C">
            <wp:simplePos x="0" y="0"/>
            <wp:positionH relativeFrom="margin">
              <wp:align>right</wp:align>
            </wp:positionH>
            <wp:positionV relativeFrom="paragraph">
              <wp:posOffset>349039</wp:posOffset>
            </wp:positionV>
            <wp:extent cx="6035675" cy="1568450"/>
            <wp:effectExtent l="0" t="0" r="3175" b="0"/>
            <wp:wrapTopAndBottom/>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5">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p>
    <w:p w14:paraId="4864B388"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43" w:name="_Hlk197957590"/>
      <w:bookmarkEnd w:id="442"/>
      <w:r w:rsidRPr="002551A7">
        <w:rPr>
          <w:rFonts w:asciiTheme="majorBidi" w:hAnsiTheme="majorBidi" w:cstheme="majorBidi"/>
          <w:sz w:val="24"/>
          <w:szCs w:val="24"/>
          <w:lang w:val="en-US"/>
        </w:rPr>
        <w:t>Source: established by the student based on the results of R 4.4.0</w:t>
      </w:r>
    </w:p>
    <w:p w14:paraId="5A48508E" w14:textId="2A1E5AEE"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44" w:name="_Toc200721774"/>
      <w:r w:rsidRPr="005E488F">
        <w:rPr>
          <w:rStyle w:val="Heading5Char"/>
          <w:rFonts w:eastAsiaTheme="minorHAnsi"/>
        </w:rPr>
        <w:t>Cultural alignment-Turkish consumer behavio</w:t>
      </w:r>
      <w:bookmarkEnd w:id="444"/>
      <w:r w:rsidRPr="00A74231">
        <w:rPr>
          <w:rFonts w:asciiTheme="majorBidi" w:hAnsiTheme="majorBidi" w:cstheme="majorBidi"/>
          <w:b/>
          <w:bCs/>
          <w:sz w:val="24"/>
          <w:szCs w:val="24"/>
          <w:lang w:val="en-US"/>
        </w:rPr>
        <w:t>r</w:t>
      </w:r>
    </w:p>
    <w:p w14:paraId="234743DC" w14:textId="434A3106"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00031476"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56:</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3F4062B7" w14:textId="77777777" w:rsidTr="00923DE7">
        <w:tc>
          <w:tcPr>
            <w:tcW w:w="1803" w:type="dxa"/>
            <w:vAlign w:val="bottom"/>
          </w:tcPr>
          <w:p w14:paraId="11349590"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295A6C9D"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0D058649"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27FD660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117F2B92" w14:textId="77777777" w:rsidTr="00923DE7">
        <w:tc>
          <w:tcPr>
            <w:tcW w:w="1803" w:type="dxa"/>
          </w:tcPr>
          <w:p w14:paraId="2417D6D8"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4199DBDC"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0.563</w:t>
            </w:r>
          </w:p>
        </w:tc>
        <w:tc>
          <w:tcPr>
            <w:tcW w:w="1807" w:type="dxa"/>
          </w:tcPr>
          <w:p w14:paraId="46945406"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0.3171</w:t>
            </w:r>
          </w:p>
        </w:tc>
        <w:tc>
          <w:tcPr>
            <w:tcW w:w="1831" w:type="dxa"/>
          </w:tcPr>
          <w:p w14:paraId="4368407F"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0.3138</w:t>
            </w:r>
          </w:p>
        </w:tc>
      </w:tr>
    </w:tbl>
    <w:p w14:paraId="56B734F0"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E249F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4D76BE2B" w14:textId="77777777" w:rsidR="00AC1791" w:rsidRPr="002551A7" w:rsidRDefault="00AC1791" w:rsidP="002551A7">
      <w:pPr>
        <w:spacing w:line="360" w:lineRule="auto"/>
        <w:jc w:val="both"/>
        <w:rPr>
          <w:rFonts w:asciiTheme="majorBidi" w:hAnsiTheme="majorBidi" w:cstheme="majorBidi"/>
          <w:sz w:val="24"/>
          <w:szCs w:val="24"/>
          <w:lang w:val="en-US"/>
        </w:rPr>
      </w:pPr>
      <w:bookmarkStart w:id="445" w:name="_Hlk198050502"/>
      <w:r w:rsidRPr="002551A7">
        <w:rPr>
          <w:rFonts w:asciiTheme="majorBidi" w:hAnsiTheme="majorBidi" w:cstheme="majorBidi"/>
          <w:sz w:val="24"/>
          <w:szCs w:val="24"/>
          <w:lang w:val="en-US"/>
        </w:rPr>
        <w:t xml:space="preserve">   We note that the coefficient of determination R squared = 0.3171 (</w:t>
      </w:r>
      <w:bookmarkStart w:id="446" w:name="_Hlk198050329"/>
      <w:r w:rsidRPr="002551A7">
        <w:rPr>
          <w:rFonts w:asciiTheme="majorBidi" w:hAnsiTheme="majorBidi" w:cstheme="majorBidi"/>
          <w:sz w:val="24"/>
          <w:szCs w:val="24"/>
          <w:lang w:val="en-US"/>
        </w:rPr>
        <w:t xml:space="preserve">cultural alignment </w:t>
      </w:r>
      <w:bookmarkEnd w:id="446"/>
      <w:r w:rsidRPr="002551A7">
        <w:rPr>
          <w:rFonts w:asciiTheme="majorBidi" w:hAnsiTheme="majorBidi" w:cstheme="majorBidi"/>
          <w:sz w:val="24"/>
          <w:szCs w:val="24"/>
          <w:lang w:val="en-US"/>
        </w:rPr>
        <w:t>explain 31.71% of the variation of Turkish consumer behavior). This indicates that the component or dimension of cultural alignment affects Turkish consumer behavior and the correlation coefficient reached R=0.563, indicating that there is a moderate direct relationship between cultural alignment and Turkish consumer behavior with a rate of 56.3%.</w:t>
      </w:r>
    </w:p>
    <w:bookmarkEnd w:id="445"/>
    <w:p w14:paraId="5F6A4F6F" w14:textId="16EDA4E6"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0C765109"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57:</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33250950" w14:textId="77777777" w:rsidTr="00923DE7">
        <w:tc>
          <w:tcPr>
            <w:tcW w:w="1945" w:type="dxa"/>
            <w:gridSpan w:val="2"/>
            <w:vMerge w:val="restart"/>
            <w:vAlign w:val="bottom"/>
          </w:tcPr>
          <w:p w14:paraId="320F757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161A8D6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13B0931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7806F8C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3E82989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2CE65EDC" w14:textId="77777777" w:rsidTr="00923DE7">
        <w:tc>
          <w:tcPr>
            <w:tcW w:w="1945" w:type="dxa"/>
            <w:gridSpan w:val="2"/>
            <w:vMerge/>
            <w:vAlign w:val="bottom"/>
          </w:tcPr>
          <w:p w14:paraId="2EE312D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58566E3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06CFF37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72BC569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3E523BA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73C6CE5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13EEF728" w14:textId="77777777" w:rsidTr="00923DE7">
        <w:tc>
          <w:tcPr>
            <w:tcW w:w="595" w:type="dxa"/>
            <w:vMerge w:val="restart"/>
          </w:tcPr>
          <w:p w14:paraId="1CD1D89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396EFB5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71ABF976"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47" w:name="_Hlk198050457"/>
            <w:r w:rsidRPr="002551A7">
              <w:rPr>
                <w:rFonts w:asciiTheme="majorBidi" w:eastAsia="Calibri" w:hAnsiTheme="majorBidi" w:cstheme="majorBidi"/>
                <w:color w:val="000000"/>
                <w:sz w:val="24"/>
                <w:szCs w:val="24"/>
                <w:lang w:val="fr-FR"/>
              </w:rPr>
              <w:t>2.17720</w:t>
            </w:r>
            <w:bookmarkEnd w:id="447"/>
          </w:p>
        </w:tc>
        <w:tc>
          <w:tcPr>
            <w:tcW w:w="1427" w:type="dxa"/>
          </w:tcPr>
          <w:p w14:paraId="6D8E160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0.14089  </w:t>
            </w:r>
          </w:p>
        </w:tc>
        <w:tc>
          <w:tcPr>
            <w:tcW w:w="1593" w:type="dxa"/>
            <w:vMerge w:val="restart"/>
            <w:vAlign w:val="center"/>
          </w:tcPr>
          <w:p w14:paraId="7EF1106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95.67</w:t>
            </w:r>
          </w:p>
        </w:tc>
        <w:tc>
          <w:tcPr>
            <w:tcW w:w="1343" w:type="dxa"/>
          </w:tcPr>
          <w:p w14:paraId="010ECF8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15.453   </w:t>
            </w:r>
          </w:p>
        </w:tc>
        <w:tc>
          <w:tcPr>
            <w:tcW w:w="1324" w:type="dxa"/>
          </w:tcPr>
          <w:p w14:paraId="303C49FB"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622F0995" w14:textId="77777777" w:rsidTr="00923DE7">
        <w:tc>
          <w:tcPr>
            <w:tcW w:w="595" w:type="dxa"/>
            <w:vMerge/>
          </w:tcPr>
          <w:p w14:paraId="518C77C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14DB34D8" w14:textId="5F49EF5C"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Cultural </w:t>
            </w:r>
            <w:r w:rsidR="009470F3">
              <w:rPr>
                <w:rFonts w:asciiTheme="majorBidi" w:eastAsia="Calibri" w:hAnsiTheme="majorBidi" w:cstheme="majorBidi"/>
                <w:color w:val="000000"/>
                <w:sz w:val="24"/>
                <w:szCs w:val="24"/>
                <w:lang w:val="fr-FR"/>
              </w:rPr>
              <w:t>A</w:t>
            </w:r>
            <w:r w:rsidR="009470F3" w:rsidRPr="002551A7">
              <w:rPr>
                <w:rFonts w:asciiTheme="majorBidi" w:eastAsia="Calibri" w:hAnsiTheme="majorBidi" w:cstheme="majorBidi"/>
                <w:color w:val="000000"/>
                <w:sz w:val="24"/>
                <w:szCs w:val="24"/>
                <w:lang w:val="fr-FR"/>
              </w:rPr>
              <w:t>lignement</w:t>
            </w:r>
          </w:p>
        </w:tc>
        <w:tc>
          <w:tcPr>
            <w:tcW w:w="1430" w:type="dxa"/>
          </w:tcPr>
          <w:p w14:paraId="3886F8B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0.42118    </w:t>
            </w:r>
          </w:p>
        </w:tc>
        <w:tc>
          <w:tcPr>
            <w:tcW w:w="1427" w:type="dxa"/>
          </w:tcPr>
          <w:p w14:paraId="2D0071C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0.04306</w:t>
            </w:r>
          </w:p>
        </w:tc>
        <w:tc>
          <w:tcPr>
            <w:tcW w:w="1593" w:type="dxa"/>
            <w:vMerge/>
          </w:tcPr>
          <w:p w14:paraId="051A9FD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6972B0D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9.781   </w:t>
            </w:r>
          </w:p>
        </w:tc>
        <w:tc>
          <w:tcPr>
            <w:tcW w:w="1324" w:type="dxa"/>
          </w:tcPr>
          <w:p w14:paraId="6FF697EB"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2.2e-16</w:t>
            </w:r>
          </w:p>
        </w:tc>
      </w:tr>
    </w:tbl>
    <w:p w14:paraId="418F72AB"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48" w:name="_Hlk198055136"/>
      <w:r w:rsidRPr="002551A7">
        <w:rPr>
          <w:rFonts w:asciiTheme="majorBidi" w:hAnsiTheme="majorBidi" w:cstheme="majorBidi"/>
          <w:sz w:val="24"/>
          <w:szCs w:val="24"/>
          <w:lang w:val="en-US"/>
        </w:rPr>
        <w:t>Source: established by the student based on the results of R 4.4.0</w:t>
      </w:r>
    </w:p>
    <w:p w14:paraId="372EE649"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49" w:name="_Hlk198050670"/>
      <w:bookmarkEnd w:id="443"/>
      <w:bookmarkEnd w:id="448"/>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1D454208"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cultural alignment and Turkish consumer behavior is a linear model.</w:t>
      </w:r>
    </w:p>
    <w:p w14:paraId="0502F9A3" w14:textId="77777777" w:rsidR="00AC1791" w:rsidRPr="002551A7" w:rsidRDefault="00AC1791" w:rsidP="009470F3">
      <w:pPr>
        <w:spacing w:before="240" w:line="360" w:lineRule="auto"/>
        <w:jc w:val="center"/>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 = 0.421</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cultural alignment+ 2.17720</w:t>
      </w:r>
    </w:p>
    <w:p w14:paraId="5E2F95B0"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0.421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628E78F9"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20704" behindDoc="0" locked="0" layoutInCell="1" allowOverlap="1" wp14:anchorId="234C648D" wp14:editId="44BA2BFF">
            <wp:simplePos x="0" y="0"/>
            <wp:positionH relativeFrom="margin">
              <wp:align>right</wp:align>
            </wp:positionH>
            <wp:positionV relativeFrom="paragraph">
              <wp:posOffset>267970</wp:posOffset>
            </wp:positionV>
            <wp:extent cx="6035675" cy="1568450"/>
            <wp:effectExtent l="0" t="0" r="3175" b="0"/>
            <wp:wrapTopAndBottom/>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6">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p>
    <w:p w14:paraId="0EC3C1DA"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06F07010" w14:textId="7AD17409"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50" w:name="_Toc200721775"/>
      <w:bookmarkStart w:id="451" w:name="_Hlk197957982"/>
      <w:bookmarkEnd w:id="449"/>
      <w:r w:rsidRPr="00050632">
        <w:rPr>
          <w:rStyle w:val="Heading5Char"/>
          <w:rFonts w:eastAsiaTheme="minorHAnsi"/>
        </w:rPr>
        <w:t>Availibility and accessibility-Turkish consumer behavio</w:t>
      </w:r>
      <w:bookmarkEnd w:id="450"/>
      <w:r w:rsidRPr="00A74231">
        <w:rPr>
          <w:rFonts w:asciiTheme="majorBidi" w:hAnsiTheme="majorBidi" w:cstheme="majorBidi"/>
          <w:b/>
          <w:bCs/>
          <w:sz w:val="24"/>
          <w:szCs w:val="24"/>
          <w:lang w:val="en-US"/>
        </w:rPr>
        <w:t>r</w:t>
      </w:r>
    </w:p>
    <w:p w14:paraId="5107BB33" w14:textId="72CBC51F"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30A585DF"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58:</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1159934F" w14:textId="77777777" w:rsidTr="00923DE7">
        <w:tc>
          <w:tcPr>
            <w:tcW w:w="1803" w:type="dxa"/>
            <w:vAlign w:val="bottom"/>
          </w:tcPr>
          <w:p w14:paraId="590D7688"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748913EC"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49CE40BE"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0896842E"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06C8D18F" w14:textId="77777777" w:rsidTr="00923DE7">
        <w:tc>
          <w:tcPr>
            <w:tcW w:w="1803" w:type="dxa"/>
          </w:tcPr>
          <w:p w14:paraId="3474F2D3"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05945A2E"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0.485</w:t>
            </w:r>
          </w:p>
        </w:tc>
        <w:tc>
          <w:tcPr>
            <w:tcW w:w="1807" w:type="dxa"/>
          </w:tcPr>
          <w:p w14:paraId="27543BCD"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0.2353</w:t>
            </w:r>
          </w:p>
        </w:tc>
        <w:tc>
          <w:tcPr>
            <w:tcW w:w="1831" w:type="dxa"/>
          </w:tcPr>
          <w:p w14:paraId="6586FDF0"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0.2316</w:t>
            </w:r>
          </w:p>
        </w:tc>
      </w:tr>
    </w:tbl>
    <w:p w14:paraId="611C079B"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BB5D76">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0B5CA90B" w14:textId="77777777" w:rsidR="00AC1791" w:rsidRPr="002551A7" w:rsidRDefault="00AC1791" w:rsidP="002551A7">
      <w:pPr>
        <w:spacing w:line="360" w:lineRule="auto"/>
        <w:jc w:val="both"/>
        <w:rPr>
          <w:rFonts w:asciiTheme="majorBidi" w:hAnsiTheme="majorBidi" w:cstheme="majorBidi"/>
          <w:sz w:val="24"/>
          <w:szCs w:val="24"/>
          <w:lang w:val="en-US"/>
        </w:rPr>
      </w:pPr>
      <w:bookmarkStart w:id="452" w:name="_Hlk198050861"/>
      <w:r w:rsidRPr="002551A7">
        <w:rPr>
          <w:rFonts w:asciiTheme="majorBidi" w:hAnsiTheme="majorBidi" w:cstheme="majorBidi"/>
          <w:sz w:val="24"/>
          <w:szCs w:val="24"/>
          <w:lang w:val="en-US"/>
        </w:rPr>
        <w:t xml:space="preserve">   We note that the coefficient of determination R squared = 0.2353 (</w:t>
      </w:r>
      <w:bookmarkStart w:id="453" w:name="_Hlk198050602"/>
      <w:r w:rsidRPr="002551A7">
        <w:rPr>
          <w:rFonts w:asciiTheme="majorBidi" w:hAnsiTheme="majorBidi" w:cstheme="majorBidi"/>
          <w:sz w:val="24"/>
          <w:szCs w:val="24"/>
          <w:lang w:val="en-US"/>
        </w:rPr>
        <w:t>availability and accessibility</w:t>
      </w:r>
      <w:bookmarkEnd w:id="453"/>
      <w:r w:rsidRPr="002551A7">
        <w:rPr>
          <w:rFonts w:asciiTheme="majorBidi" w:hAnsiTheme="majorBidi" w:cstheme="majorBidi"/>
          <w:sz w:val="24"/>
          <w:szCs w:val="24"/>
          <w:lang w:val="en-US"/>
        </w:rPr>
        <w:t xml:space="preserve"> explain 23.53% of the variation of Turkish consumer behavior). This indicates that the component or dimension of availability and accessibility affects Turkish consumer behavior and the correlation coefficient reached R=0.485, indicating that there is a weak direct relationship between availability and accessibility and Turkish consumer behavior with a rate of 48.5%.</w:t>
      </w:r>
    </w:p>
    <w:bookmarkEnd w:id="452"/>
    <w:p w14:paraId="7CCDB567" w14:textId="0E1C2051"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7AB52946"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59 :</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3"/>
        <w:gridCol w:w="1403"/>
        <w:gridCol w:w="1423"/>
        <w:gridCol w:w="1420"/>
        <w:gridCol w:w="1575"/>
        <w:gridCol w:w="1335"/>
        <w:gridCol w:w="1313"/>
      </w:tblGrid>
      <w:tr w:rsidR="00AC1791" w:rsidRPr="002551A7" w14:paraId="06B962C9" w14:textId="77777777" w:rsidTr="00923DE7">
        <w:tc>
          <w:tcPr>
            <w:tcW w:w="1945" w:type="dxa"/>
            <w:gridSpan w:val="2"/>
            <w:vMerge w:val="restart"/>
            <w:vAlign w:val="bottom"/>
          </w:tcPr>
          <w:p w14:paraId="12FD622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1DAC736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7BD2FC9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6831417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44A8470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04AD641D" w14:textId="77777777" w:rsidTr="00923DE7">
        <w:tc>
          <w:tcPr>
            <w:tcW w:w="1945" w:type="dxa"/>
            <w:gridSpan w:val="2"/>
            <w:vMerge/>
            <w:vAlign w:val="bottom"/>
          </w:tcPr>
          <w:p w14:paraId="110F75F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192C458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52739DD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387A0BA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3D1CFBE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1BF798CB"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156EF048" w14:textId="77777777" w:rsidTr="00923DE7">
        <w:tc>
          <w:tcPr>
            <w:tcW w:w="595" w:type="dxa"/>
            <w:vMerge w:val="restart"/>
          </w:tcPr>
          <w:p w14:paraId="0AE66123"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432942D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20F55A97"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54" w:name="_Hlk198050746"/>
            <w:r w:rsidRPr="002551A7">
              <w:rPr>
                <w:rFonts w:asciiTheme="majorBidi" w:eastAsia="Calibri" w:hAnsiTheme="majorBidi" w:cstheme="majorBidi"/>
                <w:color w:val="000000"/>
                <w:sz w:val="24"/>
                <w:szCs w:val="24"/>
                <w:lang w:val="fr-FR"/>
              </w:rPr>
              <w:t xml:space="preserve">2.30397    </w:t>
            </w:r>
            <w:bookmarkEnd w:id="454"/>
          </w:p>
        </w:tc>
        <w:tc>
          <w:tcPr>
            <w:tcW w:w="1427" w:type="dxa"/>
          </w:tcPr>
          <w:p w14:paraId="7FA126B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0.15555  </w:t>
            </w:r>
          </w:p>
        </w:tc>
        <w:tc>
          <w:tcPr>
            <w:tcW w:w="1593" w:type="dxa"/>
            <w:vMerge w:val="restart"/>
            <w:vAlign w:val="center"/>
          </w:tcPr>
          <w:p w14:paraId="645684A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63.38</w:t>
            </w:r>
          </w:p>
        </w:tc>
        <w:tc>
          <w:tcPr>
            <w:tcW w:w="1343" w:type="dxa"/>
          </w:tcPr>
          <w:p w14:paraId="662CF787"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14.811</w:t>
            </w:r>
          </w:p>
        </w:tc>
        <w:tc>
          <w:tcPr>
            <w:tcW w:w="1324" w:type="dxa"/>
          </w:tcPr>
          <w:p w14:paraId="6620DA9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2e-16</w:t>
            </w:r>
          </w:p>
        </w:tc>
      </w:tr>
      <w:tr w:rsidR="00AC1791" w:rsidRPr="002551A7" w14:paraId="398F3E29" w14:textId="77777777" w:rsidTr="00923DE7">
        <w:tc>
          <w:tcPr>
            <w:tcW w:w="595" w:type="dxa"/>
            <w:vMerge/>
          </w:tcPr>
          <w:p w14:paraId="5C04C5A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3E20A80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availability and accessibility</w:t>
            </w:r>
          </w:p>
        </w:tc>
        <w:tc>
          <w:tcPr>
            <w:tcW w:w="1430" w:type="dxa"/>
          </w:tcPr>
          <w:p w14:paraId="05DA41F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0.37468    </w:t>
            </w:r>
          </w:p>
        </w:tc>
        <w:tc>
          <w:tcPr>
            <w:tcW w:w="1427" w:type="dxa"/>
          </w:tcPr>
          <w:p w14:paraId="2121C0DB"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0.04706</w:t>
            </w:r>
          </w:p>
        </w:tc>
        <w:tc>
          <w:tcPr>
            <w:tcW w:w="1593" w:type="dxa"/>
            <w:vMerge/>
          </w:tcPr>
          <w:p w14:paraId="26F04B6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6B8990F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7.961</w:t>
            </w:r>
          </w:p>
        </w:tc>
        <w:tc>
          <w:tcPr>
            <w:tcW w:w="1324" w:type="dxa"/>
          </w:tcPr>
          <w:p w14:paraId="178A8EA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1.13e-13</w:t>
            </w:r>
          </w:p>
        </w:tc>
      </w:tr>
    </w:tbl>
    <w:p w14:paraId="47508C27"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781D852A" w14:textId="77777777" w:rsidR="00AC1791" w:rsidRPr="002551A7" w:rsidRDefault="00AC1791" w:rsidP="002551A7">
      <w:pPr>
        <w:spacing w:line="360" w:lineRule="auto"/>
        <w:jc w:val="both"/>
        <w:rPr>
          <w:rFonts w:asciiTheme="majorBidi" w:hAnsiTheme="majorBidi" w:cstheme="majorBidi"/>
          <w:sz w:val="24"/>
          <w:szCs w:val="24"/>
          <w:lang w:val="en-US"/>
        </w:rPr>
      </w:pPr>
      <w:bookmarkStart w:id="455" w:name="_Hlk198051106"/>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1F8A83A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availability and accessibility and Turkish consumer behavior is a linear model.</w:t>
      </w:r>
    </w:p>
    <w:p w14:paraId="1FE9B759"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Turkish consumer behavior = 0.374</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availability and accessibility+ 2.30397    </w:t>
      </w:r>
    </w:p>
    <w:p w14:paraId="642B99B6" w14:textId="77777777" w:rsidR="00AC1791" w:rsidRPr="002551A7" w:rsidRDefault="00AC1791" w:rsidP="002551A7">
      <w:pPr>
        <w:spacing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21728" behindDoc="0" locked="0" layoutInCell="1" allowOverlap="1" wp14:anchorId="3536A703" wp14:editId="0CB1DB9C">
            <wp:simplePos x="0" y="0"/>
            <wp:positionH relativeFrom="margin">
              <wp:align>right</wp:align>
            </wp:positionH>
            <wp:positionV relativeFrom="paragraph">
              <wp:posOffset>469900</wp:posOffset>
            </wp:positionV>
            <wp:extent cx="6035675" cy="1568450"/>
            <wp:effectExtent l="0" t="0" r="3175" b="0"/>
            <wp:wrapTopAndBottom/>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7">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14:sizeRelH relativeFrom="margin">
              <wp14:pctWidth>0</wp14:pctWidth>
            </wp14:sizeRelH>
            <wp14:sizeRelV relativeFrom="margin">
              <wp14:pctHeight>0</wp14:pctHeight>
            </wp14:sizeRelV>
          </wp:anchor>
        </w:drawing>
      </w:r>
      <w:r w:rsidRPr="002551A7">
        <w:rPr>
          <w:rFonts w:asciiTheme="majorBidi" w:hAnsiTheme="majorBidi" w:cstheme="majorBidi"/>
          <w:sz w:val="24"/>
          <w:szCs w:val="24"/>
          <w:lang w:val="en-US"/>
        </w:rPr>
        <w:t xml:space="preserve">Where 0.374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bookmarkEnd w:id="455"/>
    </w:p>
    <w:p w14:paraId="77B4C6C9"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6D3B0DE5" w14:textId="71AB3B9C"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56" w:name="_Toc200721776"/>
      <w:bookmarkStart w:id="457" w:name="_Hlk197958325"/>
      <w:bookmarkEnd w:id="451"/>
      <w:r w:rsidRPr="00050632">
        <w:rPr>
          <w:rStyle w:val="Heading5Char"/>
          <w:rFonts w:eastAsiaTheme="minorHAnsi"/>
        </w:rPr>
        <w:t>Product quality-Willigness to try new alternativ</w:t>
      </w:r>
      <w:bookmarkEnd w:id="456"/>
      <w:r w:rsidRPr="00A74231">
        <w:rPr>
          <w:rFonts w:asciiTheme="majorBidi" w:hAnsiTheme="majorBidi" w:cstheme="majorBidi"/>
          <w:b/>
          <w:bCs/>
          <w:sz w:val="24"/>
          <w:szCs w:val="24"/>
          <w:lang w:val="en-US"/>
        </w:rPr>
        <w:t>e</w:t>
      </w:r>
    </w:p>
    <w:p w14:paraId="0D90F438" w14:textId="665D90CF"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0CF5BCB9"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60:</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3250314C" w14:textId="77777777" w:rsidTr="00923DE7">
        <w:tc>
          <w:tcPr>
            <w:tcW w:w="1803" w:type="dxa"/>
            <w:vAlign w:val="bottom"/>
          </w:tcPr>
          <w:p w14:paraId="4A55B769"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556A0572"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5F5FB922"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764E3B91"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750F84C7" w14:textId="77777777" w:rsidTr="00923DE7">
        <w:tc>
          <w:tcPr>
            <w:tcW w:w="1803" w:type="dxa"/>
          </w:tcPr>
          <w:p w14:paraId="498001C2"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4ED03E73"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0.590</w:t>
            </w:r>
          </w:p>
        </w:tc>
        <w:tc>
          <w:tcPr>
            <w:tcW w:w="1807" w:type="dxa"/>
          </w:tcPr>
          <w:p w14:paraId="25F8ACD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0.3482</w:t>
            </w:r>
          </w:p>
        </w:tc>
        <w:tc>
          <w:tcPr>
            <w:tcW w:w="1831" w:type="dxa"/>
          </w:tcPr>
          <w:p w14:paraId="500BF053"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0.3451</w:t>
            </w:r>
          </w:p>
        </w:tc>
      </w:tr>
    </w:tbl>
    <w:p w14:paraId="6F65C452"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58" w:name="_Hlk198055374"/>
      <w:r w:rsidRPr="002551A7">
        <w:rPr>
          <w:rFonts w:asciiTheme="majorBidi" w:hAnsiTheme="majorBidi" w:cstheme="majorBidi"/>
          <w:sz w:val="24"/>
          <w:szCs w:val="24"/>
          <w:lang w:val="en-US"/>
        </w:rPr>
        <w:t>Source: established by the student based on the results of R 4.4.0</w:t>
      </w:r>
    </w:p>
    <w:p w14:paraId="2E296BB6"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bookmarkStart w:id="459" w:name="_Hlk198051293"/>
      <w:bookmarkEnd w:id="458"/>
      <w:r w:rsidRPr="002551A7">
        <w:rPr>
          <w:rFonts w:asciiTheme="majorBidi" w:eastAsia="Calibri" w:hAnsiTheme="majorBidi" w:cstheme="majorBidi"/>
          <w:sz w:val="24"/>
          <w:szCs w:val="24"/>
          <w:lang w:val="en-US"/>
        </w:rPr>
        <w:t xml:space="preserve">   We note that the coefficient of determination R squared = 0.3482 </w:t>
      </w:r>
      <w:bookmarkStart w:id="460" w:name="_Hlk198050981"/>
      <w:r w:rsidRPr="002551A7">
        <w:rPr>
          <w:rFonts w:asciiTheme="majorBidi" w:eastAsia="Calibri" w:hAnsiTheme="majorBidi" w:cstheme="majorBidi"/>
          <w:sz w:val="24"/>
          <w:szCs w:val="24"/>
          <w:lang w:val="en-US"/>
        </w:rPr>
        <w:t>(</w:t>
      </w:r>
      <w:bookmarkStart w:id="461" w:name="_Hlk198051057"/>
      <w:r w:rsidRPr="002551A7">
        <w:rPr>
          <w:rFonts w:asciiTheme="majorBidi" w:eastAsia="Calibri" w:hAnsiTheme="majorBidi" w:cstheme="majorBidi"/>
          <w:sz w:val="24"/>
          <w:szCs w:val="24"/>
          <w:lang w:val="en-US"/>
        </w:rPr>
        <w:t xml:space="preserve">Product quality </w:t>
      </w:r>
      <w:bookmarkEnd w:id="460"/>
      <w:bookmarkEnd w:id="461"/>
      <w:r w:rsidRPr="002551A7">
        <w:rPr>
          <w:rFonts w:asciiTheme="majorBidi" w:eastAsia="Calibri" w:hAnsiTheme="majorBidi" w:cstheme="majorBidi"/>
          <w:sz w:val="24"/>
          <w:szCs w:val="24"/>
          <w:lang w:val="en-US"/>
        </w:rPr>
        <w:t xml:space="preserve">explain 34.82% of </w:t>
      </w:r>
      <w:bookmarkStart w:id="462" w:name="_Hlk198051010"/>
      <w:r w:rsidRPr="002551A7">
        <w:rPr>
          <w:rFonts w:asciiTheme="majorBidi" w:eastAsia="Calibri" w:hAnsiTheme="majorBidi" w:cstheme="majorBidi"/>
          <w:sz w:val="24"/>
          <w:szCs w:val="24"/>
          <w:lang w:val="en-US"/>
        </w:rPr>
        <w:t xml:space="preserve">the </w:t>
      </w:r>
      <w:bookmarkStart w:id="463" w:name="_Hlk198051074"/>
      <w:r w:rsidRPr="002551A7">
        <w:rPr>
          <w:rFonts w:asciiTheme="majorBidi" w:eastAsia="Calibri" w:hAnsiTheme="majorBidi" w:cstheme="majorBidi"/>
          <w:sz w:val="24"/>
          <w:szCs w:val="24"/>
          <w:lang w:val="en-US"/>
        </w:rPr>
        <w:t>willingness to try new alternative</w:t>
      </w:r>
      <w:bookmarkEnd w:id="462"/>
      <w:bookmarkEnd w:id="463"/>
      <w:r w:rsidRPr="002551A7">
        <w:rPr>
          <w:rFonts w:asciiTheme="majorBidi" w:eastAsia="Calibri" w:hAnsiTheme="majorBidi" w:cstheme="majorBidi"/>
          <w:sz w:val="24"/>
          <w:szCs w:val="24"/>
          <w:lang w:val="en-US"/>
        </w:rPr>
        <w:t xml:space="preserve">). This indicates that the component or dimension of Product quality affects the willingness to try new alternative and the correlation coefficient reached R=0.590, indicating that there is a moderate direct relationship between </w:t>
      </w:r>
      <w:bookmarkStart w:id="464" w:name="_Hlk198051175"/>
      <w:r w:rsidRPr="002551A7">
        <w:rPr>
          <w:rFonts w:asciiTheme="majorBidi" w:eastAsia="Calibri" w:hAnsiTheme="majorBidi" w:cstheme="majorBidi"/>
          <w:sz w:val="24"/>
          <w:szCs w:val="24"/>
          <w:lang w:val="en-US"/>
        </w:rPr>
        <w:t xml:space="preserve">Product quality </w:t>
      </w:r>
      <w:bookmarkEnd w:id="464"/>
      <w:r w:rsidRPr="002551A7">
        <w:rPr>
          <w:rFonts w:asciiTheme="majorBidi" w:eastAsia="Calibri" w:hAnsiTheme="majorBidi" w:cstheme="majorBidi"/>
          <w:sz w:val="24"/>
          <w:szCs w:val="24"/>
          <w:lang w:val="en-US"/>
        </w:rPr>
        <w:t xml:space="preserve">and </w:t>
      </w:r>
      <w:bookmarkStart w:id="465" w:name="_Hlk198051209"/>
      <w:r w:rsidRPr="002551A7">
        <w:rPr>
          <w:rFonts w:asciiTheme="majorBidi" w:eastAsia="Calibri" w:hAnsiTheme="majorBidi" w:cstheme="majorBidi"/>
          <w:sz w:val="24"/>
          <w:szCs w:val="24"/>
          <w:lang w:val="en-US"/>
        </w:rPr>
        <w:t xml:space="preserve">willingness to try new alternative </w:t>
      </w:r>
      <w:bookmarkEnd w:id="465"/>
      <w:r w:rsidRPr="002551A7">
        <w:rPr>
          <w:rFonts w:asciiTheme="majorBidi" w:eastAsia="Calibri" w:hAnsiTheme="majorBidi" w:cstheme="majorBidi"/>
          <w:sz w:val="24"/>
          <w:szCs w:val="24"/>
          <w:lang w:val="en-US"/>
        </w:rPr>
        <w:t>with a rate of 59%.</w:t>
      </w:r>
      <w:bookmarkEnd w:id="459"/>
    </w:p>
    <w:p w14:paraId="0615EA94" w14:textId="75B363A4"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11D4F1DB"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61 :</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1A43F76C" w14:textId="77777777" w:rsidTr="00923DE7">
        <w:tc>
          <w:tcPr>
            <w:tcW w:w="1945" w:type="dxa"/>
            <w:gridSpan w:val="2"/>
            <w:vMerge w:val="restart"/>
            <w:vAlign w:val="bottom"/>
          </w:tcPr>
          <w:p w14:paraId="314F19F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42A4673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3819335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39D3D34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0E5CD42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321D6B71" w14:textId="77777777" w:rsidTr="00923DE7">
        <w:tc>
          <w:tcPr>
            <w:tcW w:w="1945" w:type="dxa"/>
            <w:gridSpan w:val="2"/>
            <w:vMerge/>
            <w:vAlign w:val="bottom"/>
          </w:tcPr>
          <w:p w14:paraId="3C77AB7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55FB08F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1A94DAA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5B95257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03CB162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211EB54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6C9AA38E" w14:textId="77777777" w:rsidTr="00923DE7">
        <w:tc>
          <w:tcPr>
            <w:tcW w:w="595" w:type="dxa"/>
            <w:vMerge w:val="restart"/>
          </w:tcPr>
          <w:p w14:paraId="2DAF913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4361AEB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15775E0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66" w:name="_Hlk198051259"/>
            <w:r w:rsidRPr="002551A7">
              <w:rPr>
                <w:rFonts w:asciiTheme="majorBidi" w:eastAsia="Calibri" w:hAnsiTheme="majorBidi" w:cstheme="majorBidi"/>
                <w:color w:val="000000"/>
                <w:sz w:val="24"/>
                <w:szCs w:val="24"/>
                <w:lang w:val="fr-FR"/>
              </w:rPr>
              <w:t xml:space="preserve">1.85560    </w:t>
            </w:r>
            <w:bookmarkEnd w:id="466"/>
          </w:p>
        </w:tc>
        <w:tc>
          <w:tcPr>
            <w:tcW w:w="1427" w:type="dxa"/>
          </w:tcPr>
          <w:p w14:paraId="1F5EB59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0.17274   </w:t>
            </w:r>
          </w:p>
        </w:tc>
        <w:tc>
          <w:tcPr>
            <w:tcW w:w="1593" w:type="dxa"/>
            <w:vMerge w:val="restart"/>
            <w:vAlign w:val="center"/>
          </w:tcPr>
          <w:p w14:paraId="0F6A3309"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110.1</w:t>
            </w:r>
          </w:p>
        </w:tc>
        <w:tc>
          <w:tcPr>
            <w:tcW w:w="1343" w:type="dxa"/>
          </w:tcPr>
          <w:p w14:paraId="7834A26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10.74   </w:t>
            </w:r>
          </w:p>
        </w:tc>
        <w:tc>
          <w:tcPr>
            <w:tcW w:w="1324" w:type="dxa"/>
          </w:tcPr>
          <w:p w14:paraId="16483EB7"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7F108227" w14:textId="77777777" w:rsidTr="00923DE7">
        <w:tc>
          <w:tcPr>
            <w:tcW w:w="595" w:type="dxa"/>
            <w:vMerge/>
          </w:tcPr>
          <w:p w14:paraId="03817DD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19C47EE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Product quality</w:t>
            </w:r>
          </w:p>
        </w:tc>
        <w:tc>
          <w:tcPr>
            <w:tcW w:w="1430" w:type="dxa"/>
          </w:tcPr>
          <w:p w14:paraId="22449AA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0.55657    </w:t>
            </w:r>
          </w:p>
        </w:tc>
        <w:tc>
          <w:tcPr>
            <w:tcW w:w="1427" w:type="dxa"/>
          </w:tcPr>
          <w:p w14:paraId="3CED46B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0.05305   </w:t>
            </w:r>
          </w:p>
        </w:tc>
        <w:tc>
          <w:tcPr>
            <w:tcW w:w="1593" w:type="dxa"/>
            <w:vMerge/>
          </w:tcPr>
          <w:p w14:paraId="75BDC83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0CB6F6F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10.49   </w:t>
            </w:r>
          </w:p>
        </w:tc>
        <w:tc>
          <w:tcPr>
            <w:tcW w:w="1324" w:type="dxa"/>
          </w:tcPr>
          <w:p w14:paraId="622D4DD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2.2e-16</w:t>
            </w:r>
          </w:p>
        </w:tc>
      </w:tr>
    </w:tbl>
    <w:p w14:paraId="375E09D4"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bookmarkEnd w:id="457"/>
    <w:p w14:paraId="2DABE701"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t>
      </w:r>
      <w:bookmarkStart w:id="467" w:name="_Hlk198051505"/>
      <w:r w:rsidRPr="002551A7">
        <w:rPr>
          <w:rFonts w:asciiTheme="majorBidi" w:hAnsiTheme="majorBidi" w:cstheme="majorBidi"/>
          <w:sz w:val="24"/>
          <w:szCs w:val="24"/>
          <w:lang w:val="en-US"/>
        </w:rPr>
        <w:t>According to the previous table we have the significance is less than 0.001 was less than 0.05 This confirms the validity of the linear model.</w:t>
      </w:r>
    </w:p>
    <w:p w14:paraId="36C9D4CD"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Product quality and willingness to try new alternative is a linear model.</w:t>
      </w:r>
    </w:p>
    <w:p w14:paraId="77F5823A"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 = 0.557</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Product quality + 1.85560    </w:t>
      </w:r>
    </w:p>
    <w:p w14:paraId="2091EF65"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0.374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1999C724"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anchor distT="0" distB="0" distL="114300" distR="114300" simplePos="0" relativeHeight="251722752" behindDoc="0" locked="0" layoutInCell="1" allowOverlap="1" wp14:anchorId="1E42A805" wp14:editId="7E349211">
            <wp:simplePos x="0" y="0"/>
            <wp:positionH relativeFrom="margin">
              <wp:align>right</wp:align>
            </wp:positionH>
            <wp:positionV relativeFrom="paragraph">
              <wp:posOffset>295063</wp:posOffset>
            </wp:positionV>
            <wp:extent cx="6035675" cy="1568450"/>
            <wp:effectExtent l="0" t="0" r="3175" b="0"/>
            <wp:wrapTopAndBottom/>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8">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p>
    <w:p w14:paraId="3B797490"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3D7992E7" w14:textId="345BADFF"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68" w:name="_Toc200721777"/>
      <w:bookmarkStart w:id="469" w:name="_Hlk197958641"/>
      <w:bookmarkEnd w:id="467"/>
      <w:r w:rsidRPr="00050632">
        <w:rPr>
          <w:rStyle w:val="Heading5Char"/>
          <w:rFonts w:eastAsiaTheme="minorHAnsi"/>
        </w:rPr>
        <w:t>Price competitiveness-Willigness to try new alternativ</w:t>
      </w:r>
      <w:bookmarkEnd w:id="468"/>
      <w:r w:rsidRPr="00A74231">
        <w:rPr>
          <w:rFonts w:asciiTheme="majorBidi" w:hAnsiTheme="majorBidi" w:cstheme="majorBidi"/>
          <w:b/>
          <w:bCs/>
          <w:sz w:val="24"/>
          <w:szCs w:val="24"/>
          <w:lang w:val="en-US"/>
        </w:rPr>
        <w:t>e</w:t>
      </w:r>
    </w:p>
    <w:p w14:paraId="7C05728B" w14:textId="5EDA4304"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78083B66"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62:</w:t>
      </w:r>
      <w:r w:rsidRPr="002551A7">
        <w:rPr>
          <w:rFonts w:asciiTheme="majorBidi" w:eastAsia="Calibri" w:hAnsiTheme="majorBidi" w:cstheme="majorBidi"/>
          <w:sz w:val="24"/>
          <w:szCs w:val="24"/>
          <w:lang w:val="en-US"/>
        </w:rPr>
        <w:t xml:space="preserve"> Correlation coefficient</w:t>
      </w:r>
    </w:p>
    <w:tbl>
      <w:tblPr>
        <w:tblStyle w:val="TableGrid3"/>
        <w:tblW w:w="0" w:type="auto"/>
        <w:tblInd w:w="1344" w:type="dxa"/>
        <w:tblLook w:val="04A0" w:firstRow="1" w:lastRow="0" w:firstColumn="1" w:lastColumn="0" w:noHBand="0" w:noVBand="1"/>
      </w:tblPr>
      <w:tblGrid>
        <w:gridCol w:w="1803"/>
        <w:gridCol w:w="1792"/>
        <w:gridCol w:w="1807"/>
        <w:gridCol w:w="1831"/>
      </w:tblGrid>
      <w:tr w:rsidR="00AC1791" w:rsidRPr="002551A7" w14:paraId="2256662C" w14:textId="77777777" w:rsidTr="008848B3">
        <w:tc>
          <w:tcPr>
            <w:tcW w:w="1803" w:type="dxa"/>
            <w:vAlign w:val="bottom"/>
          </w:tcPr>
          <w:p w14:paraId="6EDBB076"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7D0D9B2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0E06CE04"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361A19A4"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605ABE55" w14:textId="77777777" w:rsidTr="008848B3">
        <w:tc>
          <w:tcPr>
            <w:tcW w:w="1803" w:type="dxa"/>
          </w:tcPr>
          <w:p w14:paraId="679A654C"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292D011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0.546</w:t>
            </w:r>
          </w:p>
        </w:tc>
        <w:tc>
          <w:tcPr>
            <w:tcW w:w="1807" w:type="dxa"/>
          </w:tcPr>
          <w:p w14:paraId="3E90433F"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0.2976</w:t>
            </w:r>
          </w:p>
        </w:tc>
        <w:tc>
          <w:tcPr>
            <w:tcW w:w="1831" w:type="dxa"/>
          </w:tcPr>
          <w:p w14:paraId="3F70AAF1"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0.2942</w:t>
            </w:r>
          </w:p>
        </w:tc>
      </w:tr>
    </w:tbl>
    <w:p w14:paraId="1444BA78"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70" w:name="_Hlk198055653"/>
      <w:r w:rsidRPr="002551A7">
        <w:rPr>
          <w:rFonts w:asciiTheme="majorBidi" w:hAnsiTheme="majorBidi" w:cstheme="majorBidi"/>
          <w:sz w:val="24"/>
          <w:szCs w:val="24"/>
          <w:lang w:val="en-US"/>
        </w:rPr>
        <w:t>Source: established by the student based on the results of R 4.4.0</w:t>
      </w:r>
    </w:p>
    <w:bookmarkEnd w:id="470"/>
    <w:p w14:paraId="2BB23D2D"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w:t>
      </w:r>
      <w:bookmarkStart w:id="471" w:name="_Hlk198051655"/>
      <w:r w:rsidRPr="002551A7">
        <w:rPr>
          <w:rFonts w:asciiTheme="majorBidi" w:eastAsia="Calibri" w:hAnsiTheme="majorBidi" w:cstheme="majorBidi"/>
          <w:sz w:val="24"/>
          <w:szCs w:val="24"/>
          <w:lang w:val="en-US"/>
        </w:rPr>
        <w:t>We note that the coefficient of determination R squared = 0.2976 (</w:t>
      </w:r>
      <w:bookmarkStart w:id="472" w:name="_Hlk198051405"/>
      <w:r w:rsidRPr="002551A7">
        <w:rPr>
          <w:rFonts w:asciiTheme="majorBidi" w:eastAsia="Calibri" w:hAnsiTheme="majorBidi" w:cstheme="majorBidi"/>
          <w:sz w:val="24"/>
          <w:szCs w:val="24"/>
          <w:lang w:val="en-US"/>
        </w:rPr>
        <w:t xml:space="preserve">Price competitiveness </w:t>
      </w:r>
      <w:bookmarkEnd w:id="472"/>
      <w:r w:rsidRPr="002551A7">
        <w:rPr>
          <w:rFonts w:asciiTheme="majorBidi" w:eastAsia="Calibri" w:hAnsiTheme="majorBidi" w:cstheme="majorBidi"/>
          <w:sz w:val="24"/>
          <w:szCs w:val="24"/>
          <w:lang w:val="en-US"/>
        </w:rPr>
        <w:t xml:space="preserve">explain 29.76% of the Price competitiveness). This indicates that the component or dimension of Price competitiveness affects the willingness to try new alternative and the correlation coefficient reached R=0.546, indicating that there is a moderate direct relationship between </w:t>
      </w:r>
      <w:bookmarkStart w:id="473" w:name="_Hlk198051550"/>
      <w:r w:rsidRPr="002551A7">
        <w:rPr>
          <w:rFonts w:asciiTheme="majorBidi" w:eastAsia="Calibri" w:hAnsiTheme="majorBidi" w:cstheme="majorBidi"/>
          <w:sz w:val="24"/>
          <w:szCs w:val="24"/>
          <w:lang w:val="en-US"/>
        </w:rPr>
        <w:t xml:space="preserve">Price competitiveness </w:t>
      </w:r>
      <w:bookmarkEnd w:id="473"/>
      <w:r w:rsidRPr="002551A7">
        <w:rPr>
          <w:rFonts w:asciiTheme="majorBidi" w:eastAsia="Calibri" w:hAnsiTheme="majorBidi" w:cstheme="majorBidi"/>
          <w:sz w:val="24"/>
          <w:szCs w:val="24"/>
          <w:lang w:val="en-US"/>
        </w:rPr>
        <w:t>and willingness to try new alternative with a rate of 54.6%.</w:t>
      </w:r>
      <w:bookmarkEnd w:id="471"/>
    </w:p>
    <w:p w14:paraId="6FE1A7EF" w14:textId="5B1D8A30"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3EF46BB1"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63 :</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73"/>
        <w:gridCol w:w="1763"/>
        <w:gridCol w:w="1364"/>
        <w:gridCol w:w="1362"/>
        <w:gridCol w:w="1467"/>
        <w:gridCol w:w="1291"/>
        <w:gridCol w:w="1242"/>
      </w:tblGrid>
      <w:tr w:rsidR="00AC1791" w:rsidRPr="002551A7" w14:paraId="72D6763C" w14:textId="77777777" w:rsidTr="00923DE7">
        <w:tc>
          <w:tcPr>
            <w:tcW w:w="1945" w:type="dxa"/>
            <w:gridSpan w:val="2"/>
            <w:vMerge w:val="restart"/>
            <w:vAlign w:val="bottom"/>
          </w:tcPr>
          <w:p w14:paraId="41D4467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07A0CD14"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3EE83D6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6E894B2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2415C94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44985024" w14:textId="77777777" w:rsidTr="00923DE7">
        <w:tc>
          <w:tcPr>
            <w:tcW w:w="1945" w:type="dxa"/>
            <w:gridSpan w:val="2"/>
            <w:vMerge/>
            <w:vAlign w:val="bottom"/>
          </w:tcPr>
          <w:p w14:paraId="2882E1C5"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401C13B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102D2275"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2E8FA73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580EB21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46D3C0C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2294009A" w14:textId="77777777" w:rsidTr="00923DE7">
        <w:tc>
          <w:tcPr>
            <w:tcW w:w="595" w:type="dxa"/>
            <w:vMerge w:val="restart"/>
          </w:tcPr>
          <w:p w14:paraId="22473C7D"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21E83EDC"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65C04148"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74" w:name="_Hlk198051612"/>
            <w:r w:rsidRPr="002551A7">
              <w:rPr>
                <w:rFonts w:asciiTheme="majorBidi" w:eastAsia="Calibri" w:hAnsiTheme="majorBidi" w:cstheme="majorBidi"/>
                <w:color w:val="000000"/>
                <w:sz w:val="24"/>
                <w:szCs w:val="24"/>
                <w:lang w:val="fr-FR"/>
              </w:rPr>
              <w:t xml:space="preserve">2.0016     </w:t>
            </w:r>
            <w:bookmarkEnd w:id="474"/>
          </w:p>
        </w:tc>
        <w:tc>
          <w:tcPr>
            <w:tcW w:w="1427" w:type="dxa"/>
          </w:tcPr>
          <w:p w14:paraId="1B954C5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0.1777  </w:t>
            </w:r>
          </w:p>
        </w:tc>
        <w:tc>
          <w:tcPr>
            <w:tcW w:w="1593" w:type="dxa"/>
            <w:vMerge w:val="restart"/>
            <w:vAlign w:val="center"/>
          </w:tcPr>
          <w:p w14:paraId="499D54C8"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87.28</w:t>
            </w:r>
          </w:p>
        </w:tc>
        <w:tc>
          <w:tcPr>
            <w:tcW w:w="1343" w:type="dxa"/>
          </w:tcPr>
          <w:p w14:paraId="33CA4D94"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11.260   </w:t>
            </w:r>
          </w:p>
        </w:tc>
        <w:tc>
          <w:tcPr>
            <w:tcW w:w="1324" w:type="dxa"/>
          </w:tcPr>
          <w:p w14:paraId="730F073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2F4F47A0" w14:textId="77777777" w:rsidTr="00597A38">
        <w:trPr>
          <w:trHeight w:val="1387"/>
        </w:trPr>
        <w:tc>
          <w:tcPr>
            <w:tcW w:w="595" w:type="dxa"/>
            <w:vMerge/>
          </w:tcPr>
          <w:p w14:paraId="22E7DC1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33F3A83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Price competitiveness</w:t>
            </w:r>
          </w:p>
        </w:tc>
        <w:tc>
          <w:tcPr>
            <w:tcW w:w="1430" w:type="dxa"/>
          </w:tcPr>
          <w:p w14:paraId="2589067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0.5007     </w:t>
            </w:r>
          </w:p>
        </w:tc>
        <w:tc>
          <w:tcPr>
            <w:tcW w:w="1427" w:type="dxa"/>
          </w:tcPr>
          <w:p w14:paraId="14CAF8A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0.0536   </w:t>
            </w:r>
          </w:p>
        </w:tc>
        <w:tc>
          <w:tcPr>
            <w:tcW w:w="1593" w:type="dxa"/>
            <w:vMerge/>
          </w:tcPr>
          <w:p w14:paraId="49B2C3B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6A0B062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9.342   </w:t>
            </w:r>
          </w:p>
        </w:tc>
        <w:tc>
          <w:tcPr>
            <w:tcW w:w="1324" w:type="dxa"/>
          </w:tcPr>
          <w:p w14:paraId="43F86C6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&lt; 2.2e-16</w:t>
            </w:r>
          </w:p>
          <w:p w14:paraId="2C644C0B"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p w14:paraId="1EC60F8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bl>
    <w:p w14:paraId="0F7B8FD5"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75" w:name="_Hlk198055831"/>
      <w:r w:rsidRPr="002551A7">
        <w:rPr>
          <w:rFonts w:asciiTheme="majorBidi" w:hAnsiTheme="majorBidi" w:cstheme="majorBidi"/>
          <w:sz w:val="24"/>
          <w:szCs w:val="24"/>
          <w:lang w:val="en-US"/>
        </w:rPr>
        <w:t>Source: established by the student based on the results of R 4.4.0</w:t>
      </w:r>
    </w:p>
    <w:p w14:paraId="12499587"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76" w:name="_Hlk198051801"/>
      <w:bookmarkStart w:id="477" w:name="_Hlk197958884"/>
      <w:bookmarkEnd w:id="469"/>
      <w:bookmarkEnd w:id="475"/>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2BFA29E5"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Price competitiveness and willingness to try new alternative is a linear model.</w:t>
      </w:r>
    </w:p>
    <w:p w14:paraId="37260577"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 = 0.501</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Price competitiveness + 2.0016     </w:t>
      </w:r>
    </w:p>
    <w:p w14:paraId="48AC86D0"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0.501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1DBCB893"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noProof/>
          <w:sz w:val="24"/>
          <w:szCs w:val="24"/>
          <w:lang w:val="en-US"/>
        </w:rPr>
        <w:drawing>
          <wp:inline distT="0" distB="0" distL="0" distR="0" wp14:anchorId="41D4969A" wp14:editId="13A278AD">
            <wp:extent cx="6035675" cy="1568450"/>
            <wp:effectExtent l="0" t="0" r="3175"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9">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inline>
        </w:drawing>
      </w:r>
    </w:p>
    <w:bookmarkEnd w:id="476"/>
    <w:p w14:paraId="6C019F2A"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1543FE34" w14:textId="7115CA84"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78" w:name="_Toc200721778"/>
      <w:r w:rsidRPr="00050632">
        <w:rPr>
          <w:rStyle w:val="Heading5Char"/>
          <w:rFonts w:eastAsiaTheme="minorHAnsi"/>
        </w:rPr>
        <w:t>Cultural alignment-Willigness to try new alternativ</w:t>
      </w:r>
      <w:bookmarkEnd w:id="478"/>
      <w:r w:rsidRPr="00A74231">
        <w:rPr>
          <w:rFonts w:asciiTheme="majorBidi" w:hAnsiTheme="majorBidi" w:cstheme="majorBidi"/>
          <w:b/>
          <w:bCs/>
          <w:sz w:val="24"/>
          <w:szCs w:val="24"/>
          <w:lang w:val="en-US"/>
        </w:rPr>
        <w:t>e</w:t>
      </w:r>
    </w:p>
    <w:p w14:paraId="6C7BD2C0" w14:textId="07B052AC"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655102FD"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 xml:space="preserve">Table 64: </w:t>
      </w:r>
      <w:r w:rsidRPr="002551A7">
        <w:rPr>
          <w:rFonts w:asciiTheme="majorBidi" w:eastAsia="Calibri" w:hAnsiTheme="majorBidi" w:cstheme="majorBidi"/>
          <w:sz w:val="24"/>
          <w:szCs w:val="24"/>
          <w:lang w:val="en-US"/>
        </w:rPr>
        <w:t>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79AA3599" w14:textId="77777777" w:rsidTr="00923DE7">
        <w:tc>
          <w:tcPr>
            <w:tcW w:w="1803" w:type="dxa"/>
            <w:vAlign w:val="bottom"/>
          </w:tcPr>
          <w:p w14:paraId="6FEC8BD5"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60BD681B"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5D4FCC38"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595A5636"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220B3EA7" w14:textId="77777777" w:rsidTr="00923DE7">
        <w:tc>
          <w:tcPr>
            <w:tcW w:w="1803" w:type="dxa"/>
          </w:tcPr>
          <w:p w14:paraId="11D72293" w14:textId="77777777" w:rsidR="00AC1791" w:rsidRPr="002551A7" w:rsidRDefault="00AC1791" w:rsidP="002551A7">
            <w:pPr>
              <w:spacing w:line="360" w:lineRule="auto"/>
              <w:ind w:left="60" w:right="60"/>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05561BC7"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0.5341</w:t>
            </w:r>
          </w:p>
        </w:tc>
        <w:tc>
          <w:tcPr>
            <w:tcW w:w="1807" w:type="dxa"/>
          </w:tcPr>
          <w:p w14:paraId="53744183"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0.2852</w:t>
            </w:r>
          </w:p>
        </w:tc>
        <w:tc>
          <w:tcPr>
            <w:tcW w:w="1831" w:type="dxa"/>
          </w:tcPr>
          <w:p w14:paraId="2E021C7A" w14:textId="77777777" w:rsidR="00AC1791" w:rsidRPr="002551A7" w:rsidRDefault="00AC1791" w:rsidP="002551A7">
            <w:pPr>
              <w:spacing w:line="360" w:lineRule="auto"/>
              <w:ind w:left="60" w:right="60"/>
              <w:jc w:val="center"/>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0.2818</w:t>
            </w:r>
          </w:p>
        </w:tc>
      </w:tr>
    </w:tbl>
    <w:p w14:paraId="246F4757"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5C1090B2"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We note that the coefficient of determination R squared = 0.2852 (</w:t>
      </w:r>
      <w:bookmarkStart w:id="479" w:name="_Hlk198051722"/>
      <w:r w:rsidRPr="002551A7">
        <w:rPr>
          <w:rFonts w:asciiTheme="majorBidi" w:eastAsia="Calibri" w:hAnsiTheme="majorBidi" w:cstheme="majorBidi"/>
          <w:sz w:val="24"/>
          <w:szCs w:val="24"/>
          <w:lang w:val="en-US"/>
        </w:rPr>
        <w:t xml:space="preserve">cultural alignment </w:t>
      </w:r>
      <w:bookmarkEnd w:id="479"/>
      <w:r w:rsidRPr="002551A7">
        <w:rPr>
          <w:rFonts w:asciiTheme="majorBidi" w:eastAsia="Calibri" w:hAnsiTheme="majorBidi" w:cstheme="majorBidi"/>
          <w:sz w:val="24"/>
          <w:szCs w:val="24"/>
          <w:lang w:val="en-US"/>
        </w:rPr>
        <w:t xml:space="preserve">explain 29.76% of the willingness to try new alternative). This indicates that the component or dimension of cultural alignment affects the willingness to try new alternative and the correlation coefficient reached R=0.5341, indicating that there is a moderate direct relationship between </w:t>
      </w:r>
      <w:bookmarkStart w:id="480" w:name="_Hlk198051877"/>
      <w:r w:rsidRPr="002551A7">
        <w:rPr>
          <w:rFonts w:asciiTheme="majorBidi" w:eastAsia="Calibri" w:hAnsiTheme="majorBidi" w:cstheme="majorBidi"/>
          <w:sz w:val="24"/>
          <w:szCs w:val="24"/>
          <w:lang w:val="en-US"/>
        </w:rPr>
        <w:t>cultural alignmen</w:t>
      </w:r>
      <w:bookmarkEnd w:id="480"/>
      <w:r w:rsidRPr="002551A7">
        <w:rPr>
          <w:rFonts w:asciiTheme="majorBidi" w:eastAsia="Calibri" w:hAnsiTheme="majorBidi" w:cstheme="majorBidi"/>
          <w:sz w:val="24"/>
          <w:szCs w:val="24"/>
          <w:lang w:val="en-US"/>
        </w:rPr>
        <w:t xml:space="preserve">t and </w:t>
      </w:r>
      <w:bookmarkStart w:id="481" w:name="_Hlk198052304"/>
      <w:r w:rsidRPr="002551A7">
        <w:rPr>
          <w:rFonts w:asciiTheme="majorBidi" w:eastAsia="Calibri" w:hAnsiTheme="majorBidi" w:cstheme="majorBidi"/>
          <w:sz w:val="24"/>
          <w:szCs w:val="24"/>
          <w:lang w:val="en-US"/>
        </w:rPr>
        <w:t xml:space="preserve">willingness to try new alternative </w:t>
      </w:r>
      <w:bookmarkEnd w:id="481"/>
      <w:r w:rsidRPr="002551A7">
        <w:rPr>
          <w:rFonts w:asciiTheme="majorBidi" w:eastAsia="Calibri" w:hAnsiTheme="majorBidi" w:cstheme="majorBidi"/>
          <w:sz w:val="24"/>
          <w:szCs w:val="24"/>
          <w:lang w:val="en-US"/>
        </w:rPr>
        <w:t>with a rate of 53.41%.</w:t>
      </w:r>
    </w:p>
    <w:p w14:paraId="028BF06F" w14:textId="70EA41F9"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4D9377CA"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65 :</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5"/>
        <w:gridCol w:w="1350"/>
        <w:gridCol w:w="1430"/>
        <w:gridCol w:w="1427"/>
        <w:gridCol w:w="1593"/>
        <w:gridCol w:w="1343"/>
        <w:gridCol w:w="1324"/>
      </w:tblGrid>
      <w:tr w:rsidR="00AC1791" w:rsidRPr="002551A7" w14:paraId="062C92AB" w14:textId="77777777" w:rsidTr="00923DE7">
        <w:tc>
          <w:tcPr>
            <w:tcW w:w="1945" w:type="dxa"/>
            <w:gridSpan w:val="2"/>
            <w:vMerge w:val="restart"/>
            <w:vAlign w:val="bottom"/>
          </w:tcPr>
          <w:p w14:paraId="2D675355"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6FF4B147"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1941E2F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0FADB07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1558AE8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14F803A6" w14:textId="77777777" w:rsidTr="00923DE7">
        <w:tc>
          <w:tcPr>
            <w:tcW w:w="1945" w:type="dxa"/>
            <w:gridSpan w:val="2"/>
            <w:vMerge/>
            <w:vAlign w:val="bottom"/>
          </w:tcPr>
          <w:p w14:paraId="770355E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5602759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3765645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47C7329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3FEC0A7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5D5B5C7D"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1D3A9769" w14:textId="77777777" w:rsidTr="00923DE7">
        <w:tc>
          <w:tcPr>
            <w:tcW w:w="595" w:type="dxa"/>
            <w:vMerge w:val="restart"/>
          </w:tcPr>
          <w:p w14:paraId="09B0C1C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5D0704A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71494856"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82" w:name="_Hlk198051960"/>
            <w:r w:rsidRPr="002551A7">
              <w:rPr>
                <w:rFonts w:asciiTheme="majorBidi" w:eastAsia="Calibri" w:hAnsiTheme="majorBidi" w:cstheme="majorBidi"/>
                <w:color w:val="000000"/>
                <w:sz w:val="24"/>
                <w:szCs w:val="24"/>
                <w:lang w:val="fr-FR"/>
              </w:rPr>
              <w:t xml:space="preserve">2.12913    </w:t>
            </w:r>
            <w:bookmarkEnd w:id="482"/>
          </w:p>
        </w:tc>
        <w:tc>
          <w:tcPr>
            <w:tcW w:w="1427" w:type="dxa"/>
          </w:tcPr>
          <w:p w14:paraId="2368FFC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0.16942  </w:t>
            </w:r>
          </w:p>
        </w:tc>
        <w:tc>
          <w:tcPr>
            <w:tcW w:w="1593" w:type="dxa"/>
            <w:vMerge w:val="restart"/>
            <w:vAlign w:val="center"/>
          </w:tcPr>
          <w:p w14:paraId="0E287A57"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82.21</w:t>
            </w:r>
          </w:p>
        </w:tc>
        <w:tc>
          <w:tcPr>
            <w:tcW w:w="1343" w:type="dxa"/>
          </w:tcPr>
          <w:p w14:paraId="41EA0C4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12.567</w:t>
            </w:r>
          </w:p>
        </w:tc>
        <w:tc>
          <w:tcPr>
            <w:tcW w:w="1324" w:type="dxa"/>
          </w:tcPr>
          <w:p w14:paraId="4AE70F16"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&lt;2e-16</w:t>
            </w:r>
          </w:p>
        </w:tc>
      </w:tr>
      <w:tr w:rsidR="00AC1791" w:rsidRPr="002551A7" w14:paraId="6FCD1208" w14:textId="77777777" w:rsidTr="00923DE7">
        <w:tc>
          <w:tcPr>
            <w:tcW w:w="595" w:type="dxa"/>
            <w:vMerge/>
          </w:tcPr>
          <w:p w14:paraId="6BCF578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0C5CF13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Cultural alignment</w:t>
            </w:r>
          </w:p>
        </w:tc>
        <w:tc>
          <w:tcPr>
            <w:tcW w:w="1430" w:type="dxa"/>
          </w:tcPr>
          <w:p w14:paraId="649DAC0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0.46949</w:t>
            </w:r>
          </w:p>
        </w:tc>
        <w:tc>
          <w:tcPr>
            <w:tcW w:w="1427" w:type="dxa"/>
          </w:tcPr>
          <w:p w14:paraId="0FDE8B5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0.05178   </w:t>
            </w:r>
          </w:p>
        </w:tc>
        <w:tc>
          <w:tcPr>
            <w:tcW w:w="1593" w:type="dxa"/>
            <w:vMerge/>
          </w:tcPr>
          <w:p w14:paraId="6793BAC1"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29706285"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 xml:space="preserve">9.067   </w:t>
            </w:r>
          </w:p>
        </w:tc>
        <w:tc>
          <w:tcPr>
            <w:tcW w:w="1324" w:type="dxa"/>
          </w:tcPr>
          <w:p w14:paraId="57804B1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2.2e-16</w:t>
            </w:r>
          </w:p>
        </w:tc>
      </w:tr>
    </w:tbl>
    <w:p w14:paraId="2939BFF5"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2785E802" w14:textId="77777777" w:rsidR="00AC1791" w:rsidRPr="002551A7" w:rsidRDefault="00AC1791" w:rsidP="002551A7">
      <w:pPr>
        <w:spacing w:before="240" w:line="360" w:lineRule="auto"/>
        <w:jc w:val="both"/>
        <w:rPr>
          <w:rFonts w:asciiTheme="majorBidi" w:hAnsiTheme="majorBidi" w:cstheme="majorBidi"/>
          <w:sz w:val="24"/>
          <w:szCs w:val="24"/>
          <w:lang w:val="en-US"/>
        </w:rPr>
      </w:pPr>
      <w:bookmarkStart w:id="483" w:name="_Hlk198052434"/>
      <w:bookmarkEnd w:id="477"/>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57224B93"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cultural alignment and willingness to try new alternative is a linear model.</w:t>
      </w:r>
    </w:p>
    <w:p w14:paraId="59BA1EBE"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 = 0.469</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Cultural alignment + 2.12913    </w:t>
      </w:r>
    </w:p>
    <w:p w14:paraId="543A3EC8"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0.469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59875DBD" w14:textId="0EEBC048" w:rsidR="00AC1791" w:rsidRPr="00A74231" w:rsidRDefault="00AC1791" w:rsidP="00A74231">
      <w:pPr>
        <w:pStyle w:val="ListParagraph"/>
        <w:numPr>
          <w:ilvl w:val="2"/>
          <w:numId w:val="39"/>
        </w:numPr>
        <w:spacing w:before="240" w:line="360" w:lineRule="auto"/>
        <w:jc w:val="both"/>
        <w:rPr>
          <w:rFonts w:asciiTheme="majorBidi" w:hAnsiTheme="majorBidi" w:cstheme="majorBidi"/>
          <w:b/>
          <w:bCs/>
          <w:sz w:val="24"/>
          <w:szCs w:val="24"/>
          <w:lang w:val="en-US"/>
        </w:rPr>
      </w:pPr>
      <w:bookmarkStart w:id="484" w:name="_Toc200721779"/>
      <w:bookmarkEnd w:id="483"/>
      <w:r w:rsidRPr="00050632">
        <w:rPr>
          <w:rStyle w:val="Heading5Char"/>
          <w:rFonts w:eastAsiaTheme="minorHAnsi"/>
        </w:rPr>
        <w:t>Availibility- Willigness to try new alternativ</w:t>
      </w:r>
      <w:bookmarkEnd w:id="484"/>
      <w:r w:rsidRPr="00A74231">
        <w:rPr>
          <w:rFonts w:asciiTheme="majorBidi" w:hAnsiTheme="majorBidi" w:cstheme="majorBidi"/>
          <w:b/>
          <w:bCs/>
          <w:sz w:val="24"/>
          <w:szCs w:val="24"/>
          <w:lang w:val="en-US"/>
        </w:rPr>
        <w:t>e</w:t>
      </w:r>
    </w:p>
    <w:p w14:paraId="392408C2" w14:textId="1A17F90B"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lang w:val="en-US"/>
        </w:rPr>
      </w:pPr>
      <w:r w:rsidRPr="00A74231">
        <w:rPr>
          <w:rFonts w:asciiTheme="majorBidi" w:eastAsia="Calibri" w:hAnsiTheme="majorBidi" w:cstheme="majorBidi"/>
          <w:b/>
          <w:bCs/>
          <w:sz w:val="24"/>
          <w:szCs w:val="24"/>
          <w:lang w:val="en-US"/>
        </w:rPr>
        <w:t>Correlation coefficient (R square) (R-square)</w:t>
      </w:r>
    </w:p>
    <w:p w14:paraId="3670BFF0" w14:textId="77777777" w:rsidR="00AC1791" w:rsidRPr="002551A7" w:rsidRDefault="00AC1791" w:rsidP="002551A7">
      <w:pPr>
        <w:spacing w:after="200" w:line="360" w:lineRule="auto"/>
        <w:jc w:val="center"/>
        <w:rPr>
          <w:rFonts w:asciiTheme="majorBidi" w:eastAsia="Calibri" w:hAnsiTheme="majorBidi" w:cstheme="majorBidi"/>
          <w:sz w:val="24"/>
          <w:szCs w:val="24"/>
          <w:lang w:val="en-US"/>
        </w:rPr>
      </w:pPr>
      <w:r w:rsidRPr="002551A7">
        <w:rPr>
          <w:rFonts w:asciiTheme="majorBidi" w:eastAsia="Calibri" w:hAnsiTheme="majorBidi" w:cstheme="majorBidi"/>
          <w:b/>
          <w:bCs/>
          <w:sz w:val="24"/>
          <w:szCs w:val="24"/>
          <w:lang w:val="en-US"/>
        </w:rPr>
        <w:t>Table 66:</w:t>
      </w:r>
      <w:r w:rsidRPr="002551A7">
        <w:rPr>
          <w:rFonts w:asciiTheme="majorBidi" w:eastAsia="Calibri" w:hAnsiTheme="majorBidi" w:cstheme="majorBidi"/>
          <w:sz w:val="24"/>
          <w:szCs w:val="24"/>
          <w:lang w:val="en-US"/>
        </w:rPr>
        <w:t xml:space="preserve"> Correlation coefficient</w:t>
      </w:r>
    </w:p>
    <w:tbl>
      <w:tblPr>
        <w:tblStyle w:val="TableGrid3"/>
        <w:tblW w:w="0" w:type="auto"/>
        <w:tblInd w:w="909" w:type="dxa"/>
        <w:tblLook w:val="04A0" w:firstRow="1" w:lastRow="0" w:firstColumn="1" w:lastColumn="0" w:noHBand="0" w:noVBand="1"/>
      </w:tblPr>
      <w:tblGrid>
        <w:gridCol w:w="1803"/>
        <w:gridCol w:w="1792"/>
        <w:gridCol w:w="1807"/>
        <w:gridCol w:w="1831"/>
      </w:tblGrid>
      <w:tr w:rsidR="00AC1791" w:rsidRPr="002551A7" w14:paraId="1322E972" w14:textId="77777777" w:rsidTr="00923DE7">
        <w:tc>
          <w:tcPr>
            <w:tcW w:w="1803" w:type="dxa"/>
            <w:vAlign w:val="bottom"/>
          </w:tcPr>
          <w:p w14:paraId="1E801C47"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rPr>
              <w:t>Model</w:t>
            </w:r>
          </w:p>
        </w:tc>
        <w:tc>
          <w:tcPr>
            <w:tcW w:w="1792" w:type="dxa"/>
            <w:vAlign w:val="bottom"/>
          </w:tcPr>
          <w:p w14:paraId="33C98B36"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rPr>
              <w:t>R</w:t>
            </w:r>
          </w:p>
        </w:tc>
        <w:tc>
          <w:tcPr>
            <w:tcW w:w="1807" w:type="dxa"/>
            <w:vAlign w:val="bottom"/>
          </w:tcPr>
          <w:p w14:paraId="55EE7207"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rPr>
              <w:t>R Squared</w:t>
            </w:r>
          </w:p>
        </w:tc>
        <w:tc>
          <w:tcPr>
            <w:tcW w:w="1831" w:type="dxa"/>
            <w:vAlign w:val="bottom"/>
          </w:tcPr>
          <w:p w14:paraId="37996776"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rPr>
              <w:t>Adjusted R Squareed</w:t>
            </w:r>
          </w:p>
        </w:tc>
      </w:tr>
      <w:tr w:rsidR="00AC1791" w:rsidRPr="002551A7" w14:paraId="1AFCB164" w14:textId="77777777" w:rsidTr="00923DE7">
        <w:tc>
          <w:tcPr>
            <w:tcW w:w="1803" w:type="dxa"/>
          </w:tcPr>
          <w:p w14:paraId="3D626A25"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rPr>
              <w:t>1</w:t>
            </w:r>
          </w:p>
        </w:tc>
        <w:tc>
          <w:tcPr>
            <w:tcW w:w="1792" w:type="dxa"/>
          </w:tcPr>
          <w:p w14:paraId="038EDBF8"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0.4922</w:t>
            </w:r>
          </w:p>
        </w:tc>
        <w:tc>
          <w:tcPr>
            <w:tcW w:w="1807" w:type="dxa"/>
          </w:tcPr>
          <w:p w14:paraId="1A997A5C"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0.2423</w:t>
            </w:r>
          </w:p>
        </w:tc>
        <w:tc>
          <w:tcPr>
            <w:tcW w:w="1831" w:type="dxa"/>
          </w:tcPr>
          <w:p w14:paraId="0CF7D6EB" w14:textId="77777777" w:rsidR="00AC1791" w:rsidRPr="002551A7" w:rsidRDefault="00AC1791" w:rsidP="002551A7">
            <w:pPr>
              <w:spacing w:line="360" w:lineRule="auto"/>
              <w:ind w:left="60" w:right="60"/>
              <w:jc w:val="both"/>
              <w:rPr>
                <w:rFonts w:asciiTheme="majorBidi" w:eastAsia="Calibri" w:hAnsiTheme="majorBidi" w:cstheme="majorBidi"/>
                <w:sz w:val="24"/>
                <w:szCs w:val="24"/>
              </w:rPr>
            </w:pPr>
            <w:r w:rsidRPr="002551A7">
              <w:rPr>
                <w:rFonts w:asciiTheme="majorBidi" w:eastAsia="Calibri" w:hAnsiTheme="majorBidi" w:cstheme="majorBidi"/>
                <w:sz w:val="24"/>
                <w:szCs w:val="24"/>
                <w:lang w:val="fr-FR"/>
              </w:rPr>
              <w:t>0.2386</w:t>
            </w:r>
          </w:p>
        </w:tc>
      </w:tr>
    </w:tbl>
    <w:p w14:paraId="6B2E0FC2" w14:textId="77777777" w:rsidR="00AC1791" w:rsidRPr="002551A7" w:rsidRDefault="00AC1791" w:rsidP="002551A7">
      <w:pPr>
        <w:spacing w:line="360" w:lineRule="auto"/>
        <w:ind w:left="720"/>
        <w:jc w:val="center"/>
        <w:rPr>
          <w:rFonts w:asciiTheme="majorBidi" w:hAnsiTheme="majorBidi" w:cstheme="majorBidi"/>
          <w:sz w:val="24"/>
          <w:szCs w:val="24"/>
          <w:lang w:val="en-US"/>
        </w:rPr>
      </w:pPr>
      <w:r w:rsidRPr="002551A7">
        <w:rPr>
          <w:rFonts w:asciiTheme="majorBidi" w:hAnsiTheme="majorBidi" w:cstheme="majorBidi"/>
          <w:sz w:val="24"/>
          <w:szCs w:val="24"/>
          <w:lang w:val="en-US"/>
        </w:rPr>
        <w:t>Source: established by the student based on the results of R 4.4.0</w:t>
      </w:r>
    </w:p>
    <w:p w14:paraId="611F7BC9" w14:textId="77777777" w:rsidR="00AC1791" w:rsidRPr="002551A7" w:rsidRDefault="00AC1791" w:rsidP="002551A7">
      <w:pPr>
        <w:spacing w:after="200" w:line="360" w:lineRule="auto"/>
        <w:jc w:val="both"/>
        <w:rPr>
          <w:rFonts w:asciiTheme="majorBidi" w:eastAsia="Calibri" w:hAnsiTheme="majorBidi" w:cstheme="majorBidi"/>
          <w:sz w:val="24"/>
          <w:szCs w:val="24"/>
          <w:lang w:val="en-US"/>
        </w:rPr>
      </w:pPr>
      <w:r w:rsidRPr="002551A7">
        <w:rPr>
          <w:rFonts w:asciiTheme="majorBidi" w:eastAsia="Calibri" w:hAnsiTheme="majorBidi" w:cstheme="majorBidi"/>
          <w:sz w:val="24"/>
          <w:szCs w:val="24"/>
          <w:lang w:val="en-US"/>
        </w:rPr>
        <w:t xml:space="preserve">  We note that the coefficient of determination R squared = 0.2423 (</w:t>
      </w:r>
      <w:bookmarkStart w:id="485" w:name="_Hlk198052487"/>
      <w:bookmarkStart w:id="486" w:name="_Hlk198052347"/>
      <w:r w:rsidRPr="002551A7">
        <w:rPr>
          <w:rFonts w:asciiTheme="majorBidi" w:eastAsia="Calibri" w:hAnsiTheme="majorBidi" w:cstheme="majorBidi"/>
          <w:sz w:val="24"/>
          <w:szCs w:val="24"/>
          <w:lang w:val="en-US"/>
        </w:rPr>
        <w:t>availability and accessibility</w:t>
      </w:r>
      <w:bookmarkEnd w:id="485"/>
      <w:r w:rsidRPr="002551A7">
        <w:rPr>
          <w:rFonts w:asciiTheme="majorBidi" w:eastAsia="Calibri" w:hAnsiTheme="majorBidi" w:cstheme="majorBidi"/>
          <w:sz w:val="24"/>
          <w:szCs w:val="24"/>
          <w:lang w:val="en-US"/>
        </w:rPr>
        <w:t xml:space="preserve"> </w:t>
      </w:r>
      <w:bookmarkEnd w:id="486"/>
      <w:r w:rsidRPr="002551A7">
        <w:rPr>
          <w:rFonts w:asciiTheme="majorBidi" w:eastAsia="Calibri" w:hAnsiTheme="majorBidi" w:cstheme="majorBidi"/>
          <w:sz w:val="24"/>
          <w:szCs w:val="24"/>
          <w:lang w:val="en-US"/>
        </w:rPr>
        <w:t>explain 24.23% of the willingness to try new alternative). This indicates that the component or dimension of availability and accessibility affects the willingness to try new alternative and the correlation coefficient reached R=0.4922, indicating that there is a weak direct relationship between availability and accessibility and willingness to try new alternative with a rate of 53.41%.</w:t>
      </w:r>
    </w:p>
    <w:p w14:paraId="0FDCC708" w14:textId="7D8F9590" w:rsidR="00AC1791" w:rsidRPr="00A74231" w:rsidRDefault="00AC1791" w:rsidP="00413B73">
      <w:pPr>
        <w:pStyle w:val="ListParagraph"/>
        <w:numPr>
          <w:ilvl w:val="0"/>
          <w:numId w:val="52"/>
        </w:numPr>
        <w:spacing w:after="200" w:line="360" w:lineRule="auto"/>
        <w:jc w:val="both"/>
        <w:rPr>
          <w:rFonts w:asciiTheme="majorBidi" w:eastAsia="Calibri" w:hAnsiTheme="majorBidi" w:cstheme="majorBidi"/>
          <w:b/>
          <w:bCs/>
          <w:sz w:val="24"/>
          <w:szCs w:val="24"/>
        </w:rPr>
      </w:pPr>
      <w:r w:rsidRPr="00A74231">
        <w:rPr>
          <w:rFonts w:asciiTheme="majorBidi" w:eastAsia="Calibri" w:hAnsiTheme="majorBidi" w:cstheme="majorBidi"/>
          <w:b/>
          <w:bCs/>
          <w:sz w:val="24"/>
          <w:szCs w:val="24"/>
        </w:rPr>
        <w:t>Regression coefficients</w:t>
      </w:r>
    </w:p>
    <w:p w14:paraId="23CC3ECC" w14:textId="77777777" w:rsidR="00AC1791" w:rsidRPr="002551A7" w:rsidRDefault="00AC1791" w:rsidP="002551A7">
      <w:pPr>
        <w:spacing w:after="200" w:line="360" w:lineRule="auto"/>
        <w:jc w:val="center"/>
        <w:rPr>
          <w:rFonts w:asciiTheme="majorBidi" w:eastAsia="Calibri" w:hAnsiTheme="majorBidi" w:cstheme="majorBidi"/>
          <w:sz w:val="24"/>
          <w:szCs w:val="24"/>
        </w:rPr>
      </w:pPr>
      <w:r w:rsidRPr="002551A7">
        <w:rPr>
          <w:rFonts w:asciiTheme="majorBidi" w:eastAsia="Calibri" w:hAnsiTheme="majorBidi" w:cstheme="majorBidi"/>
          <w:b/>
          <w:bCs/>
          <w:sz w:val="24"/>
          <w:szCs w:val="24"/>
        </w:rPr>
        <w:t>Table 67 :</w:t>
      </w:r>
      <w:r w:rsidRPr="002551A7">
        <w:rPr>
          <w:rFonts w:asciiTheme="majorBidi" w:eastAsia="Calibri" w:hAnsiTheme="majorBidi" w:cstheme="majorBidi"/>
          <w:sz w:val="24"/>
          <w:szCs w:val="24"/>
        </w:rPr>
        <w:t xml:space="preserve"> Regression coefficients</w:t>
      </w:r>
    </w:p>
    <w:tbl>
      <w:tblPr>
        <w:tblStyle w:val="TableGrid4"/>
        <w:tblW w:w="0" w:type="auto"/>
        <w:tblLook w:val="04A0" w:firstRow="1" w:lastRow="0" w:firstColumn="1" w:lastColumn="0" w:noHBand="0" w:noVBand="1"/>
      </w:tblPr>
      <w:tblGrid>
        <w:gridCol w:w="592"/>
        <w:gridCol w:w="1403"/>
        <w:gridCol w:w="1423"/>
        <w:gridCol w:w="1420"/>
        <w:gridCol w:w="1574"/>
        <w:gridCol w:w="1335"/>
        <w:gridCol w:w="1315"/>
      </w:tblGrid>
      <w:tr w:rsidR="00AC1791" w:rsidRPr="002551A7" w14:paraId="624FD676" w14:textId="77777777" w:rsidTr="00923DE7">
        <w:tc>
          <w:tcPr>
            <w:tcW w:w="1945" w:type="dxa"/>
            <w:gridSpan w:val="2"/>
            <w:vMerge w:val="restart"/>
            <w:vAlign w:val="bottom"/>
          </w:tcPr>
          <w:p w14:paraId="6D91D71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Model</w:t>
            </w:r>
          </w:p>
        </w:tc>
        <w:tc>
          <w:tcPr>
            <w:tcW w:w="2857" w:type="dxa"/>
            <w:gridSpan w:val="2"/>
            <w:vAlign w:val="bottom"/>
          </w:tcPr>
          <w:p w14:paraId="0EF6B740"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Unstandardized Coefficients</w:t>
            </w:r>
          </w:p>
        </w:tc>
        <w:tc>
          <w:tcPr>
            <w:tcW w:w="1593" w:type="dxa"/>
            <w:vMerge w:val="restart"/>
            <w:vAlign w:val="bottom"/>
          </w:tcPr>
          <w:p w14:paraId="29E0D6D0"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F</w:t>
            </w:r>
          </w:p>
        </w:tc>
        <w:tc>
          <w:tcPr>
            <w:tcW w:w="1343" w:type="dxa"/>
            <w:vMerge w:val="restart"/>
            <w:vAlign w:val="bottom"/>
          </w:tcPr>
          <w:p w14:paraId="319DA4C2"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t</w:t>
            </w:r>
          </w:p>
        </w:tc>
        <w:tc>
          <w:tcPr>
            <w:tcW w:w="1324" w:type="dxa"/>
            <w:vMerge w:val="restart"/>
            <w:vAlign w:val="bottom"/>
          </w:tcPr>
          <w:p w14:paraId="07C66CFD"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Sig.</w:t>
            </w:r>
          </w:p>
        </w:tc>
      </w:tr>
      <w:tr w:rsidR="00AC1791" w:rsidRPr="002551A7" w14:paraId="2BAF3787" w14:textId="77777777" w:rsidTr="00923DE7">
        <w:tc>
          <w:tcPr>
            <w:tcW w:w="1945" w:type="dxa"/>
            <w:gridSpan w:val="2"/>
            <w:vMerge/>
            <w:vAlign w:val="bottom"/>
          </w:tcPr>
          <w:p w14:paraId="2BE361A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430" w:type="dxa"/>
            <w:vAlign w:val="bottom"/>
          </w:tcPr>
          <w:p w14:paraId="4D2730D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B</w:t>
            </w:r>
          </w:p>
        </w:tc>
        <w:tc>
          <w:tcPr>
            <w:tcW w:w="1427" w:type="dxa"/>
            <w:vAlign w:val="bottom"/>
          </w:tcPr>
          <w:p w14:paraId="738A9A9F"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Std. Error</w:t>
            </w:r>
          </w:p>
        </w:tc>
        <w:tc>
          <w:tcPr>
            <w:tcW w:w="1593" w:type="dxa"/>
            <w:vMerge/>
            <w:vAlign w:val="bottom"/>
          </w:tcPr>
          <w:p w14:paraId="275ACE2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vMerge/>
            <w:vAlign w:val="bottom"/>
          </w:tcPr>
          <w:p w14:paraId="61A2B84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24" w:type="dxa"/>
            <w:vMerge/>
            <w:vAlign w:val="bottom"/>
          </w:tcPr>
          <w:p w14:paraId="3A856CE4"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r>
      <w:tr w:rsidR="00AC1791" w:rsidRPr="002551A7" w14:paraId="2266778A" w14:textId="77777777" w:rsidTr="00923DE7">
        <w:tc>
          <w:tcPr>
            <w:tcW w:w="595" w:type="dxa"/>
            <w:vMerge w:val="restart"/>
          </w:tcPr>
          <w:p w14:paraId="7BF20191"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1</w:t>
            </w:r>
          </w:p>
        </w:tc>
        <w:tc>
          <w:tcPr>
            <w:tcW w:w="1350" w:type="dxa"/>
          </w:tcPr>
          <w:p w14:paraId="0E331B7A"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rPr>
              <w:t>(Constant)</w:t>
            </w:r>
          </w:p>
        </w:tc>
        <w:tc>
          <w:tcPr>
            <w:tcW w:w="1430" w:type="dxa"/>
          </w:tcPr>
          <w:p w14:paraId="59B1DE47"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bookmarkStart w:id="487" w:name="_Hlk198052550"/>
            <w:r w:rsidRPr="002551A7">
              <w:rPr>
                <w:rFonts w:asciiTheme="majorBidi" w:eastAsia="Calibri" w:hAnsiTheme="majorBidi" w:cstheme="majorBidi"/>
                <w:color w:val="000000"/>
                <w:sz w:val="24"/>
                <w:szCs w:val="24"/>
                <w:lang w:val="fr-FR"/>
              </w:rPr>
              <w:t>2.17851</w:t>
            </w:r>
            <w:bookmarkEnd w:id="487"/>
          </w:p>
        </w:tc>
        <w:tc>
          <w:tcPr>
            <w:tcW w:w="1427" w:type="dxa"/>
          </w:tcPr>
          <w:p w14:paraId="17A92429"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0.18200</w:t>
            </w:r>
          </w:p>
        </w:tc>
        <w:tc>
          <w:tcPr>
            <w:tcW w:w="1593" w:type="dxa"/>
            <w:vMerge w:val="restart"/>
            <w:vAlign w:val="center"/>
          </w:tcPr>
          <w:p w14:paraId="4EDCEE9E"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65.87</w:t>
            </w:r>
          </w:p>
        </w:tc>
        <w:tc>
          <w:tcPr>
            <w:tcW w:w="1343" w:type="dxa"/>
          </w:tcPr>
          <w:p w14:paraId="0CBB064F"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11.970</w:t>
            </w:r>
          </w:p>
        </w:tc>
        <w:tc>
          <w:tcPr>
            <w:tcW w:w="1324" w:type="dxa"/>
          </w:tcPr>
          <w:p w14:paraId="7DEDAF2E" w14:textId="77777777" w:rsidR="00AC1791" w:rsidRPr="002551A7" w:rsidRDefault="00AC1791" w:rsidP="002551A7">
            <w:pPr>
              <w:spacing w:line="360" w:lineRule="auto"/>
              <w:ind w:left="60" w:right="60"/>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&lt; 2e-16</w:t>
            </w:r>
          </w:p>
        </w:tc>
      </w:tr>
      <w:tr w:rsidR="00AC1791" w:rsidRPr="002551A7" w14:paraId="392473BC" w14:textId="77777777" w:rsidTr="00923DE7">
        <w:tc>
          <w:tcPr>
            <w:tcW w:w="595" w:type="dxa"/>
            <w:vMerge/>
          </w:tcPr>
          <w:p w14:paraId="5004BE7A"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50" w:type="dxa"/>
          </w:tcPr>
          <w:p w14:paraId="610C23E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Availability and accessibility</w:t>
            </w:r>
          </w:p>
        </w:tc>
        <w:tc>
          <w:tcPr>
            <w:tcW w:w="1430" w:type="dxa"/>
          </w:tcPr>
          <w:p w14:paraId="29C9A5F1" w14:textId="77777777" w:rsidR="00AC1791" w:rsidRPr="002551A7" w:rsidRDefault="00AC1791" w:rsidP="002551A7">
            <w:pPr>
              <w:spacing w:line="360" w:lineRule="auto"/>
              <w:jc w:val="center"/>
              <w:rPr>
                <w:rFonts w:asciiTheme="majorBidi" w:eastAsia="Calibri" w:hAnsiTheme="majorBidi" w:cstheme="majorBidi"/>
                <w:color w:val="000000"/>
                <w:sz w:val="24"/>
                <w:szCs w:val="24"/>
                <w:lang w:val="fr-FR"/>
              </w:rPr>
            </w:pPr>
          </w:p>
          <w:p w14:paraId="37EFC64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0.44689</w:t>
            </w:r>
          </w:p>
        </w:tc>
        <w:tc>
          <w:tcPr>
            <w:tcW w:w="1427" w:type="dxa"/>
          </w:tcPr>
          <w:p w14:paraId="049730D9" w14:textId="77777777" w:rsidR="00AC1791" w:rsidRPr="002551A7" w:rsidRDefault="00AC1791" w:rsidP="002551A7">
            <w:pPr>
              <w:spacing w:line="360" w:lineRule="auto"/>
              <w:jc w:val="center"/>
              <w:rPr>
                <w:rFonts w:asciiTheme="majorBidi" w:eastAsia="Calibri" w:hAnsiTheme="majorBidi" w:cstheme="majorBidi"/>
                <w:color w:val="000000"/>
                <w:sz w:val="24"/>
                <w:szCs w:val="24"/>
                <w:lang w:val="fr-FR"/>
              </w:rPr>
            </w:pPr>
          </w:p>
          <w:p w14:paraId="3739A323"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0.05506</w:t>
            </w:r>
          </w:p>
        </w:tc>
        <w:tc>
          <w:tcPr>
            <w:tcW w:w="1593" w:type="dxa"/>
            <w:vMerge/>
          </w:tcPr>
          <w:p w14:paraId="3934594C"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p>
        </w:tc>
        <w:tc>
          <w:tcPr>
            <w:tcW w:w="1343" w:type="dxa"/>
          </w:tcPr>
          <w:p w14:paraId="28527B72"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8.116</w:t>
            </w:r>
          </w:p>
        </w:tc>
        <w:tc>
          <w:tcPr>
            <w:tcW w:w="1324" w:type="dxa"/>
          </w:tcPr>
          <w:p w14:paraId="7F569F26" w14:textId="77777777" w:rsidR="00AC1791" w:rsidRPr="002551A7" w:rsidRDefault="00AC1791" w:rsidP="002551A7">
            <w:pPr>
              <w:spacing w:line="360" w:lineRule="auto"/>
              <w:jc w:val="center"/>
              <w:rPr>
                <w:rFonts w:asciiTheme="majorBidi" w:eastAsia="Calibri" w:hAnsiTheme="majorBidi" w:cstheme="majorBidi"/>
                <w:color w:val="000000"/>
                <w:sz w:val="24"/>
                <w:szCs w:val="24"/>
              </w:rPr>
            </w:pPr>
            <w:r w:rsidRPr="002551A7">
              <w:rPr>
                <w:rFonts w:asciiTheme="majorBidi" w:eastAsia="Calibri" w:hAnsiTheme="majorBidi" w:cstheme="majorBidi"/>
                <w:color w:val="000000"/>
                <w:sz w:val="24"/>
                <w:szCs w:val="24"/>
                <w:lang w:val="fr-FR"/>
              </w:rPr>
              <w:t>4.323e-14</w:t>
            </w:r>
          </w:p>
        </w:tc>
      </w:tr>
    </w:tbl>
    <w:p w14:paraId="4678C1BF" w14:textId="77777777" w:rsidR="00AC1791" w:rsidRPr="002551A7" w:rsidRDefault="00AC1791" w:rsidP="002551A7">
      <w:pPr>
        <w:spacing w:line="360" w:lineRule="auto"/>
        <w:ind w:left="720"/>
        <w:jc w:val="center"/>
        <w:rPr>
          <w:rFonts w:asciiTheme="majorBidi" w:hAnsiTheme="majorBidi" w:cstheme="majorBidi"/>
          <w:sz w:val="24"/>
          <w:szCs w:val="24"/>
          <w:lang w:val="en-US"/>
        </w:rPr>
      </w:pPr>
      <w:bookmarkStart w:id="488" w:name="_Hlk198056729"/>
      <w:r w:rsidRPr="002551A7">
        <w:rPr>
          <w:rFonts w:asciiTheme="majorBidi" w:hAnsiTheme="majorBidi" w:cstheme="majorBidi"/>
          <w:sz w:val="24"/>
          <w:szCs w:val="24"/>
          <w:lang w:val="en-US"/>
        </w:rPr>
        <w:t>Source: established by the student based on the results of R 4.4.0</w:t>
      </w:r>
    </w:p>
    <w:bookmarkEnd w:id="488"/>
    <w:p w14:paraId="21AD9D0C"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According to the previous table we have the significance is less than 0.001 was less than 0.05 This confirms the validity of the linear model.</w:t>
      </w:r>
    </w:p>
    <w:p w14:paraId="1C6E94FA"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We see that the model which expresses the relationship between availability and accessibility and willingness to try new alternative is a linear model.</w:t>
      </w:r>
    </w:p>
    <w:p w14:paraId="5955F676"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willingness to try new alternative = 0.446</w:t>
      </w:r>
      <w:r w:rsidRPr="002551A7">
        <w:rPr>
          <w:rFonts w:asciiTheme="majorBidi" w:hAnsiTheme="majorBidi" w:cstheme="majorBidi"/>
          <w:sz w:val="24"/>
          <w:szCs w:val="24"/>
          <w:vertAlign w:val="subscript"/>
          <w:lang w:val="en-US"/>
        </w:rPr>
        <w:t>*</w:t>
      </w:r>
      <w:r w:rsidRPr="002551A7">
        <w:rPr>
          <w:rFonts w:asciiTheme="majorBidi" w:hAnsiTheme="majorBidi" w:cstheme="majorBidi"/>
          <w:sz w:val="24"/>
          <w:szCs w:val="24"/>
          <w:lang w:val="en-US"/>
        </w:rPr>
        <w:t xml:space="preserve"> availability and accessibility + 2.17851</w:t>
      </w:r>
    </w:p>
    <w:p w14:paraId="51DCFD2F" w14:textId="77777777" w:rsidR="00AC1791" w:rsidRPr="002551A7" w:rsidRDefault="00AC1791" w:rsidP="002551A7">
      <w:pPr>
        <w:spacing w:before="24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Where 0.446 is the </w:t>
      </w:r>
      <w:r w:rsidRPr="002551A7">
        <w:rPr>
          <w:rFonts w:asciiTheme="majorBidi" w:hAnsiTheme="majorBidi" w:cstheme="majorBidi"/>
          <w:sz w:val="24"/>
          <w:szCs w:val="24"/>
        </w:rPr>
        <w:t>β</w:t>
      </w:r>
      <w:r w:rsidRPr="002551A7">
        <w:rPr>
          <w:rFonts w:asciiTheme="majorBidi" w:hAnsiTheme="majorBidi" w:cstheme="majorBidi"/>
          <w:sz w:val="24"/>
          <w:szCs w:val="24"/>
          <w:lang w:val="en-US"/>
        </w:rPr>
        <w:t>2 value of the slope of the regression equation.</w:t>
      </w:r>
    </w:p>
    <w:p w14:paraId="56F327D8" w14:textId="77777777" w:rsidR="00037AD6" w:rsidRDefault="00AC1791" w:rsidP="00037AD6">
      <w:pPr>
        <w:spacing w:before="240" w:line="360" w:lineRule="auto"/>
        <w:jc w:val="center"/>
        <w:rPr>
          <w:rFonts w:asciiTheme="majorBidi" w:hAnsiTheme="majorBidi" w:cstheme="majorBidi"/>
          <w:sz w:val="24"/>
          <w:szCs w:val="24"/>
          <w:lang w:val="en-US"/>
        </w:rPr>
      </w:pPr>
      <w:r w:rsidRPr="007F2304">
        <w:rPr>
          <w:rFonts w:asciiTheme="majorBidi" w:hAnsiTheme="majorBidi" w:cstheme="majorBidi"/>
          <w:b/>
          <w:bCs/>
          <w:noProof/>
          <w:sz w:val="24"/>
          <w:szCs w:val="24"/>
          <w:lang w:val="en-US"/>
        </w:rPr>
        <w:drawing>
          <wp:anchor distT="0" distB="0" distL="114300" distR="114300" simplePos="0" relativeHeight="251723776" behindDoc="0" locked="0" layoutInCell="1" allowOverlap="1" wp14:anchorId="5AFC3972" wp14:editId="1934B7E3">
            <wp:simplePos x="0" y="0"/>
            <wp:positionH relativeFrom="page">
              <wp:posOffset>836930</wp:posOffset>
            </wp:positionH>
            <wp:positionV relativeFrom="paragraph">
              <wp:posOffset>93133</wp:posOffset>
            </wp:positionV>
            <wp:extent cx="6035675" cy="1568450"/>
            <wp:effectExtent l="0" t="0" r="3175" b="0"/>
            <wp:wrapTopAndBottom/>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0">
                      <a:extLst>
                        <a:ext uri="{28A0092B-C50C-407E-A947-70E740481C1C}">
                          <a14:useLocalDpi xmlns:a14="http://schemas.microsoft.com/office/drawing/2010/main" val="0"/>
                        </a:ext>
                      </a:extLst>
                    </a:blip>
                    <a:stretch>
                      <a:fillRect/>
                    </a:stretch>
                  </pic:blipFill>
                  <pic:spPr>
                    <a:xfrm>
                      <a:off x="0" y="0"/>
                      <a:ext cx="6035675" cy="1568450"/>
                    </a:xfrm>
                    <a:prstGeom prst="rect">
                      <a:avLst/>
                    </a:prstGeom>
                  </pic:spPr>
                </pic:pic>
              </a:graphicData>
            </a:graphic>
          </wp:anchor>
        </w:drawing>
      </w:r>
      <w:r w:rsidRPr="007F2304">
        <w:rPr>
          <w:rFonts w:asciiTheme="majorBidi" w:hAnsiTheme="majorBidi" w:cstheme="majorBidi"/>
          <w:b/>
          <w:bCs/>
          <w:sz w:val="24"/>
          <w:szCs w:val="24"/>
          <w:lang w:val="en-US"/>
        </w:rPr>
        <w:t>Source:</w:t>
      </w:r>
      <w:r w:rsidRPr="002551A7">
        <w:rPr>
          <w:rFonts w:asciiTheme="majorBidi" w:hAnsiTheme="majorBidi" w:cstheme="majorBidi"/>
          <w:sz w:val="24"/>
          <w:szCs w:val="24"/>
          <w:lang w:val="en-US"/>
        </w:rPr>
        <w:t xml:space="preserve"> established by the student based on the results of R 4.4.0</w:t>
      </w:r>
    </w:p>
    <w:p w14:paraId="22745852" w14:textId="28241AAB" w:rsidR="00037AD6" w:rsidRPr="007F2304" w:rsidRDefault="007F2304" w:rsidP="007F2304">
      <w:pPr>
        <w:pStyle w:val="ListParagraph"/>
        <w:numPr>
          <w:ilvl w:val="1"/>
          <w:numId w:val="39"/>
        </w:numPr>
        <w:spacing w:before="240" w:line="360" w:lineRule="auto"/>
        <w:rPr>
          <w:rFonts w:asciiTheme="majorBidi" w:hAnsiTheme="majorBidi" w:cstheme="majorBidi"/>
          <w:lang w:val="en-US"/>
        </w:rPr>
      </w:pPr>
      <w:r>
        <w:rPr>
          <w:rFonts w:ascii="Times New Roman" w:eastAsia="Times New Roman" w:hAnsi="Times New Roman" w:cs="Times New Roman"/>
          <w:b/>
          <w:bCs/>
          <w:sz w:val="24"/>
          <w:szCs w:val="24"/>
          <w:lang w:val="en-US" w:eastAsia="fr-FR"/>
        </w:rPr>
        <w:t xml:space="preserve"> </w:t>
      </w:r>
      <w:bookmarkStart w:id="489" w:name="_Toc200721780"/>
      <w:r w:rsidRPr="00050632">
        <w:rPr>
          <w:rStyle w:val="Heading4Char"/>
        </w:rPr>
        <w:t>Justification and Description of the Selected Product for Expor</w:t>
      </w:r>
      <w:bookmarkEnd w:id="489"/>
      <w:r w:rsidRPr="007F2304">
        <w:rPr>
          <w:rFonts w:ascii="Times New Roman" w:eastAsia="Times New Roman" w:hAnsi="Times New Roman" w:cs="Times New Roman"/>
          <w:b/>
          <w:bCs/>
          <w:sz w:val="24"/>
          <w:szCs w:val="24"/>
          <w:lang w:val="en-US" w:eastAsia="fr-FR"/>
        </w:rPr>
        <w:t>t</w:t>
      </w:r>
    </w:p>
    <w:p w14:paraId="5B16D2C7" w14:textId="67A7D533" w:rsidR="007A05DD" w:rsidRPr="007F2304" w:rsidRDefault="007A05DD" w:rsidP="007F2304">
      <w:pPr>
        <w:pStyle w:val="ListParagraph"/>
        <w:numPr>
          <w:ilvl w:val="2"/>
          <w:numId w:val="39"/>
        </w:numPr>
        <w:spacing w:before="240" w:line="360" w:lineRule="auto"/>
        <w:rPr>
          <w:rFonts w:asciiTheme="majorBidi" w:hAnsiTheme="majorBidi" w:cstheme="majorBidi"/>
          <w:sz w:val="24"/>
          <w:szCs w:val="24"/>
          <w:lang w:val="en-US"/>
        </w:rPr>
      </w:pPr>
      <w:bookmarkStart w:id="490" w:name="_Toc200721781"/>
      <w:r w:rsidRPr="00050632">
        <w:rPr>
          <w:rStyle w:val="Heading5Char"/>
          <w:rFonts w:eastAsiaTheme="minorHAnsi"/>
        </w:rPr>
        <w:t>Justification for Selecting Polydermyl as the Export Produc</w:t>
      </w:r>
      <w:bookmarkEnd w:id="490"/>
      <w:r w:rsidRPr="007F2304">
        <w:rPr>
          <w:rFonts w:asciiTheme="majorBidi" w:eastAsia="Times New Roman" w:hAnsiTheme="majorBidi" w:cstheme="majorBidi"/>
          <w:b/>
          <w:bCs/>
          <w:sz w:val="24"/>
          <w:szCs w:val="24"/>
          <w:lang w:val="en-US" w:eastAsia="fr-FR"/>
        </w:rPr>
        <w:t>t</w:t>
      </w:r>
    </w:p>
    <w:p w14:paraId="15A1086B" w14:textId="77777777" w:rsidR="007A05DD" w:rsidRPr="00E97C44" w:rsidRDefault="007A05DD" w:rsidP="00E97C44">
      <w:pPr>
        <w:spacing w:before="100" w:beforeAutospacing="1" w:after="0"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Based on the macroeconomic and microeconomic results discussed earlier, the selection of Polydermyl Crème Émolliente M.U. as the primary product for export to Turkey is both strategic and evidence-based.</w:t>
      </w:r>
    </w:p>
    <w:p w14:paraId="5DCCA877" w14:textId="77777777" w:rsidR="007A05DD" w:rsidRPr="00E97C44" w:rsidRDefault="007A05DD" w:rsidP="00E97C44">
      <w:pPr>
        <w:spacing w:before="100" w:beforeAutospacing="1" w:after="0"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From a macroeconomic perspective, Turkey’s cosmetics and dermocosmetic import market has shown continuous growth, reaching over $2 billion USD in 2024, while imports from Algeria remain marginal (only $33,000 USD), representing less than 0.002% of total cosmetics imports. This gap indicates a substantial market opportunity for Algerian firms like Proderma.</w:t>
      </w:r>
    </w:p>
    <w:p w14:paraId="0F67D4E5" w14:textId="77777777" w:rsidR="007A05DD" w:rsidRPr="00E97C44" w:rsidRDefault="007A05DD" w:rsidP="00E97C44">
      <w:pPr>
        <w:spacing w:after="0"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From a microeconomic standpoint, the consumer survey and regression analysis confirmed that Turkish consumers are:</w:t>
      </w:r>
    </w:p>
    <w:p w14:paraId="1D5F0BBE" w14:textId="77777777" w:rsidR="007A05DD" w:rsidRPr="00E97C44" w:rsidRDefault="007A05DD" w:rsidP="00413B73">
      <w:pPr>
        <w:numPr>
          <w:ilvl w:val="0"/>
          <w:numId w:val="80"/>
        </w:numPr>
        <w:spacing w:after="0"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Highly aware of and supportive of boycott movements</w:t>
      </w:r>
    </w:p>
    <w:p w14:paraId="6252347D" w14:textId="77777777" w:rsidR="007A05DD" w:rsidRPr="00E97C44" w:rsidRDefault="007A05DD" w:rsidP="00413B73">
      <w:pPr>
        <w:numPr>
          <w:ilvl w:val="0"/>
          <w:numId w:val="80"/>
        </w:numPr>
        <w:spacing w:after="0"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Open to trying alternative products, especially when they meet expectations in terms of quality, cultural alignment, and price competitiveness</w:t>
      </w:r>
    </w:p>
    <w:p w14:paraId="06B48FA8" w14:textId="77777777" w:rsidR="007A05DD" w:rsidRPr="00E97C44" w:rsidRDefault="007A05DD" w:rsidP="00E97C44">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Polydermyl satisfies these criteria effectively:</w:t>
      </w:r>
    </w:p>
    <w:p w14:paraId="57F7D741" w14:textId="77777777" w:rsidR="007A05DD" w:rsidRPr="00E97C44" w:rsidRDefault="007A05DD" w:rsidP="00413B73">
      <w:pPr>
        <w:numPr>
          <w:ilvl w:val="0"/>
          <w:numId w:val="8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It is a parapharmaceutical emollient cream targeting common dermatological conditions (eczema, psoriasis, xérose, diabetic foot care).</w:t>
      </w:r>
    </w:p>
    <w:p w14:paraId="5A09AD6E" w14:textId="77777777" w:rsidR="007A05DD" w:rsidRPr="00E97C44" w:rsidRDefault="007A05DD" w:rsidP="00413B73">
      <w:pPr>
        <w:numPr>
          <w:ilvl w:val="0"/>
          <w:numId w:val="8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It is free from perfume and colorants, dermatologically tested, and suited to sensitive skin, aligning with the growing demand in Turkey for natural, safe, and halal-compatible products.</w:t>
      </w:r>
    </w:p>
    <w:p w14:paraId="404F467A" w14:textId="77777777" w:rsidR="007A05DD" w:rsidRPr="00E97C44" w:rsidRDefault="007A05DD" w:rsidP="00413B73">
      <w:pPr>
        <w:numPr>
          <w:ilvl w:val="0"/>
          <w:numId w:val="81"/>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Its multi-use scope (hydration, skin protection, soothing, cosmetic maintenance) increases its marketing flexibility in Turkey.</w:t>
      </w:r>
    </w:p>
    <w:p w14:paraId="34CC6F26" w14:textId="77777777" w:rsidR="00037AD6" w:rsidRDefault="007A05DD" w:rsidP="00037AD6">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Furthermore, the price positioning across its four formats allows for adaptation to different income segments within the Turkish market, from basic pharmacy consumers to more specialized dermo-cosmetic users.</w:t>
      </w:r>
    </w:p>
    <w:p w14:paraId="546B5A48" w14:textId="73258626" w:rsidR="007A05DD" w:rsidRPr="007F2304" w:rsidRDefault="007A05DD" w:rsidP="007F2304">
      <w:pPr>
        <w:pStyle w:val="ListParagraph"/>
        <w:numPr>
          <w:ilvl w:val="2"/>
          <w:numId w:val="39"/>
        </w:numPr>
        <w:spacing w:before="100" w:beforeAutospacing="1" w:after="100" w:afterAutospacing="1" w:line="360" w:lineRule="auto"/>
        <w:jc w:val="both"/>
        <w:rPr>
          <w:rFonts w:asciiTheme="majorBidi" w:eastAsia="Times New Roman" w:hAnsiTheme="majorBidi" w:cstheme="majorBidi"/>
          <w:sz w:val="24"/>
          <w:szCs w:val="24"/>
          <w:lang w:eastAsia="fr-FR"/>
        </w:rPr>
      </w:pPr>
      <w:bookmarkStart w:id="491" w:name="_Toc200721782"/>
      <w:r w:rsidRPr="00BD2EAB">
        <w:rPr>
          <w:rStyle w:val="Heading5Char"/>
          <w:rFonts w:eastAsiaTheme="minorHAnsi"/>
          <w:lang w:val="fr-FR"/>
        </w:rPr>
        <w:t xml:space="preserve">Product </w:t>
      </w:r>
      <w:r w:rsidR="007F2304" w:rsidRPr="00BD2EAB">
        <w:rPr>
          <w:rStyle w:val="Heading5Char"/>
          <w:rFonts w:eastAsiaTheme="minorHAnsi"/>
          <w:lang w:val="fr-FR"/>
        </w:rPr>
        <w:t>d</w:t>
      </w:r>
      <w:r w:rsidRPr="00BD2EAB">
        <w:rPr>
          <w:rStyle w:val="Heading5Char"/>
          <w:rFonts w:eastAsiaTheme="minorHAnsi"/>
          <w:lang w:val="fr-FR"/>
        </w:rPr>
        <w:t>escription</w:t>
      </w:r>
      <w:r w:rsidR="007F2304" w:rsidRPr="00BD2EAB">
        <w:rPr>
          <w:rStyle w:val="Heading5Char"/>
          <w:rFonts w:eastAsiaTheme="minorHAnsi"/>
          <w:lang w:val="fr-FR"/>
        </w:rPr>
        <w:t xml:space="preserve"> </w:t>
      </w:r>
      <w:r w:rsidRPr="00BD2EAB">
        <w:rPr>
          <w:rStyle w:val="Heading5Char"/>
          <w:rFonts w:eastAsiaTheme="minorHAnsi"/>
          <w:lang w:val="fr-FR"/>
        </w:rPr>
        <w:t>: Polydermyl Crème Émolliente M.</w:t>
      </w:r>
      <w:bookmarkEnd w:id="491"/>
      <w:r w:rsidRPr="007F2304">
        <w:rPr>
          <w:rFonts w:asciiTheme="majorBidi" w:eastAsia="Times New Roman" w:hAnsiTheme="majorBidi" w:cstheme="majorBidi"/>
          <w:b/>
          <w:bCs/>
          <w:sz w:val="24"/>
          <w:szCs w:val="24"/>
          <w:lang w:eastAsia="fr-FR"/>
        </w:rPr>
        <w:t>U.</w:t>
      </w:r>
    </w:p>
    <w:p w14:paraId="5C110BBE" w14:textId="77777777" w:rsidR="00037AD6" w:rsidRDefault="007A05DD" w:rsidP="00037AD6">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Polydermyl is a multi-use, non-perfumed emollient cream developed by Laboratoire Proderma in Algeria. It is designed for hydration and dermatological care of dry, irritated, or sensitive skin. Its formulation combines occlusive agents (Vaseline, Paraffin), humectants (Glycerin), and soothing silicones, providing both immediate and prolonged skin hydration.</w:t>
      </w:r>
    </w:p>
    <w:p w14:paraId="58E92287" w14:textId="31DFC7AD" w:rsidR="008F291C" w:rsidRDefault="008F291C" w:rsidP="008F291C">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 xml:space="preserve">Figure </w:t>
      </w:r>
      <w:r w:rsidR="00EB3899">
        <w:rPr>
          <w:rFonts w:asciiTheme="majorBidi" w:hAnsiTheme="majorBidi" w:cstheme="majorBidi"/>
          <w:b/>
          <w:bCs/>
          <w:sz w:val="24"/>
          <w:szCs w:val="24"/>
          <w:lang w:val="en-GB"/>
        </w:rPr>
        <w:t>24</w:t>
      </w:r>
      <w:r>
        <w:rPr>
          <w:rFonts w:asciiTheme="majorBidi" w:hAnsiTheme="majorBidi" w:cstheme="majorBidi"/>
          <w:b/>
          <w:bCs/>
          <w:sz w:val="24"/>
          <w:szCs w:val="24"/>
          <w:lang w:val="en-GB"/>
        </w:rPr>
        <w:t xml:space="preserve">: </w:t>
      </w:r>
      <w:r w:rsidRPr="00E52576">
        <w:rPr>
          <w:rFonts w:asciiTheme="majorBidi" w:hAnsiTheme="majorBidi" w:cstheme="majorBidi"/>
          <w:sz w:val="24"/>
          <w:szCs w:val="24"/>
          <w:lang w:val="en-GB"/>
        </w:rPr>
        <w:t>Proderma emollient cream</w:t>
      </w:r>
    </w:p>
    <w:p w14:paraId="64DEEC4C" w14:textId="18C1ABD1" w:rsidR="008F291C" w:rsidRDefault="008F291C" w:rsidP="008F291C">
      <w:pPr>
        <w:spacing w:before="100" w:beforeAutospacing="1" w:after="100" w:afterAutospacing="1" w:line="360" w:lineRule="auto"/>
        <w:jc w:val="center"/>
        <w:rPr>
          <w:rFonts w:asciiTheme="majorBidi" w:eastAsia="Times New Roman" w:hAnsiTheme="majorBidi" w:cstheme="majorBidi"/>
          <w:sz w:val="24"/>
          <w:szCs w:val="24"/>
          <w:lang w:val="en-US" w:eastAsia="fr-FR"/>
        </w:rPr>
      </w:pPr>
      <w:r w:rsidRPr="007F5EEF">
        <w:rPr>
          <w:rFonts w:asciiTheme="majorBidi" w:hAnsiTheme="majorBidi" w:cstheme="majorBidi"/>
          <w:b/>
          <w:bCs/>
          <w:noProof/>
          <w:sz w:val="24"/>
          <w:szCs w:val="24"/>
          <w:lang w:val="en-GB"/>
        </w:rPr>
        <w:drawing>
          <wp:inline distT="0" distB="0" distL="0" distR="0" wp14:anchorId="7E7CF5D6" wp14:editId="37ECF6B7">
            <wp:extent cx="1605915" cy="2056859"/>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rotWithShape="1">
                    <a:blip r:embed="rId39">
                      <a:extLst>
                        <a:ext uri="{28A0092B-C50C-407E-A947-70E740481C1C}">
                          <a14:useLocalDpi xmlns:a14="http://schemas.microsoft.com/office/drawing/2010/main" val="0"/>
                        </a:ext>
                      </a:extLst>
                    </a:blip>
                    <a:srcRect t="11165" b="20598"/>
                    <a:stretch/>
                  </pic:blipFill>
                  <pic:spPr bwMode="auto">
                    <a:xfrm>
                      <a:off x="0" y="0"/>
                      <a:ext cx="1631319" cy="2089396"/>
                    </a:xfrm>
                    <a:prstGeom prst="rect">
                      <a:avLst/>
                    </a:prstGeom>
                    <a:ln>
                      <a:noFill/>
                    </a:ln>
                    <a:extLst>
                      <a:ext uri="{53640926-AAD7-44D8-BBD7-CCE9431645EC}">
                        <a14:shadowObscured xmlns:a14="http://schemas.microsoft.com/office/drawing/2010/main"/>
                      </a:ext>
                    </a:extLst>
                  </pic:spPr>
                </pic:pic>
              </a:graphicData>
            </a:graphic>
          </wp:inline>
        </w:drawing>
      </w:r>
    </w:p>
    <w:p w14:paraId="69C83E06" w14:textId="668A356D" w:rsidR="008F291C" w:rsidRDefault="008F291C" w:rsidP="00537ED8">
      <w:pPr>
        <w:spacing w:before="100" w:beforeAutospacing="1" w:after="100" w:afterAutospacing="1" w:line="360" w:lineRule="auto"/>
        <w:jc w:val="center"/>
        <w:rPr>
          <w:rFonts w:asciiTheme="majorBidi" w:eastAsia="Times New Roman" w:hAnsiTheme="majorBidi" w:cstheme="majorBidi"/>
          <w:sz w:val="24"/>
          <w:szCs w:val="24"/>
          <w:lang w:val="en-US" w:eastAsia="fr-FR"/>
        </w:rPr>
      </w:pPr>
      <w:r>
        <w:rPr>
          <w:rFonts w:asciiTheme="majorBidi" w:eastAsia="Times New Roman" w:hAnsiTheme="majorBidi" w:cstheme="majorBidi"/>
          <w:sz w:val="24"/>
          <w:szCs w:val="24"/>
          <w:lang w:val="en-US" w:eastAsia="fr-FR"/>
        </w:rPr>
        <w:t xml:space="preserve">Source: Proderma company </w:t>
      </w:r>
    </w:p>
    <w:p w14:paraId="2377D7AA" w14:textId="6211B31B" w:rsidR="007A05DD" w:rsidRPr="00037AD6" w:rsidRDefault="007A05DD" w:rsidP="00037AD6">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8F291C">
        <w:rPr>
          <w:rFonts w:asciiTheme="majorBidi" w:eastAsia="Times New Roman" w:hAnsiTheme="majorBidi" w:cstheme="majorBidi"/>
          <w:b/>
          <w:bCs/>
          <w:sz w:val="24"/>
          <w:szCs w:val="24"/>
          <w:lang w:val="en-GB" w:eastAsia="fr-FR"/>
        </w:rPr>
        <w:t>Key Indications:</w:t>
      </w:r>
    </w:p>
    <w:p w14:paraId="47996B3A" w14:textId="77777777" w:rsidR="007A05DD" w:rsidRPr="008F291C" w:rsidRDefault="007A05DD" w:rsidP="00E97C44">
      <w:pPr>
        <w:rPr>
          <w:rFonts w:asciiTheme="majorBidi" w:hAnsiTheme="majorBidi" w:cstheme="majorBidi"/>
          <w:lang w:val="en-GB" w:eastAsia="fr-FR"/>
        </w:rPr>
      </w:pPr>
      <w:r w:rsidRPr="008F291C">
        <w:rPr>
          <w:rFonts w:asciiTheme="majorBidi" w:hAnsiTheme="majorBidi" w:cstheme="majorBidi"/>
          <w:lang w:val="en-GB" w:eastAsia="fr-FR"/>
        </w:rPr>
        <w:t>Atopic dermatitis</w:t>
      </w:r>
    </w:p>
    <w:p w14:paraId="63B35B12" w14:textId="77777777" w:rsidR="007A05DD" w:rsidRPr="00E97C44" w:rsidRDefault="007A05DD" w:rsidP="00413B73">
      <w:pPr>
        <w:numPr>
          <w:ilvl w:val="0"/>
          <w:numId w:val="82"/>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Xérose (senile, urémique, diabetic foot)</w:t>
      </w:r>
    </w:p>
    <w:p w14:paraId="72B9BAEC" w14:textId="77777777" w:rsidR="007A05DD" w:rsidRPr="00E97C44" w:rsidRDefault="007A05DD" w:rsidP="00413B73">
      <w:pPr>
        <w:numPr>
          <w:ilvl w:val="0"/>
          <w:numId w:val="82"/>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Ichthyosis and psoriasis</w:t>
      </w:r>
    </w:p>
    <w:p w14:paraId="5A44D376" w14:textId="77777777" w:rsidR="007A05DD" w:rsidRPr="00E97C44" w:rsidRDefault="007A05DD" w:rsidP="00413B73">
      <w:pPr>
        <w:numPr>
          <w:ilvl w:val="0"/>
          <w:numId w:val="82"/>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Physiological or climate-related dryness</w:t>
      </w:r>
    </w:p>
    <w:p w14:paraId="1D714D15" w14:textId="77777777" w:rsidR="007A05DD" w:rsidRPr="00E97C44" w:rsidRDefault="007A05DD" w:rsidP="00413B73">
      <w:pPr>
        <w:numPr>
          <w:ilvl w:val="0"/>
          <w:numId w:val="82"/>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Skin maintenance post-dermocorticoids</w:t>
      </w:r>
    </w:p>
    <w:p w14:paraId="7AAA2EEB" w14:textId="77777777" w:rsidR="00037AD6" w:rsidRDefault="007A05DD" w:rsidP="00413B73">
      <w:pPr>
        <w:numPr>
          <w:ilvl w:val="0"/>
          <w:numId w:val="82"/>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Skin repair for minor burns, acne scars, cracked heels, and calluses</w:t>
      </w:r>
    </w:p>
    <w:p w14:paraId="00C8C822" w14:textId="37C4241D" w:rsidR="007A05DD" w:rsidRPr="00037AD6" w:rsidRDefault="007A05DD" w:rsidP="00037AD6">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037AD6">
        <w:rPr>
          <w:rFonts w:asciiTheme="majorBidi" w:eastAsia="Times New Roman" w:hAnsiTheme="majorBidi" w:cstheme="majorBidi"/>
          <w:b/>
          <w:bCs/>
          <w:sz w:val="24"/>
          <w:szCs w:val="24"/>
          <w:lang w:eastAsia="fr-FR"/>
        </w:rPr>
        <w:t>Pharmaceutical Advantages:</w:t>
      </w:r>
    </w:p>
    <w:p w14:paraId="31B2619F" w14:textId="77777777" w:rsidR="007A05DD" w:rsidRPr="00E97C44"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15% glycerin: strong osmotic hydration</w:t>
      </w:r>
    </w:p>
    <w:p w14:paraId="2357DD1E" w14:textId="77777777" w:rsidR="007A05DD" w:rsidRPr="00E97C44"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8% Vaseline: skin barrier reinforcement</w:t>
      </w:r>
    </w:p>
    <w:p w14:paraId="7CCA8A65" w14:textId="77777777" w:rsidR="007A05DD" w:rsidRPr="00E97C44"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2% liquid paraffin: anti-evaporative agent</w:t>
      </w:r>
    </w:p>
    <w:p w14:paraId="012C399F" w14:textId="77777777" w:rsidR="007A05DD" w:rsidRPr="00E97C44"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Silicone and polymer complex: "silky touch" texture, soothing effect</w:t>
      </w:r>
    </w:p>
    <w:p w14:paraId="18AB3A71" w14:textId="77777777" w:rsidR="007A05DD" w:rsidRPr="00E97C44"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Free from fragrance and colorants</w:t>
      </w:r>
    </w:p>
    <w:p w14:paraId="4FC81324" w14:textId="77777777" w:rsidR="00037AD6" w:rsidRDefault="007A05DD" w:rsidP="00413B73">
      <w:pPr>
        <w:numPr>
          <w:ilvl w:val="0"/>
          <w:numId w:val="83"/>
        </w:numPr>
        <w:spacing w:before="100" w:beforeAutospacing="1" w:after="100" w:afterAutospacing="1" w:line="360" w:lineRule="auto"/>
        <w:jc w:val="both"/>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Dermatologically tested</w:t>
      </w:r>
    </w:p>
    <w:p w14:paraId="6BA8FFE4" w14:textId="0E7C40A1" w:rsidR="007A05DD" w:rsidRPr="00037AD6" w:rsidRDefault="007A05DD" w:rsidP="00037AD6">
      <w:pPr>
        <w:spacing w:before="100" w:beforeAutospacing="1" w:after="100" w:afterAutospacing="1" w:line="360" w:lineRule="auto"/>
        <w:jc w:val="both"/>
        <w:rPr>
          <w:rFonts w:asciiTheme="majorBidi" w:eastAsia="Times New Roman" w:hAnsiTheme="majorBidi" w:cstheme="majorBidi"/>
          <w:sz w:val="24"/>
          <w:szCs w:val="24"/>
          <w:lang w:eastAsia="fr-FR"/>
        </w:rPr>
      </w:pPr>
      <w:r w:rsidRPr="00037AD6">
        <w:rPr>
          <w:rFonts w:asciiTheme="majorBidi" w:eastAsia="Times New Roman" w:hAnsiTheme="majorBidi" w:cstheme="majorBidi"/>
          <w:b/>
          <w:bCs/>
          <w:sz w:val="24"/>
          <w:szCs w:val="24"/>
          <w:lang w:eastAsia="fr-FR"/>
        </w:rPr>
        <w:t>Application:</w:t>
      </w:r>
    </w:p>
    <w:p w14:paraId="4D6DC82F" w14:textId="77777777" w:rsidR="007A05DD" w:rsidRPr="00E97C44" w:rsidRDefault="007A05DD" w:rsidP="00413B73">
      <w:pPr>
        <w:numPr>
          <w:ilvl w:val="0"/>
          <w:numId w:val="84"/>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1 to 2 times daily, as needed, on clean and dry skin</w:t>
      </w:r>
    </w:p>
    <w:p w14:paraId="3998DB10" w14:textId="77777777" w:rsidR="00037AD6" w:rsidRDefault="007A05DD" w:rsidP="00413B73">
      <w:pPr>
        <w:numPr>
          <w:ilvl w:val="0"/>
          <w:numId w:val="84"/>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Can be used independently or alongside medical treatments</w:t>
      </w:r>
    </w:p>
    <w:p w14:paraId="78ADD58D" w14:textId="01112918" w:rsidR="007A05DD" w:rsidRPr="007F2304" w:rsidRDefault="007A05DD" w:rsidP="007F2304">
      <w:pPr>
        <w:pStyle w:val="ListParagraph"/>
        <w:numPr>
          <w:ilvl w:val="2"/>
          <w:numId w:val="39"/>
        </w:num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7F2304">
        <w:rPr>
          <w:rFonts w:asciiTheme="majorBidi" w:eastAsia="Times New Roman" w:hAnsiTheme="majorBidi" w:cstheme="majorBidi"/>
          <w:b/>
          <w:bCs/>
          <w:sz w:val="24"/>
          <w:szCs w:val="24"/>
          <w:lang w:val="en-US" w:eastAsia="fr-FR"/>
        </w:rPr>
        <w:t xml:space="preserve"> </w:t>
      </w:r>
      <w:bookmarkStart w:id="492" w:name="_Hlk199836810"/>
      <w:bookmarkStart w:id="493" w:name="_Toc200721783"/>
      <w:r w:rsidRPr="00050632">
        <w:rPr>
          <w:rStyle w:val="Heading5Char"/>
          <w:rFonts w:eastAsiaTheme="minorHAnsi"/>
        </w:rPr>
        <w:t>Available Formats and Pricing</w:t>
      </w:r>
      <w:bookmarkEnd w:id="492"/>
      <w:r w:rsidRPr="00050632">
        <w:rPr>
          <w:rStyle w:val="Heading5Char"/>
          <w:rFonts w:eastAsiaTheme="minorHAnsi"/>
        </w:rPr>
        <w:t xml:space="preserve"> (Domestic Market</w:t>
      </w:r>
      <w:bookmarkEnd w:id="493"/>
      <w:r w:rsidRPr="007F2304">
        <w:rPr>
          <w:rFonts w:asciiTheme="majorBidi" w:eastAsia="Times New Roman" w:hAnsiTheme="majorBidi" w:cstheme="majorBidi"/>
          <w:b/>
          <w:bCs/>
          <w:sz w:val="24"/>
          <w:szCs w:val="24"/>
          <w:lang w:val="en-US" w:eastAsia="fr-FR"/>
        </w:rPr>
        <w:t>)</w:t>
      </w:r>
    </w:p>
    <w:p w14:paraId="3FE67BD5" w14:textId="05340B99" w:rsidR="007A05DD" w:rsidRPr="00E97C44" w:rsidRDefault="007A05DD" w:rsidP="00B62CA1">
      <w:pPr>
        <w:spacing w:before="100" w:beforeAutospacing="1" w:after="100" w:afterAutospacing="1" w:line="360" w:lineRule="auto"/>
        <w:jc w:val="center"/>
        <w:outlineLvl w:val="2"/>
        <w:rPr>
          <w:rFonts w:asciiTheme="majorBidi" w:eastAsia="Times New Roman" w:hAnsiTheme="majorBidi" w:cstheme="majorBidi"/>
          <w:sz w:val="24"/>
          <w:szCs w:val="24"/>
          <w:lang w:val="en-US" w:eastAsia="fr-FR"/>
        </w:rPr>
      </w:pPr>
      <w:bookmarkStart w:id="494" w:name="_Toc200720077"/>
      <w:bookmarkStart w:id="495" w:name="_Toc200721784"/>
      <w:r>
        <w:rPr>
          <w:rFonts w:asciiTheme="majorBidi" w:eastAsia="Times New Roman" w:hAnsiTheme="majorBidi" w:cstheme="majorBidi"/>
          <w:b/>
          <w:bCs/>
          <w:sz w:val="24"/>
          <w:szCs w:val="24"/>
          <w:lang w:val="en-US" w:eastAsia="fr-FR"/>
        </w:rPr>
        <w:t>Table</w:t>
      </w:r>
      <w:r w:rsidR="00CA4B7E">
        <w:rPr>
          <w:rFonts w:asciiTheme="majorBidi" w:eastAsia="Times New Roman" w:hAnsiTheme="majorBidi" w:cstheme="majorBidi"/>
          <w:b/>
          <w:bCs/>
          <w:sz w:val="24"/>
          <w:szCs w:val="24"/>
          <w:lang w:val="en-US" w:eastAsia="fr-FR"/>
        </w:rPr>
        <w:t xml:space="preserve"> 68</w:t>
      </w:r>
      <w:r>
        <w:rPr>
          <w:rFonts w:asciiTheme="majorBidi" w:eastAsia="Times New Roman" w:hAnsiTheme="majorBidi" w:cstheme="majorBidi"/>
          <w:b/>
          <w:bCs/>
          <w:sz w:val="24"/>
          <w:szCs w:val="24"/>
          <w:lang w:val="en-US" w:eastAsia="fr-FR"/>
        </w:rPr>
        <w:t>:</w:t>
      </w:r>
      <w:r>
        <w:rPr>
          <w:rFonts w:asciiTheme="majorBidi" w:eastAsia="Times New Roman" w:hAnsiTheme="majorBidi" w:cstheme="majorBidi"/>
          <w:sz w:val="24"/>
          <w:szCs w:val="24"/>
          <w:lang w:val="en-US" w:eastAsia="fr-FR"/>
        </w:rPr>
        <w:t xml:space="preserve"> </w:t>
      </w:r>
      <w:r w:rsidRPr="00ED44A8">
        <w:rPr>
          <w:rFonts w:asciiTheme="majorBidi" w:eastAsia="Times New Roman" w:hAnsiTheme="majorBidi" w:cstheme="majorBidi"/>
          <w:sz w:val="24"/>
          <w:szCs w:val="24"/>
          <w:lang w:val="en-US" w:eastAsia="fr-FR"/>
        </w:rPr>
        <w:t>Available Formats and Pricing</w:t>
      </w:r>
      <w:bookmarkEnd w:id="494"/>
      <w:bookmarkEnd w:id="495"/>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25"/>
        <w:gridCol w:w="1533"/>
        <w:gridCol w:w="1797"/>
        <w:gridCol w:w="1710"/>
        <w:gridCol w:w="1440"/>
      </w:tblGrid>
      <w:tr w:rsidR="007A05DD" w:rsidRPr="00E97C44" w14:paraId="4B338A35" w14:textId="77777777" w:rsidTr="00B62CA1">
        <w:trPr>
          <w:tblHeader/>
          <w:tblCellSpacing w:w="15" w:type="dxa"/>
          <w:jc w:val="center"/>
        </w:trPr>
        <w:tc>
          <w:tcPr>
            <w:tcW w:w="1480" w:type="dxa"/>
            <w:vAlign w:val="center"/>
            <w:hideMark/>
          </w:tcPr>
          <w:p w14:paraId="08296CBB" w14:textId="77777777" w:rsidR="007A05DD" w:rsidRPr="00E97C44" w:rsidRDefault="007A05DD" w:rsidP="00E97C44">
            <w:pPr>
              <w:spacing w:after="0" w:line="360" w:lineRule="auto"/>
              <w:jc w:val="center"/>
              <w:rPr>
                <w:rFonts w:asciiTheme="majorBidi" w:eastAsia="Times New Roman" w:hAnsiTheme="majorBidi" w:cstheme="majorBidi"/>
                <w:b/>
                <w:bCs/>
                <w:sz w:val="24"/>
                <w:szCs w:val="24"/>
                <w:lang w:eastAsia="fr-FR"/>
              </w:rPr>
            </w:pPr>
            <w:r w:rsidRPr="00E97C44">
              <w:rPr>
                <w:rFonts w:asciiTheme="majorBidi" w:eastAsia="Times New Roman" w:hAnsiTheme="majorBidi" w:cstheme="majorBidi"/>
                <w:b/>
                <w:bCs/>
                <w:sz w:val="24"/>
                <w:szCs w:val="24"/>
                <w:lang w:eastAsia="fr-FR"/>
              </w:rPr>
              <w:t>Format</w:t>
            </w:r>
          </w:p>
        </w:tc>
        <w:tc>
          <w:tcPr>
            <w:tcW w:w="1503" w:type="dxa"/>
            <w:vAlign w:val="center"/>
            <w:hideMark/>
          </w:tcPr>
          <w:p w14:paraId="383CE6F3" w14:textId="77777777" w:rsidR="007A05DD" w:rsidRPr="00E97C44" w:rsidRDefault="007A05DD" w:rsidP="00E97C44">
            <w:pPr>
              <w:spacing w:after="0" w:line="360" w:lineRule="auto"/>
              <w:jc w:val="center"/>
              <w:rPr>
                <w:rFonts w:asciiTheme="majorBidi" w:eastAsia="Times New Roman" w:hAnsiTheme="majorBidi" w:cstheme="majorBidi"/>
                <w:b/>
                <w:bCs/>
                <w:sz w:val="24"/>
                <w:szCs w:val="24"/>
                <w:lang w:eastAsia="fr-FR"/>
              </w:rPr>
            </w:pPr>
            <w:r w:rsidRPr="00E97C44">
              <w:rPr>
                <w:rFonts w:asciiTheme="majorBidi" w:eastAsia="Times New Roman" w:hAnsiTheme="majorBidi" w:cstheme="majorBidi"/>
                <w:b/>
                <w:bCs/>
                <w:sz w:val="24"/>
                <w:szCs w:val="24"/>
                <w:lang w:eastAsia="fr-FR"/>
              </w:rPr>
              <w:t>Packaging</w:t>
            </w:r>
          </w:p>
        </w:tc>
        <w:tc>
          <w:tcPr>
            <w:tcW w:w="1767" w:type="dxa"/>
            <w:vAlign w:val="center"/>
            <w:hideMark/>
          </w:tcPr>
          <w:p w14:paraId="1374C7C8" w14:textId="77777777" w:rsidR="007A05DD" w:rsidRPr="00E97C44" w:rsidRDefault="007A05DD" w:rsidP="00E97C44">
            <w:pPr>
              <w:spacing w:after="0" w:line="360" w:lineRule="auto"/>
              <w:jc w:val="center"/>
              <w:rPr>
                <w:rFonts w:asciiTheme="majorBidi" w:eastAsia="Times New Roman" w:hAnsiTheme="majorBidi" w:cstheme="majorBidi"/>
                <w:b/>
                <w:bCs/>
                <w:sz w:val="24"/>
                <w:szCs w:val="24"/>
                <w:lang w:eastAsia="fr-FR"/>
              </w:rPr>
            </w:pPr>
            <w:r w:rsidRPr="00E97C44">
              <w:rPr>
                <w:rFonts w:asciiTheme="majorBidi" w:eastAsia="Times New Roman" w:hAnsiTheme="majorBidi" w:cstheme="majorBidi"/>
                <w:b/>
                <w:bCs/>
                <w:sz w:val="24"/>
                <w:szCs w:val="24"/>
                <w:lang w:eastAsia="fr-FR"/>
              </w:rPr>
              <w:t>P.V. GR (DA)</w:t>
            </w:r>
          </w:p>
        </w:tc>
        <w:tc>
          <w:tcPr>
            <w:tcW w:w="1680" w:type="dxa"/>
            <w:vAlign w:val="center"/>
            <w:hideMark/>
          </w:tcPr>
          <w:p w14:paraId="0220EC6C" w14:textId="77777777" w:rsidR="007A05DD" w:rsidRPr="00E97C44" w:rsidRDefault="007A05DD" w:rsidP="00E97C44">
            <w:pPr>
              <w:spacing w:after="0" w:line="360" w:lineRule="auto"/>
              <w:jc w:val="center"/>
              <w:rPr>
                <w:rFonts w:asciiTheme="majorBidi" w:eastAsia="Times New Roman" w:hAnsiTheme="majorBidi" w:cstheme="majorBidi"/>
                <w:b/>
                <w:bCs/>
                <w:sz w:val="24"/>
                <w:szCs w:val="24"/>
                <w:lang w:eastAsia="fr-FR"/>
              </w:rPr>
            </w:pPr>
            <w:r w:rsidRPr="00E97C44">
              <w:rPr>
                <w:rFonts w:asciiTheme="majorBidi" w:eastAsia="Times New Roman" w:hAnsiTheme="majorBidi" w:cstheme="majorBidi"/>
                <w:b/>
                <w:bCs/>
                <w:sz w:val="24"/>
                <w:szCs w:val="24"/>
                <w:lang w:eastAsia="fr-FR"/>
              </w:rPr>
              <w:t>P. PH (DA)</w:t>
            </w:r>
          </w:p>
        </w:tc>
        <w:tc>
          <w:tcPr>
            <w:tcW w:w="1395" w:type="dxa"/>
            <w:vAlign w:val="center"/>
            <w:hideMark/>
          </w:tcPr>
          <w:p w14:paraId="441A9784" w14:textId="77777777" w:rsidR="007A05DD" w:rsidRPr="00E97C44" w:rsidRDefault="007A05DD" w:rsidP="00E97C44">
            <w:pPr>
              <w:spacing w:after="0" w:line="360" w:lineRule="auto"/>
              <w:jc w:val="center"/>
              <w:rPr>
                <w:rFonts w:asciiTheme="majorBidi" w:eastAsia="Times New Roman" w:hAnsiTheme="majorBidi" w:cstheme="majorBidi"/>
                <w:b/>
                <w:bCs/>
                <w:sz w:val="24"/>
                <w:szCs w:val="24"/>
                <w:lang w:eastAsia="fr-FR"/>
              </w:rPr>
            </w:pPr>
            <w:r w:rsidRPr="00E97C44">
              <w:rPr>
                <w:rFonts w:asciiTheme="majorBidi" w:eastAsia="Times New Roman" w:hAnsiTheme="majorBidi" w:cstheme="majorBidi"/>
                <w:b/>
                <w:bCs/>
                <w:sz w:val="24"/>
                <w:szCs w:val="24"/>
                <w:lang w:eastAsia="fr-FR"/>
              </w:rPr>
              <w:t>PPA (DA)</w:t>
            </w:r>
          </w:p>
        </w:tc>
      </w:tr>
      <w:tr w:rsidR="007A05DD" w:rsidRPr="00E97C44" w14:paraId="54DD9FDD" w14:textId="77777777" w:rsidTr="00B62CA1">
        <w:trPr>
          <w:tblCellSpacing w:w="15" w:type="dxa"/>
          <w:jc w:val="center"/>
        </w:trPr>
        <w:tc>
          <w:tcPr>
            <w:tcW w:w="1480" w:type="dxa"/>
            <w:vAlign w:val="center"/>
            <w:hideMark/>
          </w:tcPr>
          <w:p w14:paraId="1349E946"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50g Tube</w:t>
            </w:r>
          </w:p>
        </w:tc>
        <w:tc>
          <w:tcPr>
            <w:tcW w:w="1503" w:type="dxa"/>
            <w:vAlign w:val="center"/>
            <w:hideMark/>
          </w:tcPr>
          <w:p w14:paraId="1586E9FD"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48 units/box</w:t>
            </w:r>
          </w:p>
        </w:tc>
        <w:tc>
          <w:tcPr>
            <w:tcW w:w="1767" w:type="dxa"/>
            <w:vAlign w:val="center"/>
            <w:hideMark/>
          </w:tcPr>
          <w:p w14:paraId="73CB544A"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195.00</w:t>
            </w:r>
          </w:p>
        </w:tc>
        <w:tc>
          <w:tcPr>
            <w:tcW w:w="1680" w:type="dxa"/>
            <w:vAlign w:val="center"/>
            <w:hideMark/>
          </w:tcPr>
          <w:p w14:paraId="5A6DA2BA"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224.25</w:t>
            </w:r>
          </w:p>
        </w:tc>
        <w:tc>
          <w:tcPr>
            <w:tcW w:w="1395" w:type="dxa"/>
            <w:vAlign w:val="center"/>
            <w:hideMark/>
          </w:tcPr>
          <w:p w14:paraId="3B089F8C"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280.31</w:t>
            </w:r>
          </w:p>
        </w:tc>
      </w:tr>
      <w:tr w:rsidR="007A05DD" w:rsidRPr="00E97C44" w14:paraId="5C8D19A3" w14:textId="77777777" w:rsidTr="00B62CA1">
        <w:trPr>
          <w:tblCellSpacing w:w="15" w:type="dxa"/>
          <w:jc w:val="center"/>
        </w:trPr>
        <w:tc>
          <w:tcPr>
            <w:tcW w:w="1480" w:type="dxa"/>
            <w:vAlign w:val="center"/>
            <w:hideMark/>
          </w:tcPr>
          <w:p w14:paraId="554AD19A"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150ml Tube</w:t>
            </w:r>
          </w:p>
        </w:tc>
        <w:tc>
          <w:tcPr>
            <w:tcW w:w="1503" w:type="dxa"/>
            <w:vAlign w:val="center"/>
            <w:hideMark/>
          </w:tcPr>
          <w:p w14:paraId="3257E580"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40 units/box</w:t>
            </w:r>
          </w:p>
        </w:tc>
        <w:tc>
          <w:tcPr>
            <w:tcW w:w="1767" w:type="dxa"/>
            <w:vAlign w:val="center"/>
            <w:hideMark/>
          </w:tcPr>
          <w:p w14:paraId="710C3032"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340.87</w:t>
            </w:r>
          </w:p>
        </w:tc>
        <w:tc>
          <w:tcPr>
            <w:tcW w:w="1680" w:type="dxa"/>
            <w:vAlign w:val="center"/>
            <w:hideMark/>
          </w:tcPr>
          <w:p w14:paraId="7BA1E00D"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392.00</w:t>
            </w:r>
          </w:p>
        </w:tc>
        <w:tc>
          <w:tcPr>
            <w:tcW w:w="1395" w:type="dxa"/>
            <w:vAlign w:val="center"/>
            <w:hideMark/>
          </w:tcPr>
          <w:p w14:paraId="0C1D5686"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470.00</w:t>
            </w:r>
          </w:p>
        </w:tc>
      </w:tr>
      <w:tr w:rsidR="007A05DD" w:rsidRPr="00E97C44" w14:paraId="5E744A4F" w14:textId="77777777" w:rsidTr="00B62CA1">
        <w:trPr>
          <w:tblCellSpacing w:w="15" w:type="dxa"/>
          <w:jc w:val="center"/>
        </w:trPr>
        <w:tc>
          <w:tcPr>
            <w:tcW w:w="1480" w:type="dxa"/>
            <w:vAlign w:val="center"/>
            <w:hideMark/>
          </w:tcPr>
          <w:p w14:paraId="2C1D5C94"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200ml Tube</w:t>
            </w:r>
          </w:p>
        </w:tc>
        <w:tc>
          <w:tcPr>
            <w:tcW w:w="1503" w:type="dxa"/>
            <w:vAlign w:val="center"/>
            <w:hideMark/>
          </w:tcPr>
          <w:p w14:paraId="7D7575D9"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40 units/box</w:t>
            </w:r>
          </w:p>
        </w:tc>
        <w:tc>
          <w:tcPr>
            <w:tcW w:w="1767" w:type="dxa"/>
            <w:vAlign w:val="center"/>
            <w:hideMark/>
          </w:tcPr>
          <w:p w14:paraId="1E370F1A"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452.17</w:t>
            </w:r>
          </w:p>
        </w:tc>
        <w:tc>
          <w:tcPr>
            <w:tcW w:w="1680" w:type="dxa"/>
            <w:vAlign w:val="center"/>
            <w:hideMark/>
          </w:tcPr>
          <w:p w14:paraId="414B294B"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520.00</w:t>
            </w:r>
          </w:p>
        </w:tc>
        <w:tc>
          <w:tcPr>
            <w:tcW w:w="1395" w:type="dxa"/>
            <w:vAlign w:val="center"/>
            <w:hideMark/>
          </w:tcPr>
          <w:p w14:paraId="7B7BFBB5"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649.99</w:t>
            </w:r>
          </w:p>
        </w:tc>
      </w:tr>
      <w:tr w:rsidR="007A05DD" w:rsidRPr="00E97C44" w14:paraId="1FFE8781" w14:textId="77777777" w:rsidTr="00B62CA1">
        <w:trPr>
          <w:tblCellSpacing w:w="15" w:type="dxa"/>
          <w:jc w:val="center"/>
        </w:trPr>
        <w:tc>
          <w:tcPr>
            <w:tcW w:w="1480" w:type="dxa"/>
            <w:vAlign w:val="center"/>
            <w:hideMark/>
          </w:tcPr>
          <w:p w14:paraId="2E53A6C5"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400ml Pump</w:t>
            </w:r>
          </w:p>
        </w:tc>
        <w:tc>
          <w:tcPr>
            <w:tcW w:w="1503" w:type="dxa"/>
            <w:vAlign w:val="center"/>
            <w:hideMark/>
          </w:tcPr>
          <w:p w14:paraId="5A31A6E3"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25 units/box</w:t>
            </w:r>
          </w:p>
        </w:tc>
        <w:tc>
          <w:tcPr>
            <w:tcW w:w="1767" w:type="dxa"/>
            <w:vAlign w:val="center"/>
            <w:hideMark/>
          </w:tcPr>
          <w:p w14:paraId="3DDC2BB4"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720.00</w:t>
            </w:r>
          </w:p>
        </w:tc>
        <w:tc>
          <w:tcPr>
            <w:tcW w:w="1680" w:type="dxa"/>
            <w:vAlign w:val="center"/>
            <w:hideMark/>
          </w:tcPr>
          <w:p w14:paraId="42857F0B"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828.00</w:t>
            </w:r>
          </w:p>
        </w:tc>
        <w:tc>
          <w:tcPr>
            <w:tcW w:w="1395" w:type="dxa"/>
            <w:vAlign w:val="center"/>
            <w:hideMark/>
          </w:tcPr>
          <w:p w14:paraId="16679CFE" w14:textId="77777777" w:rsidR="007A05DD" w:rsidRPr="00E97C44" w:rsidRDefault="007A05DD" w:rsidP="00E97C44">
            <w:pPr>
              <w:spacing w:after="0" w:line="360" w:lineRule="auto"/>
              <w:jc w:val="center"/>
              <w:rPr>
                <w:rFonts w:asciiTheme="majorBidi" w:eastAsia="Times New Roman" w:hAnsiTheme="majorBidi" w:cstheme="majorBidi"/>
                <w:sz w:val="24"/>
                <w:szCs w:val="24"/>
                <w:lang w:eastAsia="fr-FR"/>
              </w:rPr>
            </w:pPr>
            <w:r w:rsidRPr="00E97C44">
              <w:rPr>
                <w:rFonts w:asciiTheme="majorBidi" w:eastAsia="Times New Roman" w:hAnsiTheme="majorBidi" w:cstheme="majorBidi"/>
                <w:sz w:val="24"/>
                <w:szCs w:val="24"/>
                <w:lang w:eastAsia="fr-FR"/>
              </w:rPr>
              <w:t>1035.00</w:t>
            </w:r>
          </w:p>
        </w:tc>
      </w:tr>
    </w:tbl>
    <w:p w14:paraId="02A1216E" w14:textId="77777777" w:rsidR="007A05DD" w:rsidRPr="0042098C" w:rsidRDefault="007A05DD" w:rsidP="0042098C">
      <w:pPr>
        <w:spacing w:beforeAutospacing="1" w:after="100" w:afterAutospacing="1" w:line="360" w:lineRule="auto"/>
        <w:jc w:val="center"/>
        <w:rPr>
          <w:rFonts w:asciiTheme="majorBidi" w:eastAsia="Times New Roman" w:hAnsiTheme="majorBidi" w:cstheme="majorBidi"/>
          <w:sz w:val="24"/>
          <w:szCs w:val="24"/>
          <w:rtl/>
          <w:lang w:val="en-US" w:eastAsia="fr-FR"/>
        </w:rPr>
      </w:pPr>
      <w:r w:rsidRPr="00E97C44">
        <w:rPr>
          <w:rFonts w:asciiTheme="majorBidi" w:eastAsia="Times New Roman" w:hAnsiTheme="majorBidi" w:cstheme="majorBidi"/>
          <w:sz w:val="24"/>
          <w:szCs w:val="24"/>
          <w:lang w:val="en-US" w:eastAsia="fr-FR"/>
        </w:rPr>
        <w:t>(P.V. GR = Wholesale Price, P. PH = Pharmacy Price, PPA = Public Price with Tax)</w:t>
      </w:r>
    </w:p>
    <w:p w14:paraId="7A8C29F6" w14:textId="77777777" w:rsidR="007A05DD" w:rsidRPr="00ED44A8" w:rsidRDefault="007A05DD" w:rsidP="00ED44A8">
      <w:pPr>
        <w:spacing w:beforeAutospacing="1" w:after="100" w:afterAutospacing="1" w:line="360" w:lineRule="auto"/>
        <w:jc w:val="center"/>
        <w:rPr>
          <w:rFonts w:asciiTheme="majorBidi" w:eastAsia="Times New Roman" w:hAnsiTheme="majorBidi" w:cstheme="majorBidi"/>
          <w:sz w:val="24"/>
          <w:szCs w:val="24"/>
          <w:rtl/>
          <w:lang w:val="en-US" w:eastAsia="fr-FR" w:bidi="ar-DZ"/>
        </w:rPr>
      </w:pPr>
      <w:r>
        <w:rPr>
          <w:rFonts w:asciiTheme="majorBidi" w:eastAsia="Times New Roman" w:hAnsiTheme="majorBidi" w:cstheme="majorBidi"/>
          <w:b/>
          <w:bCs/>
          <w:sz w:val="24"/>
          <w:szCs w:val="24"/>
          <w:lang w:val="en-US" w:eastAsia="fr-FR"/>
        </w:rPr>
        <w:t>Source:</w:t>
      </w:r>
      <w:r>
        <w:rPr>
          <w:rFonts w:asciiTheme="majorBidi" w:eastAsia="Times New Roman" w:hAnsiTheme="majorBidi" w:cstheme="majorBidi"/>
          <w:sz w:val="24"/>
          <w:szCs w:val="24"/>
          <w:lang w:val="en-US" w:eastAsia="fr-FR"/>
        </w:rPr>
        <w:t xml:space="preserve"> </w:t>
      </w:r>
      <w:r w:rsidRPr="0042098C">
        <w:rPr>
          <w:rFonts w:asciiTheme="majorBidi" w:eastAsia="Times New Roman" w:hAnsiTheme="majorBidi" w:cstheme="majorBidi"/>
          <w:sz w:val="24"/>
          <w:szCs w:val="24"/>
          <w:lang w:val="en-US" w:eastAsia="fr-FR"/>
        </w:rPr>
        <w:t>Internal documents of the institution</w:t>
      </w:r>
    </w:p>
    <w:p w14:paraId="0331C003" w14:textId="698AECE7" w:rsidR="007A05DD" w:rsidRPr="007A05DD" w:rsidRDefault="007A05DD" w:rsidP="007A05DD">
      <w:pPr>
        <w:spacing w:before="100" w:beforeAutospacing="1" w:after="100" w:afterAutospacing="1" w:line="360" w:lineRule="auto"/>
        <w:jc w:val="both"/>
        <w:rPr>
          <w:rFonts w:asciiTheme="majorBidi" w:eastAsia="Times New Roman" w:hAnsiTheme="majorBidi" w:cstheme="majorBidi"/>
          <w:sz w:val="24"/>
          <w:szCs w:val="24"/>
          <w:lang w:val="en-US" w:eastAsia="fr-FR"/>
        </w:rPr>
      </w:pPr>
      <w:r w:rsidRPr="00E97C44">
        <w:rPr>
          <w:rFonts w:asciiTheme="majorBidi" w:eastAsia="Times New Roman" w:hAnsiTheme="majorBidi" w:cstheme="majorBidi"/>
          <w:sz w:val="24"/>
          <w:szCs w:val="24"/>
          <w:lang w:val="en-US" w:eastAsia="fr-FR"/>
        </w:rPr>
        <w:t>This range allows flexibility in market entry pricing strategies, enabling Proderma to target different consumer segments in Turkey while maintaining profit margins and competitive positioning.</w:t>
      </w:r>
    </w:p>
    <w:p w14:paraId="3A1CB3BA" w14:textId="7CE7600B" w:rsidR="00037AD6" w:rsidRPr="007F2304" w:rsidRDefault="00037AD6" w:rsidP="007F2304">
      <w:pPr>
        <w:pStyle w:val="ListParagraph"/>
        <w:numPr>
          <w:ilvl w:val="0"/>
          <w:numId w:val="39"/>
        </w:numPr>
        <w:spacing w:line="360" w:lineRule="auto"/>
        <w:rPr>
          <w:rFonts w:asciiTheme="majorBidi" w:hAnsiTheme="majorBidi" w:cstheme="majorBidi"/>
          <w:b/>
          <w:bCs/>
          <w:sz w:val="24"/>
          <w:szCs w:val="24"/>
          <w:lang w:val="en-GB"/>
        </w:rPr>
      </w:pPr>
      <w:bookmarkStart w:id="496" w:name="_Toc200721785"/>
      <w:r w:rsidRPr="00050632">
        <w:rPr>
          <w:rStyle w:val="Heading3Char"/>
        </w:rPr>
        <w:t>C</w:t>
      </w:r>
      <w:r w:rsidR="00AC1791" w:rsidRPr="00050632">
        <w:rPr>
          <w:rStyle w:val="Heading3Char"/>
        </w:rPr>
        <w:t>ompetitor analysi</w:t>
      </w:r>
      <w:bookmarkEnd w:id="496"/>
      <w:r w:rsidR="00AC1791" w:rsidRPr="007F2304">
        <w:rPr>
          <w:rFonts w:asciiTheme="majorBidi" w:hAnsiTheme="majorBidi" w:cstheme="majorBidi"/>
          <w:b/>
          <w:bCs/>
          <w:sz w:val="24"/>
          <w:szCs w:val="24"/>
          <w:lang w:val="en-GB"/>
        </w:rPr>
        <w:t>s</w:t>
      </w:r>
    </w:p>
    <w:p w14:paraId="441BDE2B" w14:textId="75A34AFC" w:rsidR="00AC1791" w:rsidRPr="002551A7" w:rsidRDefault="00AC1791" w:rsidP="002551A7">
      <w:pPr>
        <w:spacing w:line="360" w:lineRule="auto"/>
        <w:jc w:val="center"/>
        <w:rPr>
          <w:rFonts w:asciiTheme="majorBidi" w:hAnsiTheme="majorBidi" w:cstheme="majorBidi"/>
          <w:sz w:val="24"/>
          <w:szCs w:val="24"/>
          <w:lang w:val="en-GB"/>
        </w:rPr>
      </w:pPr>
      <w:r w:rsidRPr="002551A7">
        <w:rPr>
          <w:rFonts w:asciiTheme="majorBidi" w:hAnsiTheme="majorBidi" w:cstheme="majorBidi"/>
          <w:b/>
          <w:bCs/>
          <w:sz w:val="24"/>
          <w:szCs w:val="24"/>
          <w:lang w:val="en-GB"/>
        </w:rPr>
        <w:t>Table 6</w:t>
      </w:r>
      <w:r w:rsidR="00CA4B7E">
        <w:rPr>
          <w:rFonts w:asciiTheme="majorBidi" w:hAnsiTheme="majorBidi" w:cstheme="majorBidi"/>
          <w:b/>
          <w:bCs/>
          <w:sz w:val="24"/>
          <w:szCs w:val="24"/>
          <w:lang w:val="en-GB"/>
        </w:rPr>
        <w:t>9</w:t>
      </w:r>
      <w:r w:rsidRPr="002551A7">
        <w:rPr>
          <w:rFonts w:asciiTheme="majorBidi" w:hAnsiTheme="majorBidi" w:cstheme="majorBidi"/>
          <w:b/>
          <w:bCs/>
          <w:sz w:val="24"/>
          <w:szCs w:val="24"/>
          <w:lang w:val="en-GB"/>
        </w:rPr>
        <w:t xml:space="preserve">: </w:t>
      </w:r>
      <w:r w:rsidRPr="002551A7">
        <w:rPr>
          <w:rFonts w:asciiTheme="majorBidi" w:hAnsiTheme="majorBidi" w:cstheme="majorBidi"/>
          <w:sz w:val="24"/>
          <w:szCs w:val="24"/>
          <w:lang w:val="en-GB"/>
        </w:rPr>
        <w:t>Comparative Table of Competitors</w:t>
      </w:r>
    </w:p>
    <w:tbl>
      <w:tblPr>
        <w:tblW w:w="10915" w:type="dxa"/>
        <w:tblCellSpacing w:w="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1510"/>
        <w:gridCol w:w="914"/>
        <w:gridCol w:w="2571"/>
        <w:gridCol w:w="2376"/>
        <w:gridCol w:w="1559"/>
      </w:tblGrid>
      <w:tr w:rsidR="00AC1791" w:rsidRPr="002551A7" w14:paraId="5089BD44" w14:textId="77777777" w:rsidTr="00AB7DD4">
        <w:trPr>
          <w:trHeight w:val="440"/>
          <w:tblHeader/>
          <w:tblCellSpacing w:w="15" w:type="dxa"/>
        </w:trPr>
        <w:tc>
          <w:tcPr>
            <w:tcW w:w="1940" w:type="dxa"/>
            <w:vAlign w:val="center"/>
            <w:hideMark/>
          </w:tcPr>
          <w:p w14:paraId="7C26DE80"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Brand</w:t>
            </w:r>
          </w:p>
        </w:tc>
        <w:tc>
          <w:tcPr>
            <w:tcW w:w="1480" w:type="dxa"/>
            <w:vAlign w:val="center"/>
            <w:hideMark/>
          </w:tcPr>
          <w:p w14:paraId="7A32CE41"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Origin</w:t>
            </w:r>
          </w:p>
        </w:tc>
        <w:tc>
          <w:tcPr>
            <w:tcW w:w="884" w:type="dxa"/>
            <w:vAlign w:val="center"/>
            <w:hideMark/>
          </w:tcPr>
          <w:p w14:paraId="0A1F9A43"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Type</w:t>
            </w:r>
          </w:p>
        </w:tc>
        <w:tc>
          <w:tcPr>
            <w:tcW w:w="2541" w:type="dxa"/>
            <w:vAlign w:val="center"/>
            <w:hideMark/>
          </w:tcPr>
          <w:p w14:paraId="796DBF8C"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Key Products</w:t>
            </w:r>
          </w:p>
        </w:tc>
        <w:tc>
          <w:tcPr>
            <w:tcW w:w="2346" w:type="dxa"/>
            <w:vAlign w:val="center"/>
            <w:hideMark/>
          </w:tcPr>
          <w:p w14:paraId="025A5B71"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Positioning</w:t>
            </w:r>
          </w:p>
        </w:tc>
        <w:tc>
          <w:tcPr>
            <w:tcW w:w="1514" w:type="dxa"/>
            <w:vAlign w:val="center"/>
          </w:tcPr>
          <w:p w14:paraId="5F72C202" w14:textId="77777777" w:rsidR="00AC1791" w:rsidRPr="002551A7" w:rsidRDefault="00AC1791" w:rsidP="002551A7">
            <w:pPr>
              <w:spacing w:after="0" w:line="360" w:lineRule="auto"/>
              <w:jc w:val="center"/>
              <w:rPr>
                <w:rFonts w:asciiTheme="majorBidi" w:eastAsia="Times New Roman" w:hAnsiTheme="majorBidi" w:cstheme="majorBidi"/>
                <w:b/>
                <w:bCs/>
                <w:sz w:val="24"/>
                <w:szCs w:val="24"/>
                <w:lang w:eastAsia="fr-FR"/>
              </w:rPr>
            </w:pPr>
            <w:r w:rsidRPr="002551A7">
              <w:rPr>
                <w:rFonts w:asciiTheme="majorBidi" w:eastAsia="Times New Roman" w:hAnsiTheme="majorBidi" w:cstheme="majorBidi"/>
                <w:b/>
                <w:bCs/>
                <w:sz w:val="24"/>
                <w:szCs w:val="24"/>
                <w:lang w:eastAsia="fr-FR"/>
              </w:rPr>
              <w:t>Boycott Status</w:t>
            </w:r>
          </w:p>
        </w:tc>
      </w:tr>
      <w:tr w:rsidR="00AC1791" w:rsidRPr="002551A7" w14:paraId="559D3D44" w14:textId="77777777" w:rsidTr="00AB7DD4">
        <w:trPr>
          <w:trHeight w:val="1099"/>
          <w:tblCellSpacing w:w="15" w:type="dxa"/>
        </w:trPr>
        <w:tc>
          <w:tcPr>
            <w:tcW w:w="1940" w:type="dxa"/>
            <w:vAlign w:val="center"/>
            <w:hideMark/>
          </w:tcPr>
          <w:p w14:paraId="4F2EB1D1"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Nivea</w:t>
            </w:r>
          </w:p>
        </w:tc>
        <w:tc>
          <w:tcPr>
            <w:tcW w:w="1480" w:type="dxa"/>
            <w:vAlign w:val="center"/>
            <w:hideMark/>
          </w:tcPr>
          <w:p w14:paraId="4D68902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Germany</w:t>
            </w:r>
          </w:p>
        </w:tc>
        <w:tc>
          <w:tcPr>
            <w:tcW w:w="884" w:type="dxa"/>
            <w:vAlign w:val="center"/>
            <w:hideMark/>
          </w:tcPr>
          <w:p w14:paraId="3F6EA087"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121120A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Nivea Soft, Nivea Cream</w:t>
            </w:r>
          </w:p>
        </w:tc>
        <w:tc>
          <w:tcPr>
            <w:tcW w:w="2346" w:type="dxa"/>
            <w:vAlign w:val="center"/>
            <w:hideMark/>
          </w:tcPr>
          <w:p w14:paraId="361E76B1"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Trusted, affordable, widely distributed</w:t>
            </w:r>
          </w:p>
        </w:tc>
        <w:tc>
          <w:tcPr>
            <w:tcW w:w="1514" w:type="dxa"/>
            <w:vAlign w:val="center"/>
          </w:tcPr>
          <w:p w14:paraId="49BC3DD7"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Boycotted</w:t>
            </w:r>
          </w:p>
        </w:tc>
      </w:tr>
      <w:tr w:rsidR="00AC1791" w:rsidRPr="002551A7" w14:paraId="36ECA1E0" w14:textId="77777777" w:rsidTr="00AB7DD4">
        <w:trPr>
          <w:trHeight w:val="559"/>
          <w:tblCellSpacing w:w="15" w:type="dxa"/>
        </w:trPr>
        <w:tc>
          <w:tcPr>
            <w:tcW w:w="1940" w:type="dxa"/>
            <w:vAlign w:val="center"/>
            <w:hideMark/>
          </w:tcPr>
          <w:p w14:paraId="0C44439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L’Oréal / Garnier</w:t>
            </w:r>
          </w:p>
        </w:tc>
        <w:tc>
          <w:tcPr>
            <w:tcW w:w="1480" w:type="dxa"/>
            <w:vAlign w:val="center"/>
            <w:hideMark/>
          </w:tcPr>
          <w:p w14:paraId="31E1517E"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France</w:t>
            </w:r>
          </w:p>
        </w:tc>
        <w:tc>
          <w:tcPr>
            <w:tcW w:w="884" w:type="dxa"/>
            <w:vAlign w:val="center"/>
            <w:hideMark/>
          </w:tcPr>
          <w:p w14:paraId="2C00289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1D22E0B6"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Hydra Genius, SkinActive</w:t>
            </w:r>
          </w:p>
        </w:tc>
        <w:tc>
          <w:tcPr>
            <w:tcW w:w="2346" w:type="dxa"/>
            <w:vAlign w:val="center"/>
            <w:hideMark/>
          </w:tcPr>
          <w:p w14:paraId="5E13592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Innovation and diverse range</w:t>
            </w:r>
          </w:p>
        </w:tc>
        <w:tc>
          <w:tcPr>
            <w:tcW w:w="1514" w:type="dxa"/>
            <w:vAlign w:val="center"/>
          </w:tcPr>
          <w:p w14:paraId="274FAEAB"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Boycotted</w:t>
            </w:r>
          </w:p>
        </w:tc>
      </w:tr>
      <w:tr w:rsidR="00AC1791" w:rsidRPr="002551A7" w14:paraId="156AF316" w14:textId="77777777" w:rsidTr="00AB7DD4">
        <w:trPr>
          <w:trHeight w:val="819"/>
          <w:tblCellSpacing w:w="15" w:type="dxa"/>
        </w:trPr>
        <w:tc>
          <w:tcPr>
            <w:tcW w:w="1940" w:type="dxa"/>
            <w:vAlign w:val="center"/>
            <w:hideMark/>
          </w:tcPr>
          <w:p w14:paraId="2F0ADA5B"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Johnson &amp; Johnson</w:t>
            </w:r>
          </w:p>
        </w:tc>
        <w:tc>
          <w:tcPr>
            <w:tcW w:w="1480" w:type="dxa"/>
            <w:vAlign w:val="center"/>
            <w:hideMark/>
          </w:tcPr>
          <w:p w14:paraId="4E678F9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USA</w:t>
            </w:r>
          </w:p>
        </w:tc>
        <w:tc>
          <w:tcPr>
            <w:tcW w:w="884" w:type="dxa"/>
            <w:vAlign w:val="center"/>
            <w:hideMark/>
          </w:tcPr>
          <w:p w14:paraId="75FBF54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5DFDC729"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Neutrogena Hydro Boost</w:t>
            </w:r>
          </w:p>
        </w:tc>
        <w:tc>
          <w:tcPr>
            <w:tcW w:w="2346" w:type="dxa"/>
            <w:vAlign w:val="center"/>
            <w:hideMark/>
          </w:tcPr>
          <w:p w14:paraId="6BCE6169"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Dermatology-focused skincare</w:t>
            </w:r>
          </w:p>
        </w:tc>
        <w:tc>
          <w:tcPr>
            <w:tcW w:w="1514" w:type="dxa"/>
            <w:vAlign w:val="center"/>
          </w:tcPr>
          <w:p w14:paraId="677BDA1A"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Boycotted</w:t>
            </w:r>
          </w:p>
        </w:tc>
      </w:tr>
      <w:tr w:rsidR="00AC1791" w:rsidRPr="002551A7" w14:paraId="7B23B58C" w14:textId="77777777" w:rsidTr="00AB7DD4">
        <w:trPr>
          <w:trHeight w:val="1109"/>
          <w:tblCellSpacing w:w="15" w:type="dxa"/>
        </w:trPr>
        <w:tc>
          <w:tcPr>
            <w:tcW w:w="1940" w:type="dxa"/>
            <w:vAlign w:val="center"/>
            <w:hideMark/>
          </w:tcPr>
          <w:p w14:paraId="42FC4C16"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Diadermine</w:t>
            </w:r>
          </w:p>
        </w:tc>
        <w:tc>
          <w:tcPr>
            <w:tcW w:w="1480" w:type="dxa"/>
            <w:vAlign w:val="center"/>
            <w:hideMark/>
          </w:tcPr>
          <w:p w14:paraId="63FFD190"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Germany</w:t>
            </w:r>
          </w:p>
        </w:tc>
        <w:tc>
          <w:tcPr>
            <w:tcW w:w="884" w:type="dxa"/>
            <w:vAlign w:val="center"/>
            <w:hideMark/>
          </w:tcPr>
          <w:p w14:paraId="68177EE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686BDB26"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Hydralist Aqua Gel</w:t>
            </w:r>
          </w:p>
        </w:tc>
        <w:tc>
          <w:tcPr>
            <w:tcW w:w="2346" w:type="dxa"/>
            <w:vAlign w:val="center"/>
            <w:hideMark/>
          </w:tcPr>
          <w:p w14:paraId="0CC3375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Affordable, active ingredient-based skincare</w:t>
            </w:r>
          </w:p>
        </w:tc>
        <w:tc>
          <w:tcPr>
            <w:tcW w:w="1514" w:type="dxa"/>
            <w:vAlign w:val="center"/>
          </w:tcPr>
          <w:p w14:paraId="382EEC15"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Boycotted (partially)</w:t>
            </w:r>
          </w:p>
        </w:tc>
      </w:tr>
      <w:tr w:rsidR="00AC1791" w:rsidRPr="002551A7" w14:paraId="0D487C3C" w14:textId="77777777" w:rsidTr="00AB7DD4">
        <w:trPr>
          <w:trHeight w:val="829"/>
          <w:tblCellSpacing w:w="15" w:type="dxa"/>
        </w:trPr>
        <w:tc>
          <w:tcPr>
            <w:tcW w:w="1940" w:type="dxa"/>
            <w:vAlign w:val="center"/>
            <w:hideMark/>
          </w:tcPr>
          <w:p w14:paraId="23F8A67C"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Cosmed</w:t>
            </w:r>
          </w:p>
        </w:tc>
        <w:tc>
          <w:tcPr>
            <w:tcW w:w="1480" w:type="dxa"/>
            <w:vAlign w:val="center"/>
            <w:hideMark/>
          </w:tcPr>
          <w:p w14:paraId="1517A8CF"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47B3C4CC"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5691976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Sensitive skin moisturizers</w:t>
            </w:r>
          </w:p>
        </w:tc>
        <w:tc>
          <w:tcPr>
            <w:tcW w:w="2346" w:type="dxa"/>
            <w:vAlign w:val="center"/>
            <w:hideMark/>
          </w:tcPr>
          <w:p w14:paraId="2A6A4DB2"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Local dermatology-based products</w:t>
            </w:r>
          </w:p>
        </w:tc>
        <w:tc>
          <w:tcPr>
            <w:tcW w:w="1514" w:type="dxa"/>
            <w:vAlign w:val="center"/>
          </w:tcPr>
          <w:p w14:paraId="4B336221"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Not boycotted</w:t>
            </w:r>
          </w:p>
        </w:tc>
      </w:tr>
      <w:tr w:rsidR="00AC1791" w:rsidRPr="002551A7" w14:paraId="519BEBCE" w14:textId="77777777" w:rsidTr="00AB7DD4">
        <w:trPr>
          <w:trHeight w:val="819"/>
          <w:tblCellSpacing w:w="15" w:type="dxa"/>
        </w:trPr>
        <w:tc>
          <w:tcPr>
            <w:tcW w:w="1940" w:type="dxa"/>
            <w:vAlign w:val="center"/>
            <w:hideMark/>
          </w:tcPr>
          <w:p w14:paraId="30D2C10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Dermoskin</w:t>
            </w:r>
          </w:p>
        </w:tc>
        <w:tc>
          <w:tcPr>
            <w:tcW w:w="1480" w:type="dxa"/>
            <w:vAlign w:val="center"/>
            <w:hideMark/>
          </w:tcPr>
          <w:p w14:paraId="2043B1A3"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6002855E"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5BC3481B"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Sensitive skin moisturizers</w:t>
            </w:r>
          </w:p>
        </w:tc>
        <w:tc>
          <w:tcPr>
            <w:tcW w:w="2346" w:type="dxa"/>
            <w:vAlign w:val="center"/>
            <w:hideMark/>
          </w:tcPr>
          <w:p w14:paraId="6DB20F4B" w14:textId="77777777" w:rsidR="00AC1791" w:rsidRPr="002551A7" w:rsidRDefault="00AC1791" w:rsidP="002551A7">
            <w:pPr>
              <w:spacing w:after="0" w:line="360" w:lineRule="auto"/>
              <w:jc w:val="center"/>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Dermatologist-approved for sensitive skin</w:t>
            </w:r>
          </w:p>
        </w:tc>
        <w:tc>
          <w:tcPr>
            <w:tcW w:w="1514" w:type="dxa"/>
            <w:vAlign w:val="center"/>
          </w:tcPr>
          <w:p w14:paraId="6301A821" w14:textId="77777777" w:rsidR="00AC1791" w:rsidRPr="007F2304" w:rsidRDefault="00AC1791" w:rsidP="002551A7">
            <w:pPr>
              <w:spacing w:after="0" w:line="360" w:lineRule="auto"/>
              <w:jc w:val="center"/>
              <w:rPr>
                <w:rFonts w:asciiTheme="majorBidi" w:eastAsia="Times New Roman" w:hAnsiTheme="majorBidi" w:cstheme="majorBidi"/>
                <w:sz w:val="24"/>
                <w:szCs w:val="24"/>
                <w:lang w:val="en-GB" w:eastAsia="fr-FR"/>
              </w:rPr>
            </w:pPr>
            <w:r w:rsidRPr="007F2304">
              <w:rPr>
                <w:rFonts w:asciiTheme="majorBidi" w:eastAsia="Times New Roman" w:hAnsiTheme="majorBidi" w:cstheme="majorBidi"/>
                <w:sz w:val="24"/>
                <w:szCs w:val="24"/>
                <w:lang w:val="en-GB" w:eastAsia="fr-FR"/>
              </w:rPr>
              <w:t xml:space="preserve"> </w:t>
            </w:r>
            <w:r w:rsidRPr="007F2304">
              <w:rPr>
                <w:rFonts w:asciiTheme="majorBidi" w:eastAsia="Times New Roman" w:hAnsiTheme="majorBidi" w:cstheme="majorBidi"/>
                <w:sz w:val="24"/>
                <w:szCs w:val="24"/>
                <w:lang w:eastAsia="fr-FR"/>
              </w:rPr>
              <w:t>Not boycotted</w:t>
            </w:r>
          </w:p>
        </w:tc>
      </w:tr>
      <w:tr w:rsidR="00AC1791" w:rsidRPr="002551A7" w14:paraId="53AF2F93" w14:textId="77777777" w:rsidTr="00AB7DD4">
        <w:trPr>
          <w:trHeight w:val="829"/>
          <w:tblCellSpacing w:w="15" w:type="dxa"/>
        </w:trPr>
        <w:tc>
          <w:tcPr>
            <w:tcW w:w="1940" w:type="dxa"/>
            <w:vAlign w:val="center"/>
            <w:hideMark/>
          </w:tcPr>
          <w:p w14:paraId="65B2144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Herbaderm</w:t>
            </w:r>
          </w:p>
        </w:tc>
        <w:tc>
          <w:tcPr>
            <w:tcW w:w="1480" w:type="dxa"/>
            <w:vAlign w:val="center"/>
            <w:hideMark/>
          </w:tcPr>
          <w:p w14:paraId="7BC1BF56"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52D63FA0"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0053C0DC"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Moisturizing serums</w:t>
            </w:r>
          </w:p>
        </w:tc>
        <w:tc>
          <w:tcPr>
            <w:tcW w:w="2346" w:type="dxa"/>
            <w:vAlign w:val="center"/>
            <w:hideMark/>
          </w:tcPr>
          <w:p w14:paraId="281A625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Natural, effective ingredients</w:t>
            </w:r>
          </w:p>
        </w:tc>
        <w:tc>
          <w:tcPr>
            <w:tcW w:w="1514" w:type="dxa"/>
            <w:vAlign w:val="center"/>
          </w:tcPr>
          <w:p w14:paraId="173B2961"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Not boycotted</w:t>
            </w:r>
          </w:p>
        </w:tc>
      </w:tr>
      <w:tr w:rsidR="00AC1791" w:rsidRPr="002551A7" w14:paraId="20134F2F" w14:textId="77777777" w:rsidTr="00AB7DD4">
        <w:trPr>
          <w:trHeight w:val="829"/>
          <w:tblCellSpacing w:w="15" w:type="dxa"/>
        </w:trPr>
        <w:tc>
          <w:tcPr>
            <w:tcW w:w="1940" w:type="dxa"/>
            <w:vAlign w:val="center"/>
            <w:hideMark/>
          </w:tcPr>
          <w:p w14:paraId="02C1033B"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Agarta Herbal Cosmetics</w:t>
            </w:r>
          </w:p>
        </w:tc>
        <w:tc>
          <w:tcPr>
            <w:tcW w:w="1480" w:type="dxa"/>
            <w:vAlign w:val="center"/>
            <w:hideMark/>
          </w:tcPr>
          <w:p w14:paraId="41A5A65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0AEAD1B1"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Direct</w:t>
            </w:r>
          </w:p>
        </w:tc>
        <w:tc>
          <w:tcPr>
            <w:tcW w:w="2541" w:type="dxa"/>
            <w:vAlign w:val="center"/>
            <w:hideMark/>
          </w:tcPr>
          <w:p w14:paraId="6D7B305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Argan oil moisturizers</w:t>
            </w:r>
          </w:p>
        </w:tc>
        <w:tc>
          <w:tcPr>
            <w:tcW w:w="2346" w:type="dxa"/>
            <w:vAlign w:val="center"/>
            <w:hideMark/>
          </w:tcPr>
          <w:p w14:paraId="29FB616A"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Organic and herbal cosmetics</w:t>
            </w:r>
          </w:p>
        </w:tc>
        <w:tc>
          <w:tcPr>
            <w:tcW w:w="1514" w:type="dxa"/>
            <w:vAlign w:val="center"/>
          </w:tcPr>
          <w:p w14:paraId="2BD4DC47"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Not boycotted</w:t>
            </w:r>
          </w:p>
        </w:tc>
      </w:tr>
      <w:tr w:rsidR="00AC1791" w:rsidRPr="002551A7" w14:paraId="3B8363D7" w14:textId="77777777" w:rsidTr="00AB7DD4">
        <w:trPr>
          <w:trHeight w:val="829"/>
          <w:tblCellSpacing w:w="15" w:type="dxa"/>
        </w:trPr>
        <w:tc>
          <w:tcPr>
            <w:tcW w:w="1940" w:type="dxa"/>
            <w:vAlign w:val="center"/>
            <w:hideMark/>
          </w:tcPr>
          <w:p w14:paraId="1FD18B2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Otacı</w:t>
            </w:r>
          </w:p>
        </w:tc>
        <w:tc>
          <w:tcPr>
            <w:tcW w:w="1480" w:type="dxa"/>
            <w:vAlign w:val="center"/>
            <w:hideMark/>
          </w:tcPr>
          <w:p w14:paraId="44D513AA"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3D604430"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Indirect</w:t>
            </w:r>
          </w:p>
        </w:tc>
        <w:tc>
          <w:tcPr>
            <w:tcW w:w="2541" w:type="dxa"/>
            <w:vAlign w:val="center"/>
            <w:hideMark/>
          </w:tcPr>
          <w:p w14:paraId="3124C0B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Plant-based skincare</w:t>
            </w:r>
          </w:p>
        </w:tc>
        <w:tc>
          <w:tcPr>
            <w:tcW w:w="2346" w:type="dxa"/>
            <w:vAlign w:val="center"/>
            <w:hideMark/>
          </w:tcPr>
          <w:p w14:paraId="6A017601"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Botanical and natural products</w:t>
            </w:r>
          </w:p>
        </w:tc>
        <w:tc>
          <w:tcPr>
            <w:tcW w:w="1514" w:type="dxa"/>
            <w:vAlign w:val="center"/>
          </w:tcPr>
          <w:p w14:paraId="5519028B"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Not boycotted</w:t>
            </w:r>
          </w:p>
        </w:tc>
      </w:tr>
      <w:tr w:rsidR="00AC1791" w:rsidRPr="002551A7" w14:paraId="223DBF14" w14:textId="77777777" w:rsidTr="00AB7DD4">
        <w:trPr>
          <w:trHeight w:val="829"/>
          <w:tblCellSpacing w:w="15" w:type="dxa"/>
        </w:trPr>
        <w:tc>
          <w:tcPr>
            <w:tcW w:w="1940" w:type="dxa"/>
            <w:vAlign w:val="center"/>
            <w:hideMark/>
          </w:tcPr>
          <w:p w14:paraId="3A9A04A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Rosense</w:t>
            </w:r>
          </w:p>
        </w:tc>
        <w:tc>
          <w:tcPr>
            <w:tcW w:w="1480" w:type="dxa"/>
            <w:vAlign w:val="center"/>
            <w:hideMark/>
          </w:tcPr>
          <w:p w14:paraId="41B224F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6A40A91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Indirect</w:t>
            </w:r>
          </w:p>
        </w:tc>
        <w:tc>
          <w:tcPr>
            <w:tcW w:w="2541" w:type="dxa"/>
            <w:vAlign w:val="center"/>
            <w:hideMark/>
          </w:tcPr>
          <w:p w14:paraId="4DA49CC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Rose water, lotions</w:t>
            </w:r>
          </w:p>
        </w:tc>
        <w:tc>
          <w:tcPr>
            <w:tcW w:w="2346" w:type="dxa"/>
            <w:vAlign w:val="center"/>
            <w:hideMark/>
          </w:tcPr>
          <w:p w14:paraId="3F1F063C"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Rose-based, hydrating cosmetics</w:t>
            </w:r>
          </w:p>
        </w:tc>
        <w:tc>
          <w:tcPr>
            <w:tcW w:w="1514" w:type="dxa"/>
            <w:vAlign w:val="center"/>
          </w:tcPr>
          <w:p w14:paraId="243F0F61" w14:textId="77777777" w:rsidR="00AC1791" w:rsidRPr="007F2304" w:rsidRDefault="00AC1791" w:rsidP="002551A7">
            <w:pPr>
              <w:spacing w:after="0" w:line="360" w:lineRule="auto"/>
              <w:jc w:val="center"/>
              <w:rPr>
                <w:rFonts w:asciiTheme="majorBidi" w:eastAsia="Times New Roman" w:hAnsiTheme="majorBidi" w:cstheme="majorBidi"/>
                <w:sz w:val="24"/>
                <w:szCs w:val="24"/>
                <w:lang w:eastAsia="fr-FR"/>
              </w:rPr>
            </w:pPr>
            <w:r w:rsidRPr="007F2304">
              <w:rPr>
                <w:rFonts w:asciiTheme="majorBidi" w:eastAsia="Times New Roman" w:hAnsiTheme="majorBidi" w:cstheme="majorBidi"/>
                <w:sz w:val="24"/>
                <w:szCs w:val="24"/>
                <w:lang w:eastAsia="fr-FR"/>
              </w:rPr>
              <w:t xml:space="preserve"> Not boycotted</w:t>
            </w:r>
          </w:p>
        </w:tc>
      </w:tr>
      <w:tr w:rsidR="00AC1791" w:rsidRPr="002551A7" w14:paraId="784689A7" w14:textId="77777777" w:rsidTr="00AB7DD4">
        <w:trPr>
          <w:trHeight w:val="819"/>
          <w:tblCellSpacing w:w="15" w:type="dxa"/>
        </w:trPr>
        <w:tc>
          <w:tcPr>
            <w:tcW w:w="1940" w:type="dxa"/>
            <w:vAlign w:val="center"/>
            <w:hideMark/>
          </w:tcPr>
          <w:p w14:paraId="35D816A4"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Eyüp Sabri Tuncer</w:t>
            </w:r>
          </w:p>
        </w:tc>
        <w:tc>
          <w:tcPr>
            <w:tcW w:w="1480" w:type="dxa"/>
            <w:vAlign w:val="center"/>
            <w:hideMark/>
          </w:tcPr>
          <w:p w14:paraId="3DE96A25"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3E99DBBE"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Indirect</w:t>
            </w:r>
          </w:p>
        </w:tc>
        <w:tc>
          <w:tcPr>
            <w:tcW w:w="2541" w:type="dxa"/>
            <w:vAlign w:val="center"/>
            <w:hideMark/>
          </w:tcPr>
          <w:p w14:paraId="2F8FDABF"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Colognes, body lotions</w:t>
            </w:r>
          </w:p>
        </w:tc>
        <w:tc>
          <w:tcPr>
            <w:tcW w:w="2346" w:type="dxa"/>
            <w:vAlign w:val="center"/>
            <w:hideMark/>
          </w:tcPr>
          <w:p w14:paraId="3CC7993E"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Traditional with modern twist</w:t>
            </w:r>
          </w:p>
        </w:tc>
        <w:tc>
          <w:tcPr>
            <w:tcW w:w="1514" w:type="dxa"/>
            <w:vAlign w:val="center"/>
          </w:tcPr>
          <w:p w14:paraId="504EC0C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 xml:space="preserve"> </w:t>
            </w:r>
            <w:r w:rsidRPr="002551A7">
              <w:rPr>
                <w:rFonts w:asciiTheme="majorBidi" w:eastAsia="Times New Roman" w:hAnsiTheme="majorBidi" w:cstheme="majorBidi"/>
                <w:i/>
                <w:iCs/>
                <w:sz w:val="24"/>
                <w:szCs w:val="24"/>
                <w:lang w:eastAsia="fr-FR"/>
              </w:rPr>
              <w:t>Not boycotted</w:t>
            </w:r>
          </w:p>
        </w:tc>
      </w:tr>
      <w:tr w:rsidR="00AC1791" w:rsidRPr="002551A7" w14:paraId="6A7C17C9" w14:textId="77777777" w:rsidTr="00AB7DD4">
        <w:trPr>
          <w:trHeight w:val="829"/>
          <w:tblCellSpacing w:w="15" w:type="dxa"/>
        </w:trPr>
        <w:tc>
          <w:tcPr>
            <w:tcW w:w="1940" w:type="dxa"/>
            <w:vAlign w:val="center"/>
            <w:hideMark/>
          </w:tcPr>
          <w:p w14:paraId="451BB312"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Bebak</w:t>
            </w:r>
          </w:p>
        </w:tc>
        <w:tc>
          <w:tcPr>
            <w:tcW w:w="1480" w:type="dxa"/>
            <w:vAlign w:val="center"/>
            <w:hideMark/>
          </w:tcPr>
          <w:p w14:paraId="52B1867D"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Turkey</w:t>
            </w:r>
          </w:p>
        </w:tc>
        <w:tc>
          <w:tcPr>
            <w:tcW w:w="884" w:type="dxa"/>
            <w:vAlign w:val="center"/>
            <w:hideMark/>
          </w:tcPr>
          <w:p w14:paraId="7F815827"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Indirect</w:t>
            </w:r>
          </w:p>
        </w:tc>
        <w:tc>
          <w:tcPr>
            <w:tcW w:w="2541" w:type="dxa"/>
            <w:vAlign w:val="center"/>
            <w:hideMark/>
          </w:tcPr>
          <w:p w14:paraId="201FBBD8"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Bitter almond creams</w:t>
            </w:r>
          </w:p>
        </w:tc>
        <w:tc>
          <w:tcPr>
            <w:tcW w:w="2346" w:type="dxa"/>
            <w:vAlign w:val="center"/>
            <w:hideMark/>
          </w:tcPr>
          <w:p w14:paraId="7C7601B1"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Classic, trusted skincare</w:t>
            </w:r>
          </w:p>
        </w:tc>
        <w:tc>
          <w:tcPr>
            <w:tcW w:w="1514" w:type="dxa"/>
            <w:vAlign w:val="center"/>
          </w:tcPr>
          <w:p w14:paraId="562BD44B" w14:textId="77777777" w:rsidR="00AC1791" w:rsidRPr="002551A7" w:rsidRDefault="00AC1791" w:rsidP="002551A7">
            <w:pPr>
              <w:spacing w:after="0" w:line="360" w:lineRule="auto"/>
              <w:jc w:val="center"/>
              <w:rPr>
                <w:rFonts w:asciiTheme="majorBidi" w:eastAsia="Times New Roman" w:hAnsiTheme="majorBidi" w:cstheme="majorBidi"/>
                <w:sz w:val="24"/>
                <w:szCs w:val="24"/>
                <w:lang w:eastAsia="fr-FR"/>
              </w:rPr>
            </w:pPr>
            <w:r w:rsidRPr="002551A7">
              <w:rPr>
                <w:rFonts w:asciiTheme="majorBidi" w:eastAsia="Times New Roman" w:hAnsiTheme="majorBidi" w:cstheme="majorBidi"/>
                <w:sz w:val="24"/>
                <w:szCs w:val="24"/>
                <w:lang w:eastAsia="fr-FR"/>
              </w:rPr>
              <w:t xml:space="preserve"> </w:t>
            </w:r>
            <w:r w:rsidRPr="002551A7">
              <w:rPr>
                <w:rFonts w:asciiTheme="majorBidi" w:eastAsia="Times New Roman" w:hAnsiTheme="majorBidi" w:cstheme="majorBidi"/>
                <w:i/>
                <w:iCs/>
                <w:sz w:val="24"/>
                <w:szCs w:val="24"/>
                <w:lang w:eastAsia="fr-FR"/>
              </w:rPr>
              <w:t>Not boycotted</w:t>
            </w:r>
          </w:p>
        </w:tc>
      </w:tr>
    </w:tbl>
    <w:p w14:paraId="26B8E6C0" w14:textId="57C5DF03" w:rsidR="00037AD6" w:rsidRPr="00037AD6" w:rsidRDefault="00037AD6" w:rsidP="00037AD6">
      <w:pPr>
        <w:jc w:val="center"/>
        <w:rPr>
          <w:rFonts w:asciiTheme="majorBidi" w:hAnsiTheme="majorBidi" w:cstheme="majorBidi"/>
          <w:sz w:val="24"/>
          <w:szCs w:val="24"/>
          <w:lang w:val="en-GB" w:eastAsia="fr-FR"/>
        </w:rPr>
      </w:pPr>
      <w:r w:rsidRPr="00037AD6">
        <w:rPr>
          <w:rFonts w:asciiTheme="majorBidi" w:hAnsiTheme="majorBidi" w:cstheme="majorBidi"/>
          <w:sz w:val="24"/>
          <w:szCs w:val="24"/>
          <w:lang w:val="en-GB" w:eastAsia="fr-FR"/>
        </w:rPr>
        <w:t>Source: made by the students</w:t>
      </w:r>
    </w:p>
    <w:p w14:paraId="1D9B3C0C" w14:textId="1E6D1CB5" w:rsidR="00037AD6" w:rsidRPr="007F2304" w:rsidRDefault="007F2304" w:rsidP="007F2304">
      <w:pPr>
        <w:pStyle w:val="ListParagraph"/>
        <w:numPr>
          <w:ilvl w:val="1"/>
          <w:numId w:val="39"/>
        </w:numPr>
        <w:spacing w:line="360" w:lineRule="auto"/>
        <w:rPr>
          <w:rFonts w:asciiTheme="majorBidi" w:hAnsiTheme="majorBidi" w:cstheme="majorBidi"/>
          <w:b/>
          <w:bCs/>
          <w:sz w:val="24"/>
          <w:szCs w:val="24"/>
          <w:lang w:val="en-GB" w:eastAsia="fr-FR"/>
        </w:rPr>
      </w:pPr>
      <w:r>
        <w:rPr>
          <w:rFonts w:asciiTheme="majorBidi" w:hAnsiTheme="majorBidi" w:cstheme="majorBidi"/>
          <w:b/>
          <w:bCs/>
          <w:sz w:val="24"/>
          <w:szCs w:val="24"/>
          <w:lang w:val="en-GB" w:eastAsia="fr-FR"/>
        </w:rPr>
        <w:t xml:space="preserve"> </w:t>
      </w:r>
      <w:bookmarkStart w:id="497" w:name="_Toc200721786"/>
      <w:r w:rsidR="00AC1791" w:rsidRPr="00050632">
        <w:rPr>
          <w:rStyle w:val="Heading4Char"/>
        </w:rPr>
        <w:t>Opportunities for Proderma Based on Survey Result</w:t>
      </w:r>
      <w:bookmarkEnd w:id="497"/>
      <w:r w:rsidR="00AC1791" w:rsidRPr="007F2304">
        <w:rPr>
          <w:rFonts w:asciiTheme="majorBidi" w:hAnsiTheme="majorBidi" w:cstheme="majorBidi"/>
          <w:b/>
          <w:bCs/>
          <w:sz w:val="24"/>
          <w:szCs w:val="24"/>
          <w:lang w:val="en-GB" w:eastAsia="fr-FR"/>
        </w:rPr>
        <w:t>s</w:t>
      </w:r>
    </w:p>
    <w:p w14:paraId="4094DBF5" w14:textId="7F878373" w:rsidR="00AC1791" w:rsidRPr="007F2304" w:rsidRDefault="00AC1791" w:rsidP="007F2304">
      <w:pPr>
        <w:pStyle w:val="ListParagraph"/>
        <w:numPr>
          <w:ilvl w:val="2"/>
          <w:numId w:val="39"/>
        </w:numPr>
        <w:spacing w:line="360" w:lineRule="auto"/>
        <w:rPr>
          <w:rFonts w:asciiTheme="majorBidi" w:hAnsiTheme="majorBidi" w:cstheme="majorBidi"/>
          <w:b/>
          <w:bCs/>
          <w:sz w:val="24"/>
          <w:szCs w:val="24"/>
          <w:lang w:val="en-GB" w:eastAsia="fr-FR"/>
        </w:rPr>
      </w:pPr>
      <w:bookmarkStart w:id="498" w:name="_Toc200721787"/>
      <w:r w:rsidRPr="00050632">
        <w:rPr>
          <w:rStyle w:val="Heading5Char"/>
          <w:rFonts w:eastAsiaTheme="minorHAnsi"/>
        </w:rPr>
        <w:t>Openness to Alternatives Due to Boycott</w:t>
      </w:r>
      <w:bookmarkEnd w:id="498"/>
      <w:r w:rsidRPr="007F2304">
        <w:rPr>
          <w:rFonts w:asciiTheme="majorBidi" w:eastAsia="Times New Roman" w:hAnsiTheme="majorBidi" w:cstheme="majorBidi"/>
          <w:b/>
          <w:bCs/>
          <w:sz w:val="24"/>
          <w:szCs w:val="24"/>
          <w:lang w:val="en-GB" w:eastAsia="fr-FR"/>
        </w:rPr>
        <w:t>s</w:t>
      </w:r>
    </w:p>
    <w:p w14:paraId="29C72A1C" w14:textId="77777777" w:rsidR="00AC1791" w:rsidRPr="002551A7" w:rsidRDefault="00AC1791" w:rsidP="00413B73">
      <w:pPr>
        <w:numPr>
          <w:ilvl w:val="0"/>
          <w:numId w:val="56"/>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Respondents </w:t>
      </w:r>
      <w:r w:rsidRPr="00EB3899">
        <w:rPr>
          <w:rFonts w:asciiTheme="majorBidi" w:eastAsia="Times New Roman" w:hAnsiTheme="majorBidi" w:cstheme="majorBidi"/>
          <w:sz w:val="24"/>
          <w:szCs w:val="24"/>
          <w:lang w:val="en-GB" w:eastAsia="fr-FR"/>
        </w:rPr>
        <w:t>generally agree or strongly agree</w:t>
      </w:r>
      <w:r w:rsidRPr="002551A7">
        <w:rPr>
          <w:rFonts w:asciiTheme="majorBidi" w:eastAsia="Times New Roman" w:hAnsiTheme="majorBidi" w:cstheme="majorBidi"/>
          <w:sz w:val="24"/>
          <w:szCs w:val="24"/>
          <w:lang w:val="en-GB" w:eastAsia="fr-FR"/>
        </w:rPr>
        <w:t xml:space="preserve"> that they are open to trying alternative products when boycotting.</w:t>
      </w:r>
    </w:p>
    <w:p w14:paraId="58A7416C" w14:textId="77777777" w:rsidR="00AC1791" w:rsidRPr="002551A7" w:rsidRDefault="00AC1791" w:rsidP="00413B73">
      <w:pPr>
        <w:numPr>
          <w:ilvl w:val="0"/>
          <w:numId w:val="56"/>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They also </w:t>
      </w:r>
      <w:r w:rsidRPr="00EB3899">
        <w:rPr>
          <w:rFonts w:asciiTheme="majorBidi" w:eastAsia="Times New Roman" w:hAnsiTheme="majorBidi" w:cstheme="majorBidi"/>
          <w:sz w:val="24"/>
          <w:szCs w:val="24"/>
          <w:lang w:val="en-GB" w:eastAsia="fr-FR"/>
        </w:rPr>
        <w:t>report actively seeking new products</w:t>
      </w:r>
      <w:r w:rsidRPr="002551A7">
        <w:rPr>
          <w:rFonts w:asciiTheme="majorBidi" w:eastAsia="Times New Roman" w:hAnsiTheme="majorBidi" w:cstheme="majorBidi"/>
          <w:sz w:val="24"/>
          <w:szCs w:val="24"/>
          <w:lang w:val="en-GB" w:eastAsia="fr-FR"/>
        </w:rPr>
        <w:t xml:space="preserve"> during boycott periods.</w:t>
      </w:r>
    </w:p>
    <w:p w14:paraId="2385B07E" w14:textId="77777777" w:rsidR="00AC1791" w:rsidRPr="002551A7"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Proderma can position itself as a reliable and ethical alternative to boycotted Western brands, capitalizing on consumer readiness to switch.</w:t>
      </w:r>
    </w:p>
    <w:p w14:paraId="5AD08699" w14:textId="299B9C86"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bookmarkStart w:id="499" w:name="_Toc200721788"/>
      <w:r w:rsidRPr="00050632">
        <w:rPr>
          <w:rStyle w:val="Heading5Char"/>
          <w:rFonts w:eastAsiaTheme="minorHAnsi"/>
        </w:rPr>
        <w:t>Influence of Recommendation</w:t>
      </w:r>
      <w:bookmarkEnd w:id="499"/>
      <w:r w:rsidRPr="007F2304">
        <w:rPr>
          <w:rFonts w:asciiTheme="majorBidi" w:eastAsia="Times New Roman" w:hAnsiTheme="majorBidi" w:cstheme="majorBidi"/>
          <w:b/>
          <w:bCs/>
          <w:sz w:val="24"/>
          <w:szCs w:val="24"/>
          <w:lang w:eastAsia="fr-FR"/>
        </w:rPr>
        <w:t>s</w:t>
      </w:r>
    </w:p>
    <w:p w14:paraId="0CC87799" w14:textId="77777777" w:rsidR="00AC1791" w:rsidRPr="002551A7" w:rsidRDefault="00AC1791" w:rsidP="00413B73">
      <w:pPr>
        <w:numPr>
          <w:ilvl w:val="0"/>
          <w:numId w:val="57"/>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Many respondents said they are influenced by </w:t>
      </w:r>
      <w:r w:rsidRPr="00EB3899">
        <w:rPr>
          <w:rFonts w:asciiTheme="majorBidi" w:eastAsia="Times New Roman" w:hAnsiTheme="majorBidi" w:cstheme="majorBidi"/>
          <w:sz w:val="24"/>
          <w:szCs w:val="24"/>
          <w:lang w:val="en-GB" w:eastAsia="fr-FR"/>
        </w:rPr>
        <w:t>recommendations to try alternatives</w:t>
      </w:r>
      <w:r w:rsidRPr="002551A7">
        <w:rPr>
          <w:rFonts w:asciiTheme="majorBidi" w:eastAsia="Times New Roman" w:hAnsiTheme="majorBidi" w:cstheme="majorBidi"/>
          <w:sz w:val="24"/>
          <w:szCs w:val="24"/>
          <w:lang w:val="en-GB" w:eastAsia="fr-FR"/>
        </w:rPr>
        <w:t>.</w:t>
      </w:r>
    </w:p>
    <w:p w14:paraId="01A0DE29" w14:textId="77777777" w:rsidR="00AC1791" w:rsidRPr="00EB3899"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Focus marketing efforts on </w:t>
      </w:r>
      <w:r w:rsidRPr="00EB3899">
        <w:rPr>
          <w:rFonts w:asciiTheme="majorBidi" w:eastAsia="Times New Roman" w:hAnsiTheme="majorBidi" w:cstheme="majorBidi"/>
          <w:sz w:val="24"/>
          <w:szCs w:val="24"/>
          <w:lang w:val="en-GB" w:eastAsia="fr-FR"/>
        </w:rPr>
        <w:t>word-of-mouth, social proof, and influencer campaigns to encourage trial and adoption.</w:t>
      </w:r>
    </w:p>
    <w:p w14:paraId="13777981" w14:textId="502EDCA2"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bookmarkStart w:id="500" w:name="_Toc200721789"/>
      <w:r w:rsidRPr="00050632">
        <w:rPr>
          <w:rStyle w:val="Heading5Char"/>
          <w:rFonts w:eastAsiaTheme="minorHAnsi"/>
        </w:rPr>
        <w:t>Need for Strong Marketing Strateg</w:t>
      </w:r>
      <w:bookmarkEnd w:id="500"/>
      <w:r w:rsidRPr="007F2304">
        <w:rPr>
          <w:rFonts w:asciiTheme="majorBidi" w:eastAsia="Times New Roman" w:hAnsiTheme="majorBidi" w:cstheme="majorBidi"/>
          <w:b/>
          <w:bCs/>
          <w:sz w:val="24"/>
          <w:szCs w:val="24"/>
          <w:lang w:val="en-GB" w:eastAsia="fr-FR"/>
        </w:rPr>
        <w:t>y</w:t>
      </w:r>
    </w:p>
    <w:p w14:paraId="697CFC97" w14:textId="77777777" w:rsidR="00AC1791" w:rsidRPr="002551A7" w:rsidRDefault="00AC1791" w:rsidP="00413B73">
      <w:pPr>
        <w:numPr>
          <w:ilvl w:val="0"/>
          <w:numId w:val="58"/>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Several respondents stated that alternative brands need </w:t>
      </w:r>
      <w:r w:rsidRPr="002551A7">
        <w:rPr>
          <w:rFonts w:asciiTheme="majorBidi" w:eastAsia="Times New Roman" w:hAnsiTheme="majorBidi" w:cstheme="majorBidi"/>
          <w:b/>
          <w:bCs/>
          <w:sz w:val="24"/>
          <w:szCs w:val="24"/>
          <w:lang w:val="en-GB" w:eastAsia="fr-FR"/>
        </w:rPr>
        <w:t>strong marketing</w:t>
      </w:r>
      <w:r w:rsidRPr="002551A7">
        <w:rPr>
          <w:rFonts w:asciiTheme="majorBidi" w:eastAsia="Times New Roman" w:hAnsiTheme="majorBidi" w:cstheme="majorBidi"/>
          <w:sz w:val="24"/>
          <w:szCs w:val="24"/>
          <w:lang w:val="en-GB" w:eastAsia="fr-FR"/>
        </w:rPr>
        <w:t xml:space="preserve"> to capture their attention.</w:t>
      </w:r>
    </w:p>
    <w:p w14:paraId="7AF31112" w14:textId="77777777" w:rsidR="00AC1791" w:rsidRPr="002551A7"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Invest in </w:t>
      </w:r>
      <w:r w:rsidRPr="00EB3899">
        <w:rPr>
          <w:rFonts w:asciiTheme="majorBidi" w:eastAsia="Times New Roman" w:hAnsiTheme="majorBidi" w:cstheme="majorBidi"/>
          <w:sz w:val="24"/>
          <w:szCs w:val="24"/>
          <w:lang w:val="en-GB" w:eastAsia="fr-FR"/>
        </w:rPr>
        <w:t>high-impact, localized marketing campaigns</w:t>
      </w:r>
      <w:r w:rsidRPr="002551A7">
        <w:rPr>
          <w:rFonts w:asciiTheme="majorBidi" w:eastAsia="Times New Roman" w:hAnsiTheme="majorBidi" w:cstheme="majorBidi"/>
          <w:sz w:val="24"/>
          <w:szCs w:val="24"/>
          <w:lang w:val="en-GB" w:eastAsia="fr-FR"/>
        </w:rPr>
        <w:t xml:space="preserve"> in Turkey, with attention-grabbing visuals and messaging tailored to Turkish consumers.</w:t>
      </w:r>
    </w:p>
    <w:p w14:paraId="59E2CA63" w14:textId="5A9E7F1F"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bookmarkStart w:id="501" w:name="_Toc200721790"/>
      <w:r w:rsidRPr="00050632">
        <w:rPr>
          <w:rStyle w:val="Heading5Char"/>
          <w:rFonts w:eastAsiaTheme="minorHAnsi"/>
        </w:rPr>
        <w:t>Willingness to Pay More for Qualit</w:t>
      </w:r>
      <w:bookmarkEnd w:id="501"/>
      <w:r w:rsidRPr="007F2304">
        <w:rPr>
          <w:rFonts w:asciiTheme="majorBidi" w:eastAsia="Times New Roman" w:hAnsiTheme="majorBidi" w:cstheme="majorBidi"/>
          <w:b/>
          <w:bCs/>
          <w:sz w:val="24"/>
          <w:szCs w:val="24"/>
          <w:lang w:val="en-GB" w:eastAsia="fr-FR"/>
        </w:rPr>
        <w:t>y</w:t>
      </w:r>
    </w:p>
    <w:p w14:paraId="6C7B12B3" w14:textId="77777777" w:rsidR="00AC1791" w:rsidRPr="002551A7" w:rsidRDefault="00AC1791" w:rsidP="00413B73">
      <w:pPr>
        <w:numPr>
          <w:ilvl w:val="0"/>
          <w:numId w:val="59"/>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Respondents indicated a moderate to high willingness </w:t>
      </w:r>
      <w:r w:rsidRPr="00EB3899">
        <w:rPr>
          <w:rFonts w:asciiTheme="majorBidi" w:eastAsia="Times New Roman" w:hAnsiTheme="majorBidi" w:cstheme="majorBidi"/>
          <w:sz w:val="24"/>
          <w:szCs w:val="24"/>
          <w:lang w:val="en-GB" w:eastAsia="fr-FR"/>
        </w:rPr>
        <w:t>to pay more for alternatives</w:t>
      </w:r>
      <w:r w:rsidRPr="002551A7">
        <w:rPr>
          <w:rFonts w:asciiTheme="majorBidi" w:eastAsia="Times New Roman" w:hAnsiTheme="majorBidi" w:cstheme="majorBidi"/>
          <w:sz w:val="24"/>
          <w:szCs w:val="24"/>
          <w:lang w:val="en-GB" w:eastAsia="fr-FR"/>
        </w:rPr>
        <w:t xml:space="preserve"> that meet their needs.</w:t>
      </w:r>
    </w:p>
    <w:p w14:paraId="48895BF5" w14:textId="77777777" w:rsidR="00AC1791" w:rsidRPr="002551A7"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Proderma </w:t>
      </w:r>
      <w:r w:rsidRPr="00EB3899">
        <w:rPr>
          <w:rFonts w:asciiTheme="majorBidi" w:eastAsia="Times New Roman" w:hAnsiTheme="majorBidi" w:cstheme="majorBidi"/>
          <w:sz w:val="24"/>
          <w:szCs w:val="24"/>
          <w:lang w:val="en-GB" w:eastAsia="fr-FR"/>
        </w:rPr>
        <w:t>can justify a premium price by highlighting quality, dermatological safety, and natural ingredients.</w:t>
      </w:r>
    </w:p>
    <w:p w14:paraId="58999474" w14:textId="52EB3313"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bookmarkStart w:id="502" w:name="_Toc200721791"/>
      <w:r w:rsidRPr="00050632">
        <w:rPr>
          <w:rStyle w:val="Heading5Char"/>
          <w:rFonts w:eastAsiaTheme="minorHAnsi"/>
        </w:rPr>
        <w:t>Price vs. Quality and Brand Recognitio</w:t>
      </w:r>
      <w:bookmarkEnd w:id="502"/>
      <w:r w:rsidRPr="007F2304">
        <w:rPr>
          <w:rFonts w:asciiTheme="majorBidi" w:eastAsia="Times New Roman" w:hAnsiTheme="majorBidi" w:cstheme="majorBidi"/>
          <w:b/>
          <w:bCs/>
          <w:sz w:val="24"/>
          <w:szCs w:val="24"/>
          <w:lang w:val="en-GB" w:eastAsia="fr-FR"/>
        </w:rPr>
        <w:t>n</w:t>
      </w:r>
    </w:p>
    <w:p w14:paraId="16E106CD" w14:textId="77777777" w:rsidR="00AC1791" w:rsidRPr="00EB3899" w:rsidRDefault="00AC1791" w:rsidP="00413B73">
      <w:pPr>
        <w:numPr>
          <w:ilvl w:val="0"/>
          <w:numId w:val="60"/>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While price is important, many respondents </w:t>
      </w:r>
      <w:r w:rsidRPr="00EB3899">
        <w:rPr>
          <w:rFonts w:asciiTheme="majorBidi" w:eastAsia="Times New Roman" w:hAnsiTheme="majorBidi" w:cstheme="majorBidi"/>
          <w:sz w:val="24"/>
          <w:szCs w:val="24"/>
          <w:lang w:val="en-GB" w:eastAsia="fr-FR"/>
        </w:rPr>
        <w:t>prioritize product quality over brand fame.</w:t>
      </w:r>
    </w:p>
    <w:p w14:paraId="51CEA616" w14:textId="77777777" w:rsidR="00AC1791" w:rsidRPr="00EB3899"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w:t>
      </w:r>
      <w:r w:rsidRPr="00EB3899">
        <w:rPr>
          <w:rFonts w:asciiTheme="majorBidi" w:eastAsia="Times New Roman" w:hAnsiTheme="majorBidi" w:cstheme="majorBidi"/>
          <w:sz w:val="24"/>
          <w:szCs w:val="24"/>
          <w:lang w:val="en-GB" w:eastAsia="fr-FR"/>
        </w:rPr>
        <w:t>Emphasize product efficacy and dermatological benefits rather than competing purely on price.</w:t>
      </w:r>
    </w:p>
    <w:p w14:paraId="7FC67BFF" w14:textId="301304FD"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r w:rsidRPr="00740E8D">
        <w:rPr>
          <w:rFonts w:asciiTheme="majorBidi" w:eastAsia="Times New Roman" w:hAnsiTheme="majorBidi" w:cstheme="majorBidi"/>
          <w:b/>
          <w:bCs/>
          <w:sz w:val="24"/>
          <w:szCs w:val="24"/>
          <w:lang w:val="en-GB" w:eastAsia="fr-FR"/>
        </w:rPr>
        <w:t xml:space="preserve"> </w:t>
      </w:r>
      <w:bookmarkStart w:id="503" w:name="_Toc200721792"/>
      <w:r w:rsidRPr="00050632">
        <w:rPr>
          <w:rStyle w:val="Heading5Char"/>
          <w:rFonts w:eastAsiaTheme="minorHAnsi"/>
        </w:rPr>
        <w:t>Product Origin Matter</w:t>
      </w:r>
      <w:bookmarkEnd w:id="503"/>
      <w:r w:rsidRPr="007F2304">
        <w:rPr>
          <w:rFonts w:asciiTheme="majorBidi" w:eastAsia="Times New Roman" w:hAnsiTheme="majorBidi" w:cstheme="majorBidi"/>
          <w:b/>
          <w:bCs/>
          <w:sz w:val="24"/>
          <w:szCs w:val="24"/>
          <w:lang w:eastAsia="fr-FR"/>
        </w:rPr>
        <w:t>s</w:t>
      </w:r>
    </w:p>
    <w:p w14:paraId="7C8FD5F3" w14:textId="77777777" w:rsidR="00AC1791" w:rsidRPr="002551A7" w:rsidRDefault="00AC1791" w:rsidP="00413B73">
      <w:pPr>
        <w:numPr>
          <w:ilvl w:val="0"/>
          <w:numId w:val="61"/>
        </w:num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Respondents indicated that a product’s origin (</w:t>
      </w:r>
      <w:r w:rsidRPr="00EB3899">
        <w:rPr>
          <w:rFonts w:asciiTheme="majorBidi" w:eastAsia="Times New Roman" w:hAnsiTheme="majorBidi" w:cstheme="majorBidi"/>
          <w:sz w:val="24"/>
          <w:szCs w:val="24"/>
          <w:lang w:val="en-GB" w:eastAsia="fr-FR"/>
        </w:rPr>
        <w:t>e.g., Algerian origin) can</w:t>
      </w:r>
      <w:r w:rsidRPr="002551A7">
        <w:rPr>
          <w:rFonts w:asciiTheme="majorBidi" w:eastAsia="Times New Roman" w:hAnsiTheme="majorBidi" w:cstheme="majorBidi"/>
          <w:sz w:val="24"/>
          <w:szCs w:val="24"/>
          <w:lang w:val="en-GB" w:eastAsia="fr-FR"/>
        </w:rPr>
        <w:t xml:space="preserve"> influence purchasing decisions.</w:t>
      </w:r>
    </w:p>
    <w:p w14:paraId="350FD645" w14:textId="77777777" w:rsidR="00AC1791" w:rsidRPr="002551A7"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Use national origin as </w:t>
      </w:r>
      <w:r w:rsidRPr="00EB3899">
        <w:rPr>
          <w:rFonts w:asciiTheme="majorBidi" w:eastAsia="Times New Roman" w:hAnsiTheme="majorBidi" w:cstheme="majorBidi"/>
          <w:sz w:val="24"/>
          <w:szCs w:val="24"/>
          <w:lang w:val="en-GB" w:eastAsia="fr-FR"/>
        </w:rPr>
        <w:t>a positive differentiator, promoting Proderma as an Algerian alternative rooted in authentic, clean ingredients</w:t>
      </w:r>
      <w:r w:rsidRPr="002551A7">
        <w:rPr>
          <w:rFonts w:asciiTheme="majorBidi" w:eastAsia="Times New Roman" w:hAnsiTheme="majorBidi" w:cstheme="majorBidi"/>
          <w:sz w:val="24"/>
          <w:szCs w:val="24"/>
          <w:lang w:val="en-GB" w:eastAsia="fr-FR"/>
        </w:rPr>
        <w:t>.</w:t>
      </w:r>
    </w:p>
    <w:p w14:paraId="3B9BECCF" w14:textId="0FC29396" w:rsidR="00AC1791" w:rsidRPr="007F2304" w:rsidRDefault="00AC1791" w:rsidP="007F2304">
      <w:pPr>
        <w:pStyle w:val="ListParagraph"/>
        <w:numPr>
          <w:ilvl w:val="2"/>
          <w:numId w:val="39"/>
        </w:numPr>
        <w:spacing w:before="100" w:beforeAutospacing="1" w:after="100" w:afterAutospacing="1" w:line="360" w:lineRule="auto"/>
        <w:rPr>
          <w:rFonts w:asciiTheme="majorBidi" w:eastAsia="Times New Roman" w:hAnsiTheme="majorBidi" w:cstheme="majorBidi"/>
          <w:sz w:val="24"/>
          <w:szCs w:val="24"/>
          <w:lang w:val="en-GB" w:eastAsia="fr-FR"/>
        </w:rPr>
      </w:pPr>
      <w:r w:rsidRPr="007F2304">
        <w:rPr>
          <w:rFonts w:asciiTheme="majorBidi" w:eastAsia="Times New Roman" w:hAnsiTheme="majorBidi" w:cstheme="majorBidi"/>
          <w:b/>
          <w:bCs/>
          <w:sz w:val="24"/>
          <w:szCs w:val="24"/>
          <w:lang w:val="en-GB" w:eastAsia="fr-FR"/>
        </w:rPr>
        <w:t xml:space="preserve"> </w:t>
      </w:r>
      <w:bookmarkStart w:id="504" w:name="_Toc200721793"/>
      <w:r w:rsidRPr="00050632">
        <w:rPr>
          <w:rStyle w:val="Heading5Char"/>
          <w:rFonts w:eastAsiaTheme="minorHAnsi"/>
        </w:rPr>
        <w:t>Interest in Ethical and Sustainable Product</w:t>
      </w:r>
      <w:bookmarkEnd w:id="504"/>
      <w:r w:rsidRPr="007F2304">
        <w:rPr>
          <w:rFonts w:asciiTheme="majorBidi" w:eastAsia="Times New Roman" w:hAnsiTheme="majorBidi" w:cstheme="majorBidi"/>
          <w:b/>
          <w:bCs/>
          <w:sz w:val="24"/>
          <w:szCs w:val="24"/>
          <w:lang w:val="en-GB" w:eastAsia="fr-FR"/>
        </w:rPr>
        <w:t>s</w:t>
      </w:r>
    </w:p>
    <w:p w14:paraId="67D88F92" w14:textId="77777777" w:rsidR="00AC1791" w:rsidRPr="00EB3899" w:rsidRDefault="00AC1791" w:rsidP="00413B73">
      <w:pPr>
        <w:numPr>
          <w:ilvl w:val="0"/>
          <w:numId w:val="62"/>
        </w:numPr>
        <w:spacing w:before="100" w:beforeAutospacing="1" w:after="100" w:afterAutospacing="1" w:line="360" w:lineRule="auto"/>
        <w:rPr>
          <w:rFonts w:asciiTheme="majorBidi" w:eastAsia="Times New Roman" w:hAnsiTheme="majorBidi" w:cstheme="majorBidi"/>
          <w:sz w:val="24"/>
          <w:szCs w:val="24"/>
          <w:lang w:val="en-GB" w:eastAsia="fr-FR"/>
        </w:rPr>
      </w:pPr>
      <w:r w:rsidRPr="00EB3899">
        <w:rPr>
          <w:rFonts w:asciiTheme="majorBidi" w:eastAsia="Times New Roman" w:hAnsiTheme="majorBidi" w:cstheme="majorBidi"/>
          <w:sz w:val="24"/>
          <w:szCs w:val="24"/>
          <w:lang w:val="en-GB" w:eastAsia="fr-FR"/>
        </w:rPr>
        <w:t>Ethical and sustainable practices are important to many consumers.</w:t>
      </w:r>
    </w:p>
    <w:p w14:paraId="7A08D417" w14:textId="77777777" w:rsidR="00AC1791" w:rsidRPr="00EB3899" w:rsidRDefault="00AC1791" w:rsidP="002551A7">
      <w:pPr>
        <w:spacing w:before="100" w:beforeAutospacing="1" w:after="100" w:afterAutospacing="1" w:line="360" w:lineRule="auto"/>
        <w:rPr>
          <w:rFonts w:asciiTheme="majorBidi" w:eastAsia="Times New Roman" w:hAnsiTheme="majorBidi" w:cstheme="majorBidi"/>
          <w:sz w:val="24"/>
          <w:szCs w:val="24"/>
          <w:lang w:val="en-GB" w:eastAsia="fr-FR"/>
        </w:rPr>
      </w:pPr>
      <w:r w:rsidRPr="002551A7">
        <w:rPr>
          <w:rFonts w:asciiTheme="majorBidi" w:eastAsia="Times New Roman" w:hAnsiTheme="majorBidi" w:cstheme="majorBidi"/>
          <w:sz w:val="24"/>
          <w:szCs w:val="24"/>
          <w:lang w:val="en-GB" w:eastAsia="fr-FR"/>
        </w:rPr>
        <w:t xml:space="preserve"> </w:t>
      </w:r>
      <w:r w:rsidRPr="002551A7">
        <w:rPr>
          <w:rFonts w:asciiTheme="majorBidi" w:eastAsia="Times New Roman" w:hAnsiTheme="majorBidi" w:cstheme="majorBidi"/>
          <w:b/>
          <w:bCs/>
          <w:sz w:val="24"/>
          <w:szCs w:val="24"/>
          <w:lang w:val="en-GB" w:eastAsia="fr-FR"/>
        </w:rPr>
        <w:t>Opportunity</w:t>
      </w:r>
      <w:r w:rsidRPr="002551A7">
        <w:rPr>
          <w:rFonts w:asciiTheme="majorBidi" w:eastAsia="Times New Roman" w:hAnsiTheme="majorBidi" w:cstheme="majorBidi"/>
          <w:sz w:val="24"/>
          <w:szCs w:val="24"/>
          <w:lang w:val="en-GB" w:eastAsia="fr-FR"/>
        </w:rPr>
        <w:t xml:space="preserve">: Highlight </w:t>
      </w:r>
      <w:r w:rsidRPr="00EB3899">
        <w:rPr>
          <w:rFonts w:asciiTheme="majorBidi" w:eastAsia="Times New Roman" w:hAnsiTheme="majorBidi" w:cstheme="majorBidi"/>
          <w:sz w:val="24"/>
          <w:szCs w:val="24"/>
          <w:lang w:val="en-GB" w:eastAsia="fr-FR"/>
        </w:rPr>
        <w:t>Proderma’s ethical sourcing, eco-friendly packaging, and social responsibility initiatives to appeal to conscious consumers.</w:t>
      </w:r>
    </w:p>
    <w:p w14:paraId="3FBD6074"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5F2A23C5"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6EAB3067"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386CD894"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42BD74AA"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793181DC"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7B4FC888" w14:textId="77777777" w:rsidR="00AC1791" w:rsidRPr="002551A7" w:rsidRDefault="00AC1791" w:rsidP="002551A7">
      <w:pPr>
        <w:pStyle w:val="Paragraphedeliste1"/>
        <w:spacing w:before="240" w:beforeAutospacing="0" w:after="240" w:afterAutospacing="0" w:line="360" w:lineRule="auto"/>
        <w:jc w:val="both"/>
        <w:rPr>
          <w:rFonts w:asciiTheme="majorBidi" w:hAnsiTheme="majorBidi" w:cstheme="majorBidi"/>
          <w:b/>
          <w:bCs/>
          <w:lang w:val="en-GB"/>
        </w:rPr>
      </w:pPr>
    </w:p>
    <w:p w14:paraId="53E656D3" w14:textId="77777777" w:rsidR="00F305DC" w:rsidRDefault="00F305DC" w:rsidP="002551A7">
      <w:pPr>
        <w:pStyle w:val="Paragraphedeliste1"/>
        <w:spacing w:before="240" w:beforeAutospacing="0" w:after="240" w:afterAutospacing="0" w:line="360" w:lineRule="auto"/>
        <w:jc w:val="both"/>
        <w:rPr>
          <w:rFonts w:asciiTheme="majorBidi" w:hAnsiTheme="majorBidi" w:cstheme="majorBidi"/>
          <w:b/>
          <w:bCs/>
          <w:lang w:val="en-GB"/>
        </w:rPr>
      </w:pPr>
    </w:p>
    <w:p w14:paraId="38AB6EB5" w14:textId="77777777" w:rsidR="009470F3" w:rsidRDefault="009470F3" w:rsidP="002551A7">
      <w:pPr>
        <w:pStyle w:val="Paragraphedeliste1"/>
        <w:spacing w:before="240" w:beforeAutospacing="0" w:after="240" w:afterAutospacing="0" w:line="360" w:lineRule="auto"/>
        <w:jc w:val="both"/>
        <w:rPr>
          <w:rFonts w:asciiTheme="majorBidi" w:hAnsiTheme="majorBidi" w:cstheme="majorBidi"/>
          <w:b/>
          <w:bCs/>
          <w:lang w:val="en-GB"/>
        </w:rPr>
      </w:pPr>
    </w:p>
    <w:p w14:paraId="09AD7D8A" w14:textId="77777777" w:rsidR="009470F3" w:rsidRDefault="009470F3" w:rsidP="002551A7">
      <w:pPr>
        <w:pStyle w:val="Paragraphedeliste1"/>
        <w:spacing w:before="240" w:beforeAutospacing="0" w:after="240" w:afterAutospacing="0" w:line="360" w:lineRule="auto"/>
        <w:jc w:val="both"/>
        <w:rPr>
          <w:rFonts w:asciiTheme="majorBidi" w:hAnsiTheme="majorBidi" w:cstheme="majorBidi"/>
          <w:b/>
          <w:bCs/>
          <w:lang w:val="en-GB"/>
        </w:rPr>
      </w:pPr>
    </w:p>
    <w:p w14:paraId="7493459E" w14:textId="77777777" w:rsidR="007F2304" w:rsidRDefault="007F2304" w:rsidP="00137994">
      <w:pPr>
        <w:pStyle w:val="Paragraphedeliste1"/>
        <w:spacing w:before="240" w:beforeAutospacing="0" w:after="0" w:afterAutospacing="0" w:line="360" w:lineRule="auto"/>
        <w:jc w:val="both"/>
        <w:rPr>
          <w:rFonts w:asciiTheme="majorBidi" w:hAnsiTheme="majorBidi" w:cstheme="majorBidi"/>
          <w:b/>
          <w:bCs/>
          <w:lang w:val="en-GB"/>
        </w:rPr>
      </w:pPr>
    </w:p>
    <w:p w14:paraId="434865B7" w14:textId="1FCF739E" w:rsidR="00AC1791" w:rsidRPr="002551A7" w:rsidRDefault="00AC1791" w:rsidP="00050632">
      <w:pPr>
        <w:pStyle w:val="Heading2"/>
      </w:pPr>
      <w:bookmarkStart w:id="505" w:name="_Toc200721794"/>
      <w:r w:rsidRPr="002551A7">
        <w:t>Section 3: Analysis and Interpretation of Results</w:t>
      </w:r>
      <w:bookmarkEnd w:id="505"/>
    </w:p>
    <w:p w14:paraId="4B72FCA4" w14:textId="233763F5" w:rsidR="00AC1791" w:rsidRPr="007F2304" w:rsidRDefault="00AC1791" w:rsidP="00413B73">
      <w:pPr>
        <w:pStyle w:val="ListParagraph"/>
        <w:numPr>
          <w:ilvl w:val="1"/>
          <w:numId w:val="55"/>
        </w:numPr>
        <w:spacing w:after="0" w:line="360" w:lineRule="auto"/>
        <w:jc w:val="both"/>
        <w:rPr>
          <w:rFonts w:asciiTheme="majorBidi" w:hAnsiTheme="majorBidi" w:cstheme="majorBidi"/>
          <w:b/>
          <w:bCs/>
          <w:sz w:val="24"/>
          <w:szCs w:val="24"/>
          <w:lang w:val="en-US"/>
        </w:rPr>
      </w:pPr>
      <w:bookmarkStart w:id="506" w:name="_Toc200721795"/>
      <w:r w:rsidRPr="00050632">
        <w:rPr>
          <w:rStyle w:val="Heading3Char"/>
        </w:rPr>
        <w:t>Hypo</w:t>
      </w:r>
      <w:r w:rsidR="00845661" w:rsidRPr="00050632">
        <w:rPr>
          <w:rStyle w:val="Heading3Char"/>
        </w:rPr>
        <w:t>theses</w:t>
      </w:r>
      <w:r w:rsidRPr="00050632">
        <w:rPr>
          <w:rStyle w:val="Heading3Char"/>
        </w:rPr>
        <w:t xml:space="preserve"> of the macroeconomic analysi</w:t>
      </w:r>
      <w:bookmarkEnd w:id="506"/>
      <w:r w:rsidRPr="007F2304">
        <w:rPr>
          <w:rFonts w:asciiTheme="majorBidi" w:hAnsiTheme="majorBidi" w:cstheme="majorBidi"/>
          <w:b/>
          <w:bCs/>
          <w:sz w:val="24"/>
          <w:szCs w:val="24"/>
          <w:lang w:val="en-US"/>
        </w:rPr>
        <w:t>s</w:t>
      </w:r>
    </w:p>
    <w:p w14:paraId="1552ED4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H1: </w:t>
      </w:r>
      <w:r w:rsidRPr="002551A7">
        <w:rPr>
          <w:rFonts w:asciiTheme="majorBidi" w:hAnsiTheme="majorBidi" w:cstheme="majorBidi"/>
          <w:sz w:val="24"/>
          <w:szCs w:val="24"/>
          <w:lang w:val="en-US"/>
        </w:rPr>
        <w:t>Macroeconomic variables (GDP, inflation, unemployment, and exchange rate) significantly affect the feasibility of exporting Algerian products to the Turkish market.</w:t>
      </w:r>
    </w:p>
    <w:p w14:paraId="2965A47F"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H1.1:</w:t>
      </w:r>
      <w:r w:rsidRPr="002551A7">
        <w:rPr>
          <w:rFonts w:asciiTheme="majorBidi" w:hAnsiTheme="majorBidi" w:cstheme="majorBidi"/>
          <w:sz w:val="24"/>
          <w:szCs w:val="24"/>
          <w:lang w:val="en-US"/>
        </w:rPr>
        <w:t xml:space="preserve"> The growth in GDP contributes to enhancing the opportunity for exporting Algerian products to Turkey by expanding the market and increasing demand.</w:t>
      </w:r>
    </w:p>
    <w:p w14:paraId="3B645E99"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H1.2: </w:t>
      </w:r>
      <w:r w:rsidRPr="002551A7">
        <w:rPr>
          <w:rFonts w:asciiTheme="majorBidi" w:hAnsiTheme="majorBidi" w:cstheme="majorBidi"/>
          <w:sz w:val="24"/>
          <w:szCs w:val="24"/>
          <w:lang w:val="en-US"/>
        </w:rPr>
        <w:t>High inflation negatively affects the Turkish market’s ability to absorb imported products due to reduced purchasing power.</w:t>
      </w:r>
    </w:p>
    <w:p w14:paraId="148DF1D8"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H1.3: </w:t>
      </w:r>
      <w:r w:rsidRPr="002551A7">
        <w:rPr>
          <w:rFonts w:asciiTheme="majorBidi" w:hAnsiTheme="majorBidi" w:cstheme="majorBidi"/>
          <w:sz w:val="24"/>
          <w:szCs w:val="24"/>
          <w:lang w:val="en-US"/>
        </w:rPr>
        <w:t>A decline in the unemployment rate creates an opportunity to increase demand for imported goods, thereby supporting the export decision.</w:t>
      </w:r>
    </w:p>
    <w:p w14:paraId="2483B247"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H1.4: </w:t>
      </w:r>
      <w:r w:rsidRPr="002551A7">
        <w:rPr>
          <w:rFonts w:asciiTheme="majorBidi" w:hAnsiTheme="majorBidi" w:cstheme="majorBidi"/>
          <w:sz w:val="24"/>
          <w:szCs w:val="24"/>
          <w:lang w:val="en-US"/>
        </w:rPr>
        <w:t>The increase in the Turkish exchange rate (TRY/USD) makes Algerian products more competitive in the Turkish market, enhancing the export decision.</w:t>
      </w:r>
    </w:p>
    <w:p w14:paraId="6B5B1A38" w14:textId="34A0B4EE" w:rsidR="00AC1791" w:rsidRPr="007F2304" w:rsidRDefault="00AC1791" w:rsidP="00413B73">
      <w:pPr>
        <w:pStyle w:val="ListParagraph"/>
        <w:numPr>
          <w:ilvl w:val="1"/>
          <w:numId w:val="55"/>
        </w:numPr>
        <w:spacing w:before="240" w:after="0" w:line="360" w:lineRule="auto"/>
        <w:jc w:val="both"/>
        <w:rPr>
          <w:rFonts w:asciiTheme="majorBidi" w:hAnsiTheme="majorBidi" w:cstheme="majorBidi"/>
          <w:b/>
          <w:bCs/>
          <w:sz w:val="24"/>
          <w:szCs w:val="24"/>
          <w:lang w:val="en-US"/>
        </w:rPr>
      </w:pPr>
      <w:bookmarkStart w:id="507" w:name="_Toc200721796"/>
      <w:r w:rsidRPr="00050632">
        <w:rPr>
          <w:rStyle w:val="Heading3Char"/>
        </w:rPr>
        <w:t>Hypo</w:t>
      </w:r>
      <w:r w:rsidR="00845661" w:rsidRPr="00050632">
        <w:rPr>
          <w:rStyle w:val="Heading3Char"/>
        </w:rPr>
        <w:t>theses</w:t>
      </w:r>
      <w:r w:rsidRPr="00050632">
        <w:rPr>
          <w:rStyle w:val="Heading3Char"/>
        </w:rPr>
        <w:t xml:space="preserve"> of the microeconomic analysi</w:t>
      </w:r>
      <w:bookmarkEnd w:id="507"/>
      <w:r w:rsidRPr="007F2304">
        <w:rPr>
          <w:rFonts w:asciiTheme="majorBidi" w:hAnsiTheme="majorBidi" w:cstheme="majorBidi"/>
          <w:b/>
          <w:bCs/>
          <w:sz w:val="24"/>
          <w:szCs w:val="24"/>
          <w:lang w:val="en-US"/>
        </w:rPr>
        <w:t>s</w:t>
      </w:r>
    </w:p>
    <w:p w14:paraId="2109BAAD"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 </w:t>
      </w:r>
      <w:r w:rsidRPr="002551A7">
        <w:rPr>
          <w:rFonts w:asciiTheme="majorBidi" w:hAnsiTheme="majorBidi" w:cstheme="majorBidi"/>
          <w:sz w:val="24"/>
          <w:szCs w:val="24"/>
          <w:lang w:val="en-US"/>
        </w:rPr>
        <w:t>The Boycott movements positively influences Turkish consumer behavior and their willingness to try alternative products, especially when these alternatives meet expectations in terms of quality, price, cultural alignment and availability.</w:t>
      </w:r>
    </w:p>
    <w:p w14:paraId="0D4B3AB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H2.1: </w:t>
      </w:r>
      <w:r w:rsidRPr="002551A7">
        <w:rPr>
          <w:rFonts w:asciiTheme="majorBidi" w:hAnsiTheme="majorBidi" w:cstheme="majorBidi"/>
          <w:sz w:val="24"/>
          <w:szCs w:val="24"/>
          <w:lang w:val="en-US"/>
        </w:rPr>
        <w:t>Turkish consumer are aware of the ongoing boycott</w:t>
      </w:r>
    </w:p>
    <w:p w14:paraId="1A185D5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H2.2: </w:t>
      </w:r>
      <w:r w:rsidRPr="002551A7">
        <w:rPr>
          <w:rFonts w:asciiTheme="majorBidi" w:hAnsiTheme="majorBidi" w:cstheme="majorBidi"/>
          <w:sz w:val="24"/>
          <w:szCs w:val="24"/>
          <w:lang w:val="en-US"/>
        </w:rPr>
        <w:t xml:space="preserve">Turkish consumer trust alternative products </w:t>
      </w:r>
    </w:p>
    <w:p w14:paraId="33C1AACC"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H2.3: </w:t>
      </w:r>
      <w:r w:rsidRPr="002551A7">
        <w:rPr>
          <w:rFonts w:asciiTheme="majorBidi" w:hAnsiTheme="majorBidi" w:cstheme="majorBidi"/>
          <w:sz w:val="24"/>
          <w:szCs w:val="24"/>
          <w:lang w:val="en-US"/>
        </w:rPr>
        <w:t>Turkish consumer willinge to try new alternatives</w:t>
      </w:r>
      <w:r w:rsidRPr="002551A7">
        <w:rPr>
          <w:rFonts w:asciiTheme="majorBidi" w:hAnsiTheme="majorBidi" w:cstheme="majorBidi"/>
          <w:b/>
          <w:bCs/>
          <w:sz w:val="24"/>
          <w:szCs w:val="24"/>
          <w:lang w:val="en-US"/>
        </w:rPr>
        <w:t xml:space="preserve"> </w:t>
      </w:r>
      <w:r w:rsidRPr="002551A7">
        <w:rPr>
          <w:rFonts w:asciiTheme="majorBidi" w:hAnsiTheme="majorBidi" w:cstheme="majorBidi"/>
          <w:sz w:val="24"/>
          <w:szCs w:val="24"/>
          <w:lang w:val="en-US"/>
        </w:rPr>
        <w:t>in response of boycott.</w:t>
      </w:r>
    </w:p>
    <w:p w14:paraId="27C225EF"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H2.4.a:  </w:t>
      </w:r>
      <w:r w:rsidRPr="002551A7">
        <w:rPr>
          <w:rFonts w:asciiTheme="majorBidi" w:hAnsiTheme="majorBidi" w:cstheme="majorBidi"/>
          <w:sz w:val="24"/>
          <w:szCs w:val="24"/>
          <w:lang w:val="en-US"/>
        </w:rPr>
        <w:t>Perceived product quality positively influences Turkish consumer behavior.</w:t>
      </w:r>
    </w:p>
    <w:p w14:paraId="5E3602C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H2.4.b: </w:t>
      </w:r>
      <w:r w:rsidRPr="002551A7">
        <w:rPr>
          <w:rFonts w:asciiTheme="majorBidi" w:hAnsiTheme="majorBidi" w:cstheme="majorBidi"/>
          <w:sz w:val="24"/>
          <w:szCs w:val="24"/>
          <w:lang w:val="en-US"/>
        </w:rPr>
        <w:t>Perceived product quality positively influences Turkish consumers’ willingness to try alternative products.</w:t>
      </w:r>
    </w:p>
    <w:p w14:paraId="5915C55D"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sz w:val="24"/>
          <w:szCs w:val="24"/>
          <w:lang w:val="en-US"/>
        </w:rPr>
        <w:t xml:space="preserve">H2.5.a: </w:t>
      </w:r>
      <w:r w:rsidRPr="002551A7">
        <w:rPr>
          <w:rFonts w:asciiTheme="majorBidi" w:hAnsiTheme="majorBidi" w:cstheme="majorBidi"/>
          <w:bCs/>
          <w:sz w:val="24"/>
          <w:szCs w:val="24"/>
          <w:lang w:val="en-US"/>
        </w:rPr>
        <w:t>Competitive pricing positively influences Turkish consumer behavior.</w:t>
      </w:r>
    </w:p>
    <w:p w14:paraId="334173A7" w14:textId="77777777" w:rsidR="00AC1791" w:rsidRPr="002551A7" w:rsidRDefault="00AC1791" w:rsidP="00137994">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H2.5.b:</w:t>
      </w:r>
      <w:r w:rsidRPr="002551A7">
        <w:rPr>
          <w:rFonts w:asciiTheme="majorBidi" w:hAnsiTheme="majorBidi" w:cstheme="majorBidi"/>
          <w:bCs/>
          <w:sz w:val="24"/>
          <w:szCs w:val="24"/>
          <w:lang w:val="en-US"/>
        </w:rPr>
        <w:t xml:space="preserve"> Competitive pricing positively influences Turkish consumers’ willingness to try alternative products.</w:t>
      </w:r>
    </w:p>
    <w:p w14:paraId="70FE9299" w14:textId="77777777" w:rsidR="00AC1791" w:rsidRPr="002551A7" w:rsidRDefault="00AC1791" w:rsidP="00137994">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 xml:space="preserve">H2.6.a: </w:t>
      </w:r>
      <w:r w:rsidRPr="002551A7">
        <w:rPr>
          <w:rFonts w:asciiTheme="majorBidi" w:hAnsiTheme="majorBidi" w:cstheme="majorBidi"/>
          <w:sz w:val="24"/>
          <w:szCs w:val="24"/>
          <w:lang w:val="en-US"/>
        </w:rPr>
        <w:t>Cultural alignment of products positively influences Turkish consumer behavior.</w:t>
      </w:r>
    </w:p>
    <w:p w14:paraId="714AFBFA" w14:textId="77777777" w:rsidR="00AC1791" w:rsidRPr="002551A7" w:rsidRDefault="00AC1791" w:rsidP="00137994">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sz w:val="24"/>
          <w:szCs w:val="24"/>
          <w:lang w:val="en-US"/>
        </w:rPr>
        <w:t xml:space="preserve">H2.6.b: </w:t>
      </w:r>
      <w:r w:rsidRPr="002551A7">
        <w:rPr>
          <w:rFonts w:asciiTheme="majorBidi" w:hAnsiTheme="majorBidi" w:cstheme="majorBidi"/>
          <w:sz w:val="24"/>
          <w:szCs w:val="24"/>
          <w:lang w:val="en-US"/>
        </w:rPr>
        <w:t>Cultural alignment of products positively influences Turkish consumers’ willingness to try alternative products.</w:t>
      </w:r>
    </w:p>
    <w:p w14:paraId="64B1A486"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H2.7.a: </w:t>
      </w:r>
      <w:r w:rsidRPr="002551A7">
        <w:rPr>
          <w:rFonts w:asciiTheme="majorBidi" w:hAnsiTheme="majorBidi" w:cstheme="majorBidi"/>
          <w:sz w:val="24"/>
          <w:szCs w:val="24"/>
          <w:lang w:val="en-US"/>
        </w:rPr>
        <w:t>Availability and accessibility of products positively influence Turkish consumer behavior.</w:t>
      </w:r>
    </w:p>
    <w:p w14:paraId="0E01888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H2.7.b: </w:t>
      </w:r>
      <w:r w:rsidRPr="002551A7">
        <w:rPr>
          <w:rFonts w:asciiTheme="majorBidi" w:hAnsiTheme="majorBidi" w:cstheme="majorBidi"/>
          <w:sz w:val="24"/>
          <w:szCs w:val="24"/>
          <w:lang w:val="en-US"/>
        </w:rPr>
        <w:t>Availability and accessibility of products positively influence Turkish consumers’ willingness to try alternative products.</w:t>
      </w:r>
    </w:p>
    <w:p w14:paraId="6BDEEFA4" w14:textId="4D7438D6" w:rsidR="00AC1791" w:rsidRPr="007F2304" w:rsidRDefault="00AC1791" w:rsidP="00413B73">
      <w:pPr>
        <w:pStyle w:val="ListParagraph"/>
        <w:numPr>
          <w:ilvl w:val="1"/>
          <w:numId w:val="55"/>
        </w:numPr>
        <w:spacing w:after="0" w:line="360" w:lineRule="auto"/>
        <w:jc w:val="both"/>
        <w:rPr>
          <w:rFonts w:asciiTheme="majorBidi" w:hAnsiTheme="majorBidi" w:cstheme="majorBidi"/>
          <w:b/>
          <w:bCs/>
          <w:sz w:val="24"/>
          <w:szCs w:val="24"/>
          <w:lang w:val="en-US"/>
        </w:rPr>
      </w:pPr>
      <w:bookmarkStart w:id="508" w:name="_Toc200721797"/>
      <w:r w:rsidRPr="00050632">
        <w:rPr>
          <w:rStyle w:val="Heading3Char"/>
        </w:rPr>
        <w:t>Testing Macroeconomic Hypothese</w:t>
      </w:r>
      <w:bookmarkEnd w:id="508"/>
      <w:r w:rsidRPr="007F2304">
        <w:rPr>
          <w:rFonts w:asciiTheme="majorBidi" w:hAnsiTheme="majorBidi" w:cstheme="majorBidi"/>
          <w:b/>
          <w:bCs/>
          <w:sz w:val="24"/>
          <w:szCs w:val="24"/>
          <w:lang w:val="en-US"/>
        </w:rPr>
        <w:t xml:space="preserve">s </w:t>
      </w:r>
    </w:p>
    <w:p w14:paraId="629C4F8D" w14:textId="73C2065A" w:rsidR="00AC1791" w:rsidRPr="007F2304" w:rsidRDefault="00AC1791" w:rsidP="007F2304">
      <w:pPr>
        <w:spacing w:after="0" w:line="360" w:lineRule="auto"/>
        <w:jc w:val="both"/>
        <w:rPr>
          <w:rFonts w:asciiTheme="majorBidi" w:hAnsiTheme="majorBidi" w:cstheme="majorBidi"/>
          <w:b/>
          <w:bCs/>
          <w:sz w:val="24"/>
          <w:szCs w:val="24"/>
          <w:lang w:val="en-US"/>
        </w:rPr>
      </w:pPr>
      <w:r w:rsidRPr="007F2304">
        <w:rPr>
          <w:rFonts w:asciiTheme="majorBidi" w:hAnsiTheme="majorBidi" w:cstheme="majorBidi"/>
          <w:b/>
          <w:bCs/>
          <w:sz w:val="24"/>
          <w:szCs w:val="24"/>
          <w:lang w:val="en-US"/>
        </w:rPr>
        <w:t>Main Hypothesis</w:t>
      </w:r>
    </w:p>
    <w:p w14:paraId="21A4C07F"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H₀ (Null Hypothesis):</w:t>
      </w:r>
    </w:p>
    <w:p w14:paraId="48798DAC"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Macroeconomic variables (GDP, inflation, unemployment, and exchange rate) have no significant impact on the feasibility of exporting Algerian products to the Turkish market.</w:t>
      </w:r>
    </w:p>
    <w:p w14:paraId="7A3CC889"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H₁ (Alternative Hypothesis):</w:t>
      </w:r>
    </w:p>
    <w:p w14:paraId="08E633CC"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Macroeconomic variables (GDP, inflation, unemployment, and exchange rate) significantly affect the feasibility of exporting Algerian products to the Turkish market.</w:t>
      </w:r>
    </w:p>
    <w:p w14:paraId="025DCEB0"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Answer to the Main Hypothesis</w:t>
      </w:r>
    </w:p>
    <w:p w14:paraId="63CEE48B"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main hypothesis was tested using multiple linear regression analysis in SPSS, where Gross Domestic Product (GDP) was used as a general indicator of export feasibility, and the independent variables were inflation rate, unemployment rate, and exchange rate.</w:t>
      </w:r>
    </w:p>
    <w:p w14:paraId="13228197"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Key findings from the regression analysis:</w:t>
      </w:r>
    </w:p>
    <w:p w14:paraId="2DD24736"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R² = 0.926 : 92.6% of the variation in GDP is explained by the three macroeconomic variables, indicating a very strong model.</w:t>
      </w:r>
    </w:p>
    <w:p w14:paraId="7702B5C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The model is statistically significant (Sig. = 0.000), confirming the joint influence of the variables.</w:t>
      </w:r>
    </w:p>
    <w:p w14:paraId="3E04D1B0"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Exchange rate: strong and significant positive effect (Beta = 0.835, Sig. = 0.006)</w:t>
      </w:r>
    </w:p>
    <w:p w14:paraId="59ED158B"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Unemployment rate: strong and significant negative effect (Beta = -0.543, Sig. = 0.003)</w:t>
      </w:r>
    </w:p>
    <w:p w14:paraId="77604FB5"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Inflation rate: weak and insignificant negative effect (Beta = -0.331, Sig. = 0.152)</w:t>
      </w:r>
    </w:p>
    <w:p w14:paraId="44DEC744"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Conclusion:</w:t>
      </w:r>
    </w:p>
    <w:p w14:paraId="318F66ED"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Based on the regression results and future forecasts, we conclude that macroeconomic variables have a significant influence on the feasibility of exporting to the Turkish market, especially through the strong effects of the exchange rate and unemployment rate. Therefore, the alternative hypothesis (H₁) is accepted, and the null hypothesis (H₀) is rejected.</w:t>
      </w:r>
    </w:p>
    <w:p w14:paraId="656C692A" w14:textId="14089A17" w:rsidR="00AC1791" w:rsidRPr="007F2304" w:rsidRDefault="00AC1791" w:rsidP="007F2304">
      <w:pPr>
        <w:spacing w:after="0" w:line="360" w:lineRule="auto"/>
        <w:jc w:val="both"/>
        <w:rPr>
          <w:rFonts w:asciiTheme="majorBidi" w:hAnsiTheme="majorBidi" w:cstheme="majorBidi"/>
          <w:b/>
          <w:bCs/>
          <w:sz w:val="24"/>
          <w:szCs w:val="24"/>
          <w:lang w:val="en-US"/>
        </w:rPr>
      </w:pPr>
      <w:r w:rsidRPr="007F2304">
        <w:rPr>
          <w:rFonts w:asciiTheme="majorBidi" w:hAnsiTheme="majorBidi" w:cstheme="majorBidi"/>
          <w:b/>
          <w:bCs/>
          <w:sz w:val="24"/>
          <w:szCs w:val="24"/>
          <w:lang w:val="en-US"/>
        </w:rPr>
        <w:t>Sub-Hypotheses and Their Answers</w:t>
      </w:r>
    </w:p>
    <w:p w14:paraId="0B0B4CA6"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 H1.1:</w:t>
      </w:r>
      <w:r w:rsidRPr="002551A7">
        <w:rPr>
          <w:rFonts w:asciiTheme="majorBidi" w:hAnsiTheme="majorBidi" w:cstheme="majorBidi"/>
          <w:sz w:val="24"/>
          <w:szCs w:val="24"/>
          <w:lang w:val="en-US"/>
        </w:rPr>
        <w:t xml:space="preserve"> The growth in GDP contributes to enhancing the opportunity for exporting Algerian products to Turkey by expanding the market and increasing demand.</w:t>
      </w:r>
    </w:p>
    <w:p w14:paraId="4B882E5B"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Answer:</w:t>
      </w:r>
    </w:p>
    <w:p w14:paraId="42673FC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GDP in Turkey showed a clear upward trend from 2014 to 2024, with forecasts predicting a rise from 1.4 to 1.9 trillion USD by 2030. The Brown forecasting model showed consistent growth.</w:t>
      </w:r>
    </w:p>
    <w:p w14:paraId="0E06DCFC"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Therefore, H1.1 is accepted.</w:t>
      </w:r>
    </w:p>
    <w:p w14:paraId="385876A8"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H1.2: </w:t>
      </w:r>
      <w:r w:rsidRPr="002551A7">
        <w:rPr>
          <w:rFonts w:asciiTheme="majorBidi" w:hAnsiTheme="majorBidi" w:cstheme="majorBidi"/>
          <w:sz w:val="24"/>
          <w:szCs w:val="24"/>
          <w:lang w:val="en-US"/>
        </w:rPr>
        <w:t>High inflation negatively affects the Turkish market’s ability to absorb imported products due to reduced purchasing power.</w:t>
      </w:r>
    </w:p>
    <w:p w14:paraId="34CCCCF8"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Answer:</w:t>
      </w:r>
    </w:p>
    <w:p w14:paraId="2FE019F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Inflation was highly volatile, peaking at 72.3% in 2022 and declining to 20% in 2024. The Holt model used for forecasting showed poor accuracy (MAPE = 57.7%), and the regression analysis showed a negative but insignificant relationship (p = 0.152).</w:t>
      </w:r>
    </w:p>
    <w:p w14:paraId="434FEFD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Thus, H1.2 is conditionally accepted, with a recommendation to monitor inflation closely.</w:t>
      </w:r>
    </w:p>
    <w:p w14:paraId="6CB0FB45"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H1.3: </w:t>
      </w:r>
      <w:r w:rsidRPr="002551A7">
        <w:rPr>
          <w:rFonts w:asciiTheme="majorBidi" w:hAnsiTheme="majorBidi" w:cstheme="majorBidi"/>
          <w:sz w:val="24"/>
          <w:szCs w:val="24"/>
          <w:lang w:val="en-US"/>
        </w:rPr>
        <w:t>A decline in the unemployment rate creates an opportunity to increase demand for imported goods, thereby supporting the export decision.</w:t>
      </w:r>
    </w:p>
    <w:p w14:paraId="5CA4830C"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Answer:</w:t>
      </w:r>
    </w:p>
    <w:p w14:paraId="2E443C4D"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Unemployment dropped from 13.7% in 2019 to 8.7% in 2024. The regression analysis revealed a strong and statistically significant negative effect on GDP (Beta = -0.543, p = 0.003).</w:t>
      </w:r>
    </w:p>
    <w:p w14:paraId="0ACA20C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Therefore, H1.3 is accepted.</w:t>
      </w:r>
    </w:p>
    <w:p w14:paraId="07574A3C"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 H1.4: </w:t>
      </w:r>
      <w:r w:rsidRPr="002551A7">
        <w:rPr>
          <w:rFonts w:asciiTheme="majorBidi" w:hAnsiTheme="majorBidi" w:cstheme="majorBidi"/>
          <w:sz w:val="24"/>
          <w:szCs w:val="24"/>
          <w:lang w:val="en-US"/>
        </w:rPr>
        <w:t>The increase in the Turkish exchange rate (TRY/USD) makes Algerian products more competitive in the Turkish market, enhancing the export decision.</w:t>
      </w:r>
    </w:p>
    <w:p w14:paraId="3AC7832A" w14:textId="77777777" w:rsidR="00AC1791" w:rsidRPr="00137994" w:rsidRDefault="00AC1791" w:rsidP="00137994">
      <w:pPr>
        <w:spacing w:after="0" w:line="360" w:lineRule="auto"/>
        <w:jc w:val="both"/>
        <w:rPr>
          <w:rFonts w:asciiTheme="majorBidi" w:hAnsiTheme="majorBidi" w:cstheme="majorBidi"/>
          <w:b/>
          <w:bCs/>
          <w:sz w:val="24"/>
          <w:szCs w:val="24"/>
          <w:lang w:val="en-US"/>
        </w:rPr>
      </w:pPr>
      <w:r w:rsidRPr="00137994">
        <w:rPr>
          <w:rFonts w:asciiTheme="majorBidi" w:hAnsiTheme="majorBidi" w:cstheme="majorBidi"/>
          <w:b/>
          <w:bCs/>
          <w:sz w:val="24"/>
          <w:szCs w:val="24"/>
          <w:lang w:val="en-US"/>
        </w:rPr>
        <w:t xml:space="preserve"> Answer:</w:t>
      </w:r>
    </w:p>
    <w:p w14:paraId="12FFB1E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exchange rate rose from 2.34 in 2014 to 35.36 in 2024, with forecasts showing further increases. The regression model confirmed a strong, positive, and statistically significant effect on GDP (Beta = 0.835, p = 0.006).</w:t>
      </w:r>
    </w:p>
    <w:p w14:paraId="7658EE57"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Thus, H1.4 is accepted.</w:t>
      </w:r>
    </w:p>
    <w:p w14:paraId="4CBC705F"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Final Conclusion:</w:t>
      </w:r>
    </w:p>
    <w:p w14:paraId="742FD496" w14:textId="1007CC3D" w:rsidR="00AC1791" w:rsidRPr="002551A7" w:rsidRDefault="00137994" w:rsidP="00137994">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findings demonstrate that macroeconomic factors such as GDP growth, exchange rate, and unemployment significantly influence the feasibility of exporting to the Turkish market. While inflation remains a potential risk, it can be managed through appropriate strategies. Therefore, Proderma's expansion to Turkey is viable, provided that risk mitigation tactics are employed, including dynamic pricing, partnerships with local distributors, and currency hedging.</w:t>
      </w:r>
    </w:p>
    <w:p w14:paraId="69FB63CB" w14:textId="555D7918" w:rsidR="00AC1791" w:rsidRPr="001B2A54" w:rsidRDefault="00AC1791" w:rsidP="00413B73">
      <w:pPr>
        <w:pStyle w:val="ListParagraph"/>
        <w:numPr>
          <w:ilvl w:val="1"/>
          <w:numId w:val="55"/>
        </w:numPr>
        <w:spacing w:after="0" w:line="360" w:lineRule="auto"/>
        <w:jc w:val="both"/>
        <w:rPr>
          <w:rFonts w:asciiTheme="majorBidi" w:hAnsiTheme="majorBidi" w:cstheme="majorBidi"/>
          <w:b/>
          <w:bCs/>
          <w:sz w:val="24"/>
          <w:szCs w:val="24"/>
          <w:lang w:val="en-US"/>
        </w:rPr>
      </w:pPr>
      <w:r w:rsidRPr="001B2A54">
        <w:rPr>
          <w:rFonts w:asciiTheme="majorBidi" w:hAnsiTheme="majorBidi" w:cstheme="majorBidi"/>
          <w:b/>
          <w:bCs/>
          <w:sz w:val="24"/>
          <w:szCs w:val="24"/>
          <w:lang w:val="en-US"/>
        </w:rPr>
        <w:t>Testing Microeconomic Hypotheses on Consumer Behavior in the Turkish Market</w:t>
      </w:r>
      <w:r w:rsidR="0024056C" w:rsidRPr="001B2A54">
        <w:rPr>
          <w:rFonts w:asciiTheme="majorBidi" w:hAnsiTheme="majorBidi" w:cstheme="majorBidi"/>
          <w:b/>
          <w:bCs/>
          <w:sz w:val="24"/>
          <w:szCs w:val="24"/>
          <w:lang w:val="en-US"/>
        </w:rPr>
        <w:t>:</w:t>
      </w:r>
    </w:p>
    <w:p w14:paraId="6C3052C3"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Main Hypothesis (H₂):</w:t>
      </w:r>
    </w:p>
    <w:p w14:paraId="14E3F1E3"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Alternative Hypothesis (H₁): </w:t>
      </w:r>
      <w:r w:rsidRPr="002551A7">
        <w:rPr>
          <w:rFonts w:asciiTheme="majorBidi" w:hAnsiTheme="majorBidi" w:cstheme="majorBidi"/>
          <w:sz w:val="24"/>
          <w:szCs w:val="24"/>
          <w:lang w:val="en-US"/>
        </w:rPr>
        <w:t>Boycott movements and product-related factors (quality, price, cultural alignment, and availability) significantly influence Turkish consumer behavior and their willingness to try alternative products.</w:t>
      </w:r>
    </w:p>
    <w:p w14:paraId="07C34C70"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Null Hypothesis (H₀): </w:t>
      </w:r>
      <w:r w:rsidRPr="002551A7">
        <w:rPr>
          <w:rFonts w:asciiTheme="majorBidi" w:hAnsiTheme="majorBidi" w:cstheme="majorBidi"/>
          <w:sz w:val="24"/>
          <w:szCs w:val="24"/>
          <w:lang w:val="en-US"/>
        </w:rPr>
        <w:t>Boycott movements and product-related factors have no significant impact on Turkish consumer behavior or their willingness to try alternative products.</w:t>
      </w:r>
    </w:p>
    <w:p w14:paraId="6A58164A"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Result and Interpretation:</w:t>
      </w:r>
    </w:p>
    <w:p w14:paraId="505BF82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This hypothesis was examined through correlation and linear regression analyses conducted using R. Two dependent variables were analyzed: (1) Turkish consumer behavior and (2) willingness to try alternative products. The results revealed that:</w:t>
      </w:r>
    </w:p>
    <w:p w14:paraId="734C3095" w14:textId="77777777" w:rsidR="00AC1791" w:rsidRPr="002551A7" w:rsidRDefault="00AC1791" w:rsidP="00413B73">
      <w:pPr>
        <w:pStyle w:val="ListParagraph"/>
        <w:numPr>
          <w:ilvl w:val="0"/>
          <w:numId w:val="79"/>
        </w:num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boycott movement significantly affects consumer behavior (R² = 0.435; β = 0.549; p &lt; 0.001), indicating that 43.5% of the variance in behavior is explained by boycott-related variables.</w:t>
      </w:r>
    </w:p>
    <w:p w14:paraId="4CF0AF5A" w14:textId="77777777" w:rsidR="00AC1791" w:rsidRPr="002551A7" w:rsidRDefault="00AC1791" w:rsidP="00413B73">
      <w:pPr>
        <w:pStyle w:val="ListParagraph"/>
        <w:numPr>
          <w:ilvl w:val="0"/>
          <w:numId w:val="79"/>
        </w:num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 boycott also significantly influences willingness to try new alternatives (R² = 0.516; β = 0.703; p &lt; 0.001), demonstrating a strong and highly significant relationship.</w:t>
      </w:r>
    </w:p>
    <w:p w14:paraId="4883E6D6" w14:textId="77777777" w:rsidR="00AC1791" w:rsidRPr="002551A7" w:rsidRDefault="00AC1791" w:rsidP="00413B73">
      <w:pPr>
        <w:pStyle w:val="ListParagraph"/>
        <w:numPr>
          <w:ilvl w:val="0"/>
          <w:numId w:val="79"/>
        </w:num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These findings confirm the impact of boycott movements on consumer attitudes and openness toward alternative brands, particularly those perceived as culturally aligned and ethically positioned.</w:t>
      </w:r>
    </w:p>
    <w:p w14:paraId="073B831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Therefore, the null hypothesis (H₀) is rejected and the alternative hypothesis (H₁) is accepted.</w:t>
      </w:r>
    </w:p>
    <w:p w14:paraId="11212A61" w14:textId="4E0CA36F"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Sub-Hypotheses and Their Evaluation</w:t>
      </w:r>
      <w:r w:rsidR="0024056C">
        <w:rPr>
          <w:rFonts w:asciiTheme="majorBidi" w:hAnsiTheme="majorBidi" w:cstheme="majorBidi"/>
          <w:b/>
          <w:bCs/>
          <w:sz w:val="24"/>
          <w:szCs w:val="24"/>
          <w:lang w:val="en-US"/>
        </w:rPr>
        <w:t>:</w:t>
      </w:r>
    </w:p>
    <w:p w14:paraId="40638BF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H2.1: </w:t>
      </w:r>
      <w:r w:rsidRPr="002551A7">
        <w:rPr>
          <w:rFonts w:asciiTheme="majorBidi" w:hAnsiTheme="majorBidi" w:cstheme="majorBidi"/>
          <w:sz w:val="24"/>
          <w:szCs w:val="24"/>
          <w:lang w:val="en-US"/>
        </w:rPr>
        <w:t>Turkish consumer are aware of the ongoing boycott.</w:t>
      </w:r>
    </w:p>
    <w:p w14:paraId="45FDCD43"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Mean response: 3.42, with a statistically significant result (p = 0.000).</w:t>
      </w:r>
    </w:p>
    <w:p w14:paraId="34B85C35"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This hypothesis is accepted, indicating a high level of awareness among Turkish consumers.</w:t>
      </w:r>
    </w:p>
    <w:p w14:paraId="1FB6211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H2.2: </w:t>
      </w:r>
      <w:r w:rsidRPr="002551A7">
        <w:rPr>
          <w:rFonts w:asciiTheme="majorBidi" w:hAnsiTheme="majorBidi" w:cstheme="majorBidi"/>
          <w:sz w:val="24"/>
          <w:szCs w:val="24"/>
          <w:lang w:val="en-US"/>
        </w:rPr>
        <w:t xml:space="preserve">Turkish consumer trust alternative products </w:t>
      </w:r>
    </w:p>
    <w:p w14:paraId="291F4B6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Mean response: 3.20, statistically significant (p = 0.0109).</w:t>
      </w:r>
    </w:p>
    <w:p w14:paraId="309CEADD"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This hypothesis is accepted with moderate support.</w:t>
      </w:r>
    </w:p>
    <w:p w14:paraId="0EEAF375"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H2.3: </w:t>
      </w:r>
      <w:r w:rsidRPr="002551A7">
        <w:rPr>
          <w:rFonts w:asciiTheme="majorBidi" w:hAnsiTheme="majorBidi" w:cstheme="majorBidi"/>
          <w:sz w:val="24"/>
          <w:szCs w:val="24"/>
          <w:lang w:val="en-US"/>
        </w:rPr>
        <w:t>Turkish consumer willing to try new alternatives</w:t>
      </w:r>
      <w:r w:rsidRPr="002551A7">
        <w:rPr>
          <w:rFonts w:asciiTheme="majorBidi" w:hAnsiTheme="majorBidi" w:cstheme="majorBidi"/>
          <w:b/>
          <w:bCs/>
          <w:sz w:val="24"/>
          <w:szCs w:val="24"/>
          <w:lang w:val="en-US"/>
        </w:rPr>
        <w:t xml:space="preserve"> </w:t>
      </w:r>
      <w:r w:rsidRPr="002551A7">
        <w:rPr>
          <w:rFonts w:asciiTheme="majorBidi" w:hAnsiTheme="majorBidi" w:cstheme="majorBidi"/>
          <w:sz w:val="24"/>
          <w:szCs w:val="24"/>
          <w:lang w:val="en-US"/>
        </w:rPr>
        <w:t>in response of boycott.</w:t>
      </w:r>
    </w:p>
    <w:p w14:paraId="668A9ACE"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Mean response: 3.58, highly significant (p = 0.000).</w:t>
      </w:r>
    </w:p>
    <w:p w14:paraId="6E61BFB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Accepted, confirming strong consumer willingness to adopt new alternatives.</w:t>
      </w:r>
    </w:p>
    <w:p w14:paraId="37053C2E"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Product-Related Hypotheses</w:t>
      </w:r>
    </w:p>
    <w:p w14:paraId="5EE2830E"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H2.4.a: </w:t>
      </w:r>
      <w:r w:rsidRPr="002551A7">
        <w:rPr>
          <w:rFonts w:asciiTheme="majorBidi" w:hAnsiTheme="majorBidi" w:cstheme="majorBidi"/>
          <w:sz w:val="24"/>
          <w:szCs w:val="24"/>
          <w:lang w:val="en-US"/>
        </w:rPr>
        <w:t>Perceived product quality positively influences Turkish consumer behavior.</w:t>
      </w:r>
    </w:p>
    <w:p w14:paraId="32CAA1D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0.326; β = 0.458; p &lt; 0.001</w:t>
      </w:r>
    </w:p>
    <w:p w14:paraId="22AF118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Accepted — product quality has a moderately strong influence.</w:t>
      </w:r>
    </w:p>
    <w:p w14:paraId="313FC41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H2.4.b: </w:t>
      </w:r>
      <w:r w:rsidRPr="002551A7">
        <w:rPr>
          <w:rFonts w:asciiTheme="majorBidi" w:hAnsiTheme="majorBidi" w:cstheme="majorBidi"/>
          <w:sz w:val="24"/>
          <w:szCs w:val="24"/>
          <w:lang w:val="en-US"/>
        </w:rPr>
        <w:t>Perceived product quality positively influences Turkish consumers’ willingness to try alternative products.</w:t>
      </w:r>
    </w:p>
    <w:p w14:paraId="765205E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0.348; β = 0.557; p &lt; 0.001</w:t>
      </w:r>
    </w:p>
    <w:p w14:paraId="43B9A2E5"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Accepted — quality is a significant factor in trial willingness.</w:t>
      </w:r>
    </w:p>
    <w:p w14:paraId="43AB10B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H2.5.a: </w:t>
      </w:r>
      <w:r w:rsidRPr="002551A7">
        <w:rPr>
          <w:rFonts w:asciiTheme="majorBidi" w:hAnsiTheme="majorBidi" w:cstheme="majorBidi"/>
          <w:bCs/>
          <w:sz w:val="24"/>
          <w:szCs w:val="24"/>
          <w:lang w:val="en-US"/>
        </w:rPr>
        <w:t>Competitive pricing positively influences Turkish consumer behavior.</w:t>
      </w:r>
    </w:p>
    <w:p w14:paraId="14AD4168"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0.319; β = 0.441; p &lt; 0.001</w:t>
      </w:r>
    </w:p>
    <w:p w14:paraId="55B2EF19"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Accepted — pricing has a moderate influence.</w:t>
      </w:r>
    </w:p>
    <w:p w14:paraId="4C8B7463" w14:textId="77777777" w:rsidR="00AC1791" w:rsidRPr="002551A7" w:rsidRDefault="00AC1791" w:rsidP="00137994">
      <w:pPr>
        <w:spacing w:after="0" w:line="360" w:lineRule="auto"/>
        <w:jc w:val="both"/>
        <w:rPr>
          <w:rFonts w:asciiTheme="majorBidi" w:hAnsiTheme="majorBidi" w:cstheme="majorBidi"/>
          <w:bCs/>
          <w:sz w:val="24"/>
          <w:szCs w:val="24"/>
          <w:lang w:val="en-US"/>
        </w:rPr>
      </w:pPr>
      <w:r w:rsidRPr="002551A7">
        <w:rPr>
          <w:rFonts w:asciiTheme="majorBidi" w:hAnsiTheme="majorBidi" w:cstheme="majorBidi"/>
          <w:b/>
          <w:bCs/>
          <w:sz w:val="24"/>
          <w:szCs w:val="24"/>
          <w:lang w:val="en-US"/>
        </w:rPr>
        <w:t xml:space="preserve">H2.5.b: </w:t>
      </w:r>
      <w:r w:rsidRPr="002551A7">
        <w:rPr>
          <w:rFonts w:asciiTheme="majorBidi" w:hAnsiTheme="majorBidi" w:cstheme="majorBidi"/>
          <w:bCs/>
          <w:sz w:val="24"/>
          <w:szCs w:val="24"/>
          <w:lang w:val="en-US"/>
        </w:rPr>
        <w:t>Competitive pricing positively influences Turkish consumers’ willingness to try alternative products.</w:t>
      </w:r>
    </w:p>
    <w:p w14:paraId="1CFCDFCB"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0.297; β = 0.501; p &lt; 0.001</w:t>
      </w:r>
    </w:p>
    <w:p w14:paraId="2C2242D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Accepted — price sensitivity is relevant for trial behavior.</w:t>
      </w:r>
    </w:p>
    <w:p w14:paraId="396A1E1F" w14:textId="77777777" w:rsidR="00AC1791" w:rsidRPr="002551A7" w:rsidRDefault="00AC1791" w:rsidP="00137994">
      <w:pPr>
        <w:spacing w:after="0" w:line="360" w:lineRule="auto"/>
        <w:jc w:val="both"/>
        <w:rPr>
          <w:rFonts w:asciiTheme="majorBidi" w:hAnsiTheme="majorBidi" w:cstheme="majorBidi"/>
          <w:b/>
          <w:sz w:val="24"/>
          <w:szCs w:val="24"/>
          <w:lang w:val="en-US"/>
        </w:rPr>
      </w:pPr>
      <w:r w:rsidRPr="002551A7">
        <w:rPr>
          <w:rFonts w:asciiTheme="majorBidi" w:hAnsiTheme="majorBidi" w:cstheme="majorBidi"/>
          <w:b/>
          <w:bCs/>
          <w:sz w:val="24"/>
          <w:szCs w:val="24"/>
          <w:lang w:val="en-US"/>
        </w:rPr>
        <w:t xml:space="preserve">H2.6.a: </w:t>
      </w:r>
      <w:r w:rsidRPr="002551A7">
        <w:rPr>
          <w:rFonts w:asciiTheme="majorBidi" w:hAnsiTheme="majorBidi" w:cstheme="majorBidi"/>
          <w:sz w:val="24"/>
          <w:szCs w:val="24"/>
          <w:lang w:val="en-US"/>
        </w:rPr>
        <w:t>Cultural alignment of products positively influences Turkish consumer behavior.</w:t>
      </w:r>
    </w:p>
    <w:p w14:paraId="37126F1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0.317; β = 0.421; p &lt; 0.001</w:t>
      </w:r>
    </w:p>
    <w:p w14:paraId="593BB6EA"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Accepted — cultural compatibility has a notable influence on behavior.</w:t>
      </w:r>
    </w:p>
    <w:p w14:paraId="62E523BF"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 xml:space="preserve">H2.6.b: </w:t>
      </w:r>
      <w:r w:rsidRPr="002551A7">
        <w:rPr>
          <w:rFonts w:asciiTheme="majorBidi" w:hAnsiTheme="majorBidi" w:cstheme="majorBidi"/>
          <w:sz w:val="24"/>
          <w:szCs w:val="24"/>
          <w:lang w:val="en-US"/>
        </w:rPr>
        <w:t>Cultural alignment of products positively influences Turkish consumers’ willingness to try alternative products.</w:t>
      </w:r>
    </w:p>
    <w:p w14:paraId="0B99301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0.285; β = 0.469; p &lt; 0.001</w:t>
      </w:r>
    </w:p>
    <w:p w14:paraId="0ED6330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Accepted — cultural alignment is an effective trial motivator.bnnb</w:t>
      </w:r>
    </w:p>
    <w:p w14:paraId="4A6F68A2"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 xml:space="preserve">H2.7.a: </w:t>
      </w:r>
      <w:r w:rsidRPr="002551A7">
        <w:rPr>
          <w:rFonts w:asciiTheme="majorBidi" w:hAnsiTheme="majorBidi" w:cstheme="majorBidi"/>
          <w:sz w:val="24"/>
          <w:szCs w:val="24"/>
          <w:lang w:val="en-US"/>
        </w:rPr>
        <w:t>Availability and accessibility of products positively influence Turkish consumer behavior.</w:t>
      </w:r>
    </w:p>
    <w:p w14:paraId="2F0DDC5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0.235; β = 0.374; p &lt; 0.001</w:t>
      </w:r>
    </w:p>
    <w:p w14:paraId="41CA5550"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Accepted — albeit with weaker influence than other variables.</w:t>
      </w:r>
    </w:p>
    <w:p w14:paraId="0A37ACE4"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b/>
          <w:bCs/>
          <w:sz w:val="24"/>
          <w:szCs w:val="24"/>
          <w:lang w:val="en-US"/>
        </w:rPr>
        <w:t>H2.7.b</w:t>
      </w:r>
      <w:r w:rsidRPr="002551A7">
        <w:rPr>
          <w:rFonts w:asciiTheme="majorBidi" w:hAnsiTheme="majorBidi" w:cstheme="majorBidi"/>
          <w:sz w:val="24"/>
          <w:szCs w:val="24"/>
          <w:lang w:val="en-US"/>
        </w:rPr>
        <w:t>: Availability and accessibility of products positively influence Turkish consumers’ willingness to try alternative products.</w:t>
      </w:r>
    </w:p>
    <w:p w14:paraId="14F05D9B"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R² = 0.242; β = 0.446; p &lt; 0.001</w:t>
      </w:r>
    </w:p>
    <w:p w14:paraId="6443AE51" w14:textId="77777777" w:rsidR="00AC1791" w:rsidRPr="002551A7" w:rsidRDefault="00AC1791" w:rsidP="00137994">
      <w:pPr>
        <w:spacing w:after="0" w:line="360" w:lineRule="auto"/>
        <w:jc w:val="both"/>
        <w:rPr>
          <w:rFonts w:asciiTheme="majorBidi" w:hAnsiTheme="majorBidi" w:cstheme="majorBidi"/>
          <w:sz w:val="24"/>
          <w:szCs w:val="24"/>
          <w:lang w:val="en-US"/>
        </w:rPr>
      </w:pPr>
      <w:r w:rsidRPr="002551A7">
        <w:rPr>
          <w:rFonts w:asciiTheme="majorBidi" w:hAnsiTheme="majorBidi" w:cstheme="majorBidi"/>
          <w:sz w:val="24"/>
          <w:szCs w:val="24"/>
          <w:lang w:val="en-US"/>
        </w:rPr>
        <w:t xml:space="preserve"> Accepted — access plays a secondary but statistically significant role.</w:t>
      </w:r>
    </w:p>
    <w:p w14:paraId="13833D4F" w14:textId="77777777" w:rsidR="00AC1791" w:rsidRPr="002551A7" w:rsidRDefault="00AC1791" w:rsidP="00137994">
      <w:pPr>
        <w:spacing w:after="0" w:line="360" w:lineRule="auto"/>
        <w:jc w:val="both"/>
        <w:rPr>
          <w:rFonts w:asciiTheme="majorBidi" w:hAnsiTheme="majorBidi" w:cstheme="majorBidi"/>
          <w:b/>
          <w:bCs/>
          <w:sz w:val="24"/>
          <w:szCs w:val="24"/>
          <w:lang w:val="en-US"/>
        </w:rPr>
      </w:pPr>
      <w:r w:rsidRPr="002551A7">
        <w:rPr>
          <w:rFonts w:asciiTheme="majorBidi" w:hAnsiTheme="majorBidi" w:cstheme="majorBidi"/>
          <w:b/>
          <w:bCs/>
          <w:sz w:val="24"/>
          <w:szCs w:val="24"/>
          <w:lang w:val="en-US"/>
        </w:rPr>
        <w:t>Final Conclusion:</w:t>
      </w:r>
    </w:p>
    <w:p w14:paraId="2CD3B80C" w14:textId="324B7C09" w:rsidR="00AC1791" w:rsidRPr="002551A7" w:rsidRDefault="00137994" w:rsidP="00137994">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The results of the microeconomic analysis demonstrate that boycott-related factors and product characteristics significantly influence Turkish consumers' behavior and their willingness to try alternative products. The most influential factors include boycott awareness, product quality, competitive pricing, and cultural alignment. These findings support the market potential for Algerian brands such as Proderma to position themselves as viable alternatives in the Turkish market</w:t>
      </w:r>
      <w:r w:rsidR="000C0E44">
        <w:rPr>
          <w:rFonts w:asciiTheme="majorBidi" w:hAnsiTheme="majorBidi" w:cstheme="majorBidi"/>
          <w:sz w:val="24"/>
          <w:szCs w:val="24"/>
          <w:lang w:val="en-US"/>
        </w:rPr>
        <w:t xml:space="preserve"> </w:t>
      </w:r>
      <w:r w:rsidR="00AC1791" w:rsidRPr="002551A7">
        <w:rPr>
          <w:rFonts w:asciiTheme="majorBidi" w:hAnsiTheme="majorBidi" w:cstheme="majorBidi"/>
          <w:sz w:val="24"/>
          <w:szCs w:val="24"/>
          <w:lang w:val="en-US"/>
        </w:rPr>
        <w:t>particularly in response to socio-political shifts in consumer preferences. It is recommended that companies entering this market emphasize value-based branding, ensure product quality, and establish accessible distribution channels.</w:t>
      </w:r>
    </w:p>
    <w:p w14:paraId="51486E9D" w14:textId="77777777" w:rsidR="00AC1791" w:rsidRPr="002551A7" w:rsidRDefault="00AC1791" w:rsidP="00A6758D">
      <w:pPr>
        <w:spacing w:line="360" w:lineRule="auto"/>
        <w:jc w:val="both"/>
        <w:rPr>
          <w:rFonts w:asciiTheme="majorBidi" w:hAnsiTheme="majorBidi" w:cstheme="majorBidi"/>
          <w:sz w:val="24"/>
          <w:szCs w:val="24"/>
          <w:lang w:val="en-US"/>
        </w:rPr>
      </w:pPr>
    </w:p>
    <w:p w14:paraId="6B4B91E5" w14:textId="77777777" w:rsidR="00137994" w:rsidRDefault="00137994" w:rsidP="00F305DC">
      <w:pPr>
        <w:pStyle w:val="NormalWeb"/>
        <w:spacing w:line="360" w:lineRule="auto"/>
        <w:jc w:val="both"/>
        <w:rPr>
          <w:rStyle w:val="Strong"/>
          <w:rFonts w:asciiTheme="majorBidi" w:hAnsiTheme="majorBidi" w:cstheme="majorBidi"/>
          <w:lang w:val="en-GB"/>
        </w:rPr>
      </w:pPr>
    </w:p>
    <w:p w14:paraId="029F1FC9" w14:textId="0C3BC043" w:rsidR="000C0E44" w:rsidRPr="00050632" w:rsidRDefault="000C0E44" w:rsidP="00050632">
      <w:pPr>
        <w:pStyle w:val="Heading2"/>
      </w:pPr>
      <w:bookmarkStart w:id="509" w:name="_Toc200721798"/>
      <w:r w:rsidRPr="00050632">
        <w:t>Conclusio</w:t>
      </w:r>
      <w:r w:rsidRPr="00050632">
        <w:rPr>
          <w:rStyle w:val="Strong"/>
          <w:b/>
          <w:bCs/>
        </w:rPr>
        <w:t>n</w:t>
      </w:r>
      <w:bookmarkEnd w:id="509"/>
    </w:p>
    <w:p w14:paraId="0957EA73" w14:textId="5C1EAEC3" w:rsidR="00F305DC" w:rsidRPr="00F305DC" w:rsidRDefault="00137994" w:rsidP="00F305DC">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This chapter provided a comprehensive and data-driven evaluation of the feasibility of exporting Proderma’s products to the Turkish market, based on both macroeconomic and microeconomic dimensions. Through the integration of quantitative forecasting, consumer insight, and market research, we arrive at an evidence-based conclusion supporting the strategic export of Proderma products.</w:t>
      </w:r>
    </w:p>
    <w:p w14:paraId="0CC9EB30" w14:textId="4CFBF9CA" w:rsidR="00F305DC" w:rsidRPr="00F305DC" w:rsidRDefault="00137994" w:rsidP="00F305DC">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At the </w:t>
      </w:r>
      <w:r w:rsidR="00F305DC" w:rsidRPr="00F305DC">
        <w:rPr>
          <w:rStyle w:val="Strong"/>
          <w:rFonts w:asciiTheme="majorBidi" w:hAnsiTheme="majorBidi" w:cstheme="majorBidi"/>
          <w:b w:val="0"/>
          <w:bCs w:val="0"/>
          <w:color w:val="222222"/>
          <w:lang w:val="en-GB"/>
        </w:rPr>
        <w:t>macroeconomic level</w:t>
      </w:r>
      <w:r w:rsidR="00F305DC" w:rsidRPr="00F305DC">
        <w:rPr>
          <w:rFonts w:asciiTheme="majorBidi" w:hAnsiTheme="majorBidi" w:cstheme="majorBidi"/>
          <w:b/>
          <w:bCs/>
          <w:color w:val="222222"/>
          <w:lang w:val="en-GB"/>
        </w:rPr>
        <w:t>,</w:t>
      </w:r>
      <w:r w:rsidR="00F305DC" w:rsidRPr="00F305DC">
        <w:rPr>
          <w:rFonts w:asciiTheme="majorBidi" w:hAnsiTheme="majorBidi" w:cstheme="majorBidi"/>
          <w:color w:val="222222"/>
          <w:lang w:val="en-GB"/>
        </w:rPr>
        <w:t xml:space="preserve"> the analysis of Turkey’s GDP, inflation, unemployment, and exchange rate from 2014 to 2024, along with projections until 2030, revealed a favorable economic outlook despite certain risks. The strong positive relationship between GDP and exchange rate, and the negative but significant impact of unemployment, suggest that Turkey remains a growing and accessible market for Algerian products. Regression analysis confirmed the significant influence of macro variables on export feasibility, supporting the strategic opportunity for market entry, particularly during periods of favorable currency exchange.</w:t>
      </w:r>
    </w:p>
    <w:p w14:paraId="395046C3" w14:textId="52A3450F" w:rsidR="00F305DC" w:rsidRPr="00F305DC" w:rsidRDefault="00137994" w:rsidP="00F305DC">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At the </w:t>
      </w:r>
      <w:r w:rsidR="00F305DC" w:rsidRPr="00F305DC">
        <w:rPr>
          <w:rStyle w:val="Strong"/>
          <w:rFonts w:asciiTheme="majorBidi" w:hAnsiTheme="majorBidi" w:cstheme="majorBidi"/>
          <w:b w:val="0"/>
          <w:bCs w:val="0"/>
          <w:color w:val="222222"/>
          <w:lang w:val="en-GB"/>
        </w:rPr>
        <w:t>microeconomic level</w:t>
      </w:r>
      <w:r w:rsidR="00F305DC" w:rsidRPr="00F305DC">
        <w:rPr>
          <w:rFonts w:asciiTheme="majorBidi" w:hAnsiTheme="majorBidi" w:cstheme="majorBidi"/>
          <w:b/>
          <w:bCs/>
          <w:color w:val="222222"/>
          <w:lang w:val="en-GB"/>
        </w:rPr>
        <w:t>,</w:t>
      </w:r>
      <w:r w:rsidR="00F305DC" w:rsidRPr="00F305DC">
        <w:rPr>
          <w:rFonts w:asciiTheme="majorBidi" w:hAnsiTheme="majorBidi" w:cstheme="majorBidi"/>
          <w:color w:val="222222"/>
          <w:lang w:val="en-GB"/>
        </w:rPr>
        <w:t xml:space="preserve"> the study highlighted the rising awareness of Turkish consumers regarding boycott movements and their openness to ethical, culturally aligned alternatives. The survey results demonstrated a willingness to adopt Algerian brands, especially when product quality, price, and cultural values align with consumer expectations. This positions Proderma as a promising alternative to Western and boycotted products in the dermocosmetic segment.</w:t>
      </w:r>
    </w:p>
    <w:p w14:paraId="57B774C4" w14:textId="0B07D18D" w:rsidR="00F305DC" w:rsidRPr="00F305DC" w:rsidRDefault="00137994" w:rsidP="00F305DC">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Furthermore, a comparative analysis of Turkish imports confirmed a </w:t>
      </w:r>
      <w:r w:rsidR="00F305DC" w:rsidRPr="00F305DC">
        <w:rPr>
          <w:rStyle w:val="Strong"/>
          <w:rFonts w:asciiTheme="majorBidi" w:hAnsiTheme="majorBidi" w:cstheme="majorBidi"/>
          <w:b w:val="0"/>
          <w:bCs w:val="0"/>
          <w:color w:val="222222"/>
          <w:lang w:val="en-GB"/>
        </w:rPr>
        <w:t>substantial market gap</w:t>
      </w:r>
      <w:r w:rsidR="00F305DC" w:rsidRPr="00F305DC">
        <w:rPr>
          <w:rFonts w:asciiTheme="majorBidi" w:hAnsiTheme="majorBidi" w:cstheme="majorBidi"/>
          <w:color w:val="222222"/>
          <w:lang w:val="en-GB"/>
        </w:rPr>
        <w:t> in essential oils, perfumery, and pharmaceutical preparations imported from Algeria. Despite a growing Turkish demand</w:t>
      </w:r>
      <w:r w:rsidR="004F11D0">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exceeding USD 2 billion in 2024</w:t>
      </w:r>
      <w:r w:rsidR="004F11D0">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Algeria’s market share remains below 0.002%, highlighting a major untapped potential.</w:t>
      </w:r>
    </w:p>
    <w:p w14:paraId="34075972" w14:textId="08466547" w:rsidR="00F305DC" w:rsidRPr="00F305DC" w:rsidRDefault="00137994" w:rsidP="00F305DC">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Finally, the selection of </w:t>
      </w:r>
      <w:r w:rsidR="00F305DC" w:rsidRPr="00F305DC">
        <w:rPr>
          <w:rStyle w:val="Strong"/>
          <w:rFonts w:asciiTheme="majorBidi" w:hAnsiTheme="majorBidi" w:cstheme="majorBidi"/>
          <w:b w:val="0"/>
          <w:bCs w:val="0"/>
          <w:color w:val="222222"/>
          <w:lang w:val="en-GB"/>
        </w:rPr>
        <w:t>Polydermyl Crème Émolliente M.U.</w:t>
      </w:r>
      <w:r w:rsidR="00F305DC" w:rsidRPr="00F305DC">
        <w:rPr>
          <w:rFonts w:asciiTheme="majorBidi" w:hAnsiTheme="majorBidi" w:cstheme="majorBidi"/>
          <w:color w:val="222222"/>
          <w:lang w:val="en-GB"/>
        </w:rPr>
        <w:t> as the primary export product is fully aligned with the insights gathered. Its formulation, price structure, therapeutic value, and cultural compatibility reinforce its exportability. Combined with Proderma’s compliance with international quality standards and Algeria’s trade advantages with Turkey, the company is well-positioned to succeed.</w:t>
      </w:r>
    </w:p>
    <w:p w14:paraId="4EDEA6B8" w14:textId="39D6CD52" w:rsidR="0053256C" w:rsidRPr="004F11D0" w:rsidRDefault="00137994" w:rsidP="004F11D0">
      <w:pPr>
        <w:pStyle w:val="NormalWeb"/>
        <w:shd w:val="clear" w:color="auto" w:fill="FFFFFF"/>
        <w:spacing w:line="360" w:lineRule="auto"/>
        <w:jc w:val="both"/>
        <w:rPr>
          <w:rFonts w:asciiTheme="majorBidi" w:hAnsiTheme="majorBidi" w:cstheme="majorBidi"/>
          <w:color w:val="222222"/>
          <w:lang w:val="en-GB"/>
        </w:rPr>
      </w:pPr>
      <w:r>
        <w:rPr>
          <w:rFonts w:asciiTheme="majorBidi" w:hAnsiTheme="majorBidi" w:cstheme="majorBidi"/>
          <w:color w:val="222222"/>
          <w:lang w:val="en-GB"/>
        </w:rPr>
        <w:t xml:space="preserve">  </w:t>
      </w:r>
      <w:r w:rsidR="00F305DC" w:rsidRPr="00F305DC">
        <w:rPr>
          <w:rFonts w:asciiTheme="majorBidi" w:hAnsiTheme="majorBidi" w:cstheme="majorBidi"/>
          <w:color w:val="222222"/>
          <w:lang w:val="en-GB"/>
        </w:rPr>
        <w:t>In conclusion, the convergence of favorable macroeconomic indicators, responsive consumer behavior, and unmet market potential justifies the strategic export of Proderma’s products to Turkey.</w:t>
      </w:r>
    </w:p>
    <w:p w14:paraId="6FD758AF" w14:textId="77777777" w:rsidR="000B5DDC" w:rsidRDefault="000B5DDC" w:rsidP="00BE475C">
      <w:pPr>
        <w:pStyle w:val="NormalWeb"/>
        <w:shd w:val="clear" w:color="auto" w:fill="FFFFFF"/>
        <w:spacing w:line="360" w:lineRule="auto"/>
        <w:jc w:val="both"/>
        <w:rPr>
          <w:rStyle w:val="Strong"/>
          <w:lang w:val="en-GB"/>
        </w:rPr>
      </w:pPr>
    </w:p>
    <w:p w14:paraId="3DCFDDC5" w14:textId="77777777" w:rsidR="000B5DDC" w:rsidRDefault="000B5DDC" w:rsidP="00BE475C">
      <w:pPr>
        <w:pStyle w:val="NormalWeb"/>
        <w:shd w:val="clear" w:color="auto" w:fill="FFFFFF"/>
        <w:spacing w:line="360" w:lineRule="auto"/>
        <w:jc w:val="both"/>
        <w:rPr>
          <w:rStyle w:val="Strong"/>
          <w:lang w:val="en-GB"/>
        </w:rPr>
      </w:pPr>
    </w:p>
    <w:p w14:paraId="22CDA86A" w14:textId="77777777" w:rsidR="000B5DDC" w:rsidRDefault="000B5DDC" w:rsidP="00BE475C">
      <w:pPr>
        <w:pStyle w:val="NormalWeb"/>
        <w:shd w:val="clear" w:color="auto" w:fill="FFFFFF"/>
        <w:spacing w:line="360" w:lineRule="auto"/>
        <w:jc w:val="both"/>
        <w:rPr>
          <w:rStyle w:val="Strong"/>
          <w:lang w:val="en-GB"/>
        </w:rPr>
      </w:pPr>
    </w:p>
    <w:p w14:paraId="37584E80" w14:textId="77777777" w:rsidR="000B5DDC" w:rsidRDefault="000B5DDC" w:rsidP="00BE475C">
      <w:pPr>
        <w:pStyle w:val="NormalWeb"/>
        <w:shd w:val="clear" w:color="auto" w:fill="FFFFFF"/>
        <w:spacing w:line="360" w:lineRule="auto"/>
        <w:jc w:val="both"/>
        <w:rPr>
          <w:rStyle w:val="Strong"/>
          <w:lang w:val="en-GB"/>
        </w:rPr>
      </w:pPr>
    </w:p>
    <w:p w14:paraId="0B1ACC59" w14:textId="77777777" w:rsidR="000B5DDC" w:rsidRDefault="000B5DDC" w:rsidP="00BE475C">
      <w:pPr>
        <w:pStyle w:val="NormalWeb"/>
        <w:shd w:val="clear" w:color="auto" w:fill="FFFFFF"/>
        <w:spacing w:line="360" w:lineRule="auto"/>
        <w:jc w:val="both"/>
        <w:rPr>
          <w:rStyle w:val="Strong"/>
          <w:lang w:val="en-GB"/>
        </w:rPr>
      </w:pPr>
    </w:p>
    <w:p w14:paraId="043BB7C8" w14:textId="77777777" w:rsidR="000B5DDC" w:rsidRDefault="000B5DDC" w:rsidP="00BE475C">
      <w:pPr>
        <w:pStyle w:val="NormalWeb"/>
        <w:shd w:val="clear" w:color="auto" w:fill="FFFFFF"/>
        <w:spacing w:line="360" w:lineRule="auto"/>
        <w:jc w:val="both"/>
        <w:rPr>
          <w:rStyle w:val="Strong"/>
          <w:lang w:val="en-GB"/>
        </w:rPr>
      </w:pPr>
    </w:p>
    <w:p w14:paraId="424027B4" w14:textId="77777777" w:rsidR="000B5DDC" w:rsidRDefault="000B5DDC" w:rsidP="00BE475C">
      <w:pPr>
        <w:pStyle w:val="NormalWeb"/>
        <w:shd w:val="clear" w:color="auto" w:fill="FFFFFF"/>
        <w:spacing w:line="360" w:lineRule="auto"/>
        <w:jc w:val="both"/>
        <w:rPr>
          <w:rStyle w:val="Strong"/>
          <w:lang w:val="en-GB"/>
        </w:rPr>
      </w:pPr>
    </w:p>
    <w:p w14:paraId="13B5BA8F" w14:textId="77777777" w:rsidR="000B5DDC" w:rsidRDefault="000B5DDC" w:rsidP="00BE475C">
      <w:pPr>
        <w:pStyle w:val="NormalWeb"/>
        <w:shd w:val="clear" w:color="auto" w:fill="FFFFFF"/>
        <w:spacing w:line="360" w:lineRule="auto"/>
        <w:jc w:val="both"/>
        <w:rPr>
          <w:rStyle w:val="Strong"/>
          <w:lang w:val="en-GB"/>
        </w:rPr>
      </w:pPr>
    </w:p>
    <w:p w14:paraId="73A354A9" w14:textId="77777777" w:rsidR="000B5DDC" w:rsidRDefault="000B5DDC" w:rsidP="00BE475C">
      <w:pPr>
        <w:pStyle w:val="NormalWeb"/>
        <w:shd w:val="clear" w:color="auto" w:fill="FFFFFF"/>
        <w:spacing w:line="360" w:lineRule="auto"/>
        <w:jc w:val="both"/>
        <w:rPr>
          <w:rStyle w:val="Strong"/>
          <w:lang w:val="en-GB"/>
        </w:rPr>
      </w:pPr>
    </w:p>
    <w:p w14:paraId="6627475E" w14:textId="77777777" w:rsidR="00537ED8" w:rsidRDefault="00537ED8" w:rsidP="000B5DDC">
      <w:pPr>
        <w:pStyle w:val="NormalWeb"/>
        <w:shd w:val="clear" w:color="auto" w:fill="FFFFFF"/>
        <w:spacing w:line="360" w:lineRule="auto"/>
        <w:jc w:val="center"/>
        <w:rPr>
          <w:rStyle w:val="c"/>
          <w:lang w:val="en-GB"/>
        </w:rPr>
        <w:sectPr w:rsidR="00537ED8">
          <w:headerReference w:type="default" r:id="rId61"/>
          <w:footerReference w:type="default" r:id="rId62"/>
          <w:pgSz w:w="11906" w:h="16838"/>
          <w:pgMar w:top="1417" w:right="1417" w:bottom="1417" w:left="1417" w:header="708" w:footer="708" w:gutter="0"/>
          <w:cols w:space="708"/>
          <w:docGrid w:linePitch="360"/>
        </w:sectPr>
      </w:pPr>
    </w:p>
    <w:p w14:paraId="43ACC6FC" w14:textId="77777777" w:rsidR="00537ED8" w:rsidRDefault="00537ED8" w:rsidP="000B5DDC">
      <w:pPr>
        <w:pStyle w:val="NormalWeb"/>
        <w:shd w:val="clear" w:color="auto" w:fill="FFFFFF"/>
        <w:spacing w:line="360" w:lineRule="auto"/>
        <w:jc w:val="center"/>
        <w:rPr>
          <w:rStyle w:val="c"/>
          <w:lang w:val="en-GB"/>
        </w:rPr>
      </w:pPr>
    </w:p>
    <w:p w14:paraId="6B45FF43" w14:textId="77777777" w:rsidR="00537ED8" w:rsidRDefault="00537ED8" w:rsidP="000B5DDC">
      <w:pPr>
        <w:pStyle w:val="NormalWeb"/>
        <w:shd w:val="clear" w:color="auto" w:fill="FFFFFF"/>
        <w:spacing w:line="360" w:lineRule="auto"/>
        <w:jc w:val="center"/>
        <w:rPr>
          <w:rStyle w:val="c"/>
          <w:lang w:val="en-GB"/>
        </w:rPr>
      </w:pPr>
    </w:p>
    <w:p w14:paraId="056E283F" w14:textId="77777777" w:rsidR="00537ED8" w:rsidRDefault="00537ED8" w:rsidP="000B5DDC">
      <w:pPr>
        <w:pStyle w:val="NormalWeb"/>
        <w:shd w:val="clear" w:color="auto" w:fill="FFFFFF"/>
        <w:spacing w:line="360" w:lineRule="auto"/>
        <w:jc w:val="center"/>
        <w:rPr>
          <w:rStyle w:val="c"/>
          <w:lang w:val="en-GB"/>
        </w:rPr>
      </w:pPr>
    </w:p>
    <w:p w14:paraId="292A4CFA" w14:textId="77777777" w:rsidR="00537ED8" w:rsidRDefault="00537ED8" w:rsidP="000B5DDC">
      <w:pPr>
        <w:pStyle w:val="NormalWeb"/>
        <w:shd w:val="clear" w:color="auto" w:fill="FFFFFF"/>
        <w:spacing w:line="360" w:lineRule="auto"/>
        <w:jc w:val="center"/>
        <w:rPr>
          <w:rStyle w:val="c"/>
          <w:lang w:val="en-GB"/>
        </w:rPr>
      </w:pPr>
    </w:p>
    <w:p w14:paraId="2786DCE1" w14:textId="6E0AA35E" w:rsidR="000B5DDC" w:rsidRPr="00050632" w:rsidRDefault="000B5DDC" w:rsidP="00050632">
      <w:pPr>
        <w:pStyle w:val="Heading1"/>
        <w:rPr>
          <w:rStyle w:val="c"/>
          <w:b/>
          <w:bCs w:val="0"/>
        </w:rPr>
      </w:pPr>
      <w:bookmarkStart w:id="510" w:name="_Toc200721799"/>
      <w:r w:rsidRPr="00050632">
        <w:t>General Conclusio</w:t>
      </w:r>
      <w:r w:rsidRPr="00050632">
        <w:rPr>
          <w:rStyle w:val="c"/>
          <w:b/>
          <w:bCs w:val="0"/>
        </w:rPr>
        <w:t>n</w:t>
      </w:r>
      <w:bookmarkEnd w:id="510"/>
    </w:p>
    <w:p w14:paraId="3304ECF4" w14:textId="77777777" w:rsidR="000B5DDC" w:rsidRDefault="000B5DDC" w:rsidP="00BE475C">
      <w:pPr>
        <w:pStyle w:val="NormalWeb"/>
        <w:shd w:val="clear" w:color="auto" w:fill="FFFFFF"/>
        <w:spacing w:line="360" w:lineRule="auto"/>
        <w:jc w:val="both"/>
        <w:rPr>
          <w:rStyle w:val="Strong"/>
          <w:lang w:val="en-GB"/>
        </w:rPr>
      </w:pPr>
    </w:p>
    <w:p w14:paraId="14D44649" w14:textId="77777777" w:rsidR="000B5DDC" w:rsidRDefault="000B5DDC" w:rsidP="00BE475C">
      <w:pPr>
        <w:pStyle w:val="NormalWeb"/>
        <w:shd w:val="clear" w:color="auto" w:fill="FFFFFF"/>
        <w:spacing w:line="360" w:lineRule="auto"/>
        <w:jc w:val="both"/>
        <w:rPr>
          <w:rStyle w:val="Strong"/>
          <w:lang w:val="en-GB"/>
        </w:rPr>
      </w:pPr>
    </w:p>
    <w:p w14:paraId="40881E7E" w14:textId="77777777" w:rsidR="000B5DDC" w:rsidRDefault="000B5DDC" w:rsidP="00BE475C">
      <w:pPr>
        <w:pStyle w:val="NormalWeb"/>
        <w:shd w:val="clear" w:color="auto" w:fill="FFFFFF"/>
        <w:spacing w:line="360" w:lineRule="auto"/>
        <w:jc w:val="both"/>
        <w:rPr>
          <w:rStyle w:val="Strong"/>
          <w:lang w:val="en-GB"/>
        </w:rPr>
      </w:pPr>
    </w:p>
    <w:p w14:paraId="343C8F2F" w14:textId="77777777" w:rsidR="000B5DDC" w:rsidRDefault="000B5DDC" w:rsidP="00BE475C">
      <w:pPr>
        <w:pStyle w:val="NormalWeb"/>
        <w:shd w:val="clear" w:color="auto" w:fill="FFFFFF"/>
        <w:spacing w:line="360" w:lineRule="auto"/>
        <w:jc w:val="both"/>
        <w:rPr>
          <w:rStyle w:val="Strong"/>
          <w:lang w:val="en-GB"/>
        </w:rPr>
      </w:pPr>
    </w:p>
    <w:p w14:paraId="503E53B9" w14:textId="77777777" w:rsidR="000B5DDC" w:rsidRDefault="000B5DDC" w:rsidP="00BE475C">
      <w:pPr>
        <w:pStyle w:val="NormalWeb"/>
        <w:shd w:val="clear" w:color="auto" w:fill="FFFFFF"/>
        <w:spacing w:line="360" w:lineRule="auto"/>
        <w:jc w:val="both"/>
        <w:rPr>
          <w:rStyle w:val="Strong"/>
          <w:lang w:val="en-GB"/>
        </w:rPr>
      </w:pPr>
    </w:p>
    <w:p w14:paraId="6E3362C8" w14:textId="77777777" w:rsidR="000B5DDC" w:rsidRDefault="000B5DDC" w:rsidP="00BE475C">
      <w:pPr>
        <w:pStyle w:val="NormalWeb"/>
        <w:shd w:val="clear" w:color="auto" w:fill="FFFFFF"/>
        <w:spacing w:line="360" w:lineRule="auto"/>
        <w:jc w:val="both"/>
        <w:rPr>
          <w:rStyle w:val="Strong"/>
          <w:lang w:val="en-GB"/>
        </w:rPr>
      </w:pPr>
    </w:p>
    <w:p w14:paraId="6BCAE782" w14:textId="77777777" w:rsidR="000B5DDC" w:rsidRDefault="000B5DDC" w:rsidP="00BE475C">
      <w:pPr>
        <w:pStyle w:val="NormalWeb"/>
        <w:shd w:val="clear" w:color="auto" w:fill="FFFFFF"/>
        <w:spacing w:line="360" w:lineRule="auto"/>
        <w:jc w:val="both"/>
        <w:rPr>
          <w:rStyle w:val="Strong"/>
          <w:lang w:val="en-GB"/>
        </w:rPr>
      </w:pPr>
    </w:p>
    <w:p w14:paraId="0F628328" w14:textId="77777777" w:rsidR="000B5DDC" w:rsidRDefault="000B5DDC" w:rsidP="00BE475C">
      <w:pPr>
        <w:pStyle w:val="NormalWeb"/>
        <w:shd w:val="clear" w:color="auto" w:fill="FFFFFF"/>
        <w:spacing w:line="360" w:lineRule="auto"/>
        <w:jc w:val="both"/>
        <w:rPr>
          <w:rStyle w:val="Strong"/>
          <w:lang w:val="en-GB"/>
        </w:rPr>
      </w:pPr>
    </w:p>
    <w:p w14:paraId="460E23F9" w14:textId="77777777" w:rsidR="000B5DDC" w:rsidRDefault="000B5DDC" w:rsidP="00BE475C">
      <w:pPr>
        <w:pStyle w:val="NormalWeb"/>
        <w:shd w:val="clear" w:color="auto" w:fill="FFFFFF"/>
        <w:spacing w:line="360" w:lineRule="auto"/>
        <w:jc w:val="both"/>
        <w:rPr>
          <w:rStyle w:val="Strong"/>
          <w:lang w:val="en-GB"/>
        </w:rPr>
      </w:pPr>
    </w:p>
    <w:p w14:paraId="33F268D4" w14:textId="77777777" w:rsidR="00537ED8" w:rsidRDefault="00537ED8" w:rsidP="00BE475C">
      <w:pPr>
        <w:pStyle w:val="NormalWeb"/>
        <w:shd w:val="clear" w:color="auto" w:fill="FFFFFF"/>
        <w:spacing w:line="360" w:lineRule="auto"/>
        <w:jc w:val="both"/>
        <w:rPr>
          <w:rStyle w:val="Strong"/>
          <w:lang w:val="en-GB"/>
        </w:rPr>
        <w:sectPr w:rsidR="00537ED8">
          <w:headerReference w:type="default" r:id="rId63"/>
          <w:footerReference w:type="default" r:id="rId64"/>
          <w:pgSz w:w="11906" w:h="16838"/>
          <w:pgMar w:top="1417" w:right="1417" w:bottom="1417" w:left="1417" w:header="708" w:footer="708" w:gutter="0"/>
          <w:cols w:space="708"/>
          <w:docGrid w:linePitch="360"/>
        </w:sectPr>
      </w:pPr>
    </w:p>
    <w:p w14:paraId="762F2E60" w14:textId="56D7E82A" w:rsidR="0024056C" w:rsidRPr="00BE475C" w:rsidRDefault="0024056C" w:rsidP="00BE475C">
      <w:pPr>
        <w:pStyle w:val="NormalWeb"/>
        <w:shd w:val="clear" w:color="auto" w:fill="FFFFFF"/>
        <w:spacing w:line="360" w:lineRule="auto"/>
        <w:jc w:val="both"/>
        <w:rPr>
          <w:rFonts w:asciiTheme="majorBidi" w:hAnsiTheme="majorBidi" w:cstheme="majorBidi"/>
          <w:color w:val="222222"/>
          <w:lang w:val="en-GB"/>
        </w:rPr>
      </w:pPr>
      <w:r w:rsidRPr="00BE475C">
        <w:rPr>
          <w:rStyle w:val="Strong"/>
          <w:lang w:val="en-GB"/>
        </w:rPr>
        <w:t>General Conclusion</w:t>
      </w:r>
    </w:p>
    <w:p w14:paraId="0B130347" w14:textId="77777777" w:rsidR="0024056C" w:rsidRPr="00BE475C" w:rsidRDefault="0024056C" w:rsidP="00BE475C">
      <w:pPr>
        <w:pStyle w:val="NormalWeb"/>
        <w:spacing w:line="360" w:lineRule="auto"/>
        <w:jc w:val="both"/>
        <w:rPr>
          <w:lang w:val="en-GB"/>
        </w:rPr>
      </w:pPr>
      <w:r w:rsidRPr="00BE475C">
        <w:rPr>
          <w:lang w:val="en-GB"/>
        </w:rPr>
        <w:t>In a world increasingly marked by political tensions, shifting alliances, and consumer awareness, the phenomenon of boycott has transcended its traditional role as a tool of protest to become a catalyst for economic transformation. This dissertation has demonstrated that boycott movements, particularly those driven by ethical, cultural, or political motives, are not merely disruptive forces—they can also be converted into strategic opportunities for emerging economies. Algeria, with its underutilized industrial potential and growing interest in regional and global outreach, finds in such movements a unique chance to elevate its local products to international visibility.</w:t>
      </w:r>
    </w:p>
    <w:p w14:paraId="73716B92" w14:textId="7C5047EC" w:rsidR="0024056C" w:rsidRPr="00BE475C" w:rsidRDefault="0024056C" w:rsidP="00BE475C">
      <w:pPr>
        <w:pStyle w:val="NormalWeb"/>
        <w:spacing w:line="360" w:lineRule="auto"/>
        <w:jc w:val="both"/>
        <w:rPr>
          <w:lang w:val="en-GB"/>
        </w:rPr>
      </w:pPr>
      <w:r w:rsidRPr="00BE475C">
        <w:rPr>
          <w:lang w:val="en-GB"/>
        </w:rPr>
        <w:t>Through the case study of Turkey, a country that combines European market proximity with cultural and geopolitical ties to Algeria, this research has illustrated how a socio-political boycott can create openings in consumer markets previously dominated by entrenched brands. Turkish consumers, motivated by solidarity and cultural resonance, have shown a notable willingness to adopt alternative products when trust, quality, and accessibility align. This presents Algerian producers with a tangible window to introduce their offerings especially in the cosmetics and wellness sectors into a receptive market with potential for expansion into the wider European sphere.</w:t>
      </w:r>
    </w:p>
    <w:p w14:paraId="135EC50A" w14:textId="77777777" w:rsidR="00F66EFE" w:rsidRPr="00BE475C" w:rsidRDefault="0024056C" w:rsidP="00BE475C">
      <w:pPr>
        <w:pStyle w:val="NormalWeb"/>
        <w:spacing w:line="360" w:lineRule="auto"/>
        <w:jc w:val="both"/>
        <w:rPr>
          <w:lang w:val="en-GB"/>
        </w:rPr>
      </w:pPr>
      <w:r w:rsidRPr="00BE475C">
        <w:rPr>
          <w:lang w:val="en-GB"/>
        </w:rPr>
        <w:t>The empirical and statistical findings of this research confirm that macroeconomic conditions (such as exchange rates, GDP growth, and inflation) and microeconomic factors (such as price sensitivity, cultural compatibility, and product availability) all converge to influence the success of such a market transition. Proderma, the focus of our case analysis, serves as a compelling example of how local firms can adapt their export strategies to capitalize on new demand patterns generated by boycott movements.</w:t>
      </w:r>
    </w:p>
    <w:p w14:paraId="253BF184" w14:textId="4DBAD3DE" w:rsidR="00F66EFE" w:rsidRPr="00BE475C" w:rsidRDefault="00F66EFE" w:rsidP="00BE475C">
      <w:pPr>
        <w:pStyle w:val="NormalWeb"/>
        <w:spacing w:line="360" w:lineRule="auto"/>
        <w:jc w:val="both"/>
        <w:rPr>
          <w:lang w:val="en-GB"/>
        </w:rPr>
      </w:pPr>
      <w:r w:rsidRPr="00BE475C">
        <w:rPr>
          <w:rStyle w:val="Strong"/>
          <w:lang w:val="en-GB"/>
        </w:rPr>
        <w:t xml:space="preserve">Boundaries </w:t>
      </w:r>
    </w:p>
    <w:p w14:paraId="07AD146C" w14:textId="77777777" w:rsidR="00F66EFE" w:rsidRPr="00BE475C" w:rsidRDefault="00F66EFE" w:rsidP="00413B73">
      <w:pPr>
        <w:pStyle w:val="NormalWeb"/>
        <w:numPr>
          <w:ilvl w:val="0"/>
          <w:numId w:val="86"/>
        </w:numPr>
        <w:spacing w:line="360" w:lineRule="auto"/>
        <w:jc w:val="both"/>
        <w:rPr>
          <w:lang w:val="en-GB"/>
        </w:rPr>
      </w:pPr>
      <w:r w:rsidRPr="00BE475C">
        <w:rPr>
          <w:lang w:val="en-GB"/>
        </w:rPr>
        <w:t>Limited time available to prepare and conduct the study.</w:t>
      </w:r>
    </w:p>
    <w:p w14:paraId="15F520F2" w14:textId="77777777" w:rsidR="00F66EFE" w:rsidRPr="00BE475C" w:rsidRDefault="00F66EFE" w:rsidP="00413B73">
      <w:pPr>
        <w:pStyle w:val="NormalWeb"/>
        <w:numPr>
          <w:ilvl w:val="0"/>
          <w:numId w:val="86"/>
        </w:numPr>
        <w:spacing w:line="360" w:lineRule="auto"/>
        <w:jc w:val="both"/>
        <w:rPr>
          <w:lang w:val="en-GB"/>
        </w:rPr>
      </w:pPr>
      <w:r w:rsidRPr="00BE475C">
        <w:rPr>
          <w:lang w:val="en-GB"/>
        </w:rPr>
        <w:t>The case study is based in a foreign country (Turkey), making fieldwork and data access more difficult.</w:t>
      </w:r>
    </w:p>
    <w:p w14:paraId="77FD8FBE" w14:textId="77777777" w:rsidR="00F66EFE" w:rsidRPr="00BE475C" w:rsidRDefault="00F66EFE" w:rsidP="00413B73">
      <w:pPr>
        <w:pStyle w:val="NormalWeb"/>
        <w:numPr>
          <w:ilvl w:val="0"/>
          <w:numId w:val="86"/>
        </w:numPr>
        <w:spacing w:line="360" w:lineRule="auto"/>
        <w:jc w:val="both"/>
        <w:rPr>
          <w:lang w:val="en-GB"/>
        </w:rPr>
      </w:pPr>
      <w:r w:rsidRPr="00BE475C">
        <w:rPr>
          <w:lang w:val="en-GB"/>
        </w:rPr>
        <w:t>The empirical research relied on online market surveys, limiting depth and interaction.</w:t>
      </w:r>
    </w:p>
    <w:p w14:paraId="55807631" w14:textId="77777777" w:rsidR="00F66EFE" w:rsidRPr="00BE475C" w:rsidRDefault="00F66EFE" w:rsidP="00413B73">
      <w:pPr>
        <w:pStyle w:val="NormalWeb"/>
        <w:numPr>
          <w:ilvl w:val="0"/>
          <w:numId w:val="86"/>
        </w:numPr>
        <w:spacing w:line="360" w:lineRule="auto"/>
        <w:jc w:val="both"/>
        <w:rPr>
          <w:lang w:val="en-GB"/>
        </w:rPr>
      </w:pPr>
      <w:r w:rsidRPr="00BE475C">
        <w:rPr>
          <w:lang w:val="en-GB"/>
        </w:rPr>
        <w:t>Difficulty in reaching Turkish consumers and getting sufficient responses.</w:t>
      </w:r>
    </w:p>
    <w:p w14:paraId="3C430D8B" w14:textId="77777777" w:rsidR="00F66EFE" w:rsidRPr="00BE475C" w:rsidRDefault="00F66EFE" w:rsidP="00413B73">
      <w:pPr>
        <w:pStyle w:val="NormalWeb"/>
        <w:numPr>
          <w:ilvl w:val="0"/>
          <w:numId w:val="86"/>
        </w:numPr>
        <w:spacing w:line="360" w:lineRule="auto"/>
        <w:jc w:val="both"/>
        <w:rPr>
          <w:lang w:val="en-GB"/>
        </w:rPr>
      </w:pPr>
      <w:r w:rsidRPr="00BE475C">
        <w:rPr>
          <w:lang w:val="en-GB"/>
        </w:rPr>
        <w:t>Lack of clear information, statistics, and reliable data from Turkish websites.</w:t>
      </w:r>
    </w:p>
    <w:p w14:paraId="736B5BDE" w14:textId="77777777" w:rsidR="00F66EFE" w:rsidRPr="00BE475C" w:rsidRDefault="00F66EFE" w:rsidP="00413B73">
      <w:pPr>
        <w:pStyle w:val="NormalWeb"/>
        <w:numPr>
          <w:ilvl w:val="0"/>
          <w:numId w:val="86"/>
        </w:numPr>
        <w:spacing w:line="360" w:lineRule="auto"/>
        <w:jc w:val="both"/>
        <w:rPr>
          <w:lang w:val="en-GB"/>
        </w:rPr>
      </w:pPr>
      <w:r w:rsidRPr="00BE475C">
        <w:rPr>
          <w:lang w:val="en-GB"/>
        </w:rPr>
        <w:t>Survey participation was affected by fear of hackers due to rising cybercrime in Türkiye.</w:t>
      </w:r>
    </w:p>
    <w:p w14:paraId="78B053B3" w14:textId="77777777" w:rsidR="00F66EFE" w:rsidRPr="00BE475C" w:rsidRDefault="00F66EFE" w:rsidP="00413B73">
      <w:pPr>
        <w:pStyle w:val="NormalWeb"/>
        <w:numPr>
          <w:ilvl w:val="0"/>
          <w:numId w:val="86"/>
        </w:numPr>
        <w:spacing w:line="360" w:lineRule="auto"/>
        <w:jc w:val="both"/>
        <w:rPr>
          <w:lang w:val="en-GB"/>
        </w:rPr>
      </w:pPr>
      <w:r w:rsidRPr="00BE475C">
        <w:rPr>
          <w:lang w:val="en-GB"/>
        </w:rPr>
        <w:t>A local political boycott campaign in Turkey during the survey period caused confusion and misinterpretation of the study's aim.</w:t>
      </w:r>
    </w:p>
    <w:p w14:paraId="2CB32DCC" w14:textId="6E1CE57B" w:rsidR="00BE475C" w:rsidRDefault="00D44EC7" w:rsidP="00BE475C">
      <w:pPr>
        <w:pStyle w:val="NormalWeb"/>
        <w:spacing w:line="360" w:lineRule="auto"/>
        <w:jc w:val="both"/>
        <w:rPr>
          <w:lang w:val="en-GB"/>
        </w:rPr>
      </w:pPr>
      <w:r w:rsidRPr="00BE475C">
        <w:rPr>
          <w:rStyle w:val="Strong"/>
          <w:lang w:val="en-GB"/>
        </w:rPr>
        <w:t>Recommendations</w:t>
      </w:r>
      <w:r w:rsidR="00BE475C">
        <w:rPr>
          <w:rStyle w:val="Strong"/>
          <w:lang w:val="en-GB"/>
        </w:rPr>
        <w:t>:</w:t>
      </w:r>
      <w:r w:rsidRPr="00BE475C">
        <w:rPr>
          <w:lang w:val="en-GB"/>
        </w:rPr>
        <w:br/>
      </w:r>
      <w:r w:rsidR="00137994">
        <w:rPr>
          <w:lang w:val="en-GB"/>
        </w:rPr>
        <w:t xml:space="preserve">   </w:t>
      </w:r>
      <w:r w:rsidRPr="00BE475C">
        <w:rPr>
          <w:lang w:val="en-GB"/>
        </w:rPr>
        <w:t>This thesis recommends strengthening the digital presence of Algerian companies to enhance their international visibility. It is essential to establish local partnerships in Turkey to facilitate the acceptance of Algerian products. Cultural adaptation of products (design, composition, communication) is crucial to meet the expectations of Turkish consumers. Training in export procedures and competitive intelligence is necessary to professionalize local stakeholders. Turkish consumers should also be reassured about the safety of digital surveys. In the face of tense political contexts, clear and apolitical communication is vital. Algerian institutions must play a more active role in economic diplomacy. Finally, companies should learn to anticipate opportunities created by boycott movements and integrate them into their export strategy.</w:t>
      </w:r>
    </w:p>
    <w:p w14:paraId="17FAEE10" w14:textId="7640BD82" w:rsidR="00BE475C" w:rsidRPr="00BE475C" w:rsidRDefault="00BE475C" w:rsidP="00BE475C">
      <w:pPr>
        <w:pStyle w:val="NormalWeb"/>
        <w:spacing w:line="360" w:lineRule="auto"/>
        <w:jc w:val="both"/>
        <w:rPr>
          <w:lang w:val="en-GB"/>
        </w:rPr>
      </w:pPr>
      <w:r w:rsidRPr="00BE475C">
        <w:rPr>
          <w:rStyle w:val="Strong"/>
          <w:lang w:val="en-GB"/>
        </w:rPr>
        <w:t>Outlook:</w:t>
      </w:r>
    </w:p>
    <w:p w14:paraId="108BA4CC" w14:textId="7F7AAC14" w:rsidR="00BE475C" w:rsidRPr="00BE475C" w:rsidRDefault="00137994" w:rsidP="00BE475C">
      <w:pPr>
        <w:pStyle w:val="NormalWeb"/>
        <w:spacing w:line="360" w:lineRule="auto"/>
        <w:jc w:val="both"/>
        <w:rPr>
          <w:lang w:val="en-GB"/>
        </w:rPr>
      </w:pPr>
      <w:r>
        <w:rPr>
          <w:lang w:val="en-GB"/>
        </w:rPr>
        <w:t xml:space="preserve">   </w:t>
      </w:r>
      <w:r w:rsidR="00BE475C" w:rsidRPr="00BE475C">
        <w:rPr>
          <w:lang w:val="en-GB"/>
        </w:rPr>
        <w:t>For future research, it would be relevant to expand the analysis to other European countries with strong consumer activism to assess whether similar boycott-triggered export opportunities exist for Algerian products. A comparative study involving countries like France or Germany could help generalize the model developed here.</w:t>
      </w:r>
    </w:p>
    <w:p w14:paraId="583DD670" w14:textId="205198D8" w:rsidR="00BE475C" w:rsidRPr="00BE475C" w:rsidRDefault="00137994" w:rsidP="00BE475C">
      <w:pPr>
        <w:pStyle w:val="NormalWeb"/>
        <w:spacing w:line="360" w:lineRule="auto"/>
        <w:jc w:val="both"/>
        <w:rPr>
          <w:lang w:val="en-GB"/>
        </w:rPr>
      </w:pPr>
      <w:r>
        <w:rPr>
          <w:lang w:val="en-GB"/>
        </w:rPr>
        <w:t xml:space="preserve">   </w:t>
      </w:r>
      <w:r w:rsidR="00BE475C" w:rsidRPr="00BE475C">
        <w:rPr>
          <w:lang w:val="en-GB"/>
        </w:rPr>
        <w:t>Additionally, further studies could integrate supply chain logistics and value chain adaptation to measure the long-term viability of exporting local products under fluctuating political conditions.</w:t>
      </w:r>
    </w:p>
    <w:p w14:paraId="57586698" w14:textId="37A2973E" w:rsidR="00BE475C" w:rsidRPr="00BE475C" w:rsidRDefault="00137994" w:rsidP="00BE475C">
      <w:pPr>
        <w:pStyle w:val="NormalWeb"/>
        <w:spacing w:line="360" w:lineRule="auto"/>
        <w:jc w:val="both"/>
        <w:rPr>
          <w:lang w:val="en-GB"/>
        </w:rPr>
      </w:pPr>
      <w:r>
        <w:rPr>
          <w:lang w:val="en-GB"/>
        </w:rPr>
        <w:t xml:space="preserve">   </w:t>
      </w:r>
      <w:r w:rsidR="00BE475C" w:rsidRPr="00BE475C">
        <w:rPr>
          <w:lang w:val="en-GB"/>
        </w:rPr>
        <w:t>From a technological perspective, it would be insightful to monitor the role of artificial intelligence in forecasting consumer trends during boycott movements and optimizing export strategies in real time.</w:t>
      </w:r>
    </w:p>
    <w:p w14:paraId="7564C23D" w14:textId="7B010FA1" w:rsidR="00BE475C" w:rsidRPr="00BE475C" w:rsidRDefault="00137994" w:rsidP="00BE475C">
      <w:pPr>
        <w:pStyle w:val="NormalWeb"/>
        <w:spacing w:line="360" w:lineRule="auto"/>
        <w:jc w:val="both"/>
        <w:rPr>
          <w:lang w:val="en-GB"/>
        </w:rPr>
      </w:pPr>
      <w:r>
        <w:rPr>
          <w:lang w:val="en-GB"/>
        </w:rPr>
        <w:t xml:space="preserve">   </w:t>
      </w:r>
      <w:r w:rsidR="00BE475C" w:rsidRPr="00BE475C">
        <w:rPr>
          <w:lang w:val="en-GB"/>
        </w:rPr>
        <w:t>At the institutional level, there is an opportunity to explore how diplomatic and economic missions (such as embassies and trade attachés) can act as facilitators in transforming boycott movements into tangible commercial links between Algeria and European markets.</w:t>
      </w:r>
    </w:p>
    <w:p w14:paraId="7ED5BBFD" w14:textId="5AF5E42F" w:rsidR="008D6236" w:rsidRPr="00537ED8" w:rsidRDefault="00BE475C" w:rsidP="00537ED8">
      <w:pPr>
        <w:pStyle w:val="NormalWeb"/>
        <w:spacing w:line="360" w:lineRule="auto"/>
        <w:jc w:val="both"/>
        <w:rPr>
          <w:lang w:val="en-GB"/>
        </w:rPr>
      </w:pPr>
      <w:r w:rsidRPr="00BE475C">
        <w:rPr>
          <w:lang w:val="en-GB"/>
        </w:rPr>
        <w:t>In conclusion, this research opens the door to a new vision of economic strategy</w:t>
      </w:r>
      <w:r>
        <w:rPr>
          <w:lang w:val="en-GB"/>
        </w:rPr>
        <w:t xml:space="preserve"> </w:t>
      </w:r>
      <w:r w:rsidRPr="00BE475C">
        <w:rPr>
          <w:lang w:val="en-GB"/>
        </w:rPr>
        <w:t>one where political protest is no longer seen as purely disruptive, but also as a powerful lever for economic realignment and export development, particularly for emerging economies like Algeria.</w:t>
      </w:r>
    </w:p>
    <w:p w14:paraId="5DCEA0A6" w14:textId="77777777" w:rsidR="00537ED8" w:rsidRDefault="00537ED8" w:rsidP="00DC5DDA">
      <w:pPr>
        <w:spacing w:line="360" w:lineRule="auto"/>
        <w:jc w:val="center"/>
        <w:rPr>
          <w:rStyle w:val="c"/>
          <w:lang w:val="en-GB"/>
        </w:rPr>
        <w:sectPr w:rsidR="00537ED8">
          <w:headerReference w:type="default" r:id="rId65"/>
          <w:footerReference w:type="default" r:id="rId66"/>
          <w:pgSz w:w="11906" w:h="16838"/>
          <w:pgMar w:top="1417" w:right="1417" w:bottom="1417" w:left="1417" w:header="708" w:footer="708" w:gutter="0"/>
          <w:cols w:space="708"/>
          <w:docGrid w:linePitch="360"/>
        </w:sectPr>
      </w:pPr>
    </w:p>
    <w:p w14:paraId="5A71994D" w14:textId="77777777" w:rsidR="00537ED8" w:rsidRDefault="00537ED8" w:rsidP="00DC5DDA">
      <w:pPr>
        <w:spacing w:line="360" w:lineRule="auto"/>
        <w:jc w:val="center"/>
        <w:rPr>
          <w:rStyle w:val="c"/>
          <w:lang w:val="en-GB"/>
        </w:rPr>
      </w:pPr>
    </w:p>
    <w:p w14:paraId="1BA1F0F6" w14:textId="77777777" w:rsidR="00537ED8" w:rsidRDefault="00537ED8" w:rsidP="00DC5DDA">
      <w:pPr>
        <w:spacing w:line="360" w:lineRule="auto"/>
        <w:jc w:val="center"/>
        <w:rPr>
          <w:rStyle w:val="c"/>
          <w:lang w:val="en-GB"/>
        </w:rPr>
      </w:pPr>
    </w:p>
    <w:p w14:paraId="28626A74" w14:textId="77777777" w:rsidR="00537ED8" w:rsidRDefault="00537ED8" w:rsidP="00DC5DDA">
      <w:pPr>
        <w:spacing w:line="360" w:lineRule="auto"/>
        <w:jc w:val="center"/>
        <w:rPr>
          <w:rStyle w:val="c"/>
          <w:lang w:val="en-GB"/>
        </w:rPr>
      </w:pPr>
    </w:p>
    <w:p w14:paraId="613888BD" w14:textId="77777777" w:rsidR="00537ED8" w:rsidRDefault="00537ED8" w:rsidP="00DC5DDA">
      <w:pPr>
        <w:spacing w:line="360" w:lineRule="auto"/>
        <w:jc w:val="center"/>
        <w:rPr>
          <w:rStyle w:val="c"/>
          <w:lang w:val="en-GB"/>
        </w:rPr>
      </w:pPr>
    </w:p>
    <w:p w14:paraId="7227F3E6" w14:textId="50E2AB47" w:rsidR="008D6236" w:rsidRPr="009535A4" w:rsidRDefault="00375ECF" w:rsidP="00DC5DDA">
      <w:pPr>
        <w:spacing w:line="360" w:lineRule="auto"/>
        <w:jc w:val="center"/>
        <w:rPr>
          <w:rStyle w:val="c"/>
          <w:lang w:val="en-GB"/>
        </w:rPr>
      </w:pPr>
      <w:bookmarkStart w:id="511" w:name="_Toc200721800"/>
      <w:r w:rsidRPr="00050632">
        <w:rPr>
          <w:rStyle w:val="Heading1Char"/>
          <w:rFonts w:eastAsiaTheme="minorHAnsi"/>
        </w:rPr>
        <w:t>Bibliograph</w:t>
      </w:r>
      <w:bookmarkEnd w:id="511"/>
      <w:r w:rsidRPr="00375ECF">
        <w:rPr>
          <w:rStyle w:val="c"/>
          <w:lang w:val="en-GB"/>
        </w:rPr>
        <w:t>y</w:t>
      </w:r>
    </w:p>
    <w:p w14:paraId="72361D0C" w14:textId="77777777" w:rsidR="008D6236" w:rsidRDefault="008D6236" w:rsidP="00DC5DDA">
      <w:pPr>
        <w:spacing w:line="360" w:lineRule="auto"/>
        <w:jc w:val="center"/>
        <w:rPr>
          <w:rFonts w:asciiTheme="majorBidi" w:hAnsiTheme="majorBidi" w:cstheme="majorBidi"/>
          <w:b/>
          <w:bCs/>
          <w:sz w:val="24"/>
          <w:szCs w:val="24"/>
          <w:lang w:val="en-GB"/>
        </w:rPr>
      </w:pPr>
    </w:p>
    <w:p w14:paraId="644602D8" w14:textId="77777777" w:rsidR="008D6236" w:rsidRDefault="008D6236" w:rsidP="00DC5DDA">
      <w:pPr>
        <w:spacing w:line="360" w:lineRule="auto"/>
        <w:jc w:val="center"/>
        <w:rPr>
          <w:rFonts w:asciiTheme="majorBidi" w:hAnsiTheme="majorBidi" w:cstheme="majorBidi"/>
          <w:b/>
          <w:bCs/>
          <w:sz w:val="24"/>
          <w:szCs w:val="24"/>
          <w:lang w:val="en-GB"/>
        </w:rPr>
      </w:pPr>
    </w:p>
    <w:p w14:paraId="1E80363D" w14:textId="77777777" w:rsidR="008D6236" w:rsidRDefault="008D6236" w:rsidP="00DC5DDA">
      <w:pPr>
        <w:spacing w:line="360" w:lineRule="auto"/>
        <w:jc w:val="center"/>
        <w:rPr>
          <w:rFonts w:asciiTheme="majorBidi" w:hAnsiTheme="majorBidi" w:cstheme="majorBidi"/>
          <w:b/>
          <w:bCs/>
          <w:sz w:val="24"/>
          <w:szCs w:val="24"/>
          <w:lang w:val="en-GB"/>
        </w:rPr>
      </w:pPr>
    </w:p>
    <w:p w14:paraId="14C03D4E" w14:textId="77777777" w:rsidR="008D6236" w:rsidRDefault="008D6236" w:rsidP="00DC5DDA">
      <w:pPr>
        <w:spacing w:line="360" w:lineRule="auto"/>
        <w:jc w:val="center"/>
        <w:rPr>
          <w:rFonts w:asciiTheme="majorBidi" w:hAnsiTheme="majorBidi" w:cstheme="majorBidi"/>
          <w:b/>
          <w:bCs/>
          <w:sz w:val="24"/>
          <w:szCs w:val="24"/>
          <w:lang w:val="en-GB"/>
        </w:rPr>
      </w:pPr>
    </w:p>
    <w:p w14:paraId="4BC723D7" w14:textId="77777777" w:rsidR="008D6236" w:rsidRDefault="008D6236" w:rsidP="00DC5DDA">
      <w:pPr>
        <w:spacing w:line="360" w:lineRule="auto"/>
        <w:jc w:val="center"/>
        <w:rPr>
          <w:rFonts w:asciiTheme="majorBidi" w:hAnsiTheme="majorBidi" w:cstheme="majorBidi"/>
          <w:b/>
          <w:bCs/>
          <w:sz w:val="24"/>
          <w:szCs w:val="24"/>
          <w:lang w:val="en-GB"/>
        </w:rPr>
      </w:pPr>
    </w:p>
    <w:p w14:paraId="4B1CCB09" w14:textId="77777777" w:rsidR="008D6236" w:rsidRDefault="008D6236" w:rsidP="00DC5DDA">
      <w:pPr>
        <w:spacing w:line="360" w:lineRule="auto"/>
        <w:jc w:val="center"/>
        <w:rPr>
          <w:rFonts w:asciiTheme="majorBidi" w:hAnsiTheme="majorBidi" w:cstheme="majorBidi"/>
          <w:b/>
          <w:bCs/>
          <w:sz w:val="24"/>
          <w:szCs w:val="24"/>
          <w:lang w:val="en-GB"/>
        </w:rPr>
      </w:pPr>
    </w:p>
    <w:p w14:paraId="3C31A33D" w14:textId="77777777" w:rsidR="008D6236" w:rsidRDefault="008D6236" w:rsidP="00DC5DDA">
      <w:pPr>
        <w:spacing w:line="360" w:lineRule="auto"/>
        <w:jc w:val="center"/>
        <w:rPr>
          <w:rFonts w:asciiTheme="majorBidi" w:hAnsiTheme="majorBidi" w:cstheme="majorBidi"/>
          <w:b/>
          <w:bCs/>
          <w:sz w:val="24"/>
          <w:szCs w:val="24"/>
          <w:lang w:val="en-GB"/>
        </w:rPr>
      </w:pPr>
    </w:p>
    <w:p w14:paraId="3C1686C6" w14:textId="77777777" w:rsidR="008D6236" w:rsidRDefault="008D6236" w:rsidP="00DC5DDA">
      <w:pPr>
        <w:spacing w:line="360" w:lineRule="auto"/>
        <w:jc w:val="center"/>
        <w:rPr>
          <w:rFonts w:asciiTheme="majorBidi" w:hAnsiTheme="majorBidi" w:cstheme="majorBidi"/>
          <w:b/>
          <w:bCs/>
          <w:sz w:val="24"/>
          <w:szCs w:val="24"/>
          <w:lang w:val="en-GB"/>
        </w:rPr>
      </w:pPr>
    </w:p>
    <w:p w14:paraId="12931742" w14:textId="77777777" w:rsidR="008D6236" w:rsidRDefault="008D6236" w:rsidP="00DC5DDA">
      <w:pPr>
        <w:spacing w:line="360" w:lineRule="auto"/>
        <w:jc w:val="center"/>
        <w:rPr>
          <w:rFonts w:asciiTheme="majorBidi" w:hAnsiTheme="majorBidi" w:cstheme="majorBidi"/>
          <w:b/>
          <w:bCs/>
          <w:sz w:val="24"/>
          <w:szCs w:val="24"/>
          <w:lang w:val="en-GB"/>
        </w:rPr>
      </w:pPr>
    </w:p>
    <w:p w14:paraId="24491166" w14:textId="77777777" w:rsidR="008D6236" w:rsidRDefault="008D6236" w:rsidP="00DC5DDA">
      <w:pPr>
        <w:spacing w:line="360" w:lineRule="auto"/>
        <w:jc w:val="center"/>
        <w:rPr>
          <w:rFonts w:asciiTheme="majorBidi" w:hAnsiTheme="majorBidi" w:cstheme="majorBidi"/>
          <w:b/>
          <w:bCs/>
          <w:sz w:val="24"/>
          <w:szCs w:val="24"/>
          <w:lang w:val="en-GB"/>
        </w:rPr>
      </w:pPr>
    </w:p>
    <w:p w14:paraId="3D81AB55" w14:textId="77777777" w:rsidR="008D6236" w:rsidRDefault="008D6236" w:rsidP="00DC5DDA">
      <w:pPr>
        <w:spacing w:line="360" w:lineRule="auto"/>
        <w:jc w:val="center"/>
        <w:rPr>
          <w:rFonts w:asciiTheme="majorBidi" w:hAnsiTheme="majorBidi" w:cstheme="majorBidi"/>
          <w:b/>
          <w:bCs/>
          <w:sz w:val="24"/>
          <w:szCs w:val="24"/>
          <w:lang w:val="en-GB"/>
        </w:rPr>
      </w:pPr>
    </w:p>
    <w:p w14:paraId="0132AA7F" w14:textId="77777777" w:rsidR="00537ED8" w:rsidRDefault="00537ED8" w:rsidP="00C54A98">
      <w:pPr>
        <w:jc w:val="center"/>
        <w:rPr>
          <w:rFonts w:ascii="Times New Roman" w:hAnsi="Times New Roman" w:cs="Times New Roman"/>
          <w:b/>
          <w:bCs/>
          <w:sz w:val="24"/>
          <w:szCs w:val="24"/>
          <w:lang w:val="en-GB"/>
        </w:rPr>
        <w:sectPr w:rsidR="00537ED8">
          <w:headerReference w:type="default" r:id="rId67"/>
          <w:footerReference w:type="default" r:id="rId68"/>
          <w:pgSz w:w="11906" w:h="16838"/>
          <w:pgMar w:top="1417" w:right="1417" w:bottom="1417" w:left="1417" w:header="708" w:footer="708" w:gutter="0"/>
          <w:cols w:space="708"/>
          <w:docGrid w:linePitch="360"/>
        </w:sectPr>
      </w:pPr>
    </w:p>
    <w:p w14:paraId="227CE7B6" w14:textId="55999D41" w:rsidR="004928D8" w:rsidRDefault="004928D8" w:rsidP="00C54A98">
      <w:pPr>
        <w:jc w:val="center"/>
        <w:rPr>
          <w:rFonts w:ascii="Times New Roman" w:hAnsi="Times New Roman" w:cs="Times New Roman"/>
          <w:b/>
          <w:bCs/>
          <w:sz w:val="24"/>
          <w:szCs w:val="24"/>
          <w:lang w:val="en-GB"/>
        </w:rPr>
      </w:pPr>
      <w:r w:rsidRPr="00B71E80">
        <w:rPr>
          <w:rFonts w:ascii="Times New Roman" w:hAnsi="Times New Roman" w:cs="Times New Roman"/>
          <w:b/>
          <w:bCs/>
          <w:sz w:val="24"/>
          <w:szCs w:val="24"/>
          <w:lang w:val="en-GB"/>
        </w:rPr>
        <w:t>Bibliography</w:t>
      </w:r>
    </w:p>
    <w:p w14:paraId="5A7BE962" w14:textId="77777777" w:rsidR="00744EF6" w:rsidRPr="00C43705" w:rsidRDefault="00744EF6" w:rsidP="00C43705">
      <w:pPr>
        <w:pStyle w:val="NormalWeb"/>
        <w:rPr>
          <w:lang w:val="en-US"/>
        </w:rPr>
      </w:pPr>
      <w:r w:rsidRPr="00C43705">
        <w:rPr>
          <w:rStyle w:val="selected"/>
          <w:b/>
          <w:bCs/>
          <w:lang w:val="en-US"/>
        </w:rPr>
        <w:t>Books</w:t>
      </w:r>
    </w:p>
    <w:p w14:paraId="5EB5425F" w14:textId="77777777" w:rsidR="00744EF6" w:rsidRPr="00C43705" w:rsidRDefault="00744EF6" w:rsidP="00EB3899">
      <w:pPr>
        <w:pStyle w:val="NormalWeb"/>
        <w:jc w:val="both"/>
        <w:rPr>
          <w:lang w:val="en-US"/>
        </w:rPr>
      </w:pPr>
      <w:r w:rsidRPr="00C43705">
        <w:rPr>
          <w:rStyle w:val="selected"/>
          <w:lang w:val="en-US"/>
        </w:rPr>
        <w:t xml:space="preserve">Bouhosh, A. </w:t>
      </w:r>
      <w:r w:rsidRPr="00C43705">
        <w:rPr>
          <w:rStyle w:val="selected"/>
          <w:i/>
          <w:iCs/>
          <w:lang w:val="en-US"/>
        </w:rPr>
        <w:t>The Political History of Algeria: From the Beginning to 1962</w:t>
      </w:r>
      <w:r w:rsidRPr="00C43705">
        <w:rPr>
          <w:rStyle w:val="selected"/>
          <w:lang w:val="en-US"/>
        </w:rPr>
        <w:t>. Beirut: Dar Al-Arab Islamic first edition, 1997.</w:t>
      </w:r>
    </w:p>
    <w:p w14:paraId="6AC01452" w14:textId="77777777" w:rsidR="00744EF6" w:rsidRPr="00C43705" w:rsidRDefault="00744EF6" w:rsidP="00EB3899">
      <w:pPr>
        <w:pStyle w:val="NormalWeb"/>
        <w:jc w:val="both"/>
        <w:rPr>
          <w:lang w:val="en-US"/>
        </w:rPr>
      </w:pPr>
      <w:r w:rsidRPr="00C43705">
        <w:rPr>
          <w:rStyle w:val="selected"/>
          <w:lang w:val="en-US"/>
        </w:rPr>
        <w:t xml:space="preserve">David, Fred R. </w:t>
      </w:r>
      <w:r w:rsidRPr="00C43705">
        <w:rPr>
          <w:rStyle w:val="selected"/>
          <w:i/>
          <w:iCs/>
          <w:lang w:val="en-US"/>
        </w:rPr>
        <w:t>Strategic Management: Concepts and Cases</w:t>
      </w:r>
      <w:r w:rsidRPr="00C43705">
        <w:rPr>
          <w:rStyle w:val="selected"/>
          <w:lang w:val="en-US"/>
        </w:rPr>
        <w:t>. 30th ed. Upper Saddle River, NJ: Pearson Education, 2011.</w:t>
      </w:r>
    </w:p>
    <w:p w14:paraId="65D87783" w14:textId="77777777" w:rsidR="00744EF6" w:rsidRPr="00C43705" w:rsidRDefault="00744EF6" w:rsidP="00EB3899">
      <w:pPr>
        <w:pStyle w:val="NormalWeb"/>
        <w:jc w:val="both"/>
        <w:rPr>
          <w:lang w:val="en-US"/>
        </w:rPr>
      </w:pPr>
      <w:r w:rsidRPr="00C43705">
        <w:rPr>
          <w:rStyle w:val="selected"/>
          <w:lang w:val="en-US"/>
        </w:rPr>
        <w:t xml:space="preserve">Friedman, Monroe. </w:t>
      </w:r>
      <w:r w:rsidRPr="00C43705">
        <w:rPr>
          <w:rStyle w:val="selected"/>
          <w:i/>
          <w:iCs/>
          <w:lang w:val="en-US"/>
        </w:rPr>
        <w:t>Consumer Boycotts: Effecting Change Through the Marketplace and the Media</w:t>
      </w:r>
      <w:r w:rsidRPr="00C43705">
        <w:rPr>
          <w:rStyle w:val="selected"/>
          <w:lang w:val="en-US"/>
        </w:rPr>
        <w:t>. New York and London: Routledge, 1999.</w:t>
      </w:r>
    </w:p>
    <w:p w14:paraId="3C6DC1BE" w14:textId="77777777" w:rsidR="00744EF6" w:rsidRPr="00C43705" w:rsidRDefault="00744EF6" w:rsidP="00EB3899">
      <w:pPr>
        <w:pStyle w:val="NormalWeb"/>
        <w:jc w:val="both"/>
        <w:rPr>
          <w:lang w:val="en-US"/>
        </w:rPr>
      </w:pPr>
      <w:r w:rsidRPr="00C43705">
        <w:rPr>
          <w:rStyle w:val="selected"/>
          <w:lang w:val="en-US"/>
        </w:rPr>
        <w:t xml:space="preserve">Haviland, WA. </w:t>
      </w:r>
      <w:r w:rsidRPr="00C43705">
        <w:rPr>
          <w:rStyle w:val="selected"/>
          <w:i/>
          <w:iCs/>
          <w:lang w:val="en-US"/>
        </w:rPr>
        <w:t>Kültürel antropoloji</w:t>
      </w:r>
      <w:r w:rsidRPr="00C43705">
        <w:rPr>
          <w:rStyle w:val="selected"/>
          <w:lang w:val="en-US"/>
        </w:rPr>
        <w:t>. Translated by Hüsamettin İnaç and Seda Çiftçi. İstanbul: Kaknüs Yayınları, 2002.</w:t>
      </w:r>
    </w:p>
    <w:p w14:paraId="59AE781A" w14:textId="77777777" w:rsidR="00744EF6" w:rsidRPr="00C43705" w:rsidRDefault="00744EF6" w:rsidP="00EB3899">
      <w:pPr>
        <w:pStyle w:val="NormalWeb"/>
        <w:jc w:val="both"/>
        <w:rPr>
          <w:lang w:val="en-US"/>
        </w:rPr>
      </w:pPr>
      <w:r w:rsidRPr="00C43705">
        <w:rPr>
          <w:rStyle w:val="selected"/>
          <w:lang w:val="en-US"/>
        </w:rPr>
        <w:t xml:space="preserve">Hesse, H. </w:t>
      </w:r>
      <w:r w:rsidRPr="00C43705">
        <w:rPr>
          <w:rStyle w:val="selected"/>
          <w:i/>
          <w:iCs/>
          <w:lang w:val="en-US"/>
        </w:rPr>
        <w:t>Export Diversification and Economic Growth</w:t>
      </w:r>
      <w:r w:rsidRPr="00C43705">
        <w:rPr>
          <w:rStyle w:val="selected"/>
          <w:lang w:val="en-US"/>
        </w:rPr>
        <w:t>. Washington, DC: Commission on Growth and Development, 2008.</w:t>
      </w:r>
    </w:p>
    <w:p w14:paraId="154274BC" w14:textId="77777777" w:rsidR="00744EF6" w:rsidRPr="00C43705" w:rsidRDefault="00744EF6" w:rsidP="00EB3899">
      <w:pPr>
        <w:pStyle w:val="NormalWeb"/>
        <w:jc w:val="both"/>
        <w:rPr>
          <w:lang w:val="en-US"/>
        </w:rPr>
      </w:pPr>
      <w:r w:rsidRPr="00C43705">
        <w:rPr>
          <w:rStyle w:val="selected"/>
          <w:lang w:val="en-US"/>
        </w:rPr>
        <w:t xml:space="preserve">International Monetary Fund. </w:t>
      </w:r>
      <w:r w:rsidRPr="00C43705">
        <w:rPr>
          <w:rStyle w:val="selected"/>
          <w:i/>
          <w:iCs/>
          <w:lang w:val="en-US"/>
        </w:rPr>
        <w:t>Balance of Payments Manual</w:t>
      </w:r>
      <w:r w:rsidRPr="00C43705">
        <w:rPr>
          <w:rStyle w:val="selected"/>
          <w:lang w:val="en-US"/>
        </w:rPr>
        <w:t>. 6th ed. Washington, DC: IMF, 2009.</w:t>
      </w:r>
    </w:p>
    <w:p w14:paraId="31850A5E" w14:textId="77777777" w:rsidR="00744EF6" w:rsidRPr="00C43705" w:rsidRDefault="00744EF6" w:rsidP="00EB3899">
      <w:pPr>
        <w:pStyle w:val="NormalWeb"/>
        <w:jc w:val="both"/>
        <w:rPr>
          <w:lang w:val="en-US"/>
        </w:rPr>
      </w:pPr>
      <w:r w:rsidRPr="00C43705">
        <w:rPr>
          <w:rStyle w:val="selected"/>
          <w:lang w:val="en-US"/>
        </w:rPr>
        <w:t xml:space="preserve">Krugman, Paul R., and Maurice Obstfeld. </w:t>
      </w:r>
      <w:r w:rsidRPr="00C43705">
        <w:rPr>
          <w:rStyle w:val="selected"/>
          <w:i/>
          <w:iCs/>
          <w:lang w:val="en-US"/>
        </w:rPr>
        <w:t>International Economics: Theory and Policy</w:t>
      </w:r>
      <w:r w:rsidRPr="00C43705">
        <w:rPr>
          <w:rStyle w:val="selected"/>
          <w:lang w:val="en-US"/>
        </w:rPr>
        <w:t>. 11th ed. Boston: Pearson, 2018.</w:t>
      </w:r>
    </w:p>
    <w:p w14:paraId="57EB8938" w14:textId="77777777" w:rsidR="00744EF6" w:rsidRPr="00C43705" w:rsidRDefault="00744EF6" w:rsidP="00EB3899">
      <w:pPr>
        <w:pStyle w:val="NormalWeb"/>
        <w:jc w:val="both"/>
        <w:rPr>
          <w:lang w:val="en-US"/>
        </w:rPr>
      </w:pPr>
      <w:r w:rsidRPr="00C43705">
        <w:rPr>
          <w:rStyle w:val="selected"/>
          <w:lang w:val="en-US"/>
        </w:rPr>
        <w:t xml:space="preserve">Perreault, W. D., J. P. E. Cannon, and J. McCarthy. </w:t>
      </w:r>
      <w:r w:rsidRPr="00C43705">
        <w:rPr>
          <w:rStyle w:val="selected"/>
          <w:i/>
          <w:iCs/>
          <w:lang w:val="en-US"/>
        </w:rPr>
        <w:t>Basic Marketing</w:t>
      </w:r>
      <w:r w:rsidRPr="00C43705">
        <w:rPr>
          <w:rStyle w:val="selected"/>
          <w:lang w:val="en-US"/>
        </w:rPr>
        <w:t>. Translated by Asım Günal Önce. Ankara: Nobel Publication and Press, 2013.</w:t>
      </w:r>
    </w:p>
    <w:p w14:paraId="01FC17B8" w14:textId="77777777" w:rsidR="00744EF6" w:rsidRPr="00C43705" w:rsidRDefault="00744EF6" w:rsidP="00EB3899">
      <w:pPr>
        <w:pStyle w:val="NormalWeb"/>
        <w:jc w:val="both"/>
        <w:rPr>
          <w:lang w:val="en-US"/>
        </w:rPr>
      </w:pPr>
      <w:r w:rsidRPr="00C43705">
        <w:rPr>
          <w:rStyle w:val="selected"/>
          <w:lang w:val="en-US"/>
        </w:rPr>
        <w:t xml:space="preserve">Robert Alexandriysky. </w:t>
      </w:r>
      <w:r w:rsidRPr="00C43705">
        <w:rPr>
          <w:rStyle w:val="selected"/>
          <w:i/>
          <w:iCs/>
          <w:lang w:val="en-US"/>
        </w:rPr>
        <w:t>Export Marketing Plan: Step-by-Step Guide</w:t>
      </w:r>
      <w:r w:rsidRPr="00C43705">
        <w:rPr>
          <w:rStyle w:val="selected"/>
          <w:lang w:val="en-US"/>
        </w:rPr>
        <w:t>. Pristina: United Nations Development Programme Kosovo, n.d.</w:t>
      </w:r>
    </w:p>
    <w:p w14:paraId="3F269050" w14:textId="77777777" w:rsidR="00744EF6" w:rsidRPr="00C43705" w:rsidRDefault="00744EF6" w:rsidP="00EB3899">
      <w:pPr>
        <w:pStyle w:val="NormalWeb"/>
        <w:jc w:val="both"/>
        <w:rPr>
          <w:lang w:val="en-US"/>
        </w:rPr>
      </w:pPr>
      <w:r w:rsidRPr="00C43705">
        <w:rPr>
          <w:rStyle w:val="selected"/>
          <w:lang w:val="en-US"/>
        </w:rPr>
        <w:t xml:space="preserve">Stevens, Robert E., Philip K. Sherwood, J. Paul Dunn, and David L. Loudon. </w:t>
      </w:r>
      <w:r w:rsidRPr="00C43705">
        <w:rPr>
          <w:rStyle w:val="selected"/>
          <w:i/>
          <w:iCs/>
          <w:lang w:val="en-US"/>
        </w:rPr>
        <w:t>Market Opportunity Analysis: Text and Cases</w:t>
      </w:r>
      <w:r w:rsidRPr="00C43705">
        <w:rPr>
          <w:rStyle w:val="selected"/>
          <w:lang w:val="en-US"/>
        </w:rPr>
        <w:t>. Routledge: Taylor &amp; Francis Group, 2012.</w:t>
      </w:r>
    </w:p>
    <w:p w14:paraId="457B15D2" w14:textId="77777777" w:rsidR="00744EF6" w:rsidRPr="00C43705" w:rsidRDefault="00744EF6" w:rsidP="00EB3899">
      <w:pPr>
        <w:pStyle w:val="NormalWeb"/>
        <w:jc w:val="both"/>
        <w:rPr>
          <w:lang w:val="en-US"/>
        </w:rPr>
      </w:pPr>
      <w:r w:rsidRPr="00C43705">
        <w:rPr>
          <w:rStyle w:val="selected"/>
          <w:lang w:val="en-US"/>
        </w:rPr>
        <w:t xml:space="preserve">Smith, N. C. </w:t>
      </w:r>
      <w:r w:rsidRPr="00C43705">
        <w:rPr>
          <w:rStyle w:val="selected"/>
          <w:i/>
          <w:iCs/>
          <w:lang w:val="en-US"/>
        </w:rPr>
        <w:t>Morality and the Market: Consumer Pressure for Corporate Accountability</w:t>
      </w:r>
      <w:r w:rsidRPr="00C43705">
        <w:rPr>
          <w:rStyle w:val="selected"/>
          <w:lang w:val="en-US"/>
        </w:rPr>
        <w:t>. Routledge, 1990.</w:t>
      </w:r>
    </w:p>
    <w:p w14:paraId="1E00F215" w14:textId="77777777" w:rsidR="00744EF6" w:rsidRPr="00C43705" w:rsidRDefault="00744EF6" w:rsidP="00EB3899">
      <w:pPr>
        <w:pStyle w:val="NormalWeb"/>
        <w:jc w:val="both"/>
        <w:rPr>
          <w:lang w:val="en-US"/>
        </w:rPr>
      </w:pPr>
      <w:r w:rsidRPr="00C43705">
        <w:rPr>
          <w:rStyle w:val="selected"/>
          <w:lang w:val="en-US"/>
        </w:rPr>
        <w:t xml:space="preserve">Soule, S. A. </w:t>
      </w:r>
      <w:r w:rsidRPr="00C43705">
        <w:rPr>
          <w:rStyle w:val="selected"/>
          <w:i/>
          <w:iCs/>
          <w:lang w:val="en-US"/>
        </w:rPr>
        <w:t>Contestation and Corporate Responsibility</w:t>
      </w:r>
      <w:r w:rsidRPr="00C43705">
        <w:rPr>
          <w:rStyle w:val="selected"/>
          <w:lang w:val="en-US"/>
        </w:rPr>
        <w:t>. Cambridge University Press, 2009.</w:t>
      </w:r>
    </w:p>
    <w:p w14:paraId="2553CC79" w14:textId="77777777" w:rsidR="00744EF6" w:rsidRPr="00C43705" w:rsidRDefault="00744EF6" w:rsidP="00EB3899">
      <w:pPr>
        <w:pStyle w:val="NormalWeb"/>
        <w:jc w:val="both"/>
        <w:rPr>
          <w:lang w:val="en-US"/>
        </w:rPr>
      </w:pPr>
      <w:r w:rsidRPr="00C43705">
        <w:rPr>
          <w:rStyle w:val="selected"/>
          <w:lang w:val="en-US"/>
        </w:rPr>
        <w:t xml:space="preserve">World Alliance for Breastfeeding Action. </w:t>
      </w:r>
      <w:r w:rsidRPr="00C43705">
        <w:rPr>
          <w:rStyle w:val="selected"/>
          <w:i/>
          <w:iCs/>
          <w:lang w:val="en-US"/>
        </w:rPr>
        <w:t>The Boycott Book</w:t>
      </w:r>
      <w:r w:rsidRPr="00C43705">
        <w:rPr>
          <w:rStyle w:val="selected"/>
          <w:lang w:val="en-US"/>
        </w:rPr>
        <w:t>. n.d.</w:t>
      </w:r>
    </w:p>
    <w:p w14:paraId="1AD80451" w14:textId="77777777" w:rsidR="00744EF6" w:rsidRPr="00C43705" w:rsidRDefault="00744EF6" w:rsidP="00EB3899">
      <w:pPr>
        <w:pStyle w:val="NormalWeb"/>
        <w:jc w:val="both"/>
        <w:rPr>
          <w:lang w:val="en-US"/>
        </w:rPr>
      </w:pPr>
      <w:r w:rsidRPr="00C43705">
        <w:rPr>
          <w:rStyle w:val="selected"/>
          <w:lang w:val="en-US"/>
        </w:rPr>
        <w:t xml:space="preserve">World Customs Organization. </w:t>
      </w:r>
      <w:r w:rsidRPr="00C43705">
        <w:rPr>
          <w:rStyle w:val="selected"/>
          <w:i/>
          <w:iCs/>
          <w:lang w:val="en-US"/>
        </w:rPr>
        <w:t>Single Window Compendium: Volume 1 – Part II: The World Customs Organization’s Contribution to the Development of Single Window</w:t>
      </w:r>
      <w:r w:rsidRPr="00C43705">
        <w:rPr>
          <w:rStyle w:val="selected"/>
          <w:lang w:val="en-US"/>
        </w:rPr>
        <w:t>. 2nd ed. 2017.</w:t>
      </w:r>
    </w:p>
    <w:p w14:paraId="6C2A6067" w14:textId="77777777" w:rsidR="00744EF6" w:rsidRPr="00C43705" w:rsidRDefault="00744EF6" w:rsidP="00EB3899">
      <w:pPr>
        <w:pStyle w:val="NormalWeb"/>
        <w:jc w:val="both"/>
        <w:rPr>
          <w:lang w:val="en-US"/>
        </w:rPr>
      </w:pPr>
      <w:r w:rsidRPr="00C43705">
        <w:rPr>
          <w:rStyle w:val="selected"/>
          <w:lang w:val="en-US"/>
        </w:rPr>
        <w:t xml:space="preserve">World Trade Organization. "Transport and logistics services (Section 5)." In </w:t>
      </w:r>
      <w:r w:rsidRPr="00C43705">
        <w:rPr>
          <w:rStyle w:val="selected"/>
          <w:i/>
          <w:iCs/>
          <w:lang w:val="en-US"/>
        </w:rPr>
        <w:t>Services Trade for Development: The WTO Services Trade Policy Toolbox</w:t>
      </w:r>
      <w:r w:rsidRPr="00C43705">
        <w:rPr>
          <w:rStyle w:val="selected"/>
          <w:lang w:val="en-US"/>
        </w:rPr>
        <w:t>, 2022.</w:t>
      </w:r>
    </w:p>
    <w:p w14:paraId="30C14C79" w14:textId="77777777" w:rsidR="00744EF6" w:rsidRPr="00C43705" w:rsidRDefault="00744EF6" w:rsidP="00C43705">
      <w:pPr>
        <w:pStyle w:val="NormalWeb"/>
        <w:rPr>
          <w:lang w:val="en-US"/>
        </w:rPr>
      </w:pPr>
      <w:r w:rsidRPr="00C43705">
        <w:rPr>
          <w:rStyle w:val="selected"/>
          <w:b/>
          <w:bCs/>
          <w:lang w:val="en-US"/>
        </w:rPr>
        <w:t>Journal Articles</w:t>
      </w:r>
    </w:p>
    <w:p w14:paraId="029F9DF2" w14:textId="77777777" w:rsidR="00744EF6" w:rsidRPr="00C43705" w:rsidRDefault="00744EF6" w:rsidP="00EB3899">
      <w:pPr>
        <w:pStyle w:val="NormalWeb"/>
        <w:jc w:val="both"/>
        <w:rPr>
          <w:lang w:val="en-US"/>
        </w:rPr>
      </w:pPr>
      <w:r w:rsidRPr="00C43705">
        <w:rPr>
          <w:rStyle w:val="selected"/>
          <w:lang w:val="en-US"/>
        </w:rPr>
        <w:t xml:space="preserve">Akin, M. "The Impacts of Brand Personality on Brand Loyalty: A Research on Automobile Brands in Turkey." </w:t>
      </w:r>
      <w:r w:rsidRPr="00C43705">
        <w:rPr>
          <w:rStyle w:val="selected"/>
          <w:i/>
          <w:iCs/>
          <w:lang w:val="en-US"/>
        </w:rPr>
        <w:t>International Journal of Marketing Studies</w:t>
      </w:r>
      <w:r w:rsidRPr="00C43705">
        <w:rPr>
          <w:rStyle w:val="selected"/>
          <w:lang w:val="en-US"/>
        </w:rPr>
        <w:t xml:space="preserve"> 9, no. 2 (2017): 135.</w:t>
      </w:r>
    </w:p>
    <w:p w14:paraId="407AF42D" w14:textId="77777777" w:rsidR="00744EF6" w:rsidRPr="00C43705" w:rsidRDefault="00744EF6" w:rsidP="00EB3899">
      <w:pPr>
        <w:pStyle w:val="NormalWeb"/>
        <w:jc w:val="both"/>
        <w:rPr>
          <w:lang w:val="en-US"/>
        </w:rPr>
      </w:pPr>
      <w:r w:rsidRPr="00C43705">
        <w:rPr>
          <w:rStyle w:val="selected"/>
          <w:lang w:val="en-US"/>
        </w:rPr>
        <w:t xml:space="preserve">Allam, Kyla R., et al. "Unmasking Consumer Behavior: A Deep Dive into Brand Boycotts in the Social Media Age – Exploring Filipino Demographic Variances, Perceptual Constructs, and Activist Actions." </w:t>
      </w:r>
      <w:r w:rsidRPr="00C43705">
        <w:rPr>
          <w:rStyle w:val="selected"/>
          <w:i/>
          <w:iCs/>
          <w:lang w:val="en-US"/>
        </w:rPr>
        <w:t>International Journal of Current Science Research and Review</w:t>
      </w:r>
      <w:r w:rsidRPr="00C43705">
        <w:rPr>
          <w:rStyle w:val="selected"/>
          <w:lang w:val="en-US"/>
        </w:rPr>
        <w:t xml:space="preserve"> 7 (2024).</w:t>
      </w:r>
    </w:p>
    <w:p w14:paraId="47F64315" w14:textId="77777777" w:rsidR="00744EF6" w:rsidRPr="00C43705" w:rsidRDefault="00744EF6" w:rsidP="00EB3899">
      <w:pPr>
        <w:pStyle w:val="NormalWeb"/>
        <w:jc w:val="both"/>
        <w:rPr>
          <w:lang w:val="en-US"/>
        </w:rPr>
      </w:pPr>
      <w:r w:rsidRPr="00C43705">
        <w:rPr>
          <w:rStyle w:val="selected"/>
          <w:lang w:val="en-US"/>
        </w:rPr>
        <w:t xml:space="preserve">Amelia Yeza Pradhipta, Lingga Yonita, and Sarah Ayu Putri Novaria. "Crisis Communication Strategy in the Face of Consumer Boycott: Exploring the Boycott Case of Israel-affiliated Companies and Brands." </w:t>
      </w:r>
      <w:r w:rsidRPr="00C43705">
        <w:rPr>
          <w:rStyle w:val="selected"/>
          <w:i/>
          <w:iCs/>
          <w:lang w:val="en-US"/>
        </w:rPr>
        <w:t>Advances in Social Science, Education and Humanities Research</w:t>
      </w:r>
      <w:r w:rsidRPr="00C43705">
        <w:rPr>
          <w:rStyle w:val="selected"/>
          <w:lang w:val="en-US"/>
        </w:rPr>
        <w:t xml:space="preserve"> 894 (2024): 147.</w:t>
      </w:r>
    </w:p>
    <w:p w14:paraId="4D785A37" w14:textId="77777777" w:rsidR="00744EF6" w:rsidRDefault="00744EF6" w:rsidP="00EB3899">
      <w:pPr>
        <w:pStyle w:val="NormalWeb"/>
        <w:jc w:val="both"/>
      </w:pPr>
      <w:r w:rsidRPr="00C43705">
        <w:rPr>
          <w:rStyle w:val="selected"/>
          <w:lang w:val="en-US"/>
        </w:rPr>
        <w:t xml:space="preserve">Areeg Barakat, and Faten Moussa. "Using the Expectancy Theory Framework to Explain the Motivation to Participate in a Consumer." </w:t>
      </w:r>
      <w:r>
        <w:rPr>
          <w:rStyle w:val="selected"/>
          <w:i/>
          <w:iCs/>
        </w:rPr>
        <w:t>Journal of Marketing Development and Competitiveness</w:t>
      </w:r>
      <w:r>
        <w:rPr>
          <w:rStyle w:val="selected"/>
        </w:rPr>
        <w:t xml:space="preserve"> 11, no. 3 (2017): 33.</w:t>
      </w:r>
    </w:p>
    <w:p w14:paraId="1D29C4CD" w14:textId="77777777" w:rsidR="00744EF6" w:rsidRPr="00C43705" w:rsidRDefault="00744EF6" w:rsidP="00EB3899">
      <w:pPr>
        <w:pStyle w:val="NormalWeb"/>
        <w:jc w:val="both"/>
        <w:rPr>
          <w:lang w:val="en-US"/>
        </w:rPr>
      </w:pPr>
      <w:r>
        <w:rPr>
          <w:rStyle w:val="selected"/>
        </w:rPr>
        <w:t xml:space="preserve">Arrouche, N. "Accompagnement des entreprises algériennes à l’export : Portées et limites." </w:t>
      </w:r>
      <w:r w:rsidRPr="00C43705">
        <w:rPr>
          <w:rStyle w:val="selected"/>
          <w:i/>
          <w:iCs/>
          <w:lang w:val="en-US"/>
        </w:rPr>
        <w:t>Revue Performance des Entreprises Algériennes</w:t>
      </w:r>
      <w:r w:rsidRPr="00C43705">
        <w:rPr>
          <w:rStyle w:val="selected"/>
          <w:lang w:val="en-US"/>
        </w:rPr>
        <w:t xml:space="preserve"> 6, no. 2 (2017): 47–60.</w:t>
      </w:r>
    </w:p>
    <w:p w14:paraId="666FB7A0" w14:textId="77777777" w:rsidR="00744EF6" w:rsidRPr="00C43705" w:rsidRDefault="00744EF6" w:rsidP="00EB3899">
      <w:pPr>
        <w:pStyle w:val="NormalWeb"/>
        <w:jc w:val="both"/>
        <w:rPr>
          <w:lang w:val="en-US"/>
        </w:rPr>
      </w:pPr>
      <w:r w:rsidRPr="00C43705">
        <w:rPr>
          <w:rStyle w:val="selected"/>
          <w:lang w:val="en-US"/>
        </w:rPr>
        <w:t xml:space="preserve">Auboin, M. "Boosting Trade Finance in Developing Countries: What Link with the WTO?." </w:t>
      </w:r>
      <w:r w:rsidRPr="00C43705">
        <w:rPr>
          <w:rStyle w:val="selected"/>
          <w:i/>
          <w:iCs/>
          <w:lang w:val="en-US"/>
        </w:rPr>
        <w:t>WTO Staff Working Paper ERSD No. 2007-04</w:t>
      </w:r>
      <w:r w:rsidRPr="00C43705">
        <w:rPr>
          <w:rStyle w:val="selected"/>
          <w:lang w:val="en-US"/>
        </w:rPr>
        <w:t>, 2007.</w:t>
      </w:r>
    </w:p>
    <w:p w14:paraId="66E45615" w14:textId="77777777" w:rsidR="00744EF6" w:rsidRPr="00C43705" w:rsidRDefault="00744EF6" w:rsidP="00EB3899">
      <w:pPr>
        <w:pStyle w:val="NormalWeb"/>
        <w:jc w:val="both"/>
        <w:rPr>
          <w:lang w:val="en-US"/>
        </w:rPr>
      </w:pPr>
      <w:r w:rsidRPr="00C43705">
        <w:rPr>
          <w:rStyle w:val="selected"/>
          <w:lang w:val="en-US"/>
        </w:rPr>
        <w:t xml:space="preserve">Bazarova Fayyoza. "The Role of Marketing Strategies in the Development of the Export Potential of the Republic of Uzbekistan (Empirical Studies and Lessons from Korean Experience)." </w:t>
      </w:r>
      <w:r w:rsidRPr="00C43705">
        <w:rPr>
          <w:rStyle w:val="selected"/>
          <w:i/>
          <w:iCs/>
          <w:lang w:val="en-US"/>
        </w:rPr>
        <w:t>International Journal of Economics, Commerce &amp; Management</w:t>
      </w:r>
      <w:r w:rsidRPr="00C43705">
        <w:rPr>
          <w:rStyle w:val="selected"/>
          <w:lang w:val="en-US"/>
        </w:rPr>
        <w:t xml:space="preserve"> VIII, no. 2 (2020): 533.</w:t>
      </w:r>
    </w:p>
    <w:p w14:paraId="60C73F1D" w14:textId="77777777" w:rsidR="00744EF6" w:rsidRPr="00C43705" w:rsidRDefault="00744EF6" w:rsidP="00EB3899">
      <w:pPr>
        <w:pStyle w:val="NormalWeb"/>
        <w:jc w:val="both"/>
        <w:rPr>
          <w:lang w:val="en-US"/>
        </w:rPr>
      </w:pPr>
      <w:r w:rsidRPr="00C43705">
        <w:rPr>
          <w:rStyle w:val="selected"/>
          <w:lang w:val="en-US"/>
        </w:rPr>
        <w:t xml:space="preserve">Bruce, A.L., and B. Abhijit. "The Effects of Discount Level, Price Consciousness and Sale Proneness on Consumers’ Price Perception and Behavioral Intention." </w:t>
      </w:r>
      <w:r w:rsidRPr="00C43705">
        <w:rPr>
          <w:rStyle w:val="selected"/>
          <w:i/>
          <w:iCs/>
          <w:lang w:val="en-US"/>
        </w:rPr>
        <w:t>Journal of Business Research</w:t>
      </w:r>
      <w:r w:rsidRPr="00C43705">
        <w:rPr>
          <w:rStyle w:val="selected"/>
          <w:lang w:val="en-US"/>
        </w:rPr>
        <w:t xml:space="preserve"> 55 (2002): 775-783.</w:t>
      </w:r>
    </w:p>
    <w:p w14:paraId="56CD336B" w14:textId="77777777" w:rsidR="00744EF6" w:rsidRPr="00C43705" w:rsidRDefault="00744EF6" w:rsidP="00EB3899">
      <w:pPr>
        <w:pStyle w:val="NormalWeb"/>
        <w:jc w:val="both"/>
        <w:rPr>
          <w:lang w:val="en-US"/>
        </w:rPr>
      </w:pPr>
      <w:r w:rsidRPr="00C43705">
        <w:rPr>
          <w:rStyle w:val="selected"/>
          <w:lang w:val="en-US"/>
        </w:rPr>
        <w:t xml:space="preserve">Cheng IH, Drillich A, and Schattner P. "Refugee Experiences of General Practice in Countries of Resettlement: A Literature Review." </w:t>
      </w:r>
      <w:r w:rsidRPr="00C43705">
        <w:rPr>
          <w:rStyle w:val="selected"/>
          <w:i/>
          <w:iCs/>
          <w:lang w:val="en-US"/>
        </w:rPr>
        <w:t>The British Journal of General Practice: The Journal of the Royal College of General Practitioners</w:t>
      </w:r>
      <w:r w:rsidRPr="00C43705">
        <w:rPr>
          <w:rStyle w:val="selected"/>
          <w:lang w:val="en-US"/>
        </w:rPr>
        <w:t xml:space="preserve"> 65, no. 632 (2015): e171-6.</w:t>
      </w:r>
    </w:p>
    <w:p w14:paraId="193A81B1" w14:textId="77777777" w:rsidR="00744EF6" w:rsidRPr="00C43705" w:rsidRDefault="00744EF6" w:rsidP="00EB3899">
      <w:pPr>
        <w:pStyle w:val="NormalWeb"/>
        <w:jc w:val="both"/>
        <w:rPr>
          <w:lang w:val="en-US"/>
        </w:rPr>
      </w:pPr>
      <w:r w:rsidRPr="00C43705">
        <w:rPr>
          <w:rStyle w:val="selected"/>
          <w:lang w:val="en-US"/>
        </w:rPr>
        <w:t xml:space="preserve">Çiçek, M., and I. Eren-Erdogmus. "Social Media Marketing: Exploring the User Typology in Turkey." </w:t>
      </w:r>
      <w:r w:rsidRPr="00C43705">
        <w:rPr>
          <w:rStyle w:val="selected"/>
          <w:i/>
          <w:iCs/>
          <w:lang w:val="en-US"/>
        </w:rPr>
        <w:t>International Journal of Technology Marketing</w:t>
      </w:r>
      <w:r w:rsidRPr="00C43705">
        <w:rPr>
          <w:rStyle w:val="selected"/>
          <w:lang w:val="en-US"/>
        </w:rPr>
        <w:t xml:space="preserve"> 8, no. 3 (2013): 259.</w:t>
      </w:r>
    </w:p>
    <w:p w14:paraId="748E1367" w14:textId="77777777" w:rsidR="00744EF6" w:rsidRPr="00C43705" w:rsidRDefault="00744EF6" w:rsidP="00EB3899">
      <w:pPr>
        <w:pStyle w:val="NormalWeb"/>
        <w:jc w:val="both"/>
        <w:rPr>
          <w:lang w:val="en-US"/>
        </w:rPr>
      </w:pPr>
      <w:r w:rsidRPr="00C43705">
        <w:rPr>
          <w:rStyle w:val="selected"/>
          <w:lang w:val="en-US"/>
        </w:rPr>
        <w:t xml:space="preserve">Darling, John R., and Hannu T. Seristö. "Key Steps for Success in the Export Markets: A New Paradigm for Strategic Decision Making." </w:t>
      </w:r>
      <w:r w:rsidRPr="00C43705">
        <w:rPr>
          <w:rStyle w:val="selected"/>
          <w:i/>
          <w:iCs/>
          <w:lang w:val="en-US"/>
        </w:rPr>
        <w:t>European Business Review</w:t>
      </w:r>
      <w:r w:rsidRPr="00C43705">
        <w:rPr>
          <w:rStyle w:val="selected"/>
          <w:lang w:val="en-US"/>
        </w:rPr>
        <w:t>, 2004, 35-37.</w:t>
      </w:r>
    </w:p>
    <w:p w14:paraId="098B47CA" w14:textId="77777777" w:rsidR="00744EF6" w:rsidRPr="00C43705" w:rsidRDefault="00744EF6" w:rsidP="00EB3899">
      <w:pPr>
        <w:pStyle w:val="NormalWeb"/>
        <w:jc w:val="both"/>
        <w:rPr>
          <w:lang w:val="en-US"/>
        </w:rPr>
      </w:pPr>
      <w:r w:rsidRPr="00C43705">
        <w:rPr>
          <w:rStyle w:val="selected"/>
          <w:lang w:val="en-US"/>
        </w:rPr>
        <w:t xml:space="preserve">Deliya, M. "Consumer Behavior Towards the New Packaging of FMCG Product." </w:t>
      </w:r>
      <w:r w:rsidRPr="00C43705">
        <w:rPr>
          <w:rStyle w:val="selected"/>
          <w:i/>
          <w:iCs/>
          <w:lang w:val="en-US"/>
        </w:rPr>
        <w:t>Abhinav National Monthly Referred Journal of Research in Commerce and Management</w:t>
      </w:r>
      <w:r w:rsidRPr="00C43705">
        <w:rPr>
          <w:rStyle w:val="selected"/>
          <w:lang w:val="en-US"/>
        </w:rPr>
        <w:t xml:space="preserve"> 1, no. 11 (2012): 199.</w:t>
      </w:r>
    </w:p>
    <w:p w14:paraId="3F4DBD1E" w14:textId="77777777" w:rsidR="00744EF6" w:rsidRPr="00C43705" w:rsidRDefault="00744EF6" w:rsidP="00EB3899">
      <w:pPr>
        <w:pStyle w:val="NormalWeb"/>
        <w:jc w:val="both"/>
        <w:rPr>
          <w:lang w:val="en-US"/>
        </w:rPr>
      </w:pPr>
      <w:r w:rsidRPr="00C43705">
        <w:rPr>
          <w:rStyle w:val="selected"/>
          <w:lang w:val="en-US"/>
        </w:rPr>
        <w:t xml:space="preserve">Echine Ayyad. "Social Media and Social Mobility: Exploring the Role of Social Networks in the 2018 Boycott Campaign in Morocco." </w:t>
      </w:r>
      <w:r w:rsidRPr="00C43705">
        <w:rPr>
          <w:rStyle w:val="selected"/>
          <w:i/>
          <w:iCs/>
          <w:lang w:val="en-US"/>
        </w:rPr>
        <w:t>Journal of Cyberspace Studies</w:t>
      </w:r>
      <w:r w:rsidRPr="00C43705">
        <w:rPr>
          <w:rStyle w:val="selected"/>
          <w:lang w:val="en-US"/>
        </w:rPr>
        <w:t xml:space="preserve"> 3, no. 1 (2019): 65-66.</w:t>
      </w:r>
    </w:p>
    <w:p w14:paraId="245CEC3C" w14:textId="77777777" w:rsidR="00744EF6" w:rsidRPr="00C43705" w:rsidRDefault="00744EF6" w:rsidP="00EB3899">
      <w:pPr>
        <w:pStyle w:val="NormalWeb"/>
        <w:jc w:val="both"/>
        <w:rPr>
          <w:lang w:val="en-US"/>
        </w:rPr>
      </w:pPr>
      <w:r w:rsidRPr="00C43705">
        <w:rPr>
          <w:rStyle w:val="selected"/>
          <w:lang w:val="en-US"/>
        </w:rPr>
        <w:t xml:space="preserve">Friedman, M. "Consumer Boycotts in the United States, 1970–1980: Contemporary Events in Historical Perspective." </w:t>
      </w:r>
      <w:r w:rsidRPr="00C43705">
        <w:rPr>
          <w:rStyle w:val="selected"/>
          <w:i/>
          <w:iCs/>
          <w:lang w:val="en-US"/>
        </w:rPr>
        <w:t>Journal of Consumer Affairs</w:t>
      </w:r>
      <w:r w:rsidRPr="00C43705">
        <w:rPr>
          <w:rStyle w:val="selected"/>
          <w:lang w:val="en-US"/>
        </w:rPr>
        <w:t xml:space="preserve"> 19, no. 1 (1985): 96-117.</w:t>
      </w:r>
    </w:p>
    <w:p w14:paraId="1BDF8673" w14:textId="77777777" w:rsidR="00744EF6" w:rsidRPr="00C43705" w:rsidRDefault="00744EF6" w:rsidP="00EB3899">
      <w:pPr>
        <w:pStyle w:val="NormalWeb"/>
        <w:jc w:val="both"/>
        <w:rPr>
          <w:lang w:val="en-US"/>
        </w:rPr>
      </w:pPr>
      <w:r w:rsidRPr="00C43705">
        <w:rPr>
          <w:rStyle w:val="selected"/>
          <w:lang w:val="en-US"/>
        </w:rPr>
        <w:t xml:space="preserve">Ibrahim Avci. "Factors Influencing the Boycott Intentions of Turkish Consumers amid the Israel-Palestine Conflict." </w:t>
      </w:r>
      <w:r w:rsidRPr="00C43705">
        <w:rPr>
          <w:rStyle w:val="selected"/>
          <w:i/>
          <w:iCs/>
          <w:lang w:val="en-US"/>
        </w:rPr>
        <w:t>Revista Brasileira de Gestão de Negócios</w:t>
      </w:r>
      <w:r w:rsidRPr="00C43705">
        <w:rPr>
          <w:rStyle w:val="selected"/>
          <w:lang w:val="en-US"/>
        </w:rPr>
        <w:t xml:space="preserve"> 26, no. 4 (2024): e20240035, 4-5.</w:t>
      </w:r>
    </w:p>
    <w:p w14:paraId="6935BCA5" w14:textId="77777777" w:rsidR="00744EF6" w:rsidRPr="00C43705" w:rsidRDefault="00744EF6" w:rsidP="00EB3899">
      <w:pPr>
        <w:pStyle w:val="NormalWeb"/>
        <w:jc w:val="both"/>
        <w:rPr>
          <w:lang w:val="en-US"/>
        </w:rPr>
      </w:pPr>
      <w:r w:rsidRPr="00C43705">
        <w:rPr>
          <w:rStyle w:val="selected"/>
          <w:lang w:val="en-US"/>
        </w:rPr>
        <w:t>Jeon Hyang-ran, and Seo Jung-hee. "</w:t>
      </w:r>
      <w:r>
        <w:rPr>
          <w:rStyle w:val="selected"/>
          <w:rFonts w:ascii="Batang" w:eastAsia="Batang" w:hAnsi="Batang" w:cs="Batang" w:hint="eastAsia"/>
        </w:rPr>
        <w:t>소비자</w:t>
      </w:r>
      <w:r w:rsidRPr="00C43705">
        <w:rPr>
          <w:rStyle w:val="selected"/>
          <w:lang w:val="en-US"/>
        </w:rPr>
        <w:t xml:space="preserve"> </w:t>
      </w:r>
      <w:r>
        <w:rPr>
          <w:rStyle w:val="selected"/>
          <w:rFonts w:ascii="Batang" w:eastAsia="Batang" w:hAnsi="Batang" w:cs="Batang" w:hint="eastAsia"/>
        </w:rPr>
        <w:t>불매운동에</w:t>
      </w:r>
      <w:r w:rsidRPr="00C43705">
        <w:rPr>
          <w:rStyle w:val="selected"/>
          <w:lang w:val="en-US"/>
        </w:rPr>
        <w:t xml:space="preserve"> </w:t>
      </w:r>
      <w:r>
        <w:rPr>
          <w:rStyle w:val="selected"/>
          <w:rFonts w:ascii="Batang" w:eastAsia="Batang" w:hAnsi="Batang" w:cs="Batang" w:hint="eastAsia"/>
        </w:rPr>
        <w:t>대한</w:t>
      </w:r>
      <w:r w:rsidRPr="00C43705">
        <w:rPr>
          <w:rStyle w:val="selected"/>
          <w:lang w:val="en-US"/>
        </w:rPr>
        <w:t xml:space="preserve"> </w:t>
      </w:r>
      <w:r>
        <w:rPr>
          <w:rStyle w:val="selected"/>
          <w:rFonts w:ascii="Batang" w:eastAsia="Batang" w:hAnsi="Batang" w:cs="Batang" w:hint="eastAsia"/>
        </w:rPr>
        <w:t>인식유형과</w:t>
      </w:r>
      <w:r w:rsidRPr="00C43705">
        <w:rPr>
          <w:rStyle w:val="selected"/>
          <w:lang w:val="en-US"/>
        </w:rPr>
        <w:t xml:space="preserve"> </w:t>
      </w:r>
      <w:r>
        <w:rPr>
          <w:rStyle w:val="selected"/>
          <w:rFonts w:ascii="Batang" w:eastAsia="Batang" w:hAnsi="Batang" w:cs="Batang" w:hint="eastAsia"/>
        </w:rPr>
        <w:t>참여의도와의</w:t>
      </w:r>
      <w:r w:rsidRPr="00C43705">
        <w:rPr>
          <w:rStyle w:val="selected"/>
          <w:lang w:val="en-US"/>
        </w:rPr>
        <w:t xml:space="preserve"> </w:t>
      </w:r>
      <w:r>
        <w:rPr>
          <w:rStyle w:val="selected"/>
          <w:rFonts w:ascii="Batang" w:eastAsia="Batang" w:hAnsi="Batang" w:cs="Batang" w:hint="eastAsia"/>
        </w:rPr>
        <w:t>관련성</w:t>
      </w:r>
      <w:r w:rsidRPr="00C43705">
        <w:rPr>
          <w:rStyle w:val="selected"/>
          <w:lang w:val="en-US"/>
        </w:rPr>
        <w:t xml:space="preserve">; 'The Relationship Between Types of Perception of Consumer Boycotts and the Intention to Participate'." </w:t>
      </w:r>
      <w:r w:rsidRPr="00C43705">
        <w:rPr>
          <w:rStyle w:val="selected"/>
          <w:i/>
          <w:iCs/>
          <w:lang w:val="en-US"/>
        </w:rPr>
        <w:t>Fam. Environ. Res.</w:t>
      </w:r>
      <w:r w:rsidRPr="00C43705">
        <w:rPr>
          <w:rStyle w:val="selected"/>
          <w:lang w:val="en-US"/>
        </w:rPr>
        <w:t xml:space="preserve"> 53, no. 2 (2015): 144.</w:t>
      </w:r>
    </w:p>
    <w:p w14:paraId="4D930219" w14:textId="77777777" w:rsidR="00744EF6" w:rsidRPr="00C43705" w:rsidRDefault="00744EF6" w:rsidP="00EB3899">
      <w:pPr>
        <w:pStyle w:val="NormalWeb"/>
        <w:jc w:val="both"/>
        <w:rPr>
          <w:lang w:val="en-US"/>
        </w:rPr>
      </w:pPr>
      <w:r w:rsidRPr="00C43705">
        <w:rPr>
          <w:rStyle w:val="selected"/>
          <w:lang w:val="en-US"/>
        </w:rPr>
        <w:t xml:space="preserve">Jonsen, K., M. L. Maznevski, and S. C. Schneider. "Diversity and Its Not So Diverse Literature: An International Perspective." </w:t>
      </w:r>
      <w:r w:rsidRPr="00C43705">
        <w:rPr>
          <w:rStyle w:val="selected"/>
          <w:i/>
          <w:iCs/>
          <w:lang w:val="en-US"/>
        </w:rPr>
        <w:t>International Journal of Cross Cultural Management</w:t>
      </w:r>
      <w:r w:rsidRPr="00C43705">
        <w:rPr>
          <w:rStyle w:val="selected"/>
          <w:lang w:val="en-US"/>
        </w:rPr>
        <w:t xml:space="preserve"> 11, no. 1 (2011): 35–62.</w:t>
      </w:r>
    </w:p>
    <w:p w14:paraId="1BC45219" w14:textId="77777777" w:rsidR="00744EF6" w:rsidRPr="00C43705" w:rsidRDefault="00744EF6" w:rsidP="00EB3899">
      <w:pPr>
        <w:pStyle w:val="NormalWeb"/>
        <w:jc w:val="both"/>
        <w:rPr>
          <w:lang w:val="en-US"/>
        </w:rPr>
      </w:pPr>
      <w:r w:rsidRPr="00C43705">
        <w:rPr>
          <w:rStyle w:val="selected"/>
          <w:lang w:val="en-US"/>
        </w:rPr>
        <w:t xml:space="preserve">Kandil, M., H. Berument, and N. N. Dincer. "The Effects of Exchange Rate Fluctuations on Economic Activity in Turkey." </w:t>
      </w:r>
      <w:r w:rsidRPr="00C43705">
        <w:rPr>
          <w:rStyle w:val="selected"/>
          <w:i/>
          <w:iCs/>
          <w:lang w:val="en-US"/>
        </w:rPr>
        <w:t>Journal of Asian Economics</w:t>
      </w:r>
      <w:r w:rsidRPr="00C43705">
        <w:rPr>
          <w:rStyle w:val="selected"/>
          <w:lang w:val="en-US"/>
        </w:rPr>
        <w:t xml:space="preserve"> 18, no. 3 (2007): 484.</w:t>
      </w:r>
    </w:p>
    <w:p w14:paraId="558E5AD4" w14:textId="77777777" w:rsidR="00744EF6" w:rsidRPr="00C43705" w:rsidRDefault="00744EF6" w:rsidP="00EB3899">
      <w:pPr>
        <w:pStyle w:val="NormalWeb"/>
        <w:jc w:val="both"/>
        <w:rPr>
          <w:lang w:val="en-US"/>
        </w:rPr>
      </w:pPr>
      <w:r w:rsidRPr="00C43705">
        <w:rPr>
          <w:rStyle w:val="selected"/>
          <w:lang w:val="en-US"/>
        </w:rPr>
        <w:t xml:space="preserve">Klein, J. G., N. C. Smith, and A. John. "Why We Boycott: Consumer Motivations for Boycott Participation." </w:t>
      </w:r>
      <w:r w:rsidRPr="00C43705">
        <w:rPr>
          <w:rStyle w:val="selected"/>
          <w:i/>
          <w:iCs/>
          <w:lang w:val="en-US"/>
        </w:rPr>
        <w:t>Journal of Marketing</w:t>
      </w:r>
      <w:r w:rsidRPr="00C43705">
        <w:rPr>
          <w:rStyle w:val="selected"/>
          <w:lang w:val="en-US"/>
        </w:rPr>
        <w:t xml:space="preserve"> 68, no. 3 (2004): 92–109.</w:t>
      </w:r>
    </w:p>
    <w:p w14:paraId="513F575F" w14:textId="77777777" w:rsidR="00744EF6" w:rsidRPr="00C43705" w:rsidRDefault="00744EF6" w:rsidP="00EB3899">
      <w:pPr>
        <w:pStyle w:val="NormalWeb"/>
        <w:jc w:val="both"/>
        <w:rPr>
          <w:lang w:val="en-US"/>
        </w:rPr>
      </w:pPr>
      <w:r w:rsidRPr="00C43705">
        <w:rPr>
          <w:rStyle w:val="selected"/>
          <w:lang w:val="en-US"/>
        </w:rPr>
        <w:t xml:space="preserve">Kurtuluş, K., and A. Okumuş. "Consumers’ Price Perceptions as a Segmentation Criteria: An Emerging Market Case." </w:t>
      </w:r>
      <w:r w:rsidRPr="00C43705">
        <w:rPr>
          <w:rStyle w:val="selected"/>
          <w:i/>
          <w:iCs/>
          <w:lang w:val="en-US"/>
        </w:rPr>
        <w:t>İstanbul Üniversitesi İşletme Fakültesi Dergisi</w:t>
      </w:r>
      <w:r w:rsidRPr="00C43705">
        <w:rPr>
          <w:rStyle w:val="selected"/>
          <w:lang w:val="en-US"/>
        </w:rPr>
        <w:t xml:space="preserve"> 39, no. 1 (2010): 24.</w:t>
      </w:r>
    </w:p>
    <w:p w14:paraId="0607C7FC" w14:textId="77777777" w:rsidR="00744EF6" w:rsidRPr="00C43705" w:rsidRDefault="00744EF6" w:rsidP="00EB3899">
      <w:pPr>
        <w:pStyle w:val="NormalWeb"/>
        <w:jc w:val="both"/>
        <w:rPr>
          <w:lang w:val="en-US"/>
        </w:rPr>
      </w:pPr>
      <w:r w:rsidRPr="00C43705">
        <w:rPr>
          <w:rStyle w:val="selected"/>
          <w:lang w:val="en-US"/>
        </w:rPr>
        <w:t xml:space="preserve">Maatman, Gerald L., Jr. "Protest Boycotts and Federal Labor Laws: The Russian Trade Boycott." </w:t>
      </w:r>
      <w:r w:rsidRPr="00C43705">
        <w:rPr>
          <w:rStyle w:val="selected"/>
          <w:i/>
          <w:iCs/>
          <w:lang w:val="en-US"/>
        </w:rPr>
        <w:t>Northwestern Journal of International Law &amp; Business</w:t>
      </w:r>
      <w:r w:rsidRPr="00C43705">
        <w:rPr>
          <w:rStyle w:val="selected"/>
          <w:lang w:val="en-US"/>
        </w:rPr>
        <w:t xml:space="preserve"> 3, no. 1 (1981): 227-235.</w:t>
      </w:r>
    </w:p>
    <w:p w14:paraId="738FB44F" w14:textId="77777777" w:rsidR="00744EF6" w:rsidRPr="00C43705" w:rsidRDefault="00744EF6" w:rsidP="00EB3899">
      <w:pPr>
        <w:pStyle w:val="NormalWeb"/>
        <w:jc w:val="both"/>
        <w:rPr>
          <w:lang w:val="en-US"/>
        </w:rPr>
      </w:pPr>
      <w:r w:rsidRPr="00C43705">
        <w:rPr>
          <w:rStyle w:val="selected"/>
          <w:lang w:val="en-US"/>
        </w:rPr>
        <w:t xml:space="preserve">Mohamed Buheji, and Dunya Ahmed. "KEEPING THE BOYCOTT MOMENTUM- FROM ‘WAR ON GAZA’ TILL ‘FREE-PALESTINE’." </w:t>
      </w:r>
      <w:r w:rsidRPr="00C43705">
        <w:rPr>
          <w:rStyle w:val="selected"/>
          <w:i/>
          <w:iCs/>
          <w:lang w:val="en-US"/>
        </w:rPr>
        <w:t>International Journal of Management (IJM)</w:t>
      </w:r>
      <w:r w:rsidRPr="00C43705">
        <w:rPr>
          <w:rStyle w:val="selected"/>
          <w:lang w:val="en-US"/>
        </w:rPr>
        <w:t xml:space="preserve"> 14, no. 7 (2023): 211.</w:t>
      </w:r>
    </w:p>
    <w:p w14:paraId="6B052984" w14:textId="77777777" w:rsidR="00744EF6" w:rsidRPr="00C43705" w:rsidRDefault="00744EF6" w:rsidP="00EB3899">
      <w:pPr>
        <w:pStyle w:val="NormalWeb"/>
        <w:jc w:val="both"/>
        <w:rPr>
          <w:lang w:val="en-US"/>
        </w:rPr>
      </w:pPr>
      <w:r w:rsidRPr="00C43705">
        <w:rPr>
          <w:rStyle w:val="selected"/>
          <w:lang w:val="en-US"/>
        </w:rPr>
        <w:t xml:space="preserve">Mulyono, Herry, and Benediktus Rolando. "Consumer Boycott Movements: Impact on Brand Reputation and Business Performance in the Digital Age." </w:t>
      </w:r>
      <w:r w:rsidRPr="00C43705">
        <w:rPr>
          <w:rStyle w:val="selected"/>
          <w:i/>
          <w:iCs/>
          <w:lang w:val="en-US"/>
        </w:rPr>
        <w:t>Multidisciplinary Reviews</w:t>
      </w:r>
      <w:r w:rsidRPr="00C43705">
        <w:rPr>
          <w:rStyle w:val="selected"/>
          <w:lang w:val="en-US"/>
        </w:rPr>
        <w:t xml:space="preserve"> 8 (March 26, 2025): 15.</w:t>
      </w:r>
    </w:p>
    <w:p w14:paraId="40169FAB" w14:textId="77777777" w:rsidR="00744EF6" w:rsidRPr="00C43705" w:rsidRDefault="00744EF6" w:rsidP="00EB3899">
      <w:pPr>
        <w:pStyle w:val="NormalWeb"/>
        <w:jc w:val="both"/>
        <w:rPr>
          <w:lang w:val="en-US"/>
        </w:rPr>
      </w:pPr>
      <w:r w:rsidRPr="00C43705">
        <w:rPr>
          <w:rStyle w:val="selected"/>
          <w:lang w:val="en-US"/>
        </w:rPr>
        <w:t xml:space="preserve">Murshed, N. A. "Nationalism Role on Local Brands Preference: Evidences from Turkey Clothes Market." </w:t>
      </w:r>
      <w:r w:rsidRPr="00C43705">
        <w:rPr>
          <w:rStyle w:val="selected"/>
          <w:i/>
          <w:iCs/>
          <w:lang w:val="en-US"/>
        </w:rPr>
        <w:t>International Journal of Science and Research (IJSR)</w:t>
      </w:r>
      <w:r w:rsidRPr="00C43705">
        <w:rPr>
          <w:rStyle w:val="selected"/>
          <w:lang w:val="en-US"/>
        </w:rPr>
        <w:t xml:space="preserve"> 8, no. 11 (2019): 2.</w:t>
      </w:r>
    </w:p>
    <w:p w14:paraId="3EF8408F" w14:textId="77777777" w:rsidR="00744EF6" w:rsidRPr="00C43705" w:rsidRDefault="00744EF6" w:rsidP="00EB3899">
      <w:pPr>
        <w:pStyle w:val="NormalWeb"/>
        <w:jc w:val="both"/>
        <w:rPr>
          <w:lang w:val="en-US"/>
        </w:rPr>
      </w:pPr>
      <w:r w:rsidRPr="00C43705">
        <w:rPr>
          <w:rStyle w:val="selected"/>
          <w:lang w:val="en-US"/>
        </w:rPr>
        <w:t xml:space="preserve">Qionglei Yu, Richard McManus, Dorothy A. Yen, and Xiang (Robert) Li. "Tourism Boycotts and Animosity: A Study of Seven Events." </w:t>
      </w:r>
      <w:r w:rsidRPr="00C43705">
        <w:rPr>
          <w:rStyle w:val="selected"/>
          <w:i/>
          <w:iCs/>
          <w:lang w:val="en-US"/>
        </w:rPr>
        <w:t>Annals of Tourism Research</w:t>
      </w:r>
      <w:r w:rsidRPr="00C43705">
        <w:rPr>
          <w:rStyle w:val="selected"/>
          <w:lang w:val="en-US"/>
        </w:rPr>
        <w:t xml:space="preserve"> 80 (January 2020): 102792, 3.</w:t>
      </w:r>
    </w:p>
    <w:p w14:paraId="54D174D5" w14:textId="77777777" w:rsidR="00744EF6" w:rsidRPr="00C43705" w:rsidRDefault="00744EF6" w:rsidP="00EB3899">
      <w:pPr>
        <w:pStyle w:val="NormalWeb"/>
        <w:jc w:val="both"/>
        <w:rPr>
          <w:lang w:val="en-US"/>
        </w:rPr>
      </w:pPr>
      <w:r w:rsidRPr="00C43705">
        <w:rPr>
          <w:rStyle w:val="selected"/>
          <w:lang w:val="en-US"/>
        </w:rPr>
        <w:t xml:space="preserve">Rosson, P. J., and I. D. Ford. "Manufacturer–Overseas Distributor Relations and Export Performance." </w:t>
      </w:r>
      <w:r w:rsidRPr="00C43705">
        <w:rPr>
          <w:rStyle w:val="selected"/>
          <w:i/>
          <w:iCs/>
          <w:lang w:val="en-US"/>
        </w:rPr>
        <w:t>Journal of International Business Studies</w:t>
      </w:r>
      <w:r w:rsidRPr="00C43705">
        <w:rPr>
          <w:rStyle w:val="selected"/>
          <w:lang w:val="en-US"/>
        </w:rPr>
        <w:t xml:space="preserve"> 13, no. 2 (1982): 58.</w:t>
      </w:r>
    </w:p>
    <w:p w14:paraId="027BE2C7" w14:textId="77777777" w:rsidR="00744EF6" w:rsidRPr="00C43705" w:rsidRDefault="00744EF6" w:rsidP="00EB3899">
      <w:pPr>
        <w:pStyle w:val="NormalWeb"/>
        <w:jc w:val="both"/>
        <w:rPr>
          <w:lang w:val="en-US"/>
        </w:rPr>
      </w:pPr>
      <w:r w:rsidRPr="00C43705">
        <w:rPr>
          <w:rStyle w:val="selected"/>
          <w:lang w:val="en-US"/>
        </w:rPr>
        <w:t xml:space="preserve">SALEH AL SHEBIL, ABDUL A RASHEED, and HUSSAM AL-SHAMMARI. "Coping with Boycotts: An Analysis and Framework." </w:t>
      </w:r>
      <w:r w:rsidRPr="00C43705">
        <w:rPr>
          <w:rStyle w:val="selected"/>
          <w:i/>
          <w:iCs/>
          <w:lang w:val="en-US"/>
        </w:rPr>
        <w:t>Journal of Management &amp; Organization</w:t>
      </w:r>
      <w:r w:rsidRPr="00C43705">
        <w:rPr>
          <w:rStyle w:val="selected"/>
          <w:lang w:val="en-US"/>
        </w:rPr>
        <w:t xml:space="preserve"> 17, no. 3 (2011): 386-387.</w:t>
      </w:r>
    </w:p>
    <w:p w14:paraId="65B7A623" w14:textId="77777777" w:rsidR="00744EF6" w:rsidRPr="00C43705" w:rsidRDefault="00744EF6" w:rsidP="00EB3899">
      <w:pPr>
        <w:pStyle w:val="NormalWeb"/>
        <w:jc w:val="both"/>
        <w:rPr>
          <w:lang w:val="en-US"/>
        </w:rPr>
      </w:pPr>
      <w:r w:rsidRPr="00C43705">
        <w:rPr>
          <w:rStyle w:val="selected"/>
          <w:lang w:val="en-US"/>
        </w:rPr>
        <w:t xml:space="preserve">Sarker, S. M. A. N. "Freight Forwarding Industry: Function, Economic Role and Future Market in Bangladesh." </w:t>
      </w:r>
      <w:r w:rsidRPr="00C43705">
        <w:rPr>
          <w:rStyle w:val="selected"/>
          <w:i/>
          <w:iCs/>
          <w:lang w:val="en-US"/>
        </w:rPr>
        <w:t>Bangladesh Maritime Journal</w:t>
      </w:r>
      <w:r w:rsidRPr="00C43705">
        <w:rPr>
          <w:rStyle w:val="selected"/>
          <w:lang w:val="en-US"/>
        </w:rPr>
        <w:t xml:space="preserve"> 1, no. 1 (2017): 93.</w:t>
      </w:r>
    </w:p>
    <w:p w14:paraId="516D6F3F" w14:textId="77777777" w:rsidR="00744EF6" w:rsidRPr="00C43705" w:rsidRDefault="00744EF6" w:rsidP="00EB3899">
      <w:pPr>
        <w:pStyle w:val="NormalWeb"/>
        <w:jc w:val="both"/>
        <w:rPr>
          <w:lang w:val="en-US"/>
        </w:rPr>
      </w:pPr>
      <w:r w:rsidRPr="00C43705">
        <w:rPr>
          <w:rStyle w:val="selected"/>
          <w:lang w:val="en-US"/>
        </w:rPr>
        <w:t xml:space="preserve">Şener, A., B. Kinacı, and N. Doğan. "The Influence of Packaging Elements on the Consumer Purchase Decision." </w:t>
      </w:r>
      <w:r w:rsidRPr="00C43705">
        <w:rPr>
          <w:rStyle w:val="selected"/>
          <w:i/>
          <w:iCs/>
          <w:lang w:val="en-US"/>
        </w:rPr>
        <w:t>International Journal of Multidisciplinary Thought</w:t>
      </w:r>
      <w:r w:rsidRPr="00C43705">
        <w:rPr>
          <w:rStyle w:val="selected"/>
          <w:lang w:val="en-US"/>
        </w:rPr>
        <w:t xml:space="preserve"> 5, no. 2 (2015): 94.</w:t>
      </w:r>
    </w:p>
    <w:p w14:paraId="6E51AF42" w14:textId="77777777" w:rsidR="00744EF6" w:rsidRPr="00930458" w:rsidRDefault="00744EF6" w:rsidP="00EB3899">
      <w:pPr>
        <w:pStyle w:val="NormalWeb"/>
        <w:jc w:val="both"/>
        <w:rPr>
          <w:lang w:val="en-GB"/>
        </w:rPr>
      </w:pPr>
      <w:r w:rsidRPr="00C43705">
        <w:rPr>
          <w:rStyle w:val="selected"/>
          <w:lang w:val="en-US"/>
        </w:rPr>
        <w:t xml:space="preserve">Thangamani.T, and Kamaraj.M. "Analysis of Export Problems in International Market for Indian Electrical Equipment Industry at Power Distribution Sector." </w:t>
      </w:r>
      <w:r w:rsidRPr="00930458">
        <w:rPr>
          <w:rStyle w:val="selected"/>
          <w:i/>
          <w:iCs/>
          <w:lang w:val="en-GB"/>
        </w:rPr>
        <w:t>Journal of Business Studies</w:t>
      </w:r>
      <w:r w:rsidRPr="00930458">
        <w:rPr>
          <w:rStyle w:val="selected"/>
          <w:lang w:val="en-GB"/>
        </w:rPr>
        <w:t xml:space="preserve"> 4, no. 1 (2017): 65-66.</w:t>
      </w:r>
    </w:p>
    <w:p w14:paraId="4EBD5BFB" w14:textId="77777777" w:rsidR="00744EF6" w:rsidRPr="00C43705" w:rsidRDefault="00744EF6" w:rsidP="00EB3899">
      <w:pPr>
        <w:pStyle w:val="NormalWeb"/>
        <w:jc w:val="both"/>
        <w:rPr>
          <w:lang w:val="en-US"/>
        </w:rPr>
      </w:pPr>
      <w:r w:rsidRPr="00C43705">
        <w:rPr>
          <w:rStyle w:val="selected"/>
          <w:lang w:val="en-US"/>
        </w:rPr>
        <w:t xml:space="preserve">Türkcan, K. "Evolving Patterns of Payment Methods in Turkish Foreign Trade." </w:t>
      </w:r>
      <w:r w:rsidRPr="00C43705">
        <w:rPr>
          <w:rStyle w:val="selected"/>
          <w:i/>
          <w:iCs/>
          <w:lang w:val="en-US"/>
        </w:rPr>
        <w:t>World Journal of Applied Economics</w:t>
      </w:r>
      <w:r w:rsidRPr="00C43705">
        <w:rPr>
          <w:rStyle w:val="selected"/>
          <w:lang w:val="en-US"/>
        </w:rPr>
        <w:t xml:space="preserve"> 2, no. 1 (2016): 22.</w:t>
      </w:r>
    </w:p>
    <w:p w14:paraId="517E8054" w14:textId="77777777" w:rsidR="00744EF6" w:rsidRPr="00C43705" w:rsidRDefault="00744EF6" w:rsidP="00EB3899">
      <w:pPr>
        <w:pStyle w:val="NormalWeb"/>
        <w:jc w:val="both"/>
        <w:rPr>
          <w:lang w:val="en-US"/>
        </w:rPr>
      </w:pPr>
      <w:r w:rsidRPr="00C43705">
        <w:rPr>
          <w:rStyle w:val="selected"/>
          <w:lang w:val="en-US"/>
        </w:rPr>
        <w:t xml:space="preserve">Yunus, A. M., W. M. Y. W. Chik, N. Abd Wahid, K. A. Daud, and M. N. Abd Hamid. "The Concept of Boycott: A General Introduction." </w:t>
      </w:r>
      <w:r w:rsidRPr="00C43705">
        <w:rPr>
          <w:rStyle w:val="selected"/>
          <w:i/>
          <w:iCs/>
          <w:lang w:val="en-US"/>
        </w:rPr>
        <w:t>International Journal of Academic Research in Business and Social Sciences</w:t>
      </w:r>
      <w:r w:rsidRPr="00C43705">
        <w:rPr>
          <w:rStyle w:val="selected"/>
          <w:lang w:val="en-US"/>
        </w:rPr>
        <w:t xml:space="preserve"> 10, no. 9 (2020): 962-971.</w:t>
      </w:r>
    </w:p>
    <w:p w14:paraId="7D0DEFAD" w14:textId="77777777" w:rsidR="00744EF6" w:rsidRDefault="00744EF6" w:rsidP="00EB3899">
      <w:pPr>
        <w:pStyle w:val="NormalWeb"/>
        <w:jc w:val="both"/>
      </w:pPr>
      <w:r>
        <w:rPr>
          <w:rStyle w:val="selected"/>
          <w:rtl/>
        </w:rPr>
        <w:t>اللحياّني ليلى. "رخص استيراد البضائع و تصديرها في ظل دستورية مبدأ حرية الاستثمار في الجزائر</w:t>
      </w:r>
      <w:r>
        <w:rPr>
          <w:rStyle w:val="selected"/>
        </w:rPr>
        <w:t xml:space="preserve">." </w:t>
      </w:r>
      <w:r>
        <w:rPr>
          <w:rStyle w:val="selected"/>
          <w:i/>
          <w:iCs/>
          <w:rtl/>
        </w:rPr>
        <w:t>دفاتر البحوث العلمية</w:t>
      </w:r>
      <w:r>
        <w:rPr>
          <w:rStyle w:val="selected"/>
          <w:rtl/>
        </w:rPr>
        <w:t xml:space="preserve"> </w:t>
      </w:r>
      <w:r>
        <w:rPr>
          <w:rStyle w:val="selected"/>
        </w:rPr>
        <w:t xml:space="preserve">11 </w:t>
      </w:r>
      <w:r>
        <w:rPr>
          <w:rStyle w:val="selected"/>
          <w:rtl/>
        </w:rPr>
        <w:t>(ديسمبر 2017): 74</w:t>
      </w:r>
      <w:r>
        <w:rPr>
          <w:rStyle w:val="selected"/>
        </w:rPr>
        <w:t>.</w:t>
      </w:r>
    </w:p>
    <w:p w14:paraId="1AB0C5E6" w14:textId="77777777" w:rsidR="00744EF6" w:rsidRDefault="00744EF6" w:rsidP="00EB3899">
      <w:pPr>
        <w:pStyle w:val="NormalWeb"/>
        <w:jc w:val="both"/>
      </w:pPr>
      <w:r>
        <w:rPr>
          <w:rStyle w:val="selected"/>
          <w:rtl/>
        </w:rPr>
        <w:t xml:space="preserve">جحا نبيل، </w:t>
      </w:r>
      <w:r>
        <w:rPr>
          <w:rStyle w:val="selected"/>
        </w:rPr>
        <w:t xml:space="preserve">and </w:t>
      </w:r>
      <w:r>
        <w:rPr>
          <w:rStyle w:val="selected"/>
          <w:rtl/>
        </w:rPr>
        <w:t>جلال عبد القادر. "قراءة في أحكام الأمر 03-04 المعدل و المتمم، المتعلق بالقواعد العامة المطبقة على عمليات استيراد البضائع و تصديرها</w:t>
      </w:r>
      <w:r>
        <w:rPr>
          <w:rStyle w:val="selected"/>
        </w:rPr>
        <w:t xml:space="preserve">." </w:t>
      </w:r>
      <w:r>
        <w:rPr>
          <w:rStyle w:val="selected"/>
          <w:i/>
          <w:iCs/>
          <w:rtl/>
        </w:rPr>
        <w:t>مجلة الجغرافيا الاقتصادية</w:t>
      </w:r>
      <w:r>
        <w:rPr>
          <w:rStyle w:val="selected"/>
          <w:rtl/>
        </w:rPr>
        <w:t xml:space="preserve"> </w:t>
      </w:r>
      <w:r>
        <w:rPr>
          <w:rStyle w:val="selected"/>
        </w:rPr>
        <w:t>02, no. 01 (2025): 191.</w:t>
      </w:r>
    </w:p>
    <w:p w14:paraId="0AA4BA63" w14:textId="77777777" w:rsidR="00744EF6" w:rsidRDefault="00744EF6" w:rsidP="00EB3899">
      <w:pPr>
        <w:pStyle w:val="NormalWeb"/>
        <w:jc w:val="both"/>
      </w:pPr>
      <w:r>
        <w:rPr>
          <w:rStyle w:val="selected"/>
          <w:b/>
          <w:bCs/>
        </w:rPr>
        <w:t>Theses/Dissertations</w:t>
      </w:r>
    </w:p>
    <w:p w14:paraId="6C8F136C" w14:textId="77777777" w:rsidR="00744EF6" w:rsidRDefault="00744EF6" w:rsidP="00EB3899">
      <w:pPr>
        <w:pStyle w:val="NormalWeb"/>
        <w:jc w:val="both"/>
      </w:pPr>
      <w:r>
        <w:rPr>
          <w:rStyle w:val="selected"/>
        </w:rPr>
        <w:t>Amirault-Thebault, Marinette. "Le boycott : analyse conceptuelle et modélisation." PhD diss., Université de la Réunion, 1999.</w:t>
      </w:r>
    </w:p>
    <w:p w14:paraId="47E8FD8F" w14:textId="77777777" w:rsidR="00744EF6" w:rsidRDefault="00744EF6" w:rsidP="00EB3899">
      <w:pPr>
        <w:pStyle w:val="NormalWeb"/>
        <w:jc w:val="both"/>
      </w:pPr>
      <w:r>
        <w:rPr>
          <w:rStyle w:val="selected"/>
        </w:rPr>
        <w:t>Azaz Rahmani, O., and A. Benghida. "L’impact du boycott sur la relation client-marque : Cas de l’entreprise sarl famili shop." Master’s thesis, École Supérieure de Commerce, Alger, 2024.</w:t>
      </w:r>
    </w:p>
    <w:p w14:paraId="5054435F" w14:textId="77777777" w:rsidR="00744EF6" w:rsidRPr="00C43705" w:rsidRDefault="00744EF6" w:rsidP="00EB3899">
      <w:pPr>
        <w:pStyle w:val="NormalWeb"/>
        <w:jc w:val="both"/>
        <w:rPr>
          <w:lang w:val="en-US"/>
        </w:rPr>
      </w:pPr>
      <w:r>
        <w:rPr>
          <w:rStyle w:val="selected"/>
        </w:rPr>
        <w:t xml:space="preserve">HÅVARD SANDLAND KRISTENSEN, and MARIT GARLI LANGEDAL. </w:t>
      </w:r>
      <w:r w:rsidRPr="00C43705">
        <w:rPr>
          <w:rStyle w:val="selected"/>
          <w:lang w:val="en-US"/>
        </w:rPr>
        <w:t>"The why, what, and how of Brand Boycott Reasons, Outcomes and Responding Strategies." Master’s thesis, University of Agder, Faculty of Business and Law, Department of Economics and Finance, 2024.</w:t>
      </w:r>
    </w:p>
    <w:p w14:paraId="4BA966FB" w14:textId="77777777" w:rsidR="00744EF6" w:rsidRPr="00C43705" w:rsidRDefault="00744EF6" w:rsidP="00EB3899">
      <w:pPr>
        <w:pStyle w:val="NormalWeb"/>
        <w:jc w:val="both"/>
        <w:rPr>
          <w:lang w:val="en-US"/>
        </w:rPr>
      </w:pPr>
      <w:r w:rsidRPr="00C43705">
        <w:rPr>
          <w:rStyle w:val="selected"/>
          <w:lang w:val="en-US"/>
        </w:rPr>
        <w:t>Rintamäki, Susanna. "Challenges of the Export Process – Case Olvi Plc." Thesis, Business Economics and Tourism, 2013.</w:t>
      </w:r>
    </w:p>
    <w:p w14:paraId="3CE0925C" w14:textId="77777777" w:rsidR="00744EF6" w:rsidRDefault="00744EF6" w:rsidP="00EB3899">
      <w:pPr>
        <w:pStyle w:val="NormalWeb"/>
        <w:jc w:val="both"/>
      </w:pPr>
      <w:r w:rsidRPr="00C43705">
        <w:rPr>
          <w:rStyle w:val="selected"/>
          <w:lang w:val="en-US"/>
        </w:rPr>
        <w:t xml:space="preserve">Yahi, R., and A. Menana. </w:t>
      </w:r>
      <w:r>
        <w:rPr>
          <w:rStyle w:val="selected"/>
        </w:rPr>
        <w:t>"La gestion des risques des opérations du commerce extérieur : Cas de la BEA." Master’s thesis, Université Mouloud Mammeri de Tizi-Ouzou, Faculté des Sciences Économiques, Commerciales et des Sciences de Gestion, Département des Sciences Commerciales, 2022.</w:t>
      </w:r>
    </w:p>
    <w:p w14:paraId="0E5BB1D6" w14:textId="77777777" w:rsidR="00744EF6" w:rsidRPr="00C43705" w:rsidRDefault="00744EF6" w:rsidP="00EB3899">
      <w:pPr>
        <w:pStyle w:val="NormalWeb"/>
        <w:jc w:val="both"/>
        <w:rPr>
          <w:lang w:val="en-US"/>
        </w:rPr>
      </w:pPr>
      <w:r w:rsidRPr="00C43705">
        <w:rPr>
          <w:rStyle w:val="selected"/>
          <w:lang w:val="en-US"/>
        </w:rPr>
        <w:t>Yildiz, B. "Building a Strong Nation Brand: Case of Turkey." Master’s thesis, Bahcesehir University, Istanbul, 2017.</w:t>
      </w:r>
    </w:p>
    <w:p w14:paraId="6EC20D1F" w14:textId="77777777" w:rsidR="00744EF6" w:rsidRDefault="00744EF6" w:rsidP="00EB3899">
      <w:pPr>
        <w:pStyle w:val="NormalWeb"/>
        <w:jc w:val="both"/>
      </w:pPr>
      <w:r>
        <w:rPr>
          <w:rStyle w:val="selected"/>
          <w:rtl/>
        </w:rPr>
        <w:t>أسامة غزلاني. "دور رقمنة قطاع الجمارك في تسهيل عمليات التجارة الخارجية الجزائرية: اقتراح إطار عمل لرقمنة الجمارك الجزائرية بالاعتماد على التجارب الدولية</w:t>
      </w:r>
      <w:r>
        <w:rPr>
          <w:rStyle w:val="selected"/>
        </w:rPr>
        <w:t xml:space="preserve">." PhD diss., </w:t>
      </w:r>
      <w:r>
        <w:rPr>
          <w:rStyle w:val="selected"/>
          <w:rtl/>
        </w:rPr>
        <w:t>جامعة 8 ماي 1945 قالمة, 2023/2024</w:t>
      </w:r>
      <w:r>
        <w:rPr>
          <w:rStyle w:val="selected"/>
        </w:rPr>
        <w:t>.</w:t>
      </w:r>
    </w:p>
    <w:p w14:paraId="257E48D0" w14:textId="77777777" w:rsidR="00744EF6" w:rsidRDefault="00744EF6" w:rsidP="00C43705">
      <w:pPr>
        <w:pStyle w:val="NormalWeb"/>
      </w:pPr>
      <w:r>
        <w:rPr>
          <w:rStyle w:val="selected"/>
          <w:b/>
          <w:bCs/>
        </w:rPr>
        <w:t>Websites/Online Resources</w:t>
      </w:r>
    </w:p>
    <w:p w14:paraId="78BC126D" w14:textId="77777777" w:rsidR="00744EF6" w:rsidRPr="00FB2AD1" w:rsidRDefault="00744EF6" w:rsidP="00EB3899">
      <w:pPr>
        <w:pStyle w:val="NormalWeb"/>
        <w:jc w:val="both"/>
      </w:pPr>
      <w:r w:rsidRPr="00FB2AD1">
        <w:rPr>
          <w:rStyle w:val="selected"/>
        </w:rPr>
        <w:t xml:space="preserve">African Center for Economic Transformation. </w:t>
      </w:r>
      <w:r w:rsidRPr="00FB2AD1">
        <w:rPr>
          <w:rStyle w:val="selected"/>
          <w:i/>
          <w:iCs/>
        </w:rPr>
        <w:t>African Transformation Index 2023: Export Competitiveness</w:t>
      </w:r>
      <w:r w:rsidRPr="00FB2AD1">
        <w:rPr>
          <w:rStyle w:val="selected"/>
        </w:rPr>
        <w:t>. 2023. ACET page01.</w:t>
      </w:r>
    </w:p>
    <w:p w14:paraId="621BC8A5" w14:textId="77777777" w:rsidR="00744EF6" w:rsidRPr="00C43705" w:rsidRDefault="00744EF6" w:rsidP="00EB3899">
      <w:pPr>
        <w:pStyle w:val="NormalWeb"/>
        <w:jc w:val="both"/>
        <w:rPr>
          <w:lang w:val="en-US"/>
        </w:rPr>
      </w:pPr>
      <w:r w:rsidRPr="00C43705">
        <w:rPr>
          <w:rStyle w:val="selected"/>
          <w:lang w:val="en-US"/>
        </w:rPr>
        <w:t xml:space="preserve">Al-Warghi, J. "Turkish-Algerian Relations from a Strategic Perspective." TRT Arabic. Accessed May 3, 2023. </w:t>
      </w:r>
      <w:hyperlink r:id="rId69" w:tooltip="null" w:history="1">
        <w:r w:rsidRPr="00C43705">
          <w:rPr>
            <w:rStyle w:val="selected"/>
            <w:color w:val="0000FF"/>
            <w:u w:val="single"/>
            <w:lang w:val="en-US"/>
          </w:rPr>
          <w:t>https://www.trtarabi.com/opinion</w:t>
        </w:r>
      </w:hyperlink>
      <w:r w:rsidRPr="00C43705">
        <w:rPr>
          <w:rStyle w:val="selected"/>
          <w:lang w:val="en-US"/>
        </w:rPr>
        <w:t>.</w:t>
      </w:r>
    </w:p>
    <w:p w14:paraId="5EED5541" w14:textId="77777777" w:rsidR="00744EF6" w:rsidRPr="00C43705" w:rsidRDefault="00744EF6" w:rsidP="00EB3899">
      <w:pPr>
        <w:pStyle w:val="NormalWeb"/>
        <w:jc w:val="both"/>
        <w:rPr>
          <w:lang w:val="en-US"/>
        </w:rPr>
      </w:pPr>
      <w:r w:rsidRPr="00C43705">
        <w:rPr>
          <w:rStyle w:val="selected"/>
          <w:lang w:val="en-US"/>
        </w:rPr>
        <w:t xml:space="preserve">Amazon Seller Services Private Limited. "What Is Export: Process, Types and Importance." Amazon Global Selling, January 23, 2023. </w:t>
      </w:r>
      <w:hyperlink r:id="rId70" w:tooltip="null" w:history="1">
        <w:r w:rsidRPr="00C43705">
          <w:rPr>
            <w:rStyle w:val="selected"/>
            <w:color w:val="0000FF"/>
            <w:u w:val="single"/>
            <w:lang w:val="en-US"/>
          </w:rPr>
          <w:t>https://sell.amazon.in/grow-your-business/amazon-global-selling/blogs/what-is-export</w:t>
        </w:r>
      </w:hyperlink>
      <w:r w:rsidRPr="00C43705">
        <w:rPr>
          <w:rStyle w:val="selected"/>
          <w:lang w:val="en-US"/>
        </w:rPr>
        <w:t>. Accessed April 15, 2025.</w:t>
      </w:r>
    </w:p>
    <w:p w14:paraId="51EC8D5B" w14:textId="77777777" w:rsidR="00744EF6" w:rsidRPr="00C43705" w:rsidRDefault="00744EF6" w:rsidP="00EB3899">
      <w:pPr>
        <w:pStyle w:val="NormalWeb"/>
        <w:jc w:val="both"/>
        <w:rPr>
          <w:lang w:val="en-US"/>
        </w:rPr>
      </w:pPr>
      <w:r w:rsidRPr="00C43705">
        <w:rPr>
          <w:rStyle w:val="selected"/>
          <w:lang w:val="en-US"/>
        </w:rPr>
        <w:t>"Assessing Product Opportunities." Last modified March 6, 2009. Accessed March 26, 2025.</w:t>
      </w:r>
    </w:p>
    <w:p w14:paraId="7AF7C7BA" w14:textId="77777777" w:rsidR="00744EF6" w:rsidRPr="00C43705" w:rsidRDefault="00744EF6" w:rsidP="00EB3899">
      <w:pPr>
        <w:pStyle w:val="NormalWeb"/>
        <w:jc w:val="both"/>
        <w:rPr>
          <w:lang w:val="en-US"/>
        </w:rPr>
      </w:pPr>
      <w:r w:rsidRPr="00C43705">
        <w:rPr>
          <w:rStyle w:val="selected"/>
          <w:lang w:val="en-US"/>
        </w:rPr>
        <w:t xml:space="preserve">Britannica Dictionary. "Boycott." Accessed February 9, 2025. </w:t>
      </w:r>
      <w:hyperlink r:id="rId71" w:tooltip="null" w:history="1">
        <w:r w:rsidRPr="00C43705">
          <w:rPr>
            <w:rStyle w:val="selected"/>
            <w:color w:val="0000FF"/>
            <w:u w:val="single"/>
            <w:lang w:val="en-US"/>
          </w:rPr>
          <w:t>https://www.britannica.com/dictionary/boycott</w:t>
        </w:r>
      </w:hyperlink>
      <w:r w:rsidRPr="00C43705">
        <w:rPr>
          <w:rStyle w:val="selected"/>
          <w:lang w:val="en-US"/>
        </w:rPr>
        <w:t>.</w:t>
      </w:r>
    </w:p>
    <w:p w14:paraId="0EB62B73" w14:textId="77777777" w:rsidR="00744EF6" w:rsidRPr="00C43705" w:rsidRDefault="00744EF6" w:rsidP="00EB3899">
      <w:pPr>
        <w:pStyle w:val="NormalWeb"/>
        <w:jc w:val="both"/>
        <w:rPr>
          <w:lang w:val="en-US"/>
        </w:rPr>
      </w:pPr>
      <w:r w:rsidRPr="00C43705">
        <w:rPr>
          <w:rStyle w:val="selected"/>
          <w:lang w:val="en-US"/>
        </w:rPr>
        <w:t xml:space="preserve">BusinessCulture.org. "Business Culture in Turkey." Accessed April 18, 2025. </w:t>
      </w:r>
      <w:hyperlink r:id="rId72" w:tooltip="null" w:history="1">
        <w:r w:rsidRPr="00C43705">
          <w:rPr>
            <w:rStyle w:val="selected"/>
            <w:color w:val="0000FF"/>
            <w:u w:val="single"/>
            <w:lang w:val="en-US"/>
          </w:rPr>
          <w:t>https://businessculture.org/southern-europe/business-culture-in-turkey/</w:t>
        </w:r>
      </w:hyperlink>
      <w:r w:rsidRPr="00C43705">
        <w:rPr>
          <w:rStyle w:val="selected"/>
          <w:lang w:val="en-US"/>
        </w:rPr>
        <w:t>.</w:t>
      </w:r>
    </w:p>
    <w:p w14:paraId="7DAD9E6F" w14:textId="77777777" w:rsidR="00744EF6" w:rsidRPr="00C43705" w:rsidRDefault="00744EF6" w:rsidP="00EB3899">
      <w:pPr>
        <w:pStyle w:val="NormalWeb"/>
        <w:jc w:val="both"/>
        <w:rPr>
          <w:lang w:val="en-US"/>
        </w:rPr>
      </w:pPr>
      <w:r w:rsidRPr="00C43705">
        <w:rPr>
          <w:rStyle w:val="selected"/>
          <w:lang w:val="en-US"/>
        </w:rPr>
        <w:t xml:space="preserve">Cambridge Dictionary. "Boycott." Accessed February 9, 2025. </w:t>
      </w:r>
      <w:hyperlink r:id="rId73" w:tooltip="null" w:history="1">
        <w:r w:rsidRPr="00C43705">
          <w:rPr>
            <w:rStyle w:val="selected"/>
            <w:color w:val="0000FF"/>
            <w:u w:val="single"/>
            <w:lang w:val="en-US"/>
          </w:rPr>
          <w:t>https://dictionary.cambridge.org/dictionary/english/boycott</w:t>
        </w:r>
      </w:hyperlink>
      <w:r w:rsidRPr="00C43705">
        <w:rPr>
          <w:rStyle w:val="selected"/>
          <w:lang w:val="en-US"/>
        </w:rPr>
        <w:t>.</w:t>
      </w:r>
    </w:p>
    <w:p w14:paraId="08A4095B" w14:textId="77777777" w:rsidR="00744EF6" w:rsidRPr="00C43705" w:rsidRDefault="00744EF6" w:rsidP="00EB3899">
      <w:pPr>
        <w:pStyle w:val="NormalWeb"/>
        <w:jc w:val="both"/>
        <w:rPr>
          <w:lang w:val="en-US"/>
        </w:rPr>
      </w:pPr>
      <w:r w:rsidRPr="00C43705">
        <w:rPr>
          <w:rStyle w:val="selected"/>
          <w:lang w:val="en-US"/>
        </w:rPr>
        <w:t xml:space="preserve">Cambridge University Press. "Exportation." In Cambridge Dictionary. Accessed March 24, 2025. </w:t>
      </w:r>
      <w:hyperlink r:id="rId74" w:tooltip="null" w:history="1">
        <w:r w:rsidRPr="00C43705">
          <w:rPr>
            <w:rStyle w:val="selected"/>
            <w:color w:val="0000FF"/>
            <w:u w:val="single"/>
            <w:lang w:val="en-US"/>
          </w:rPr>
          <w:t>https://dictionary.cambridge.org/dictionary/english/exportation</w:t>
        </w:r>
      </w:hyperlink>
      <w:r w:rsidRPr="00C43705">
        <w:rPr>
          <w:rStyle w:val="selected"/>
          <w:lang w:val="en-US"/>
        </w:rPr>
        <w:t>.</w:t>
      </w:r>
    </w:p>
    <w:p w14:paraId="18079372" w14:textId="77777777" w:rsidR="00744EF6" w:rsidRPr="00C43705" w:rsidRDefault="00744EF6" w:rsidP="00EB3899">
      <w:pPr>
        <w:pStyle w:val="NormalWeb"/>
        <w:jc w:val="both"/>
        <w:rPr>
          <w:lang w:val="en-US"/>
        </w:rPr>
      </w:pPr>
      <w:r w:rsidRPr="00C43705">
        <w:rPr>
          <w:rStyle w:val="selected"/>
          <w:lang w:val="en-US"/>
        </w:rPr>
        <w:t xml:space="preserve">Dictionary.com, LLC. "Exportation." In Dictionary.com. Accessed March 24, 2025. </w:t>
      </w:r>
      <w:hyperlink r:id="rId75" w:tooltip="null" w:history="1">
        <w:r w:rsidRPr="00C43705">
          <w:rPr>
            <w:rStyle w:val="selected"/>
            <w:color w:val="0000FF"/>
            <w:u w:val="single"/>
            <w:lang w:val="en-US"/>
          </w:rPr>
          <w:t>https://www.dictionary.com/browse/exportation</w:t>
        </w:r>
      </w:hyperlink>
      <w:r w:rsidRPr="00C43705">
        <w:rPr>
          <w:rStyle w:val="selected"/>
          <w:lang w:val="en-US"/>
        </w:rPr>
        <w:t>.</w:t>
      </w:r>
    </w:p>
    <w:p w14:paraId="75B03668" w14:textId="77777777" w:rsidR="00744EF6" w:rsidRPr="00C43705" w:rsidRDefault="00744EF6" w:rsidP="00EB3899">
      <w:pPr>
        <w:pStyle w:val="NormalWeb"/>
        <w:jc w:val="both"/>
        <w:rPr>
          <w:lang w:val="en-US"/>
        </w:rPr>
      </w:pPr>
      <w:r w:rsidRPr="00C43705">
        <w:rPr>
          <w:rStyle w:val="selected"/>
          <w:lang w:val="en-US"/>
        </w:rPr>
        <w:t xml:space="preserve">Erte Cosmetics. "Home." Accessed May 2025. </w:t>
      </w:r>
      <w:hyperlink r:id="rId76" w:tooltip="null" w:history="1">
        <w:r w:rsidRPr="00C43705">
          <w:rPr>
            <w:rStyle w:val="selected"/>
            <w:color w:val="0000FF"/>
            <w:u w:val="single"/>
            <w:lang w:val="en-US"/>
          </w:rPr>
          <w:t>https://ertecosmetics.com/</w:t>
        </w:r>
      </w:hyperlink>
      <w:r w:rsidRPr="00C43705">
        <w:rPr>
          <w:rStyle w:val="selected"/>
          <w:lang w:val="en-US"/>
        </w:rPr>
        <w:t>.</w:t>
      </w:r>
    </w:p>
    <w:p w14:paraId="04242441" w14:textId="77777777" w:rsidR="00744EF6" w:rsidRPr="00C43705" w:rsidRDefault="00744EF6" w:rsidP="00EB3899">
      <w:pPr>
        <w:pStyle w:val="NormalWeb"/>
        <w:jc w:val="both"/>
        <w:rPr>
          <w:lang w:val="en-US"/>
        </w:rPr>
      </w:pPr>
      <w:r w:rsidRPr="00C43705">
        <w:rPr>
          <w:rStyle w:val="selected"/>
          <w:lang w:val="en-US"/>
        </w:rPr>
        <w:t xml:space="preserve">Euromonitor International. "Beauty and Personal Care in Turkey." Euromonitor. Accessed May 2025. </w:t>
      </w:r>
      <w:hyperlink r:id="rId77" w:tooltip="null" w:history="1">
        <w:r w:rsidRPr="00C43705">
          <w:rPr>
            <w:rStyle w:val="selected"/>
            <w:color w:val="0000FF"/>
            <w:u w:val="single"/>
            <w:lang w:val="en-US"/>
          </w:rPr>
          <w:t>https://www.euromonitor.com/beauty-and-personal-care-in-turkey/report</w:t>
        </w:r>
      </w:hyperlink>
      <w:r w:rsidRPr="00C43705">
        <w:rPr>
          <w:rStyle w:val="selected"/>
          <w:lang w:val="en-US"/>
        </w:rPr>
        <w:t>.</w:t>
      </w:r>
    </w:p>
    <w:p w14:paraId="798F7773" w14:textId="77777777" w:rsidR="00744EF6" w:rsidRPr="00C43705" w:rsidRDefault="00744EF6" w:rsidP="00EB3899">
      <w:pPr>
        <w:pStyle w:val="NormalWeb"/>
        <w:jc w:val="both"/>
        <w:rPr>
          <w:lang w:val="en-US"/>
        </w:rPr>
      </w:pPr>
      <w:r w:rsidRPr="00C43705">
        <w:rPr>
          <w:rStyle w:val="selected"/>
          <w:lang w:val="en-US"/>
        </w:rPr>
        <w:t xml:space="preserve">Euromonitor International. "Skin Care in Turkey." Euromonitor. Accessed May 2025. </w:t>
      </w:r>
      <w:hyperlink r:id="rId78" w:tooltip="null" w:history="1">
        <w:r w:rsidRPr="00C43705">
          <w:rPr>
            <w:rStyle w:val="selected"/>
            <w:color w:val="0000FF"/>
            <w:u w:val="single"/>
            <w:lang w:val="en-US"/>
          </w:rPr>
          <w:t>https://www.euromonitor.com/skin-care-in-turkey/report</w:t>
        </w:r>
      </w:hyperlink>
      <w:r w:rsidRPr="00C43705">
        <w:rPr>
          <w:rStyle w:val="selected"/>
          <w:lang w:val="en-US"/>
        </w:rPr>
        <w:t>.</w:t>
      </w:r>
    </w:p>
    <w:p w14:paraId="0FE66C91" w14:textId="77777777" w:rsidR="00744EF6" w:rsidRDefault="00744EF6" w:rsidP="00EB3899">
      <w:pPr>
        <w:pStyle w:val="NormalWeb"/>
        <w:jc w:val="both"/>
      </w:pPr>
      <w:r w:rsidRPr="00C43705">
        <w:rPr>
          <w:rStyle w:val="selected"/>
          <w:lang w:val="en-US"/>
        </w:rPr>
        <w:t xml:space="preserve">Export-U. "Agents and Distributors." Export-U.com. Accessed April 15, 2025. </w:t>
      </w:r>
      <w:hyperlink r:id="rId79" w:anchor=":~:text=Distributors%20generally%20purchase%20and%20resell,collect%20payments%20from%20the%20customers" w:tooltip="null" w:history="1">
        <w:r>
          <w:rPr>
            <w:rStyle w:val="selected"/>
            <w:color w:val="0000FF"/>
            <w:u w:val="single"/>
          </w:rPr>
          <w:t>https://erd.export-u.com/articles-2/trading-partners/agents-and-distributors-2/#:~:text=Distributors%20generally%20purchase%20and%20resell,collect%20payments%20from%20the%20customers</w:t>
        </w:r>
      </w:hyperlink>
      <w:r>
        <w:rPr>
          <w:rStyle w:val="selected"/>
        </w:rPr>
        <w:t>.</w:t>
      </w:r>
    </w:p>
    <w:p w14:paraId="15DFBED6" w14:textId="77777777" w:rsidR="00744EF6" w:rsidRPr="00C43705" w:rsidRDefault="00744EF6" w:rsidP="00EB3899">
      <w:pPr>
        <w:pStyle w:val="NormalWeb"/>
        <w:jc w:val="both"/>
        <w:rPr>
          <w:lang w:val="en-US"/>
        </w:rPr>
      </w:pPr>
      <w:r w:rsidRPr="00C43705">
        <w:rPr>
          <w:rStyle w:val="selected"/>
          <w:lang w:val="en-US"/>
        </w:rPr>
        <w:t xml:space="preserve">Federal Reserve Bank of St. Louis. "International Trade: Benefits and Risks." Last modified March 2024. Accessed February 16, 2025. </w:t>
      </w:r>
      <w:hyperlink r:id="rId80" w:tooltip="null" w:history="1">
        <w:r w:rsidRPr="00C43705">
          <w:rPr>
            <w:rStyle w:val="selected"/>
            <w:color w:val="0000FF"/>
            <w:u w:val="single"/>
            <w:lang w:val="en-US"/>
          </w:rPr>
          <w:t>https://www.stlouisfed.org/open-vault/2024/mar/international-trade-benefits-risks</w:t>
        </w:r>
      </w:hyperlink>
      <w:r w:rsidRPr="00C43705">
        <w:rPr>
          <w:rStyle w:val="selected"/>
          <w:lang w:val="en-US"/>
        </w:rPr>
        <w:t>.</w:t>
      </w:r>
    </w:p>
    <w:p w14:paraId="43A8C825" w14:textId="77777777" w:rsidR="00744EF6" w:rsidRPr="00C43705" w:rsidRDefault="00744EF6" w:rsidP="00EB3899">
      <w:pPr>
        <w:pStyle w:val="NormalWeb"/>
        <w:jc w:val="both"/>
        <w:rPr>
          <w:lang w:val="en-US"/>
        </w:rPr>
      </w:pPr>
      <w:r w:rsidRPr="00C43705">
        <w:rPr>
          <w:rStyle w:val="selected"/>
          <w:lang w:val="en-US"/>
        </w:rPr>
        <w:t xml:space="preserve">FO Consultancy. "Understanding Turkey’s Business Etiquette: Dos and Don’ts." April 16, 2024. Accessed April 18, 2025. </w:t>
      </w:r>
      <w:hyperlink r:id="rId81" w:tooltip="null" w:history="1">
        <w:r w:rsidRPr="00C43705">
          <w:rPr>
            <w:rStyle w:val="selected"/>
            <w:color w:val="0000FF"/>
            <w:u w:val="single"/>
            <w:lang w:val="en-US"/>
          </w:rPr>
          <w:t>https://www.fo-consultancy.com/turkeys-business-etiquette/</w:t>
        </w:r>
      </w:hyperlink>
      <w:r w:rsidRPr="00C43705">
        <w:rPr>
          <w:rStyle w:val="selected"/>
          <w:lang w:val="en-US"/>
        </w:rPr>
        <w:t>.</w:t>
      </w:r>
    </w:p>
    <w:p w14:paraId="3D131A52" w14:textId="77777777" w:rsidR="00744EF6" w:rsidRPr="00C43705" w:rsidRDefault="00744EF6" w:rsidP="00EB3899">
      <w:pPr>
        <w:pStyle w:val="NormalWeb"/>
        <w:jc w:val="both"/>
        <w:rPr>
          <w:lang w:val="en-US"/>
        </w:rPr>
      </w:pPr>
      <w:r w:rsidRPr="00C43705">
        <w:rPr>
          <w:rStyle w:val="selected"/>
          <w:lang w:val="en-US"/>
        </w:rPr>
        <w:t xml:space="preserve">Gabriel, H. "Algeria and Turkey ... Political Momentum to Deepen a 16-Year-Old Strategic Partnership (Framework)." AA. Last modified 05.02.2023. </w:t>
      </w:r>
      <w:hyperlink r:id="rId82" w:tooltip="null" w:history="1">
        <w:r w:rsidRPr="00C43705">
          <w:rPr>
            <w:rStyle w:val="selected"/>
            <w:color w:val="0000FF"/>
            <w:u w:val="single"/>
            <w:lang w:val="en-US"/>
          </w:rPr>
          <w:t>https://www.aa.com.tr</w:t>
        </w:r>
      </w:hyperlink>
      <w:r w:rsidRPr="00C43705">
        <w:rPr>
          <w:rStyle w:val="selected"/>
          <w:lang w:val="en-US"/>
        </w:rPr>
        <w:t>.</w:t>
      </w:r>
    </w:p>
    <w:p w14:paraId="20E57E54" w14:textId="77777777" w:rsidR="00744EF6" w:rsidRPr="00C43705" w:rsidRDefault="00744EF6" w:rsidP="00EB3899">
      <w:pPr>
        <w:pStyle w:val="NormalWeb"/>
        <w:jc w:val="both"/>
        <w:rPr>
          <w:lang w:val="en-US"/>
        </w:rPr>
      </w:pPr>
      <w:r w:rsidRPr="00C43705">
        <w:rPr>
          <w:rStyle w:val="selected"/>
          <w:lang w:val="en-US"/>
        </w:rPr>
        <w:t xml:space="preserve">Global Cosmetic Industry (GCI). "Potential in Turkey and the Middle East." GCI Magazine. Accessed May 2025. </w:t>
      </w:r>
      <w:hyperlink r:id="rId83" w:tooltip="null" w:history="1">
        <w:r w:rsidRPr="00C43705">
          <w:rPr>
            <w:rStyle w:val="selected"/>
            <w:color w:val="0000FF"/>
            <w:u w:val="single"/>
            <w:lang w:val="en-US"/>
          </w:rPr>
          <w:t>https://www.gcimagazine.com/consumers-markets/article/21849970/potential-in-turkey-and-the-middle-east</w:t>
        </w:r>
      </w:hyperlink>
      <w:r w:rsidRPr="00C43705">
        <w:rPr>
          <w:rStyle w:val="selected"/>
          <w:lang w:val="en-US"/>
        </w:rPr>
        <w:t>.</w:t>
      </w:r>
    </w:p>
    <w:p w14:paraId="1F2C1B62" w14:textId="77777777" w:rsidR="00744EF6" w:rsidRPr="00C43705" w:rsidRDefault="00744EF6" w:rsidP="00EB3899">
      <w:pPr>
        <w:pStyle w:val="NormalWeb"/>
        <w:jc w:val="both"/>
        <w:rPr>
          <w:lang w:val="en-US"/>
        </w:rPr>
      </w:pPr>
      <w:r w:rsidRPr="00C43705">
        <w:rPr>
          <w:rStyle w:val="selected"/>
          <w:lang w:val="en-US"/>
        </w:rPr>
        <w:t xml:space="preserve">GlobalData. "Turkey Skincare Market Analysis." GlobalData Store. Accessed May 2025. </w:t>
      </w:r>
      <w:hyperlink r:id="rId84" w:tooltip="null" w:history="1">
        <w:r w:rsidRPr="00C43705">
          <w:rPr>
            <w:rStyle w:val="selected"/>
            <w:color w:val="0000FF"/>
            <w:u w:val="single"/>
            <w:lang w:val="en-US"/>
          </w:rPr>
          <w:t>https://www.globaldata.com/store/report/turkey-skincare-market-analysis/</w:t>
        </w:r>
      </w:hyperlink>
      <w:r w:rsidRPr="00C43705">
        <w:rPr>
          <w:rStyle w:val="selected"/>
          <w:lang w:val="en-US"/>
        </w:rPr>
        <w:t>.</w:t>
      </w:r>
    </w:p>
    <w:p w14:paraId="7A234149" w14:textId="77777777" w:rsidR="00744EF6" w:rsidRPr="00C43705" w:rsidRDefault="00744EF6" w:rsidP="00EB3899">
      <w:pPr>
        <w:pStyle w:val="NormalWeb"/>
        <w:jc w:val="both"/>
        <w:rPr>
          <w:lang w:val="en-US"/>
        </w:rPr>
      </w:pPr>
      <w:r w:rsidRPr="00C43705">
        <w:rPr>
          <w:rStyle w:val="selected"/>
          <w:lang w:val="en-US"/>
        </w:rPr>
        <w:t xml:space="preserve">HarperCollins Publishers. "Exportation." In Collins English Dictionary. Accessed March 24, 2025. </w:t>
      </w:r>
      <w:hyperlink r:id="rId85" w:tooltip="null" w:history="1">
        <w:r w:rsidRPr="00C43705">
          <w:rPr>
            <w:rStyle w:val="selected"/>
            <w:color w:val="0000FF"/>
            <w:u w:val="single"/>
            <w:lang w:val="en-US"/>
          </w:rPr>
          <w:t>https://www.collinsdictionary.com/dictionary/english/exportation</w:t>
        </w:r>
      </w:hyperlink>
      <w:r w:rsidRPr="00C43705">
        <w:rPr>
          <w:rStyle w:val="selected"/>
          <w:lang w:val="en-US"/>
        </w:rPr>
        <w:t>.</w:t>
      </w:r>
    </w:p>
    <w:p w14:paraId="358C80AF" w14:textId="77777777" w:rsidR="00744EF6" w:rsidRPr="00C43705" w:rsidRDefault="00744EF6" w:rsidP="00EB3899">
      <w:pPr>
        <w:pStyle w:val="NormalWeb"/>
        <w:jc w:val="both"/>
        <w:rPr>
          <w:lang w:val="en-US"/>
        </w:rPr>
      </w:pPr>
      <w:r w:rsidRPr="00C43705">
        <w:rPr>
          <w:rStyle w:val="selected"/>
          <w:lang w:val="en-US"/>
        </w:rPr>
        <w:t>"</w:t>
      </w:r>
      <w:hyperlink r:id="rId86" w:tooltip="null" w:history="1">
        <w:r w:rsidRPr="00C43705">
          <w:rPr>
            <w:rStyle w:val="selected"/>
            <w:color w:val="0000FF"/>
            <w:u w:val="single"/>
            <w:lang w:val="en-US"/>
          </w:rPr>
          <w:t>https://english.news.cn/20240714/45c134a193b4476c9c6ed00f19f8a6c6/c.html</w:t>
        </w:r>
      </w:hyperlink>
      <w:r w:rsidRPr="00C43705">
        <w:rPr>
          <w:rStyle w:val="selected"/>
          <w:lang w:val="en-US"/>
        </w:rPr>
        <w:t>." Accessed April 22, 2025.</w:t>
      </w:r>
    </w:p>
    <w:p w14:paraId="6A319A74" w14:textId="77777777" w:rsidR="00744EF6" w:rsidRPr="00C43705" w:rsidRDefault="00744EF6" w:rsidP="00EB3899">
      <w:pPr>
        <w:pStyle w:val="NormalWeb"/>
        <w:jc w:val="both"/>
        <w:rPr>
          <w:lang w:val="en-US"/>
        </w:rPr>
      </w:pPr>
      <w:r w:rsidRPr="00C43705">
        <w:rPr>
          <w:rStyle w:val="selected"/>
          <w:lang w:val="en-US"/>
        </w:rPr>
        <w:t>"</w:t>
      </w:r>
      <w:hyperlink r:id="rId87" w:tooltip="null" w:history="1">
        <w:r w:rsidRPr="00C43705">
          <w:rPr>
            <w:rStyle w:val="selected"/>
            <w:color w:val="0000FF"/>
            <w:u w:val="single"/>
            <w:lang w:val="en-US"/>
          </w:rPr>
          <w:t>https://www.magnificenttravel.com/en/blog/turkey/customs-in-turkey-a-comprehensive-guide-to-navigating-cultural-norms-1/</w:t>
        </w:r>
      </w:hyperlink>
      <w:r w:rsidRPr="00C43705">
        <w:rPr>
          <w:rStyle w:val="selected"/>
          <w:lang w:val="en-US"/>
        </w:rPr>
        <w:t>." Accessed April 18, 2025.</w:t>
      </w:r>
    </w:p>
    <w:p w14:paraId="0BFF4F07" w14:textId="77777777" w:rsidR="00744EF6" w:rsidRPr="00C43705" w:rsidRDefault="00744EF6" w:rsidP="00EB3899">
      <w:pPr>
        <w:pStyle w:val="NormalWeb"/>
        <w:jc w:val="both"/>
        <w:rPr>
          <w:lang w:val="en-US"/>
        </w:rPr>
      </w:pPr>
      <w:r w:rsidRPr="00C43705">
        <w:rPr>
          <w:rStyle w:val="selected"/>
          <w:lang w:val="en-US"/>
        </w:rPr>
        <w:t>"</w:t>
      </w:r>
      <w:hyperlink r:id="rId88" w:tooltip="null" w:history="1">
        <w:r w:rsidRPr="00C43705">
          <w:rPr>
            <w:rStyle w:val="selected"/>
            <w:color w:val="0000FF"/>
            <w:u w:val="single"/>
            <w:lang w:val="en-US"/>
          </w:rPr>
          <w:t>https://www.oxfordlearnersdictionaries.com/definition/english/exportation</w:t>
        </w:r>
      </w:hyperlink>
      <w:r w:rsidRPr="00C43705">
        <w:rPr>
          <w:rStyle w:val="selected"/>
          <w:lang w:val="en-US"/>
        </w:rPr>
        <w:t>." Accessed March 24, 2025.</w:t>
      </w:r>
    </w:p>
    <w:p w14:paraId="5C876ED2" w14:textId="77777777" w:rsidR="00744EF6" w:rsidRPr="00C43705" w:rsidRDefault="00744EF6" w:rsidP="00EB3899">
      <w:pPr>
        <w:pStyle w:val="NormalWeb"/>
        <w:jc w:val="both"/>
        <w:rPr>
          <w:lang w:val="en-US"/>
        </w:rPr>
      </w:pPr>
      <w:r w:rsidRPr="00C43705">
        <w:rPr>
          <w:rStyle w:val="selected"/>
          <w:lang w:val="en-US"/>
        </w:rPr>
        <w:t xml:space="preserve">International Trade Administration. "Turkey – Distribution &amp; Sales Channels." U.S. Department of Commerce, January 7, 2024. </w:t>
      </w:r>
      <w:hyperlink r:id="rId89" w:tooltip="null" w:history="1">
        <w:r w:rsidRPr="00C43705">
          <w:rPr>
            <w:rStyle w:val="selected"/>
            <w:color w:val="0000FF"/>
            <w:u w:val="single"/>
            <w:lang w:val="en-US"/>
          </w:rPr>
          <w:t>https://www.trade.gov/country-commercial-guides/turkey-distribution-sales-channels</w:t>
        </w:r>
      </w:hyperlink>
      <w:r w:rsidRPr="00C43705">
        <w:rPr>
          <w:rStyle w:val="selected"/>
          <w:lang w:val="en-US"/>
        </w:rPr>
        <w:t>. Accessed April 22, 2025.</w:t>
      </w:r>
    </w:p>
    <w:p w14:paraId="52B35FBB" w14:textId="77777777" w:rsidR="00744EF6" w:rsidRPr="00BD2EBF" w:rsidRDefault="00744EF6" w:rsidP="00EB3899">
      <w:pPr>
        <w:pStyle w:val="NormalWeb"/>
        <w:jc w:val="both"/>
        <w:rPr>
          <w:lang w:val="en-GB"/>
        </w:rPr>
      </w:pPr>
      <w:r w:rsidRPr="00C43705">
        <w:rPr>
          <w:rStyle w:val="selected"/>
          <w:lang w:val="en-US"/>
        </w:rPr>
        <w:t xml:space="preserve">Investopedia. "Export." Last modified 2024. Accessed February 16, 2025. </w:t>
      </w:r>
      <w:hyperlink r:id="rId90" w:tooltip="null" w:history="1">
        <w:r w:rsidRPr="00BD2EBF">
          <w:rPr>
            <w:rStyle w:val="selected"/>
            <w:color w:val="0000FF"/>
            <w:u w:val="single"/>
            <w:lang w:val="en-GB"/>
          </w:rPr>
          <w:t>https://www.investopedia.com/terms/e/export.asp</w:t>
        </w:r>
      </w:hyperlink>
      <w:r w:rsidRPr="00BD2EBF">
        <w:rPr>
          <w:rStyle w:val="selected"/>
          <w:lang w:val="en-GB"/>
        </w:rPr>
        <w:t>.</w:t>
      </w:r>
    </w:p>
    <w:p w14:paraId="466C62EC" w14:textId="77777777" w:rsidR="00744EF6" w:rsidRPr="00C43705" w:rsidRDefault="00744EF6" w:rsidP="00EB3899">
      <w:pPr>
        <w:pStyle w:val="NormalWeb"/>
        <w:jc w:val="both"/>
        <w:rPr>
          <w:lang w:val="en-US"/>
        </w:rPr>
      </w:pPr>
      <w:r w:rsidRPr="00BD2EBF">
        <w:rPr>
          <w:rStyle w:val="selected"/>
          <w:lang w:val="en-GB"/>
        </w:rPr>
        <w:t xml:space="preserve">Jade International. </w:t>
      </w:r>
      <w:r w:rsidRPr="00C43705">
        <w:rPr>
          <w:rStyle w:val="selected"/>
          <w:lang w:val="en-US"/>
        </w:rPr>
        <w:t xml:space="preserve">"Understanding the Roles of Importer of Record and Exporter of Record." LinkedIn. Accessed April 15, 2025. </w:t>
      </w:r>
      <w:hyperlink r:id="rId91" w:tooltip="null" w:history="1">
        <w:r w:rsidRPr="00C43705">
          <w:rPr>
            <w:rStyle w:val="selected"/>
            <w:color w:val="0000FF"/>
            <w:u w:val="single"/>
            <w:lang w:val="en-US"/>
          </w:rPr>
          <w:t>https://www.linkedin.com/pulse/understanding-roles-importer-record-exporter-jadeintl-vxwne/</w:t>
        </w:r>
      </w:hyperlink>
      <w:r w:rsidRPr="00C43705">
        <w:rPr>
          <w:rStyle w:val="selected"/>
          <w:lang w:val="en-US"/>
        </w:rPr>
        <w:t>.</w:t>
      </w:r>
    </w:p>
    <w:p w14:paraId="471BD758" w14:textId="77777777" w:rsidR="00744EF6" w:rsidRPr="00C43705" w:rsidRDefault="00744EF6" w:rsidP="00EB3899">
      <w:pPr>
        <w:pStyle w:val="NormalWeb"/>
        <w:jc w:val="both"/>
        <w:rPr>
          <w:lang w:val="en-US"/>
        </w:rPr>
      </w:pPr>
      <w:r w:rsidRPr="00C43705">
        <w:rPr>
          <w:rStyle w:val="selected"/>
          <w:lang w:val="en-US"/>
        </w:rPr>
        <w:t>Katz, L. "Negotiating International Business – Turkey." Mt. San Antonio College, March 2008.</w:t>
      </w:r>
    </w:p>
    <w:p w14:paraId="12211C1F" w14:textId="77777777" w:rsidR="00744EF6" w:rsidRDefault="00744EF6" w:rsidP="00EB3899">
      <w:pPr>
        <w:pStyle w:val="NormalWeb"/>
        <w:jc w:val="both"/>
      </w:pPr>
      <w:r w:rsidRPr="00C43705">
        <w:rPr>
          <w:rStyle w:val="selected"/>
          <w:lang w:val="en-US"/>
        </w:rPr>
        <w:t xml:space="preserve">Kramer, L. "How Importing and Exporting Impacts the Economy." Investopedia. Last modified December 20, 2024. Accessed April 14, 2025. </w:t>
      </w:r>
      <w:hyperlink r:id="rId92" w:tooltip="null" w:history="1">
        <w:r>
          <w:rPr>
            <w:rStyle w:val="selected"/>
            <w:color w:val="0000FF"/>
            <w:u w:val="single"/>
          </w:rPr>
          <w:t>https://www.investopedia.com/articles/investing/100813/interesting-facts-about-imports-and-exports.asp</w:t>
        </w:r>
      </w:hyperlink>
      <w:r>
        <w:rPr>
          <w:rStyle w:val="selected"/>
        </w:rPr>
        <w:t>.</w:t>
      </w:r>
    </w:p>
    <w:p w14:paraId="1B4079E0" w14:textId="77777777" w:rsidR="00744EF6" w:rsidRPr="00C43705" w:rsidRDefault="00744EF6" w:rsidP="00EB3899">
      <w:pPr>
        <w:pStyle w:val="NormalWeb"/>
        <w:jc w:val="both"/>
        <w:rPr>
          <w:lang w:val="en-US"/>
        </w:rPr>
      </w:pPr>
      <w:r w:rsidRPr="00C43705">
        <w:rPr>
          <w:rStyle w:val="selected"/>
          <w:lang w:val="en-US"/>
        </w:rPr>
        <w:t xml:space="preserve">Lachmoth, A. "Turkish-Algerian Relations from The Historical Dimension to The Geopolitical Dimension." ULTrasawt. Last modified 05.02.2023. </w:t>
      </w:r>
      <w:hyperlink r:id="rId93" w:tooltip="null" w:history="1">
        <w:r w:rsidRPr="00C43705">
          <w:rPr>
            <w:rStyle w:val="selected"/>
            <w:color w:val="0000FF"/>
            <w:u w:val="single"/>
            <w:lang w:val="en-US"/>
          </w:rPr>
          <w:t>https://ultraalgeria.ULTrasawt.com</w:t>
        </w:r>
      </w:hyperlink>
      <w:r w:rsidRPr="00C43705">
        <w:rPr>
          <w:rStyle w:val="selected"/>
          <w:lang w:val="en-US"/>
        </w:rPr>
        <w:t>.</w:t>
      </w:r>
    </w:p>
    <w:p w14:paraId="13904B16" w14:textId="77777777" w:rsidR="00744EF6" w:rsidRPr="00C43705" w:rsidRDefault="00744EF6" w:rsidP="00EB3899">
      <w:pPr>
        <w:pStyle w:val="NormalWeb"/>
        <w:jc w:val="both"/>
        <w:rPr>
          <w:lang w:val="en-US"/>
        </w:rPr>
      </w:pPr>
      <w:r w:rsidRPr="00C43705">
        <w:rPr>
          <w:rStyle w:val="selected"/>
          <w:lang w:val="en-US"/>
        </w:rPr>
        <w:t xml:space="preserve">Merriam-Webster Dictionary. "Boycott." Accessed February 9, 2025. </w:t>
      </w:r>
      <w:hyperlink r:id="rId94" w:tooltip="null" w:history="1">
        <w:r w:rsidRPr="00C43705">
          <w:rPr>
            <w:rStyle w:val="selected"/>
            <w:color w:val="0000FF"/>
            <w:u w:val="single"/>
            <w:lang w:val="en-US"/>
          </w:rPr>
          <w:t>https://www.merriam-webster.com/dictionary/boycott</w:t>
        </w:r>
      </w:hyperlink>
      <w:r w:rsidRPr="00C43705">
        <w:rPr>
          <w:rStyle w:val="selected"/>
          <w:lang w:val="en-US"/>
        </w:rPr>
        <w:t>.</w:t>
      </w:r>
    </w:p>
    <w:p w14:paraId="219D5420" w14:textId="77777777" w:rsidR="00744EF6" w:rsidRPr="00C43705" w:rsidRDefault="00744EF6" w:rsidP="00EB3899">
      <w:pPr>
        <w:pStyle w:val="NormalWeb"/>
        <w:jc w:val="both"/>
        <w:rPr>
          <w:lang w:val="en-US"/>
        </w:rPr>
      </w:pPr>
      <w:r w:rsidRPr="00C43705">
        <w:rPr>
          <w:rStyle w:val="selected"/>
          <w:lang w:val="en-US"/>
        </w:rPr>
        <w:t xml:space="preserve">Merriam-Webster. "Exportation." In Merriam-Webster.com dictionary. Accessed March 24, 2025. </w:t>
      </w:r>
      <w:hyperlink r:id="rId95" w:tooltip="null" w:history="1">
        <w:r w:rsidRPr="00C43705">
          <w:rPr>
            <w:rStyle w:val="selected"/>
            <w:color w:val="0000FF"/>
            <w:u w:val="single"/>
            <w:lang w:val="en-US"/>
          </w:rPr>
          <w:t>https://www.merriam-webster.com/dictionary/exportation</w:t>
        </w:r>
      </w:hyperlink>
      <w:r w:rsidRPr="00C43705">
        <w:rPr>
          <w:rStyle w:val="selected"/>
          <w:lang w:val="en-US"/>
        </w:rPr>
        <w:t>.</w:t>
      </w:r>
    </w:p>
    <w:p w14:paraId="2BB10DE4" w14:textId="77777777" w:rsidR="00744EF6" w:rsidRPr="00C43705" w:rsidRDefault="00744EF6" w:rsidP="00EB3899">
      <w:pPr>
        <w:pStyle w:val="NormalWeb"/>
        <w:jc w:val="both"/>
        <w:rPr>
          <w:lang w:val="en-US"/>
        </w:rPr>
      </w:pPr>
      <w:r w:rsidRPr="00C43705">
        <w:rPr>
          <w:rStyle w:val="selected"/>
          <w:lang w:val="en-US"/>
        </w:rPr>
        <w:t xml:space="preserve">Mouse &amp; Bear Solutions. "Exporter of Record – What, Who &amp; Why?." December 9, 2019. </w:t>
      </w:r>
      <w:hyperlink r:id="rId96" w:tooltip="null" w:history="1">
        <w:r w:rsidRPr="00C43705">
          <w:rPr>
            <w:rStyle w:val="selected"/>
            <w:color w:val="0000FF"/>
            <w:u w:val="single"/>
            <w:lang w:val="en-US"/>
          </w:rPr>
          <w:t>https://www.mouseandbear.com/blog/exporter-of-record-eor-what-who-and-why.htm</w:t>
        </w:r>
      </w:hyperlink>
      <w:r w:rsidRPr="00C43705">
        <w:rPr>
          <w:rStyle w:val="selected"/>
          <w:lang w:val="en-US"/>
        </w:rPr>
        <w:t>. Accessed April 15, 2025.</w:t>
      </w:r>
    </w:p>
    <w:p w14:paraId="426EBB7F" w14:textId="77777777" w:rsidR="00744EF6" w:rsidRPr="00C43705" w:rsidRDefault="00744EF6" w:rsidP="00EB3899">
      <w:pPr>
        <w:pStyle w:val="NormalWeb"/>
        <w:jc w:val="both"/>
        <w:rPr>
          <w:lang w:val="en-US"/>
        </w:rPr>
      </w:pPr>
      <w:r w:rsidRPr="00C43705">
        <w:rPr>
          <w:rStyle w:val="selected"/>
          <w:lang w:val="en-US"/>
        </w:rPr>
        <w:t xml:space="preserve">Ozbilek, K. "Effective Marketing Strategies for Entering the Türkiye Market." Turkish Business World, December 28, 2024. </w:t>
      </w:r>
      <w:hyperlink r:id="rId97" w:tooltip="null" w:history="1">
        <w:r w:rsidRPr="00C43705">
          <w:rPr>
            <w:rStyle w:val="selected"/>
            <w:color w:val="0000FF"/>
            <w:u w:val="single"/>
            <w:lang w:val="en-US"/>
          </w:rPr>
          <w:t>https://trbusinessworld.com/en/2024/12/28/effective-marketing-strategies-for-entering-the-turkiye-market/</w:t>
        </w:r>
      </w:hyperlink>
      <w:r w:rsidRPr="00C43705">
        <w:rPr>
          <w:rStyle w:val="selected"/>
          <w:lang w:val="en-US"/>
        </w:rPr>
        <w:t>. Accessed April 22, 2025.</w:t>
      </w:r>
    </w:p>
    <w:p w14:paraId="2D1BBE8B" w14:textId="77777777" w:rsidR="00744EF6" w:rsidRPr="00C43705" w:rsidRDefault="00744EF6" w:rsidP="00EB3899">
      <w:pPr>
        <w:pStyle w:val="NormalWeb"/>
        <w:jc w:val="both"/>
        <w:rPr>
          <w:lang w:val="en-US"/>
        </w:rPr>
      </w:pPr>
      <w:r w:rsidRPr="00C43705">
        <w:rPr>
          <w:rStyle w:val="selected"/>
          <w:lang w:val="en-US"/>
        </w:rPr>
        <w:t xml:space="preserve">Oxford Learner’s Dictionaries. "Boycott." Accessed February 9, 2025. </w:t>
      </w:r>
      <w:hyperlink r:id="rId98" w:tooltip="null" w:history="1">
        <w:r w:rsidRPr="00C43705">
          <w:rPr>
            <w:rStyle w:val="selected"/>
            <w:color w:val="0000FF"/>
            <w:u w:val="single"/>
            <w:lang w:val="en-US"/>
          </w:rPr>
          <w:t>https://www.oxfordlearnersdictionaries.com/definition/english/boycott</w:t>
        </w:r>
      </w:hyperlink>
      <w:r w:rsidRPr="00C43705">
        <w:rPr>
          <w:rStyle w:val="selected"/>
          <w:lang w:val="en-US"/>
        </w:rPr>
        <w:t>.</w:t>
      </w:r>
    </w:p>
    <w:p w14:paraId="1C69B84F" w14:textId="77777777" w:rsidR="00744EF6" w:rsidRPr="00C43705" w:rsidRDefault="00744EF6" w:rsidP="00EB3899">
      <w:pPr>
        <w:pStyle w:val="NormalWeb"/>
        <w:jc w:val="both"/>
        <w:rPr>
          <w:lang w:val="en-US"/>
        </w:rPr>
      </w:pPr>
      <w:r w:rsidRPr="00C43705">
        <w:rPr>
          <w:rStyle w:val="selected"/>
          <w:lang w:val="en-US"/>
        </w:rPr>
        <w:t xml:space="preserve">Paturkey.com. "Turkey: Hard Data Signals Slow Down in Growth." Accessed May 2025. </w:t>
      </w:r>
      <w:hyperlink r:id="rId99" w:tooltip="null" w:history="1">
        <w:r w:rsidRPr="00C43705">
          <w:rPr>
            <w:rStyle w:val="selected"/>
            <w:color w:val="0000FF"/>
            <w:u w:val="single"/>
            <w:lang w:val="en-US"/>
          </w:rPr>
          <w:t>https://www.paturkey.com/news/2025/turkey-hard-data-signals-slow-down-in-growth-19745/</w:t>
        </w:r>
      </w:hyperlink>
      <w:r w:rsidRPr="00C43705">
        <w:rPr>
          <w:rStyle w:val="selected"/>
          <w:lang w:val="en-US"/>
        </w:rPr>
        <w:t>.</w:t>
      </w:r>
    </w:p>
    <w:p w14:paraId="1ED07210" w14:textId="77777777" w:rsidR="00744EF6" w:rsidRPr="00C43705" w:rsidRDefault="00744EF6" w:rsidP="00EB3899">
      <w:pPr>
        <w:pStyle w:val="NormalWeb"/>
        <w:jc w:val="both"/>
        <w:rPr>
          <w:lang w:val="en-US"/>
        </w:rPr>
      </w:pPr>
      <w:r w:rsidRPr="00C43705">
        <w:rPr>
          <w:rStyle w:val="selected"/>
          <w:lang w:val="en-US"/>
        </w:rPr>
        <w:t xml:space="preserve">Proderma Algeria. "Instagram profile." Instagram. Accessed May 27, 2025. </w:t>
      </w:r>
      <w:hyperlink r:id="rId100" w:tooltip="null" w:history="1">
        <w:r w:rsidRPr="00C43705">
          <w:rPr>
            <w:rStyle w:val="selected"/>
            <w:color w:val="0000FF"/>
            <w:u w:val="single"/>
            <w:lang w:val="en-US"/>
          </w:rPr>
          <w:t>https://www.instagram.com/proderma.algeria/</w:t>
        </w:r>
      </w:hyperlink>
      <w:r w:rsidRPr="00C43705">
        <w:rPr>
          <w:rStyle w:val="selected"/>
          <w:lang w:val="en-US"/>
        </w:rPr>
        <w:t>.</w:t>
      </w:r>
    </w:p>
    <w:p w14:paraId="3DB48E9A" w14:textId="77777777" w:rsidR="00744EF6" w:rsidRPr="00C43705" w:rsidRDefault="00744EF6" w:rsidP="00EB3899">
      <w:pPr>
        <w:pStyle w:val="NormalWeb"/>
        <w:jc w:val="both"/>
        <w:rPr>
          <w:lang w:val="en-US"/>
        </w:rPr>
      </w:pPr>
      <w:r>
        <w:rPr>
          <w:rStyle w:val="selected"/>
        </w:rPr>
        <w:t xml:space="preserve">Proderma Laboratoires Dérmo-Cosmétique. "Facebook page." </w:t>
      </w:r>
      <w:r w:rsidRPr="00C43705">
        <w:rPr>
          <w:rStyle w:val="selected"/>
          <w:lang w:val="en-US"/>
        </w:rPr>
        <w:t xml:space="preserve">Facebook. Accessed May 27, 2025. </w:t>
      </w:r>
      <w:hyperlink r:id="rId101" w:tooltip="null" w:history="1">
        <w:r w:rsidRPr="00C43705">
          <w:rPr>
            <w:rStyle w:val="selected"/>
            <w:color w:val="0000FF"/>
            <w:u w:val="single"/>
            <w:lang w:val="en-US"/>
          </w:rPr>
          <w:t>https://www.facebook.com/PRODERMA.Laboratoires/</w:t>
        </w:r>
      </w:hyperlink>
      <w:r w:rsidRPr="00C43705">
        <w:rPr>
          <w:rStyle w:val="selected"/>
          <w:lang w:val="en-US"/>
        </w:rPr>
        <w:t>.</w:t>
      </w:r>
    </w:p>
    <w:p w14:paraId="52CF8C07" w14:textId="77777777" w:rsidR="00744EF6" w:rsidRPr="00C43705" w:rsidRDefault="00744EF6" w:rsidP="00EB3899">
      <w:pPr>
        <w:pStyle w:val="NormalWeb"/>
        <w:jc w:val="both"/>
        <w:rPr>
          <w:lang w:val="en-US"/>
        </w:rPr>
      </w:pPr>
      <w:r w:rsidRPr="00C43705">
        <w:rPr>
          <w:rStyle w:val="selected"/>
          <w:lang w:val="en-US"/>
        </w:rPr>
        <w:t xml:space="preserve">ReportLinker. "[Market Report on Beauty and Personal Care]." ReportLinker. Accessed May 2025. </w:t>
      </w:r>
      <w:hyperlink r:id="rId102" w:tooltip="null" w:history="1">
        <w:r w:rsidRPr="00C43705">
          <w:rPr>
            <w:rStyle w:val="selected"/>
            <w:color w:val="0000FF"/>
            <w:u w:val="single"/>
            <w:lang w:val="en-US"/>
          </w:rPr>
          <w:t>https://www.reportlinker.com/dlp/5ccec7326ded447cfd5154f0cb1e032e</w:t>
        </w:r>
      </w:hyperlink>
      <w:r w:rsidRPr="00C43705">
        <w:rPr>
          <w:rStyle w:val="selected"/>
          <w:lang w:val="en-US"/>
        </w:rPr>
        <w:t>.</w:t>
      </w:r>
    </w:p>
    <w:p w14:paraId="7F3BB976" w14:textId="77777777" w:rsidR="00744EF6" w:rsidRPr="00C43705" w:rsidRDefault="00744EF6" w:rsidP="00EB3899">
      <w:pPr>
        <w:pStyle w:val="NormalWeb"/>
        <w:jc w:val="both"/>
        <w:rPr>
          <w:lang w:val="en-US"/>
        </w:rPr>
      </w:pPr>
      <w:r w:rsidRPr="00C43705">
        <w:rPr>
          <w:rStyle w:val="selected"/>
          <w:lang w:val="en-US"/>
        </w:rPr>
        <w:t xml:space="preserve">Republic of Türkiye Ministry of Trade. "Cosmetics and Personal Care Product Sector Report." Accessed May 2025. </w:t>
      </w:r>
      <w:hyperlink r:id="rId103" w:tooltip="null" w:history="1">
        <w:r w:rsidRPr="00C43705">
          <w:rPr>
            <w:rStyle w:val="selected"/>
            <w:color w:val="0000FF"/>
            <w:u w:val="single"/>
            <w:lang w:val="en-US"/>
          </w:rPr>
          <w:t>https://www.trade.gov.tr/data/5b8fd4fb13b8761f041fee78/Cosmetics%20and%20Personal%20Care%20Product.pdf</w:t>
        </w:r>
      </w:hyperlink>
      <w:r w:rsidRPr="00C43705">
        <w:rPr>
          <w:rStyle w:val="selected"/>
          <w:lang w:val="en-US"/>
        </w:rPr>
        <w:t>.</w:t>
      </w:r>
    </w:p>
    <w:p w14:paraId="3146EAAA" w14:textId="77777777" w:rsidR="00744EF6" w:rsidRPr="00C43705" w:rsidRDefault="00744EF6" w:rsidP="00EB3899">
      <w:pPr>
        <w:pStyle w:val="NormalWeb"/>
        <w:jc w:val="both"/>
        <w:rPr>
          <w:lang w:val="en-US"/>
        </w:rPr>
      </w:pPr>
      <w:r w:rsidRPr="00C43705">
        <w:rPr>
          <w:rStyle w:val="selected"/>
          <w:lang w:val="en-US"/>
        </w:rPr>
        <w:t xml:space="preserve">Rivermate. "Cultural Considerations in Turkey." Accessed April 18, 2025. </w:t>
      </w:r>
      <w:hyperlink r:id="rId104" w:tooltip="null" w:history="1">
        <w:r w:rsidRPr="00C43705">
          <w:rPr>
            <w:rStyle w:val="selected"/>
            <w:color w:val="0000FF"/>
            <w:u w:val="single"/>
            <w:lang w:val="en-US"/>
          </w:rPr>
          <w:t>https://www.rivermate.com/guides/turkey/cultural-considerations</w:t>
        </w:r>
      </w:hyperlink>
      <w:r w:rsidRPr="00C43705">
        <w:rPr>
          <w:rStyle w:val="selected"/>
          <w:lang w:val="en-US"/>
        </w:rPr>
        <w:t>.</w:t>
      </w:r>
    </w:p>
    <w:p w14:paraId="08A54CE9" w14:textId="77777777" w:rsidR="00744EF6" w:rsidRPr="00C43705" w:rsidRDefault="00744EF6" w:rsidP="00EB3899">
      <w:pPr>
        <w:pStyle w:val="NormalWeb"/>
        <w:jc w:val="both"/>
        <w:rPr>
          <w:lang w:val="en-US"/>
        </w:rPr>
      </w:pPr>
      <w:r w:rsidRPr="00C43705">
        <w:rPr>
          <w:rStyle w:val="selected"/>
          <w:lang w:val="en-US"/>
        </w:rPr>
        <w:t xml:space="preserve">Sansal, B. "Turkish Holidays." All About Turkey. Accessed April 18, 2025. </w:t>
      </w:r>
      <w:hyperlink r:id="rId105" w:tooltip="null" w:history="1">
        <w:r w:rsidRPr="00C43705">
          <w:rPr>
            <w:rStyle w:val="selected"/>
            <w:color w:val="0000FF"/>
            <w:u w:val="single"/>
            <w:lang w:val="en-US"/>
          </w:rPr>
          <w:t>https://www.allaboutturkey.com/holidays.html</w:t>
        </w:r>
      </w:hyperlink>
      <w:r w:rsidRPr="00C43705">
        <w:rPr>
          <w:rStyle w:val="selected"/>
          <w:lang w:val="en-US"/>
        </w:rPr>
        <w:t>.</w:t>
      </w:r>
    </w:p>
    <w:p w14:paraId="48842F41" w14:textId="77777777" w:rsidR="00744EF6" w:rsidRPr="00C43705" w:rsidRDefault="00744EF6" w:rsidP="00EB3899">
      <w:pPr>
        <w:pStyle w:val="NormalWeb"/>
        <w:jc w:val="both"/>
        <w:rPr>
          <w:lang w:val="en-US"/>
        </w:rPr>
      </w:pPr>
      <w:r w:rsidRPr="00C43705">
        <w:rPr>
          <w:rStyle w:val="selected"/>
          <w:lang w:val="en-US"/>
        </w:rPr>
        <w:t xml:space="preserve">StrategyHelix. "Beauty and Personal Care Products Market in Turkey." StrategyHelix Store. Accessed May 2025. </w:t>
      </w:r>
      <w:hyperlink r:id="rId106" w:tooltip="null" w:history="1">
        <w:r w:rsidRPr="00C43705">
          <w:rPr>
            <w:rStyle w:val="selected"/>
            <w:color w:val="0000FF"/>
            <w:u w:val="single"/>
            <w:lang w:val="en-US"/>
          </w:rPr>
          <w:t>https://store.strategyh.com/report/beauty-and-personal-care-products-market-in-turkey/</w:t>
        </w:r>
      </w:hyperlink>
      <w:r w:rsidRPr="00C43705">
        <w:rPr>
          <w:rStyle w:val="selected"/>
          <w:lang w:val="en-US"/>
        </w:rPr>
        <w:t>.</w:t>
      </w:r>
    </w:p>
    <w:p w14:paraId="1215BBB0" w14:textId="77777777" w:rsidR="00744EF6" w:rsidRPr="00C43705" w:rsidRDefault="00744EF6" w:rsidP="00EB3899">
      <w:pPr>
        <w:pStyle w:val="NormalWeb"/>
        <w:jc w:val="both"/>
        <w:rPr>
          <w:lang w:val="en-US"/>
        </w:rPr>
      </w:pPr>
      <w:r w:rsidRPr="00C43705">
        <w:rPr>
          <w:rStyle w:val="selected"/>
          <w:lang w:val="en-US"/>
        </w:rPr>
        <w:t xml:space="preserve">T.C. Ticaret Bakanlığı. "İthalat – Sıkça Sorulan Sorular." January 20, 2025. </w:t>
      </w:r>
      <w:hyperlink r:id="rId107" w:tooltip="null" w:history="1">
        <w:r w:rsidRPr="00C43705">
          <w:rPr>
            <w:rStyle w:val="selected"/>
            <w:color w:val="0000FF"/>
            <w:u w:val="single"/>
            <w:lang w:val="en-US"/>
          </w:rPr>
          <w:t>https://ticaret.gov.tr/gumruk-islemleri/sikca-sorulan-sorular/ticari/ithalat</w:t>
        </w:r>
      </w:hyperlink>
      <w:r w:rsidRPr="00C43705">
        <w:rPr>
          <w:rStyle w:val="selected"/>
          <w:lang w:val="en-US"/>
        </w:rPr>
        <w:t>.</w:t>
      </w:r>
    </w:p>
    <w:p w14:paraId="66CE1811" w14:textId="77777777" w:rsidR="00744EF6" w:rsidRPr="00C43705" w:rsidRDefault="00744EF6" w:rsidP="00EB3899">
      <w:pPr>
        <w:pStyle w:val="NormalWeb"/>
        <w:jc w:val="both"/>
        <w:rPr>
          <w:lang w:val="en-US"/>
        </w:rPr>
      </w:pPr>
      <w:r w:rsidRPr="00C43705">
        <w:rPr>
          <w:rStyle w:val="selected"/>
          <w:lang w:val="en-US"/>
        </w:rPr>
        <w:t xml:space="preserve">TechSci Research. "Turkey Skincare Market to Grow with a CAGR of 6.23% until 2028." July 2023. Accessed May 2025. </w:t>
      </w:r>
      <w:hyperlink r:id="rId108" w:tooltip="null" w:history="1">
        <w:r w:rsidRPr="00C43705">
          <w:rPr>
            <w:rStyle w:val="selected"/>
            <w:color w:val="0000FF"/>
            <w:u w:val="single"/>
            <w:lang w:val="en-US"/>
          </w:rPr>
          <w:t>https://www.techsciresearch.com/news/7570-turkey-skincare-market.html</w:t>
        </w:r>
      </w:hyperlink>
      <w:r w:rsidRPr="00C43705">
        <w:rPr>
          <w:rStyle w:val="selected"/>
          <w:lang w:val="en-US"/>
        </w:rPr>
        <w:t>.</w:t>
      </w:r>
    </w:p>
    <w:p w14:paraId="0B7E28CF" w14:textId="77777777" w:rsidR="00744EF6" w:rsidRPr="00C43705" w:rsidRDefault="00744EF6" w:rsidP="00EB3899">
      <w:pPr>
        <w:pStyle w:val="NormalWeb"/>
        <w:jc w:val="both"/>
        <w:rPr>
          <w:lang w:val="en-US"/>
        </w:rPr>
      </w:pPr>
      <w:r w:rsidRPr="00C43705">
        <w:rPr>
          <w:rStyle w:val="selected"/>
          <w:lang w:val="en-US"/>
        </w:rPr>
        <w:t xml:space="preserve">Terry, R. "How Strict Is Islam in Turkey? Essential Tips for Travelers." World Nomads, February 22, 2021. Accessed April 18, 2025. </w:t>
      </w:r>
      <w:hyperlink r:id="rId109" w:tooltip="null" w:history="1">
        <w:r w:rsidRPr="00C43705">
          <w:rPr>
            <w:rStyle w:val="selected"/>
            <w:color w:val="0000FF"/>
            <w:u w:val="single"/>
            <w:lang w:val="en-US"/>
          </w:rPr>
          <w:t>https://www.worldnomads.com/travel-safety/middle-east/turkey/how-strict-is-islam-in-turkey</w:t>
        </w:r>
      </w:hyperlink>
      <w:r w:rsidRPr="00C43705">
        <w:rPr>
          <w:rStyle w:val="selected"/>
          <w:lang w:val="en-US"/>
        </w:rPr>
        <w:t>.</w:t>
      </w:r>
    </w:p>
    <w:p w14:paraId="01F03E82" w14:textId="77777777" w:rsidR="00744EF6" w:rsidRDefault="00744EF6" w:rsidP="00EB3899">
      <w:pPr>
        <w:pStyle w:val="NormalWeb"/>
        <w:jc w:val="both"/>
      </w:pPr>
      <w:r w:rsidRPr="00C43705">
        <w:rPr>
          <w:rStyle w:val="selected"/>
          <w:lang w:val="en-US"/>
        </w:rPr>
        <w:t xml:space="preserve">The Observatory of Economic Complexity (OEC). "Beauty Products in Turkey." Accessed May 2025. </w:t>
      </w:r>
      <w:hyperlink r:id="rId110" w:tooltip="null" w:history="1">
        <w:r>
          <w:rPr>
            <w:rStyle w:val="selected"/>
            <w:color w:val="0000FF"/>
            <w:u w:val="single"/>
          </w:rPr>
          <w:t>https://oec.world/en/profile/bilateral-product/beauty-products/reporter/tur</w:t>
        </w:r>
      </w:hyperlink>
      <w:r>
        <w:rPr>
          <w:rStyle w:val="selected"/>
        </w:rPr>
        <w:t>.</w:t>
      </w:r>
    </w:p>
    <w:p w14:paraId="789AA244" w14:textId="77777777" w:rsidR="00744EF6" w:rsidRPr="00C43705" w:rsidRDefault="00744EF6" w:rsidP="00EB3899">
      <w:pPr>
        <w:pStyle w:val="NormalWeb"/>
        <w:jc w:val="both"/>
        <w:rPr>
          <w:lang w:val="en-US"/>
        </w:rPr>
      </w:pPr>
      <w:r w:rsidRPr="00C43705">
        <w:rPr>
          <w:rStyle w:val="selected"/>
          <w:lang w:val="en-US"/>
        </w:rPr>
        <w:t xml:space="preserve">Ticaret Bakanlığı. "İthalat – Sıkça Sorulan Sorular." January 20, 2025. Accessed May 26, 2025. </w:t>
      </w:r>
      <w:hyperlink r:id="rId111" w:tooltip="null" w:history="1">
        <w:r w:rsidRPr="00C43705">
          <w:rPr>
            <w:rStyle w:val="selected"/>
            <w:color w:val="0000FF"/>
            <w:u w:val="single"/>
            <w:lang w:val="en-US"/>
          </w:rPr>
          <w:t>https://ticaret.gov.tr/gumruk-islemleri/sikca-sorulan-sorular/ticari/ithalat</w:t>
        </w:r>
      </w:hyperlink>
      <w:r w:rsidRPr="00C43705">
        <w:rPr>
          <w:rStyle w:val="selected"/>
          <w:lang w:val="en-US"/>
        </w:rPr>
        <w:t>.</w:t>
      </w:r>
    </w:p>
    <w:p w14:paraId="5F500EE1" w14:textId="77777777" w:rsidR="00744EF6" w:rsidRPr="00C43705" w:rsidRDefault="00744EF6" w:rsidP="00EB3899">
      <w:pPr>
        <w:pStyle w:val="NormalWeb"/>
        <w:jc w:val="both"/>
        <w:rPr>
          <w:lang w:val="en-US"/>
        </w:rPr>
      </w:pPr>
      <w:r w:rsidRPr="00C43705">
        <w:rPr>
          <w:rStyle w:val="selected"/>
          <w:lang w:val="en-US"/>
        </w:rPr>
        <w:t xml:space="preserve">TijaraHub. "Bringing Istanbul Glamour to Your Beauty Ritual: Exploring Turkey’s Skincare and Cosmetics Industry." TijaraHub Blogs. Accessed May 2025. </w:t>
      </w:r>
      <w:hyperlink r:id="rId112" w:tooltip="null" w:history="1">
        <w:r w:rsidRPr="00C43705">
          <w:rPr>
            <w:rStyle w:val="selected"/>
            <w:color w:val="0000FF"/>
            <w:u w:val="single"/>
            <w:lang w:val="en-US"/>
          </w:rPr>
          <w:t>https://tijarahub.com/tijarahub-blogs/bringing-istanbul-glamour-to-your-beauty-ritual-exploring-turkeys-skincare-and-cosmetics-industry/</w:t>
        </w:r>
      </w:hyperlink>
      <w:r w:rsidRPr="00C43705">
        <w:rPr>
          <w:rStyle w:val="selected"/>
          <w:lang w:val="en-US"/>
        </w:rPr>
        <w:t>.</w:t>
      </w:r>
    </w:p>
    <w:p w14:paraId="1D57A82E" w14:textId="77777777" w:rsidR="00744EF6" w:rsidRPr="00C43705" w:rsidRDefault="00744EF6" w:rsidP="00EB3899">
      <w:pPr>
        <w:pStyle w:val="NormalWeb"/>
        <w:jc w:val="both"/>
        <w:rPr>
          <w:lang w:val="en-US"/>
        </w:rPr>
      </w:pPr>
      <w:r w:rsidRPr="00C43705">
        <w:rPr>
          <w:rStyle w:val="selected"/>
          <w:lang w:val="en-US"/>
        </w:rPr>
        <w:t xml:space="preserve">U.S. Department of Commerce. "Strategic Reasons to Export." Last modified 2024. Accessed February 16, 2025. </w:t>
      </w:r>
      <w:hyperlink r:id="rId113" w:tooltip="null" w:history="1">
        <w:r w:rsidRPr="00C43705">
          <w:rPr>
            <w:rStyle w:val="selected"/>
            <w:color w:val="0000FF"/>
            <w:u w:val="single"/>
            <w:lang w:val="en-US"/>
          </w:rPr>
          <w:t>https://www.trade.gov/strategic-reasons-export</w:t>
        </w:r>
      </w:hyperlink>
      <w:r w:rsidRPr="00C43705">
        <w:rPr>
          <w:rStyle w:val="selected"/>
          <w:lang w:val="en-US"/>
        </w:rPr>
        <w:t>.</w:t>
      </w:r>
    </w:p>
    <w:p w14:paraId="46DBA967" w14:textId="77777777" w:rsidR="00744EF6" w:rsidRPr="00C43705" w:rsidRDefault="00744EF6" w:rsidP="00EB3899">
      <w:pPr>
        <w:pStyle w:val="NormalWeb"/>
        <w:jc w:val="both"/>
        <w:rPr>
          <w:lang w:val="en-US"/>
        </w:rPr>
      </w:pPr>
      <w:r w:rsidRPr="00C43705">
        <w:rPr>
          <w:rStyle w:val="selected"/>
          <w:lang w:val="en-US"/>
        </w:rPr>
        <w:t xml:space="preserve">U.S. Department of Commerce. "Why Export?." Last modified 2024. Accessed February 16, 2025. </w:t>
      </w:r>
      <w:hyperlink r:id="rId114" w:tooltip="null" w:history="1">
        <w:r w:rsidRPr="00C43705">
          <w:rPr>
            <w:rStyle w:val="selected"/>
            <w:color w:val="0000FF"/>
            <w:u w:val="single"/>
            <w:lang w:val="en-US"/>
          </w:rPr>
          <w:t>https://www.trade.gov/why-export</w:t>
        </w:r>
      </w:hyperlink>
      <w:r w:rsidRPr="00C43705">
        <w:rPr>
          <w:rStyle w:val="selected"/>
          <w:lang w:val="en-US"/>
        </w:rPr>
        <w:t>.</w:t>
      </w:r>
    </w:p>
    <w:p w14:paraId="73FEB333" w14:textId="77777777" w:rsidR="00744EF6" w:rsidRPr="00C43705" w:rsidRDefault="00744EF6" w:rsidP="00EB3899">
      <w:pPr>
        <w:pStyle w:val="NormalWeb"/>
        <w:jc w:val="both"/>
        <w:rPr>
          <w:lang w:val="en-US"/>
        </w:rPr>
      </w:pPr>
      <w:r w:rsidRPr="00C43705">
        <w:rPr>
          <w:rStyle w:val="selected"/>
          <w:lang w:val="en-US"/>
        </w:rPr>
        <w:t xml:space="preserve">World Bank. "Exports of Goods and Services (Current US$). "Data set. World Development Indicators. Last modified 2025. </w:t>
      </w:r>
      <w:hyperlink r:id="rId115" w:tooltip="null" w:history="1">
        <w:r w:rsidRPr="00C43705">
          <w:rPr>
            <w:rStyle w:val="selected"/>
            <w:color w:val="0000FF"/>
            <w:u w:val="single"/>
            <w:lang w:val="en-US"/>
          </w:rPr>
          <w:t>https://data.worldbank.org/indicator/NE.EXP.GNFS.CD?end=2023&amp;most_recent_value_desc=true&amp;start=1960&amp;view=chart</w:t>
        </w:r>
      </w:hyperlink>
      <w:r w:rsidRPr="00C43705">
        <w:rPr>
          <w:rStyle w:val="selected"/>
          <w:lang w:val="en-US"/>
        </w:rPr>
        <w:t>. Accessed April 15, 2025.</w:t>
      </w:r>
    </w:p>
    <w:p w14:paraId="0D2DA31E" w14:textId="77777777" w:rsidR="00744EF6" w:rsidRDefault="00744EF6" w:rsidP="00EB3899">
      <w:pPr>
        <w:pStyle w:val="NormalWeb"/>
        <w:jc w:val="both"/>
      </w:pPr>
      <w:r w:rsidRPr="00C43705">
        <w:rPr>
          <w:rStyle w:val="selected"/>
          <w:lang w:val="en-US"/>
        </w:rPr>
        <w:t xml:space="preserve">Xinhua. "Roundup: Türkiye Loses Export Competitiveness Due to Rising Costs, Low Exchange Rate: Experts." </w:t>
      </w:r>
      <w:r>
        <w:rPr>
          <w:rStyle w:val="selected"/>
        </w:rPr>
        <w:t>July 14, 2024.</w:t>
      </w:r>
    </w:p>
    <w:p w14:paraId="2AD7657B" w14:textId="77777777" w:rsidR="00744EF6" w:rsidRPr="00C43705" w:rsidRDefault="00744EF6" w:rsidP="00EB3899">
      <w:pPr>
        <w:pStyle w:val="NormalWeb"/>
        <w:jc w:val="both"/>
        <w:rPr>
          <w:lang w:val="en-US"/>
        </w:rPr>
      </w:pPr>
      <w:r>
        <w:rPr>
          <w:rStyle w:val="selected"/>
          <w:rtl/>
        </w:rPr>
        <w:t>صدروا مع ألجيكس. "الوكالة الوطنية لترقية التجارة الخارجية</w:t>
      </w:r>
      <w:r>
        <w:rPr>
          <w:rStyle w:val="selected"/>
        </w:rPr>
        <w:t xml:space="preserve"> ALGEX." </w:t>
      </w:r>
      <w:r w:rsidRPr="00C43705">
        <w:rPr>
          <w:rStyle w:val="selected"/>
          <w:lang w:val="en-US"/>
        </w:rPr>
        <w:t xml:space="preserve">Accessed April 11, 2025. </w:t>
      </w:r>
      <w:hyperlink r:id="rId116" w:tooltip="null" w:history="1">
        <w:r w:rsidRPr="00C43705">
          <w:rPr>
            <w:rStyle w:val="selected"/>
            <w:color w:val="0000FF"/>
            <w:u w:val="single"/>
            <w:lang w:val="en-US"/>
          </w:rPr>
          <w:t>https://www.algex.dz/2017-03-19-08-13-36/item/1562-2021</w:t>
        </w:r>
      </w:hyperlink>
      <w:r w:rsidRPr="00C43705">
        <w:rPr>
          <w:rStyle w:val="selected"/>
          <w:lang w:val="en-US"/>
        </w:rPr>
        <w:t>.</w:t>
      </w:r>
    </w:p>
    <w:p w14:paraId="245CE046" w14:textId="77777777" w:rsidR="00744EF6" w:rsidRPr="00C43705" w:rsidRDefault="00744EF6" w:rsidP="00C43705">
      <w:pPr>
        <w:pStyle w:val="NormalWeb"/>
        <w:rPr>
          <w:lang w:val="en-US"/>
        </w:rPr>
      </w:pPr>
      <w:r w:rsidRPr="00C43705">
        <w:rPr>
          <w:rStyle w:val="selected"/>
          <w:b/>
          <w:bCs/>
          <w:lang w:val="en-US"/>
        </w:rPr>
        <w:t>Reports/Other Publications</w:t>
      </w:r>
    </w:p>
    <w:p w14:paraId="1A14A6F0" w14:textId="77777777" w:rsidR="00744EF6" w:rsidRDefault="00744EF6" w:rsidP="00EB3899">
      <w:pPr>
        <w:pStyle w:val="NormalWeb"/>
        <w:jc w:val="both"/>
      </w:pPr>
      <w:r w:rsidRPr="00C43705">
        <w:rPr>
          <w:rStyle w:val="selected"/>
          <w:lang w:val="en-US"/>
        </w:rPr>
        <w:t xml:space="preserve">African Center for Economic Transformation. </w:t>
      </w:r>
      <w:r>
        <w:rPr>
          <w:rStyle w:val="selected"/>
          <w:i/>
          <w:iCs/>
        </w:rPr>
        <w:t>African Transformation Index 2023: Export Competitiveness</w:t>
      </w:r>
      <w:r>
        <w:rPr>
          <w:rStyle w:val="selected"/>
        </w:rPr>
        <w:t>. 2023. ACET page01.</w:t>
      </w:r>
    </w:p>
    <w:p w14:paraId="2554FFEF" w14:textId="77777777" w:rsidR="00744EF6" w:rsidRDefault="00744EF6" w:rsidP="00EB3899">
      <w:pPr>
        <w:pStyle w:val="NormalWeb"/>
        <w:jc w:val="both"/>
      </w:pPr>
      <w:r>
        <w:rPr>
          <w:rStyle w:val="selected"/>
        </w:rPr>
        <w:t xml:space="preserve">ALGEX. </w:t>
      </w:r>
      <w:r>
        <w:rPr>
          <w:rStyle w:val="selected"/>
          <w:i/>
          <w:iCs/>
        </w:rPr>
        <w:t>Guide Pratique de l’Exportateur Algérien</w:t>
      </w:r>
      <w:r>
        <w:rPr>
          <w:rStyle w:val="selected"/>
        </w:rPr>
        <w:t>. Agence Nationale de Promotion du Commerce Extérieur, 2021.</w:t>
      </w:r>
    </w:p>
    <w:p w14:paraId="48EB36E3" w14:textId="77777777" w:rsidR="00744EF6" w:rsidRPr="00C43705" w:rsidRDefault="00744EF6" w:rsidP="00EB3899">
      <w:pPr>
        <w:pStyle w:val="NormalWeb"/>
        <w:jc w:val="both"/>
        <w:rPr>
          <w:lang w:val="en-US"/>
        </w:rPr>
      </w:pPr>
      <w:r w:rsidRPr="00C43705">
        <w:rPr>
          <w:rStyle w:val="selected"/>
          <w:i/>
          <w:iCs/>
          <w:lang w:val="en-US"/>
        </w:rPr>
        <w:t>Assessing Product Opportunities</w:t>
      </w:r>
      <w:r w:rsidRPr="00C43705">
        <w:rPr>
          <w:rStyle w:val="selected"/>
          <w:lang w:val="en-US"/>
        </w:rPr>
        <w:t>. March 6, 2009.</w:t>
      </w:r>
    </w:p>
    <w:p w14:paraId="02A56BC0" w14:textId="77777777" w:rsidR="00744EF6" w:rsidRPr="00C43705" w:rsidRDefault="00744EF6" w:rsidP="00EB3899">
      <w:pPr>
        <w:pStyle w:val="NormalWeb"/>
        <w:jc w:val="both"/>
        <w:rPr>
          <w:lang w:val="en-US"/>
        </w:rPr>
      </w:pPr>
      <w:r w:rsidRPr="00C43705">
        <w:rPr>
          <w:rStyle w:val="selected"/>
          <w:lang w:val="en-US"/>
        </w:rPr>
        <w:t xml:space="preserve">Atalaysun, M., and K. Sawatzki. </w:t>
      </w:r>
      <w:r w:rsidRPr="00C43705">
        <w:rPr>
          <w:rStyle w:val="selected"/>
          <w:i/>
          <w:iCs/>
          <w:lang w:val="en-US"/>
        </w:rPr>
        <w:t>Retail Foods – Turkey (GAIN Report No. TR6057)</w:t>
      </w:r>
      <w:r w:rsidRPr="00C43705">
        <w:rPr>
          <w:rStyle w:val="selected"/>
          <w:lang w:val="en-US"/>
        </w:rPr>
        <w:t>. U.S. Department of Agriculture, Foreign Agricultural Service, December 13, 2016.</w:t>
      </w:r>
    </w:p>
    <w:p w14:paraId="1F234A97" w14:textId="77777777" w:rsidR="00744EF6" w:rsidRPr="00C43705" w:rsidRDefault="00744EF6" w:rsidP="00EB3899">
      <w:pPr>
        <w:pStyle w:val="NormalWeb"/>
        <w:jc w:val="both"/>
        <w:rPr>
          <w:lang w:val="en-US"/>
        </w:rPr>
      </w:pPr>
      <w:r w:rsidRPr="00C43705">
        <w:rPr>
          <w:rStyle w:val="selected"/>
          <w:lang w:val="en-US"/>
        </w:rPr>
        <w:t xml:space="preserve">Balassa, B. </w:t>
      </w:r>
      <w:r w:rsidRPr="00C43705">
        <w:rPr>
          <w:rStyle w:val="selected"/>
          <w:i/>
          <w:iCs/>
          <w:lang w:val="en-US"/>
        </w:rPr>
        <w:t>Export Incentives and Export Performance in Developing Countries: A Comparative Analysis</w:t>
      </w:r>
      <w:r w:rsidRPr="00C43705">
        <w:rPr>
          <w:rStyle w:val="selected"/>
          <w:lang w:val="en-US"/>
        </w:rPr>
        <w:t>. World Bank Staff Working Paper No. 248. World Bank, 1977.</w:t>
      </w:r>
    </w:p>
    <w:p w14:paraId="27F15249" w14:textId="77777777" w:rsidR="00744EF6" w:rsidRPr="00C43705" w:rsidRDefault="00744EF6" w:rsidP="00EB3899">
      <w:pPr>
        <w:pStyle w:val="NormalWeb"/>
        <w:jc w:val="both"/>
        <w:rPr>
          <w:lang w:val="en-US"/>
        </w:rPr>
      </w:pPr>
      <w:r w:rsidRPr="00C43705">
        <w:rPr>
          <w:rStyle w:val="selected"/>
          <w:lang w:val="en-US"/>
        </w:rPr>
        <w:t xml:space="preserve">Gunelius, S. </w:t>
      </w:r>
      <w:r w:rsidRPr="00C43705">
        <w:rPr>
          <w:rStyle w:val="selected"/>
          <w:i/>
          <w:iCs/>
          <w:lang w:val="en-US"/>
        </w:rPr>
        <w:t>30 Minute Social Media Marketing: Step by Step Techniques to Spread the Words about your Business</w:t>
      </w:r>
      <w:r w:rsidRPr="00C43705">
        <w:rPr>
          <w:rStyle w:val="selected"/>
          <w:lang w:val="en-US"/>
        </w:rPr>
        <w:t>. USA: McGraw-Hill, 2011.</w:t>
      </w:r>
    </w:p>
    <w:p w14:paraId="6FEE7350" w14:textId="77777777" w:rsidR="00744EF6" w:rsidRPr="00C43705" w:rsidRDefault="00744EF6" w:rsidP="00EB3899">
      <w:pPr>
        <w:pStyle w:val="NormalWeb"/>
        <w:jc w:val="both"/>
        <w:rPr>
          <w:lang w:val="en-US"/>
        </w:rPr>
      </w:pPr>
      <w:r w:rsidRPr="00C43705">
        <w:rPr>
          <w:rStyle w:val="selected"/>
          <w:lang w:val="en-US"/>
        </w:rPr>
        <w:t>International Trade Administration. "Turkey – Distribution &amp; Sales Channels." U.S. Department of Commerce, January 7, 2024.</w:t>
      </w:r>
    </w:p>
    <w:p w14:paraId="29CAB821" w14:textId="77777777" w:rsidR="00744EF6" w:rsidRPr="00C43705" w:rsidRDefault="00744EF6" w:rsidP="00EB3899">
      <w:pPr>
        <w:pStyle w:val="NormalWeb"/>
        <w:jc w:val="both"/>
        <w:rPr>
          <w:lang w:val="en-US"/>
        </w:rPr>
      </w:pPr>
      <w:r w:rsidRPr="00C43705">
        <w:rPr>
          <w:rStyle w:val="selected"/>
          <w:lang w:val="en-US"/>
        </w:rPr>
        <w:t xml:space="preserve">Turkish Statistical Institute (TURKSTAT). </w:t>
      </w:r>
      <w:r w:rsidRPr="00C43705">
        <w:rPr>
          <w:rStyle w:val="selected"/>
          <w:i/>
          <w:iCs/>
          <w:lang w:val="en-US"/>
        </w:rPr>
        <w:t>Statistics since January, 2015</w:t>
      </w:r>
      <w:r w:rsidRPr="00C43705">
        <w:rPr>
          <w:rStyle w:val="selected"/>
          <w:lang w:val="en-US"/>
        </w:rPr>
        <w:t>. n.d.</w:t>
      </w:r>
    </w:p>
    <w:p w14:paraId="61068B66" w14:textId="77777777" w:rsidR="00744EF6" w:rsidRPr="00C43705" w:rsidRDefault="00744EF6" w:rsidP="00EB3899">
      <w:pPr>
        <w:pStyle w:val="NormalWeb"/>
        <w:jc w:val="both"/>
        <w:rPr>
          <w:lang w:val="en-US"/>
        </w:rPr>
      </w:pPr>
      <w:r w:rsidRPr="00C43705">
        <w:rPr>
          <w:rStyle w:val="selected"/>
          <w:lang w:val="en-US"/>
        </w:rPr>
        <w:t xml:space="preserve">U.S. International Trade Commission. </w:t>
      </w:r>
      <w:r w:rsidRPr="00C43705">
        <w:rPr>
          <w:rStyle w:val="selected"/>
          <w:i/>
          <w:iCs/>
          <w:lang w:val="en-US"/>
        </w:rPr>
        <w:t>Effects of the Arab League Boycott of Israel on U.S. Businesses</w:t>
      </w:r>
      <w:r w:rsidRPr="00C43705">
        <w:rPr>
          <w:rStyle w:val="selected"/>
          <w:lang w:val="en-US"/>
        </w:rPr>
        <w:t>. Investigation No. 332-349. Publication 2827. Washington, DC: U.S. International Trade Commission, November 1994.</w:t>
      </w:r>
    </w:p>
    <w:p w14:paraId="531EB7D9" w14:textId="77777777" w:rsidR="00744EF6" w:rsidRPr="00C43705" w:rsidRDefault="00744EF6" w:rsidP="00EB3899">
      <w:pPr>
        <w:pStyle w:val="NormalWeb"/>
        <w:jc w:val="both"/>
        <w:rPr>
          <w:lang w:val="en-US"/>
        </w:rPr>
      </w:pPr>
      <w:r w:rsidRPr="00C43705">
        <w:rPr>
          <w:rStyle w:val="selected"/>
          <w:lang w:val="en-US"/>
        </w:rPr>
        <w:t xml:space="preserve">World Bank. </w:t>
      </w:r>
      <w:r w:rsidRPr="00C43705">
        <w:rPr>
          <w:rStyle w:val="selected"/>
          <w:i/>
          <w:iCs/>
          <w:lang w:val="en-US"/>
        </w:rPr>
        <w:t>Exports of Goods and Services (Current US$).</w:t>
      </w:r>
      <w:r w:rsidRPr="00C43705">
        <w:rPr>
          <w:rStyle w:val="selected"/>
          <w:lang w:val="en-US"/>
        </w:rPr>
        <w:t xml:space="preserve"> Data set. World Development Indicators. Last modified 2025. </w:t>
      </w:r>
      <w:hyperlink r:id="rId117" w:tooltip="null" w:history="1">
        <w:r w:rsidRPr="00C43705">
          <w:rPr>
            <w:rStyle w:val="selected"/>
            <w:color w:val="0000FF"/>
            <w:u w:val="single"/>
            <w:lang w:val="en-US"/>
          </w:rPr>
          <w:t>https://data.worldbank.org/indicator/NE.EXP.GNFS.CD?end=2023&amp;most_recent_value_desc=true&amp;start=1960&amp;view=chart</w:t>
        </w:r>
      </w:hyperlink>
      <w:r w:rsidRPr="00C43705">
        <w:rPr>
          <w:rStyle w:val="selected"/>
          <w:lang w:val="en-US"/>
        </w:rPr>
        <w:t>.</w:t>
      </w:r>
    </w:p>
    <w:p w14:paraId="5C7FD9F8" w14:textId="77777777" w:rsidR="00744EF6" w:rsidRPr="00C43705" w:rsidRDefault="00744EF6" w:rsidP="00C43705">
      <w:pPr>
        <w:spacing w:line="360" w:lineRule="auto"/>
        <w:jc w:val="both"/>
        <w:rPr>
          <w:rFonts w:asciiTheme="majorBidi" w:hAnsiTheme="majorBidi" w:cstheme="majorBidi"/>
          <w:sz w:val="24"/>
          <w:szCs w:val="24"/>
          <w:lang w:val="en-US"/>
        </w:rPr>
      </w:pPr>
    </w:p>
    <w:p w14:paraId="4851B58A" w14:textId="77777777" w:rsidR="008D6236" w:rsidRDefault="008D6236" w:rsidP="00DC5DDA">
      <w:pPr>
        <w:spacing w:line="360" w:lineRule="auto"/>
        <w:jc w:val="center"/>
        <w:rPr>
          <w:rFonts w:asciiTheme="majorBidi" w:hAnsiTheme="majorBidi" w:cstheme="majorBidi"/>
          <w:b/>
          <w:bCs/>
          <w:sz w:val="24"/>
          <w:szCs w:val="24"/>
          <w:lang w:val="en-GB"/>
        </w:rPr>
      </w:pPr>
    </w:p>
    <w:p w14:paraId="16A544F5" w14:textId="77777777" w:rsidR="008D6236" w:rsidRDefault="008D6236" w:rsidP="00DC5DDA">
      <w:pPr>
        <w:spacing w:line="360" w:lineRule="auto"/>
        <w:jc w:val="center"/>
        <w:rPr>
          <w:rFonts w:asciiTheme="majorBidi" w:hAnsiTheme="majorBidi" w:cstheme="majorBidi"/>
          <w:b/>
          <w:bCs/>
          <w:sz w:val="24"/>
          <w:szCs w:val="24"/>
          <w:lang w:val="en-GB"/>
        </w:rPr>
      </w:pPr>
    </w:p>
    <w:p w14:paraId="49F5D037" w14:textId="77777777" w:rsidR="008D6236" w:rsidRDefault="008D6236" w:rsidP="00DC5DDA">
      <w:pPr>
        <w:spacing w:line="360" w:lineRule="auto"/>
        <w:jc w:val="center"/>
        <w:rPr>
          <w:rFonts w:asciiTheme="majorBidi" w:hAnsiTheme="majorBidi" w:cstheme="majorBidi"/>
          <w:b/>
          <w:bCs/>
          <w:sz w:val="24"/>
          <w:szCs w:val="24"/>
          <w:lang w:val="en-GB"/>
        </w:rPr>
      </w:pPr>
    </w:p>
    <w:p w14:paraId="33D8DDD5" w14:textId="77777777" w:rsidR="0053256C" w:rsidRDefault="0053256C" w:rsidP="00DC5DDA">
      <w:pPr>
        <w:spacing w:line="360" w:lineRule="auto"/>
        <w:jc w:val="center"/>
        <w:rPr>
          <w:rFonts w:asciiTheme="majorBidi" w:hAnsiTheme="majorBidi" w:cstheme="majorBidi"/>
          <w:b/>
          <w:bCs/>
          <w:sz w:val="24"/>
          <w:szCs w:val="24"/>
          <w:lang w:val="en-GB"/>
        </w:rPr>
      </w:pPr>
    </w:p>
    <w:p w14:paraId="7488AF30" w14:textId="77777777" w:rsidR="0053256C" w:rsidRDefault="0053256C" w:rsidP="0053256C">
      <w:pPr>
        <w:spacing w:line="360" w:lineRule="auto"/>
        <w:rPr>
          <w:rFonts w:asciiTheme="majorBidi" w:hAnsiTheme="majorBidi" w:cstheme="majorBidi"/>
          <w:b/>
          <w:bCs/>
          <w:sz w:val="24"/>
          <w:szCs w:val="24"/>
          <w:lang w:val="en-GB"/>
        </w:rPr>
      </w:pPr>
    </w:p>
    <w:p w14:paraId="69FADCAF" w14:textId="77777777" w:rsidR="0053256C" w:rsidRDefault="0053256C" w:rsidP="00DC5DDA">
      <w:pPr>
        <w:spacing w:line="360" w:lineRule="auto"/>
        <w:jc w:val="center"/>
        <w:rPr>
          <w:rFonts w:asciiTheme="majorBidi" w:hAnsiTheme="majorBidi" w:cstheme="majorBidi"/>
          <w:b/>
          <w:bCs/>
          <w:sz w:val="24"/>
          <w:szCs w:val="24"/>
          <w:lang w:val="en-GB"/>
        </w:rPr>
      </w:pPr>
    </w:p>
    <w:p w14:paraId="2382D27B" w14:textId="77777777" w:rsidR="0053256C" w:rsidRDefault="0053256C" w:rsidP="00BE475C">
      <w:pPr>
        <w:spacing w:line="360" w:lineRule="auto"/>
        <w:rPr>
          <w:rFonts w:asciiTheme="majorBidi" w:hAnsiTheme="majorBidi" w:cstheme="majorBidi"/>
          <w:b/>
          <w:bCs/>
          <w:sz w:val="24"/>
          <w:szCs w:val="24"/>
          <w:lang w:val="en-GB"/>
        </w:rPr>
      </w:pPr>
    </w:p>
    <w:p w14:paraId="3BAFE401" w14:textId="77777777" w:rsidR="00520D2C" w:rsidRDefault="00520D2C" w:rsidP="00BE475C">
      <w:pPr>
        <w:spacing w:line="360" w:lineRule="auto"/>
        <w:rPr>
          <w:rFonts w:asciiTheme="majorBidi" w:hAnsiTheme="majorBidi" w:cstheme="majorBidi"/>
          <w:b/>
          <w:bCs/>
          <w:sz w:val="24"/>
          <w:szCs w:val="24"/>
          <w:lang w:val="en-GB"/>
        </w:rPr>
      </w:pPr>
    </w:p>
    <w:p w14:paraId="34A293EB" w14:textId="77777777" w:rsidR="00520D2C" w:rsidRDefault="00520D2C" w:rsidP="00BE475C">
      <w:pPr>
        <w:spacing w:line="360" w:lineRule="auto"/>
        <w:rPr>
          <w:rFonts w:asciiTheme="majorBidi" w:hAnsiTheme="majorBidi" w:cstheme="majorBidi"/>
          <w:b/>
          <w:bCs/>
          <w:sz w:val="24"/>
          <w:szCs w:val="24"/>
          <w:lang w:val="en-GB"/>
        </w:rPr>
      </w:pPr>
    </w:p>
    <w:p w14:paraId="3DA4B740" w14:textId="77777777" w:rsidR="00375ECF" w:rsidRDefault="00375ECF" w:rsidP="004928D8">
      <w:pPr>
        <w:spacing w:line="360" w:lineRule="auto"/>
        <w:rPr>
          <w:rStyle w:val="c"/>
          <w:lang w:val="en-GB"/>
        </w:rPr>
      </w:pPr>
    </w:p>
    <w:p w14:paraId="2413133A" w14:textId="77777777" w:rsidR="00537ED8" w:rsidRDefault="00537ED8" w:rsidP="00520D2C">
      <w:pPr>
        <w:spacing w:line="360" w:lineRule="auto"/>
        <w:jc w:val="center"/>
        <w:rPr>
          <w:rStyle w:val="c"/>
          <w:lang w:val="en-GB"/>
        </w:rPr>
        <w:sectPr w:rsidR="00537ED8">
          <w:headerReference w:type="default" r:id="rId118"/>
          <w:footerReference w:type="default" r:id="rId119"/>
          <w:pgSz w:w="11906" w:h="16838"/>
          <w:pgMar w:top="1417" w:right="1417" w:bottom="1417" w:left="1417" w:header="708" w:footer="708" w:gutter="0"/>
          <w:cols w:space="708"/>
          <w:docGrid w:linePitch="360"/>
        </w:sectPr>
      </w:pPr>
    </w:p>
    <w:p w14:paraId="20A1B52D" w14:textId="77777777" w:rsidR="00F0380F" w:rsidRDefault="00F0380F" w:rsidP="00520D2C">
      <w:pPr>
        <w:spacing w:line="360" w:lineRule="auto"/>
        <w:jc w:val="center"/>
        <w:rPr>
          <w:rStyle w:val="c"/>
          <w:lang w:val="en-GB"/>
        </w:rPr>
      </w:pPr>
    </w:p>
    <w:p w14:paraId="655A839E" w14:textId="77777777" w:rsidR="00F0380F" w:rsidRDefault="00F0380F" w:rsidP="00520D2C">
      <w:pPr>
        <w:spacing w:line="360" w:lineRule="auto"/>
        <w:jc w:val="center"/>
        <w:rPr>
          <w:rStyle w:val="c"/>
          <w:lang w:val="en-GB"/>
        </w:rPr>
      </w:pPr>
    </w:p>
    <w:p w14:paraId="0A57775E" w14:textId="77777777" w:rsidR="00F0380F" w:rsidRDefault="00F0380F" w:rsidP="00520D2C">
      <w:pPr>
        <w:spacing w:line="360" w:lineRule="auto"/>
        <w:jc w:val="center"/>
        <w:rPr>
          <w:rStyle w:val="c"/>
          <w:lang w:val="en-GB"/>
        </w:rPr>
      </w:pPr>
    </w:p>
    <w:p w14:paraId="667CD3F8" w14:textId="77777777" w:rsidR="00F0380F" w:rsidRDefault="00F0380F" w:rsidP="00520D2C">
      <w:pPr>
        <w:spacing w:line="360" w:lineRule="auto"/>
        <w:jc w:val="center"/>
        <w:rPr>
          <w:rStyle w:val="c"/>
          <w:lang w:val="en-GB"/>
        </w:rPr>
      </w:pPr>
    </w:p>
    <w:p w14:paraId="4A5BB74E" w14:textId="588AF8EF" w:rsidR="00520D2C" w:rsidRPr="00520D2C" w:rsidRDefault="00520D2C" w:rsidP="00520D2C">
      <w:pPr>
        <w:spacing w:line="360" w:lineRule="auto"/>
        <w:jc w:val="center"/>
        <w:rPr>
          <w:rStyle w:val="c"/>
        </w:rPr>
      </w:pPr>
      <w:bookmarkStart w:id="512" w:name="_Toc200721801"/>
      <w:r w:rsidRPr="00050632">
        <w:rPr>
          <w:rStyle w:val="Heading1Char"/>
          <w:rFonts w:eastAsiaTheme="minorHAnsi"/>
        </w:rPr>
        <w:t>Appendi</w:t>
      </w:r>
      <w:bookmarkEnd w:id="512"/>
      <w:r w:rsidRPr="00520D2C">
        <w:rPr>
          <w:rStyle w:val="c"/>
          <w:lang w:val="en-GB"/>
        </w:rPr>
        <w:t>x</w:t>
      </w:r>
    </w:p>
    <w:p w14:paraId="392CDA4C" w14:textId="77777777" w:rsidR="00520D2C" w:rsidRDefault="00520D2C" w:rsidP="00BE475C">
      <w:pPr>
        <w:spacing w:line="360" w:lineRule="auto"/>
        <w:rPr>
          <w:rFonts w:asciiTheme="majorBidi" w:hAnsiTheme="majorBidi" w:cstheme="majorBidi"/>
          <w:b/>
          <w:bCs/>
          <w:sz w:val="24"/>
          <w:szCs w:val="24"/>
          <w:lang w:val="en-GB"/>
        </w:rPr>
      </w:pPr>
    </w:p>
    <w:p w14:paraId="7E3BD6E9" w14:textId="77777777" w:rsidR="00520D2C" w:rsidRDefault="00520D2C" w:rsidP="00BE475C">
      <w:pPr>
        <w:spacing w:line="360" w:lineRule="auto"/>
        <w:rPr>
          <w:rFonts w:asciiTheme="majorBidi" w:hAnsiTheme="majorBidi" w:cstheme="majorBidi"/>
          <w:b/>
          <w:bCs/>
          <w:sz w:val="24"/>
          <w:szCs w:val="24"/>
          <w:lang w:val="en-GB"/>
        </w:rPr>
      </w:pPr>
    </w:p>
    <w:p w14:paraId="0AA0F1B9" w14:textId="77777777" w:rsidR="00520D2C" w:rsidRDefault="00520D2C" w:rsidP="00BE475C">
      <w:pPr>
        <w:spacing w:line="360" w:lineRule="auto"/>
        <w:rPr>
          <w:rFonts w:asciiTheme="majorBidi" w:hAnsiTheme="majorBidi" w:cstheme="majorBidi"/>
          <w:b/>
          <w:bCs/>
          <w:sz w:val="24"/>
          <w:szCs w:val="24"/>
          <w:lang w:val="en-GB"/>
        </w:rPr>
      </w:pPr>
    </w:p>
    <w:p w14:paraId="7D1B2425" w14:textId="77777777" w:rsidR="004928D8" w:rsidRDefault="004928D8" w:rsidP="00BE475C">
      <w:pPr>
        <w:spacing w:line="360" w:lineRule="auto"/>
        <w:rPr>
          <w:rFonts w:asciiTheme="majorBidi" w:hAnsiTheme="majorBidi" w:cstheme="majorBidi"/>
          <w:b/>
          <w:bCs/>
          <w:sz w:val="24"/>
          <w:szCs w:val="24"/>
          <w:lang w:val="en-GB"/>
        </w:rPr>
      </w:pPr>
    </w:p>
    <w:p w14:paraId="728D1BB8" w14:textId="77777777" w:rsidR="00520D2C" w:rsidRDefault="00520D2C" w:rsidP="00BE475C">
      <w:pPr>
        <w:spacing w:line="360" w:lineRule="auto"/>
        <w:rPr>
          <w:rFonts w:asciiTheme="majorBidi" w:hAnsiTheme="majorBidi" w:cstheme="majorBidi"/>
          <w:b/>
          <w:bCs/>
          <w:sz w:val="24"/>
          <w:szCs w:val="24"/>
          <w:lang w:val="en-GB"/>
        </w:rPr>
      </w:pPr>
    </w:p>
    <w:p w14:paraId="3CE7CB1E" w14:textId="77777777" w:rsidR="00520D2C" w:rsidRDefault="00520D2C" w:rsidP="00BE475C">
      <w:pPr>
        <w:spacing w:line="360" w:lineRule="auto"/>
        <w:rPr>
          <w:rFonts w:asciiTheme="majorBidi" w:hAnsiTheme="majorBidi" w:cstheme="majorBidi"/>
          <w:b/>
          <w:bCs/>
          <w:sz w:val="24"/>
          <w:szCs w:val="24"/>
          <w:lang w:val="en-GB"/>
        </w:rPr>
      </w:pPr>
    </w:p>
    <w:p w14:paraId="680DC5BD" w14:textId="77777777" w:rsidR="00520D2C" w:rsidRDefault="00520D2C" w:rsidP="00BE475C">
      <w:pPr>
        <w:spacing w:line="360" w:lineRule="auto"/>
        <w:rPr>
          <w:rFonts w:asciiTheme="majorBidi" w:hAnsiTheme="majorBidi" w:cstheme="majorBidi"/>
          <w:b/>
          <w:bCs/>
          <w:sz w:val="24"/>
          <w:szCs w:val="24"/>
          <w:lang w:val="en-GB"/>
        </w:rPr>
      </w:pPr>
    </w:p>
    <w:p w14:paraId="72FF4E11" w14:textId="77777777" w:rsidR="00520D2C" w:rsidRDefault="00520D2C" w:rsidP="00BE475C">
      <w:pPr>
        <w:spacing w:line="360" w:lineRule="auto"/>
        <w:rPr>
          <w:rFonts w:asciiTheme="majorBidi" w:hAnsiTheme="majorBidi" w:cstheme="majorBidi"/>
          <w:b/>
          <w:bCs/>
          <w:sz w:val="24"/>
          <w:szCs w:val="24"/>
          <w:lang w:val="en-GB"/>
        </w:rPr>
      </w:pPr>
    </w:p>
    <w:p w14:paraId="36FDFBB6" w14:textId="77777777" w:rsidR="00520D2C" w:rsidRDefault="00520D2C" w:rsidP="00BE475C">
      <w:pPr>
        <w:spacing w:line="360" w:lineRule="auto"/>
        <w:rPr>
          <w:rFonts w:asciiTheme="majorBidi" w:hAnsiTheme="majorBidi" w:cstheme="majorBidi"/>
          <w:b/>
          <w:bCs/>
          <w:sz w:val="24"/>
          <w:szCs w:val="24"/>
          <w:lang w:val="en-GB"/>
        </w:rPr>
      </w:pPr>
    </w:p>
    <w:p w14:paraId="60B08ED7" w14:textId="77777777" w:rsidR="00520D2C" w:rsidRDefault="00520D2C" w:rsidP="00BE475C">
      <w:pPr>
        <w:spacing w:line="360" w:lineRule="auto"/>
        <w:rPr>
          <w:rFonts w:asciiTheme="majorBidi" w:hAnsiTheme="majorBidi" w:cstheme="majorBidi"/>
          <w:b/>
          <w:bCs/>
          <w:sz w:val="24"/>
          <w:szCs w:val="24"/>
          <w:lang w:val="en-GB"/>
        </w:rPr>
      </w:pPr>
    </w:p>
    <w:p w14:paraId="62F0050A" w14:textId="77777777" w:rsidR="00520D2C" w:rsidRDefault="00520D2C" w:rsidP="00BE475C">
      <w:pPr>
        <w:spacing w:line="360" w:lineRule="auto"/>
        <w:rPr>
          <w:rFonts w:asciiTheme="majorBidi" w:hAnsiTheme="majorBidi" w:cstheme="majorBidi"/>
          <w:b/>
          <w:bCs/>
          <w:sz w:val="24"/>
          <w:szCs w:val="24"/>
          <w:lang w:val="en-GB"/>
        </w:rPr>
      </w:pPr>
    </w:p>
    <w:p w14:paraId="79E07317" w14:textId="77777777" w:rsidR="00F0380F" w:rsidRDefault="00F0380F">
      <w:pPr>
        <w:rPr>
          <w:rFonts w:ascii="Arial" w:hAnsi="Arial" w:cs="Arial"/>
          <w:b/>
          <w:bCs/>
          <w:sz w:val="26"/>
          <w:szCs w:val="26"/>
        </w:rPr>
        <w:sectPr w:rsidR="00F0380F">
          <w:headerReference w:type="default" r:id="rId120"/>
          <w:footerReference w:type="default" r:id="rId121"/>
          <w:pgSz w:w="11906" w:h="16838"/>
          <w:pgMar w:top="1417" w:right="1417" w:bottom="1417" w:left="1417" w:header="708" w:footer="708" w:gutter="0"/>
          <w:cols w:space="708"/>
          <w:docGrid w:linePitch="360"/>
        </w:sectPr>
      </w:pPr>
      <w:bookmarkStart w:id="513" w:name="_Hlk199793466"/>
      <w:bookmarkEnd w:id="513"/>
    </w:p>
    <w:p w14:paraId="5CF0F119" w14:textId="5DDCC78E" w:rsidR="00520D2C" w:rsidRDefault="00520D2C">
      <w:pPr>
        <w:rPr>
          <w:rFonts w:ascii="Arial" w:hAnsi="Arial" w:cs="Arial"/>
          <w:b/>
          <w:bCs/>
          <w:sz w:val="26"/>
          <w:szCs w:val="26"/>
        </w:rPr>
      </w:pPr>
      <w:r>
        <w:rPr>
          <w:rFonts w:ascii="Arial" w:hAnsi="Arial" w:cs="Arial"/>
          <w:b/>
          <w:bCs/>
          <w:sz w:val="26"/>
          <w:szCs w:val="26"/>
        </w:rPr>
        <w:t>GGraph</w:t>
      </w:r>
    </w:p>
    <w:p w14:paraId="74974D4D" w14:textId="72C17CFC" w:rsidR="00520D2C" w:rsidRPr="00137994" w:rsidRDefault="00520D2C" w:rsidP="00137994">
      <w:r>
        <w:t xml:space="preserve">[DataSet1] </w:t>
      </w:r>
    </w:p>
    <w:p w14:paraId="6A1E19A4" w14:textId="03E4C62A" w:rsidR="00520D2C" w:rsidRDefault="00A10E08" w:rsidP="00137994">
      <w:pPr>
        <w:rPr>
          <w:rFonts w:ascii="Times New Roman" w:hAnsi="Times New Roman" w:cs="Times New Roman"/>
        </w:rPr>
      </w:pPr>
      <w:r>
        <w:rPr>
          <w:rFonts w:ascii="Times New Roman" w:hAnsi="Times New Roman" w:cs="Times New Roman"/>
        </w:rPr>
        <w:pict w14:anchorId="3E3DF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pt;height:265.15pt">
            <v:imagedata r:id="rId122" o:title=""/>
          </v:shape>
        </w:pict>
      </w:r>
      <w:r w:rsidR="00520D2C">
        <w:rPr>
          <w:rFonts w:ascii="Arial" w:hAnsi="Arial" w:cs="Arial"/>
          <w:b/>
          <w:bCs/>
          <w:sz w:val="26"/>
          <w:szCs w:val="26"/>
        </w:rPr>
        <w:t>GGraph</w:t>
      </w:r>
    </w:p>
    <w:p w14:paraId="1FCA9A2C" w14:textId="77777777" w:rsidR="00520D2C" w:rsidRDefault="00A10E08">
      <w:pPr>
        <w:rPr>
          <w:rFonts w:ascii="Times New Roman" w:hAnsi="Times New Roman" w:cs="Times New Roman"/>
        </w:rPr>
      </w:pPr>
      <w:r>
        <w:rPr>
          <w:rFonts w:ascii="Times New Roman" w:hAnsi="Times New Roman" w:cs="Times New Roman"/>
        </w:rPr>
        <w:pict w14:anchorId="6A3C92C1">
          <v:shape id="_x0000_i1026" type="#_x0000_t75" style="width:450.7pt;height:265.15pt">
            <v:imagedata r:id="rId123" o:title=""/>
          </v:shape>
        </w:pict>
      </w:r>
    </w:p>
    <w:p w14:paraId="3A894B8C" w14:textId="77777777" w:rsidR="00520D2C" w:rsidRDefault="00520D2C">
      <w:pPr>
        <w:rPr>
          <w:rFonts w:ascii="Arial" w:hAnsi="Arial" w:cs="Arial"/>
          <w:b/>
          <w:bCs/>
          <w:sz w:val="26"/>
          <w:szCs w:val="26"/>
        </w:rPr>
      </w:pPr>
      <w:r>
        <w:rPr>
          <w:rFonts w:ascii="Arial" w:hAnsi="Arial" w:cs="Arial"/>
          <w:b/>
          <w:bCs/>
          <w:sz w:val="26"/>
          <w:szCs w:val="26"/>
        </w:rPr>
        <w:t>GGraph</w:t>
      </w:r>
    </w:p>
    <w:p w14:paraId="4024113A" w14:textId="77777777" w:rsidR="00520D2C" w:rsidRDefault="00520D2C">
      <w:pPr>
        <w:spacing w:line="400" w:lineRule="atLeast"/>
        <w:rPr>
          <w:rFonts w:ascii="Times New Roman" w:hAnsi="Times New Roman" w:cs="Times New Roman"/>
        </w:rPr>
      </w:pPr>
    </w:p>
    <w:p w14:paraId="42B5AFF8" w14:textId="77777777" w:rsidR="00520D2C" w:rsidRDefault="00A10E08">
      <w:pPr>
        <w:rPr>
          <w:rFonts w:ascii="Times New Roman" w:hAnsi="Times New Roman" w:cs="Times New Roman"/>
        </w:rPr>
      </w:pPr>
      <w:r>
        <w:rPr>
          <w:rFonts w:ascii="Times New Roman" w:hAnsi="Times New Roman" w:cs="Times New Roman"/>
        </w:rPr>
        <w:pict w14:anchorId="30D6E3CF">
          <v:shape id="_x0000_i1027" type="#_x0000_t75" style="width:450.7pt;height:265.15pt">
            <v:imagedata r:id="rId124" o:title=""/>
          </v:shape>
        </w:pict>
      </w:r>
    </w:p>
    <w:p w14:paraId="79F81F67" w14:textId="77777777" w:rsidR="00520D2C" w:rsidRDefault="00520D2C">
      <w:pPr>
        <w:spacing w:line="400" w:lineRule="atLeast"/>
        <w:rPr>
          <w:rFonts w:ascii="Times New Roman" w:hAnsi="Times New Roman" w:cs="Times New Roman"/>
        </w:rPr>
      </w:pPr>
    </w:p>
    <w:p w14:paraId="3ED9A5A8" w14:textId="77777777" w:rsidR="00520D2C" w:rsidRDefault="00A10E08">
      <w:pPr>
        <w:rPr>
          <w:rFonts w:ascii="Times New Roman" w:hAnsi="Times New Roman" w:cs="Times New Roman"/>
        </w:rPr>
      </w:pPr>
      <w:r>
        <w:rPr>
          <w:rFonts w:ascii="Times New Roman" w:hAnsi="Times New Roman" w:cs="Times New Roman"/>
        </w:rPr>
        <w:pict w14:anchorId="3EEE530B">
          <v:shape id="_x0000_i1028" type="#_x0000_t75" style="width:450.7pt;height:265.15pt">
            <v:imagedata r:id="rId125" o:title=""/>
          </v:shape>
        </w:pict>
      </w:r>
    </w:p>
    <w:p w14:paraId="1E343114" w14:textId="77777777" w:rsidR="00520D2C" w:rsidRDefault="00520D2C">
      <w:pPr>
        <w:rPr>
          <w:rFonts w:ascii="Arial" w:hAnsi="Arial" w:cs="Arial"/>
          <w:b/>
          <w:bCs/>
          <w:sz w:val="26"/>
          <w:szCs w:val="26"/>
        </w:rPr>
      </w:pPr>
      <w:r>
        <w:rPr>
          <w:rFonts w:ascii="Arial" w:hAnsi="Arial" w:cs="Arial"/>
          <w:b/>
          <w:bCs/>
          <w:sz w:val="26"/>
          <w:szCs w:val="26"/>
        </w:rPr>
        <w:t>GGraph</w:t>
      </w:r>
    </w:p>
    <w:p w14:paraId="534B8E20" w14:textId="77777777" w:rsidR="00520D2C" w:rsidRDefault="00520D2C">
      <w:pPr>
        <w:rPr>
          <w:rFonts w:ascii="Arial" w:hAnsi="Arial" w:cs="Arial"/>
          <w:sz w:val="26"/>
          <w:szCs w:val="26"/>
        </w:rPr>
      </w:pPr>
    </w:p>
    <w:p w14:paraId="149854DE" w14:textId="77777777" w:rsidR="00520D2C" w:rsidRDefault="00520D2C">
      <w:pPr>
        <w:spacing w:line="400" w:lineRule="atLeast"/>
        <w:rPr>
          <w:rFonts w:ascii="Times New Roman" w:hAnsi="Times New Roman" w:cs="Times New Roman"/>
        </w:rPr>
      </w:pPr>
    </w:p>
    <w:p w14:paraId="32FC8A10" w14:textId="77777777" w:rsidR="00520D2C" w:rsidRDefault="00520D2C">
      <w:pPr>
        <w:spacing w:line="400" w:lineRule="atLeast"/>
        <w:rPr>
          <w:rFonts w:ascii="Times New Roman" w:hAnsi="Times New Roman" w:cs="Times New Roman"/>
        </w:rPr>
      </w:pPr>
    </w:p>
    <w:p w14:paraId="1D49513F" w14:textId="77777777" w:rsidR="00520D2C" w:rsidRDefault="00520D2C">
      <w:pPr>
        <w:spacing w:line="400" w:lineRule="atLeast"/>
        <w:rPr>
          <w:rFonts w:ascii="Times New Roman" w:hAnsi="Times New Roman" w:cs="Times New Roman"/>
        </w:rPr>
      </w:pPr>
    </w:p>
    <w:p w14:paraId="182C80BB" w14:textId="6EEA587D" w:rsidR="00520D2C" w:rsidRDefault="00A10E08" w:rsidP="00137994">
      <w:pPr>
        <w:rPr>
          <w:rFonts w:ascii="Times New Roman" w:hAnsi="Times New Roman" w:cs="Times New Roman"/>
        </w:rPr>
      </w:pPr>
      <w:r>
        <w:rPr>
          <w:rFonts w:ascii="Times New Roman" w:hAnsi="Times New Roman" w:cs="Times New Roman"/>
        </w:rPr>
        <w:pict w14:anchorId="57F4947A">
          <v:shape id="_x0000_i1029" type="#_x0000_t75" style="width:450.7pt;height:265.15pt">
            <v:imagedata r:id="rId126" o:title=""/>
          </v:shape>
        </w:pict>
      </w:r>
      <w:r w:rsidR="00520D2C">
        <w:rPr>
          <w:rFonts w:ascii="Arial" w:hAnsi="Arial" w:cs="Arial"/>
          <w:b/>
          <w:bCs/>
          <w:sz w:val="26"/>
          <w:szCs w:val="26"/>
        </w:rPr>
        <w:t>Descriptives</w:t>
      </w: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2"/>
        <w:gridCol w:w="1027"/>
        <w:gridCol w:w="1195"/>
        <w:gridCol w:w="1303"/>
        <w:gridCol w:w="1411"/>
        <w:gridCol w:w="1472"/>
      </w:tblGrid>
      <w:tr w:rsidR="00520D2C" w14:paraId="5AA8B8FC" w14:textId="77777777">
        <w:trPr>
          <w:cantSplit/>
        </w:trPr>
        <w:tc>
          <w:tcPr>
            <w:tcW w:w="8107" w:type="dxa"/>
            <w:gridSpan w:val="6"/>
            <w:tcBorders>
              <w:top w:val="nil"/>
              <w:left w:val="nil"/>
              <w:bottom w:val="nil"/>
              <w:right w:val="nil"/>
            </w:tcBorders>
            <w:shd w:val="clear" w:color="auto" w:fill="FFFFFF"/>
            <w:vAlign w:val="center"/>
          </w:tcPr>
          <w:p w14:paraId="7E533F1A"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Descriptive Statistics</w:t>
            </w:r>
          </w:p>
        </w:tc>
      </w:tr>
      <w:tr w:rsidR="00520D2C" w14:paraId="77113066" w14:textId="77777777">
        <w:trPr>
          <w:cantSplit/>
        </w:trPr>
        <w:tc>
          <w:tcPr>
            <w:tcW w:w="1701" w:type="dxa"/>
            <w:tcBorders>
              <w:top w:val="nil"/>
              <w:left w:val="nil"/>
              <w:bottom w:val="single" w:sz="8" w:space="0" w:color="152935"/>
              <w:right w:val="nil"/>
            </w:tcBorders>
            <w:shd w:val="clear" w:color="auto" w:fill="FFFFFF"/>
            <w:vAlign w:val="bottom"/>
          </w:tcPr>
          <w:p w14:paraId="15CD9529" w14:textId="77777777" w:rsidR="00520D2C" w:rsidRDefault="00520D2C">
            <w:pPr>
              <w:rPr>
                <w:rFonts w:ascii="Times New Roman" w:hAnsi="Times New Roman" w:cs="Times New Roman"/>
              </w:rPr>
            </w:pPr>
          </w:p>
        </w:tc>
        <w:tc>
          <w:tcPr>
            <w:tcW w:w="1027" w:type="dxa"/>
            <w:tcBorders>
              <w:top w:val="nil"/>
              <w:left w:val="nil"/>
              <w:bottom w:val="single" w:sz="8" w:space="0" w:color="152935"/>
              <w:right w:val="single" w:sz="8" w:space="0" w:color="E0E0E0"/>
            </w:tcBorders>
            <w:shd w:val="clear" w:color="auto" w:fill="FFFFFF"/>
            <w:vAlign w:val="bottom"/>
          </w:tcPr>
          <w:p w14:paraId="0ADFF1C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c>
          <w:tcPr>
            <w:tcW w:w="1195" w:type="dxa"/>
            <w:tcBorders>
              <w:top w:val="nil"/>
              <w:left w:val="single" w:sz="8" w:space="0" w:color="E0E0E0"/>
              <w:bottom w:val="single" w:sz="8" w:space="0" w:color="152935"/>
              <w:right w:val="single" w:sz="8" w:space="0" w:color="E0E0E0"/>
            </w:tcBorders>
            <w:shd w:val="clear" w:color="auto" w:fill="FFFFFF"/>
            <w:vAlign w:val="bottom"/>
          </w:tcPr>
          <w:p w14:paraId="4C4C303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Minimum</w:t>
            </w:r>
          </w:p>
        </w:tc>
        <w:tc>
          <w:tcPr>
            <w:tcW w:w="1303" w:type="dxa"/>
            <w:tcBorders>
              <w:top w:val="nil"/>
              <w:left w:val="single" w:sz="8" w:space="0" w:color="E0E0E0"/>
              <w:bottom w:val="single" w:sz="8" w:space="0" w:color="152935"/>
              <w:right w:val="single" w:sz="8" w:space="0" w:color="E0E0E0"/>
            </w:tcBorders>
            <w:shd w:val="clear" w:color="auto" w:fill="FFFFFF"/>
            <w:vAlign w:val="bottom"/>
          </w:tcPr>
          <w:p w14:paraId="21E3B48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Maximum</w:t>
            </w:r>
          </w:p>
        </w:tc>
        <w:tc>
          <w:tcPr>
            <w:tcW w:w="1410" w:type="dxa"/>
            <w:tcBorders>
              <w:top w:val="nil"/>
              <w:left w:val="single" w:sz="8" w:space="0" w:color="E0E0E0"/>
              <w:bottom w:val="single" w:sz="8" w:space="0" w:color="152935"/>
              <w:right w:val="single" w:sz="8" w:space="0" w:color="E0E0E0"/>
            </w:tcBorders>
            <w:shd w:val="clear" w:color="auto" w:fill="FFFFFF"/>
            <w:vAlign w:val="bottom"/>
          </w:tcPr>
          <w:p w14:paraId="3790ADF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71" w:type="dxa"/>
            <w:tcBorders>
              <w:top w:val="nil"/>
              <w:left w:val="single" w:sz="8" w:space="0" w:color="E0E0E0"/>
              <w:bottom w:val="single" w:sz="8" w:space="0" w:color="152935"/>
              <w:right w:val="nil"/>
            </w:tcBorders>
            <w:shd w:val="clear" w:color="auto" w:fill="FFFFFF"/>
            <w:vAlign w:val="bottom"/>
          </w:tcPr>
          <w:p w14:paraId="446F25F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r>
      <w:tr w:rsidR="00520D2C" w14:paraId="0C1393B2" w14:textId="77777777">
        <w:trPr>
          <w:cantSplit/>
        </w:trPr>
        <w:tc>
          <w:tcPr>
            <w:tcW w:w="1701" w:type="dxa"/>
            <w:tcBorders>
              <w:top w:val="single" w:sz="8" w:space="0" w:color="152935"/>
              <w:left w:val="nil"/>
              <w:bottom w:val="single" w:sz="8" w:space="0" w:color="AEAEAE"/>
              <w:right w:val="nil"/>
            </w:tcBorders>
            <w:shd w:val="clear" w:color="auto" w:fill="E0E0E0"/>
          </w:tcPr>
          <w:p w14:paraId="697AC2E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w:t>
            </w:r>
          </w:p>
        </w:tc>
        <w:tc>
          <w:tcPr>
            <w:tcW w:w="1027" w:type="dxa"/>
            <w:tcBorders>
              <w:top w:val="single" w:sz="8" w:space="0" w:color="152935"/>
              <w:left w:val="nil"/>
              <w:bottom w:val="single" w:sz="8" w:space="0" w:color="AEAEAE"/>
              <w:right w:val="single" w:sz="8" w:space="0" w:color="E0E0E0"/>
            </w:tcBorders>
            <w:shd w:val="clear" w:color="auto" w:fill="F9F9FB"/>
          </w:tcPr>
          <w:p w14:paraId="2594B9F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152935"/>
              <w:left w:val="single" w:sz="8" w:space="0" w:color="E0E0E0"/>
              <w:bottom w:val="single" w:sz="8" w:space="0" w:color="AEAEAE"/>
              <w:right w:val="single" w:sz="8" w:space="0" w:color="E0E0E0"/>
            </w:tcBorders>
            <w:shd w:val="clear" w:color="auto" w:fill="F9F9FB"/>
          </w:tcPr>
          <w:p w14:paraId="55AF179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720338.00</w:t>
            </w:r>
          </w:p>
        </w:tc>
        <w:tc>
          <w:tcPr>
            <w:tcW w:w="1303" w:type="dxa"/>
            <w:tcBorders>
              <w:top w:val="single" w:sz="8" w:space="0" w:color="152935"/>
              <w:left w:val="single" w:sz="8" w:space="0" w:color="E0E0E0"/>
              <w:bottom w:val="single" w:sz="8" w:space="0" w:color="AEAEAE"/>
              <w:right w:val="single" w:sz="8" w:space="0" w:color="E0E0E0"/>
            </w:tcBorders>
            <w:shd w:val="clear" w:color="auto" w:fill="F9F9FB"/>
          </w:tcPr>
          <w:p w14:paraId="3928D40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1323255.00</w:t>
            </w:r>
          </w:p>
        </w:tc>
        <w:tc>
          <w:tcPr>
            <w:tcW w:w="1410" w:type="dxa"/>
            <w:tcBorders>
              <w:top w:val="single" w:sz="8" w:space="0" w:color="152935"/>
              <w:left w:val="single" w:sz="8" w:space="0" w:color="E0E0E0"/>
              <w:bottom w:val="single" w:sz="8" w:space="0" w:color="AEAEAE"/>
              <w:right w:val="single" w:sz="8" w:space="0" w:color="E0E0E0"/>
            </w:tcBorders>
            <w:shd w:val="clear" w:color="auto" w:fill="F9F9FB"/>
          </w:tcPr>
          <w:p w14:paraId="6E5BA2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905520.6364</w:t>
            </w:r>
          </w:p>
        </w:tc>
        <w:tc>
          <w:tcPr>
            <w:tcW w:w="1471" w:type="dxa"/>
            <w:tcBorders>
              <w:top w:val="single" w:sz="8" w:space="0" w:color="152935"/>
              <w:left w:val="single" w:sz="8" w:space="0" w:color="E0E0E0"/>
              <w:bottom w:val="single" w:sz="8" w:space="0" w:color="AEAEAE"/>
              <w:right w:val="nil"/>
            </w:tcBorders>
            <w:shd w:val="clear" w:color="auto" w:fill="F9F9FB"/>
          </w:tcPr>
          <w:p w14:paraId="4C69A60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174514.21493</w:t>
            </w:r>
          </w:p>
        </w:tc>
      </w:tr>
      <w:tr w:rsidR="00520D2C" w14:paraId="1D90EDA2" w14:textId="77777777">
        <w:trPr>
          <w:cantSplit/>
        </w:trPr>
        <w:tc>
          <w:tcPr>
            <w:tcW w:w="1701" w:type="dxa"/>
            <w:tcBorders>
              <w:top w:val="single" w:sz="8" w:space="0" w:color="AEAEAE"/>
              <w:left w:val="nil"/>
              <w:bottom w:val="single" w:sz="8" w:space="0" w:color="AEAEAE"/>
              <w:right w:val="nil"/>
            </w:tcBorders>
            <w:shd w:val="clear" w:color="auto" w:fill="E0E0E0"/>
          </w:tcPr>
          <w:p w14:paraId="6615C0C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GDP.growth</w:t>
            </w:r>
          </w:p>
        </w:tc>
        <w:tc>
          <w:tcPr>
            <w:tcW w:w="1027" w:type="dxa"/>
            <w:tcBorders>
              <w:top w:val="single" w:sz="8" w:space="0" w:color="AEAEAE"/>
              <w:left w:val="nil"/>
              <w:bottom w:val="single" w:sz="8" w:space="0" w:color="AEAEAE"/>
              <w:right w:val="single" w:sz="8" w:space="0" w:color="E0E0E0"/>
            </w:tcBorders>
            <w:shd w:val="clear" w:color="auto" w:fill="F9F9FB"/>
          </w:tcPr>
          <w:p w14:paraId="6B912CB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AEAEAE"/>
              <w:left w:val="single" w:sz="8" w:space="0" w:color="E0E0E0"/>
              <w:bottom w:val="single" w:sz="8" w:space="0" w:color="AEAEAE"/>
              <w:right w:val="single" w:sz="8" w:space="0" w:color="E0E0E0"/>
            </w:tcBorders>
            <w:shd w:val="clear" w:color="auto" w:fill="F9F9FB"/>
          </w:tcPr>
          <w:p w14:paraId="3B6E53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.80</w:t>
            </w:r>
          </w:p>
        </w:tc>
        <w:tc>
          <w:tcPr>
            <w:tcW w:w="1303" w:type="dxa"/>
            <w:tcBorders>
              <w:top w:val="single" w:sz="8" w:space="0" w:color="AEAEAE"/>
              <w:left w:val="single" w:sz="8" w:space="0" w:color="E0E0E0"/>
              <w:bottom w:val="single" w:sz="8" w:space="0" w:color="AEAEAE"/>
              <w:right w:val="single" w:sz="8" w:space="0" w:color="E0E0E0"/>
            </w:tcBorders>
            <w:shd w:val="clear" w:color="auto" w:fill="F9F9FB"/>
          </w:tcPr>
          <w:p w14:paraId="12839E1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11.40</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5E53DCB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4.7909</w:t>
            </w:r>
          </w:p>
        </w:tc>
        <w:tc>
          <w:tcPr>
            <w:tcW w:w="1471" w:type="dxa"/>
            <w:tcBorders>
              <w:top w:val="single" w:sz="8" w:space="0" w:color="AEAEAE"/>
              <w:left w:val="single" w:sz="8" w:space="0" w:color="E0E0E0"/>
              <w:bottom w:val="single" w:sz="8" w:space="0" w:color="AEAEAE"/>
              <w:right w:val="nil"/>
            </w:tcBorders>
            <w:shd w:val="clear" w:color="auto" w:fill="F9F9FB"/>
          </w:tcPr>
          <w:p w14:paraId="52478A4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2.92556</w:t>
            </w:r>
          </w:p>
        </w:tc>
      </w:tr>
      <w:tr w:rsidR="00520D2C" w14:paraId="1285D71F" w14:textId="77777777">
        <w:trPr>
          <w:cantSplit/>
        </w:trPr>
        <w:tc>
          <w:tcPr>
            <w:tcW w:w="1701" w:type="dxa"/>
            <w:tcBorders>
              <w:top w:val="single" w:sz="8" w:space="0" w:color="AEAEAE"/>
              <w:left w:val="nil"/>
              <w:bottom w:val="single" w:sz="8" w:space="0" w:color="AEAEAE"/>
              <w:right w:val="nil"/>
            </w:tcBorders>
            <w:shd w:val="clear" w:color="auto" w:fill="E0E0E0"/>
          </w:tcPr>
          <w:p w14:paraId="5BF934E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027" w:type="dxa"/>
            <w:tcBorders>
              <w:top w:val="single" w:sz="8" w:space="0" w:color="AEAEAE"/>
              <w:left w:val="nil"/>
              <w:bottom w:val="single" w:sz="8" w:space="0" w:color="AEAEAE"/>
              <w:right w:val="single" w:sz="8" w:space="0" w:color="E0E0E0"/>
            </w:tcBorders>
            <w:shd w:val="clear" w:color="auto" w:fill="F9F9FB"/>
          </w:tcPr>
          <w:p w14:paraId="026F154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AEAEAE"/>
              <w:left w:val="single" w:sz="8" w:space="0" w:color="E0E0E0"/>
              <w:bottom w:val="single" w:sz="8" w:space="0" w:color="AEAEAE"/>
              <w:right w:val="single" w:sz="8" w:space="0" w:color="E0E0E0"/>
            </w:tcBorders>
            <w:shd w:val="clear" w:color="auto" w:fill="F9F9FB"/>
          </w:tcPr>
          <w:p w14:paraId="7A8F0CD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7.70</w:t>
            </w:r>
          </w:p>
        </w:tc>
        <w:tc>
          <w:tcPr>
            <w:tcW w:w="1303" w:type="dxa"/>
            <w:tcBorders>
              <w:top w:val="single" w:sz="8" w:space="0" w:color="AEAEAE"/>
              <w:left w:val="single" w:sz="8" w:space="0" w:color="E0E0E0"/>
              <w:bottom w:val="single" w:sz="8" w:space="0" w:color="AEAEAE"/>
              <w:right w:val="single" w:sz="8" w:space="0" w:color="E0E0E0"/>
            </w:tcBorders>
            <w:shd w:val="clear" w:color="auto" w:fill="F9F9FB"/>
          </w:tcPr>
          <w:p w14:paraId="5CEC971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72.30</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7B6CDEA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25.7818</w:t>
            </w:r>
          </w:p>
        </w:tc>
        <w:tc>
          <w:tcPr>
            <w:tcW w:w="1471" w:type="dxa"/>
            <w:tcBorders>
              <w:top w:val="single" w:sz="8" w:space="0" w:color="AEAEAE"/>
              <w:left w:val="single" w:sz="8" w:space="0" w:color="E0E0E0"/>
              <w:bottom w:val="single" w:sz="8" w:space="0" w:color="AEAEAE"/>
              <w:right w:val="nil"/>
            </w:tcBorders>
            <w:shd w:val="clear" w:color="auto" w:fill="F9F9FB"/>
          </w:tcPr>
          <w:p w14:paraId="1AA6F80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23.65958</w:t>
            </w:r>
          </w:p>
        </w:tc>
      </w:tr>
      <w:tr w:rsidR="00520D2C" w14:paraId="775855BD" w14:textId="77777777">
        <w:trPr>
          <w:cantSplit/>
        </w:trPr>
        <w:tc>
          <w:tcPr>
            <w:tcW w:w="1701" w:type="dxa"/>
            <w:tcBorders>
              <w:top w:val="single" w:sz="8" w:space="0" w:color="AEAEAE"/>
              <w:left w:val="nil"/>
              <w:bottom w:val="single" w:sz="8" w:space="0" w:color="AEAEAE"/>
              <w:right w:val="nil"/>
            </w:tcBorders>
            <w:shd w:val="clear" w:color="auto" w:fill="E0E0E0"/>
          </w:tcPr>
          <w:p w14:paraId="339A8B0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027" w:type="dxa"/>
            <w:tcBorders>
              <w:top w:val="single" w:sz="8" w:space="0" w:color="AEAEAE"/>
              <w:left w:val="nil"/>
              <w:bottom w:val="single" w:sz="8" w:space="0" w:color="AEAEAE"/>
              <w:right w:val="single" w:sz="8" w:space="0" w:color="E0E0E0"/>
            </w:tcBorders>
            <w:shd w:val="clear" w:color="auto" w:fill="F9F9FB"/>
          </w:tcPr>
          <w:p w14:paraId="4AD4E31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AEAEAE"/>
              <w:left w:val="single" w:sz="8" w:space="0" w:color="E0E0E0"/>
              <w:bottom w:val="single" w:sz="8" w:space="0" w:color="AEAEAE"/>
              <w:right w:val="single" w:sz="8" w:space="0" w:color="E0E0E0"/>
            </w:tcBorders>
            <w:shd w:val="clear" w:color="auto" w:fill="F9F9FB"/>
          </w:tcPr>
          <w:p w14:paraId="6419994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8.70</w:t>
            </w:r>
          </w:p>
        </w:tc>
        <w:tc>
          <w:tcPr>
            <w:tcW w:w="1303" w:type="dxa"/>
            <w:tcBorders>
              <w:top w:val="single" w:sz="8" w:space="0" w:color="AEAEAE"/>
              <w:left w:val="single" w:sz="8" w:space="0" w:color="E0E0E0"/>
              <w:bottom w:val="single" w:sz="8" w:space="0" w:color="AEAEAE"/>
              <w:right w:val="single" w:sz="8" w:space="0" w:color="E0E0E0"/>
            </w:tcBorders>
            <w:shd w:val="clear" w:color="auto" w:fill="F9F9FB"/>
          </w:tcPr>
          <w:p w14:paraId="4519955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13.70</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01837AC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10.9364</w:t>
            </w:r>
          </w:p>
        </w:tc>
        <w:tc>
          <w:tcPr>
            <w:tcW w:w="1471" w:type="dxa"/>
            <w:tcBorders>
              <w:top w:val="single" w:sz="8" w:space="0" w:color="AEAEAE"/>
              <w:left w:val="single" w:sz="8" w:space="0" w:color="E0E0E0"/>
              <w:bottom w:val="single" w:sz="8" w:space="0" w:color="AEAEAE"/>
              <w:right w:val="nil"/>
            </w:tcBorders>
            <w:shd w:val="clear" w:color="auto" w:fill="F9F9FB"/>
          </w:tcPr>
          <w:p w14:paraId="2C092EE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1.49952</w:t>
            </w:r>
          </w:p>
        </w:tc>
      </w:tr>
      <w:tr w:rsidR="00520D2C" w14:paraId="0B005F3B" w14:textId="77777777">
        <w:trPr>
          <w:cantSplit/>
        </w:trPr>
        <w:tc>
          <w:tcPr>
            <w:tcW w:w="1701" w:type="dxa"/>
            <w:tcBorders>
              <w:top w:val="single" w:sz="8" w:space="0" w:color="AEAEAE"/>
              <w:left w:val="nil"/>
              <w:bottom w:val="single" w:sz="8" w:space="0" w:color="AEAEAE"/>
              <w:right w:val="nil"/>
            </w:tcBorders>
            <w:shd w:val="clear" w:color="auto" w:fill="E0E0E0"/>
          </w:tcPr>
          <w:p w14:paraId="12DE1D8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027" w:type="dxa"/>
            <w:tcBorders>
              <w:top w:val="single" w:sz="8" w:space="0" w:color="AEAEAE"/>
              <w:left w:val="nil"/>
              <w:bottom w:val="single" w:sz="8" w:space="0" w:color="AEAEAE"/>
              <w:right w:val="single" w:sz="8" w:space="0" w:color="E0E0E0"/>
            </w:tcBorders>
            <w:shd w:val="clear" w:color="auto" w:fill="F9F9FB"/>
          </w:tcPr>
          <w:p w14:paraId="6E1E6DA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AEAEAE"/>
              <w:left w:val="single" w:sz="8" w:space="0" w:color="E0E0E0"/>
              <w:bottom w:val="single" w:sz="8" w:space="0" w:color="AEAEAE"/>
              <w:right w:val="single" w:sz="8" w:space="0" w:color="E0E0E0"/>
            </w:tcBorders>
            <w:shd w:val="clear" w:color="auto" w:fill="F9F9FB"/>
          </w:tcPr>
          <w:p w14:paraId="206245D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2.34</w:t>
            </w:r>
          </w:p>
        </w:tc>
        <w:tc>
          <w:tcPr>
            <w:tcW w:w="1303" w:type="dxa"/>
            <w:tcBorders>
              <w:top w:val="single" w:sz="8" w:space="0" w:color="AEAEAE"/>
              <w:left w:val="single" w:sz="8" w:space="0" w:color="E0E0E0"/>
              <w:bottom w:val="single" w:sz="8" w:space="0" w:color="AEAEAE"/>
              <w:right w:val="single" w:sz="8" w:space="0" w:color="E0E0E0"/>
            </w:tcBorders>
            <w:shd w:val="clear" w:color="auto" w:fill="F9F9FB"/>
          </w:tcPr>
          <w:p w14:paraId="751E016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35.36</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1B27A98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11.6509</w:t>
            </w:r>
          </w:p>
        </w:tc>
        <w:tc>
          <w:tcPr>
            <w:tcW w:w="1471" w:type="dxa"/>
            <w:tcBorders>
              <w:top w:val="single" w:sz="8" w:space="0" w:color="AEAEAE"/>
              <w:left w:val="single" w:sz="8" w:space="0" w:color="E0E0E0"/>
              <w:bottom w:val="single" w:sz="8" w:space="0" w:color="AEAEAE"/>
              <w:right w:val="nil"/>
            </w:tcBorders>
            <w:shd w:val="clear" w:color="auto" w:fill="F9F9FB"/>
          </w:tcPr>
          <w:p w14:paraId="5B9F580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11.47011</w:t>
            </w:r>
          </w:p>
        </w:tc>
      </w:tr>
      <w:tr w:rsidR="00520D2C" w14:paraId="5905AF24" w14:textId="77777777">
        <w:trPr>
          <w:cantSplit/>
        </w:trPr>
        <w:tc>
          <w:tcPr>
            <w:tcW w:w="1701" w:type="dxa"/>
            <w:tcBorders>
              <w:top w:val="single" w:sz="8" w:space="0" w:color="AEAEAE"/>
              <w:left w:val="nil"/>
              <w:bottom w:val="single" w:sz="8" w:space="0" w:color="152935"/>
              <w:right w:val="nil"/>
            </w:tcBorders>
            <w:shd w:val="clear" w:color="auto" w:fill="E0E0E0"/>
          </w:tcPr>
          <w:p w14:paraId="285222B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 N (listwise)</w:t>
            </w:r>
          </w:p>
        </w:tc>
        <w:tc>
          <w:tcPr>
            <w:tcW w:w="1027" w:type="dxa"/>
            <w:tcBorders>
              <w:top w:val="single" w:sz="8" w:space="0" w:color="AEAEAE"/>
              <w:left w:val="nil"/>
              <w:bottom w:val="single" w:sz="8" w:space="0" w:color="152935"/>
              <w:right w:val="single" w:sz="8" w:space="0" w:color="E0E0E0"/>
            </w:tcBorders>
            <w:shd w:val="clear" w:color="auto" w:fill="F9F9FB"/>
          </w:tcPr>
          <w:p w14:paraId="720B915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19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0D47B6B" w14:textId="77777777" w:rsidR="00520D2C" w:rsidRDefault="00520D2C">
            <w:pPr>
              <w:rPr>
                <w:rFonts w:ascii="Times New Roman" w:hAnsi="Times New Roman" w:cs="Times New Roman"/>
              </w:rPr>
            </w:pPr>
          </w:p>
        </w:tc>
        <w:tc>
          <w:tcPr>
            <w:tcW w:w="1303"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28FA199" w14:textId="77777777" w:rsidR="00520D2C" w:rsidRDefault="00520D2C">
            <w:pPr>
              <w:rPr>
                <w:rFonts w:ascii="Times New Roman" w:hAnsi="Times New Roman" w:cs="Times New Roman"/>
              </w:rPr>
            </w:pPr>
          </w:p>
        </w:tc>
        <w:tc>
          <w:tcPr>
            <w:tcW w:w="141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B37295F" w14:textId="77777777" w:rsidR="00520D2C" w:rsidRDefault="00520D2C">
            <w:pPr>
              <w:rPr>
                <w:rFonts w:ascii="Times New Roman" w:hAnsi="Times New Roman" w:cs="Times New Roman"/>
              </w:rPr>
            </w:pP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1E3B0398" w14:textId="77777777" w:rsidR="00520D2C" w:rsidRDefault="00520D2C">
            <w:pPr>
              <w:rPr>
                <w:rFonts w:ascii="Times New Roman" w:hAnsi="Times New Roman" w:cs="Times New Roman"/>
              </w:rPr>
            </w:pPr>
          </w:p>
        </w:tc>
      </w:tr>
    </w:tbl>
    <w:p w14:paraId="4A1CD883" w14:textId="77777777" w:rsidR="00520D2C" w:rsidRDefault="00520D2C">
      <w:pPr>
        <w:spacing w:line="400" w:lineRule="atLeast"/>
        <w:rPr>
          <w:rFonts w:ascii="Times New Roman" w:hAnsi="Times New Roman" w:cs="Times New Roman"/>
        </w:rPr>
      </w:pPr>
    </w:p>
    <w:p w14:paraId="6AF943C3" w14:textId="2F519A70" w:rsidR="00520D2C" w:rsidRPr="00137994" w:rsidRDefault="00520D2C" w:rsidP="00137994">
      <w:pPr>
        <w:rPr>
          <w:rFonts w:ascii="Arial" w:hAnsi="Arial" w:cs="Arial"/>
          <w:b/>
          <w:bCs/>
          <w:sz w:val="26"/>
          <w:szCs w:val="26"/>
        </w:rPr>
      </w:pPr>
      <w:r>
        <w:rPr>
          <w:rFonts w:ascii="Arial" w:hAnsi="Arial" w:cs="Arial"/>
          <w:b/>
          <w:bCs/>
          <w:sz w:val="26"/>
          <w:szCs w:val="26"/>
        </w:rPr>
        <w:t>Correlations</w:t>
      </w: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79"/>
        <w:gridCol w:w="1993"/>
        <w:gridCol w:w="1026"/>
        <w:gridCol w:w="1302"/>
        <w:gridCol w:w="1026"/>
        <w:gridCol w:w="1472"/>
      </w:tblGrid>
      <w:tr w:rsidR="00520D2C" w14:paraId="3C7B4507" w14:textId="77777777">
        <w:trPr>
          <w:cantSplit/>
        </w:trPr>
        <w:tc>
          <w:tcPr>
            <w:tcW w:w="8395" w:type="dxa"/>
            <w:gridSpan w:val="6"/>
            <w:tcBorders>
              <w:top w:val="nil"/>
              <w:left w:val="nil"/>
              <w:bottom w:val="nil"/>
              <w:right w:val="nil"/>
            </w:tcBorders>
            <w:shd w:val="clear" w:color="auto" w:fill="FFFFFF"/>
            <w:vAlign w:val="center"/>
          </w:tcPr>
          <w:p w14:paraId="77A97F08"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Correlations</w:t>
            </w:r>
          </w:p>
        </w:tc>
      </w:tr>
      <w:tr w:rsidR="00520D2C" w14:paraId="6E92BA8F" w14:textId="77777777">
        <w:trPr>
          <w:cantSplit/>
        </w:trPr>
        <w:tc>
          <w:tcPr>
            <w:tcW w:w="3570" w:type="dxa"/>
            <w:gridSpan w:val="2"/>
            <w:tcBorders>
              <w:top w:val="nil"/>
              <w:left w:val="nil"/>
              <w:bottom w:val="single" w:sz="8" w:space="0" w:color="152935"/>
              <w:right w:val="nil"/>
            </w:tcBorders>
            <w:shd w:val="clear" w:color="auto" w:fill="FFFFFF"/>
            <w:vAlign w:val="bottom"/>
          </w:tcPr>
          <w:p w14:paraId="6013DF67" w14:textId="77777777" w:rsidR="00520D2C" w:rsidRDefault="00520D2C">
            <w:pPr>
              <w:rPr>
                <w:rFonts w:ascii="Times New Roman" w:hAnsi="Times New Roman" w:cs="Times New Roman"/>
              </w:rPr>
            </w:pPr>
          </w:p>
        </w:tc>
        <w:tc>
          <w:tcPr>
            <w:tcW w:w="1026" w:type="dxa"/>
            <w:tcBorders>
              <w:top w:val="nil"/>
              <w:left w:val="nil"/>
              <w:bottom w:val="single" w:sz="8" w:space="0" w:color="152935"/>
              <w:right w:val="single" w:sz="8" w:space="0" w:color="E0E0E0"/>
            </w:tcBorders>
            <w:shd w:val="clear" w:color="auto" w:fill="FFFFFF"/>
            <w:vAlign w:val="bottom"/>
          </w:tcPr>
          <w:p w14:paraId="756E65A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GDP</w:t>
            </w:r>
          </w:p>
        </w:tc>
        <w:tc>
          <w:tcPr>
            <w:tcW w:w="1302" w:type="dxa"/>
            <w:tcBorders>
              <w:top w:val="nil"/>
              <w:left w:val="single" w:sz="8" w:space="0" w:color="E0E0E0"/>
              <w:bottom w:val="single" w:sz="8" w:space="0" w:color="152935"/>
              <w:right w:val="single" w:sz="8" w:space="0" w:color="E0E0E0"/>
            </w:tcBorders>
            <w:shd w:val="clear" w:color="auto" w:fill="FFFFFF"/>
            <w:vAlign w:val="bottom"/>
          </w:tcPr>
          <w:p w14:paraId="273EC5C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GDP.growth</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2E375FB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inflation</w:t>
            </w:r>
          </w:p>
        </w:tc>
        <w:tc>
          <w:tcPr>
            <w:tcW w:w="1471" w:type="dxa"/>
            <w:tcBorders>
              <w:top w:val="nil"/>
              <w:left w:val="single" w:sz="8" w:space="0" w:color="E0E0E0"/>
              <w:bottom w:val="single" w:sz="8" w:space="0" w:color="152935"/>
              <w:right w:val="nil"/>
            </w:tcBorders>
            <w:shd w:val="clear" w:color="auto" w:fill="FFFFFF"/>
            <w:vAlign w:val="bottom"/>
          </w:tcPr>
          <w:p w14:paraId="1D5F5D8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Unemployment</w:t>
            </w:r>
          </w:p>
        </w:tc>
      </w:tr>
      <w:tr w:rsidR="00520D2C" w14:paraId="49E2BFF4" w14:textId="77777777">
        <w:trPr>
          <w:cantSplit/>
        </w:trPr>
        <w:tc>
          <w:tcPr>
            <w:tcW w:w="1578" w:type="dxa"/>
            <w:vMerge w:val="restart"/>
            <w:tcBorders>
              <w:top w:val="single" w:sz="8" w:space="0" w:color="152935"/>
              <w:left w:val="nil"/>
              <w:bottom w:val="nil"/>
              <w:right w:val="nil"/>
            </w:tcBorders>
            <w:shd w:val="clear" w:color="auto" w:fill="E0E0E0"/>
          </w:tcPr>
          <w:p w14:paraId="0E0BEF9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w:t>
            </w:r>
          </w:p>
        </w:tc>
        <w:tc>
          <w:tcPr>
            <w:tcW w:w="1992" w:type="dxa"/>
            <w:tcBorders>
              <w:top w:val="single" w:sz="8" w:space="0" w:color="152935"/>
              <w:left w:val="nil"/>
              <w:bottom w:val="single" w:sz="8" w:space="0" w:color="AEAEAE"/>
              <w:right w:val="nil"/>
            </w:tcBorders>
            <w:shd w:val="clear" w:color="auto" w:fill="E0E0E0"/>
          </w:tcPr>
          <w:p w14:paraId="7AF3669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26" w:type="dxa"/>
            <w:tcBorders>
              <w:top w:val="single" w:sz="8" w:space="0" w:color="152935"/>
              <w:left w:val="nil"/>
              <w:bottom w:val="single" w:sz="8" w:space="0" w:color="AEAEAE"/>
              <w:right w:val="single" w:sz="8" w:space="0" w:color="E0E0E0"/>
            </w:tcBorders>
            <w:shd w:val="clear" w:color="auto" w:fill="F9F9FB"/>
          </w:tcPr>
          <w:p w14:paraId="66B2CC6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302" w:type="dxa"/>
            <w:tcBorders>
              <w:top w:val="single" w:sz="8" w:space="0" w:color="152935"/>
              <w:left w:val="single" w:sz="8" w:space="0" w:color="E0E0E0"/>
              <w:bottom w:val="single" w:sz="8" w:space="0" w:color="AEAEAE"/>
              <w:right w:val="single" w:sz="8" w:space="0" w:color="E0E0E0"/>
            </w:tcBorders>
            <w:shd w:val="clear" w:color="auto" w:fill="F9F9FB"/>
          </w:tcPr>
          <w:p w14:paraId="74584B7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7A54932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.654</w:t>
            </w:r>
            <w:r>
              <w:rPr>
                <w:rFonts w:ascii="Arial" w:hAnsi="Arial" w:cs="Arial"/>
                <w:color w:val="010205"/>
                <w:sz w:val="18"/>
                <w:szCs w:val="18"/>
                <w:vertAlign w:val="superscript"/>
              </w:rPr>
              <w:t>*</w:t>
            </w:r>
          </w:p>
        </w:tc>
        <w:tc>
          <w:tcPr>
            <w:tcW w:w="1471" w:type="dxa"/>
            <w:tcBorders>
              <w:top w:val="single" w:sz="8" w:space="0" w:color="152935"/>
              <w:left w:val="single" w:sz="8" w:space="0" w:color="E0E0E0"/>
              <w:bottom w:val="single" w:sz="8" w:space="0" w:color="AEAEAE"/>
              <w:right w:val="nil"/>
            </w:tcBorders>
            <w:shd w:val="clear" w:color="auto" w:fill="F9F9FB"/>
          </w:tcPr>
          <w:p w14:paraId="199D7D7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-.823</w:t>
            </w:r>
            <w:r>
              <w:rPr>
                <w:rFonts w:ascii="Arial" w:hAnsi="Arial" w:cs="Arial"/>
                <w:color w:val="010205"/>
                <w:sz w:val="18"/>
                <w:szCs w:val="18"/>
                <w:vertAlign w:val="superscript"/>
              </w:rPr>
              <w:t>**</w:t>
            </w:r>
          </w:p>
        </w:tc>
      </w:tr>
      <w:tr w:rsidR="00520D2C" w14:paraId="18FC5751" w14:textId="77777777">
        <w:trPr>
          <w:cantSplit/>
        </w:trPr>
        <w:tc>
          <w:tcPr>
            <w:tcW w:w="1578" w:type="dxa"/>
            <w:vMerge/>
            <w:tcBorders>
              <w:top w:val="single" w:sz="8" w:space="0" w:color="152935"/>
              <w:left w:val="nil"/>
              <w:bottom w:val="nil"/>
              <w:right w:val="nil"/>
            </w:tcBorders>
            <w:shd w:val="clear" w:color="auto" w:fill="E0E0E0"/>
          </w:tcPr>
          <w:p w14:paraId="1AEAD44D"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AEAEAE"/>
              <w:right w:val="nil"/>
            </w:tcBorders>
            <w:shd w:val="clear" w:color="auto" w:fill="E0E0E0"/>
          </w:tcPr>
          <w:p w14:paraId="3DDF4D9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26" w:type="dxa"/>
            <w:tcBorders>
              <w:top w:val="single" w:sz="8" w:space="0" w:color="AEAEAE"/>
              <w:left w:val="nil"/>
              <w:bottom w:val="single" w:sz="8" w:space="0" w:color="AEAEAE"/>
              <w:right w:val="single" w:sz="8" w:space="0" w:color="E0E0E0"/>
            </w:tcBorders>
            <w:shd w:val="clear" w:color="auto" w:fill="F9F9FB"/>
            <w:vAlign w:val="center"/>
          </w:tcPr>
          <w:p w14:paraId="3AB05580" w14:textId="77777777" w:rsidR="00520D2C" w:rsidRDefault="00520D2C">
            <w:pPr>
              <w:rPr>
                <w:rFonts w:ascii="Times New Roman" w:hAnsi="Times New Roman" w:cs="Times New Roman"/>
              </w:rPr>
            </w:pP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19CCD97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.976</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2BF1BB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p>
        </w:tc>
        <w:tc>
          <w:tcPr>
            <w:tcW w:w="1471" w:type="dxa"/>
            <w:tcBorders>
              <w:top w:val="single" w:sz="8" w:space="0" w:color="AEAEAE"/>
              <w:left w:val="single" w:sz="8" w:space="0" w:color="E0E0E0"/>
              <w:bottom w:val="single" w:sz="8" w:space="0" w:color="AEAEAE"/>
              <w:right w:val="nil"/>
            </w:tcBorders>
            <w:shd w:val="clear" w:color="auto" w:fill="F9F9FB"/>
          </w:tcPr>
          <w:p w14:paraId="58964C5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r>
      <w:tr w:rsidR="00520D2C" w14:paraId="3C9B2F6C" w14:textId="77777777">
        <w:trPr>
          <w:cantSplit/>
        </w:trPr>
        <w:tc>
          <w:tcPr>
            <w:tcW w:w="1578" w:type="dxa"/>
            <w:vMerge/>
            <w:tcBorders>
              <w:top w:val="single" w:sz="8" w:space="0" w:color="152935"/>
              <w:left w:val="nil"/>
              <w:bottom w:val="nil"/>
              <w:right w:val="nil"/>
            </w:tcBorders>
            <w:shd w:val="clear" w:color="auto" w:fill="E0E0E0"/>
          </w:tcPr>
          <w:p w14:paraId="23AE7580" w14:textId="77777777" w:rsidR="00520D2C" w:rsidRDefault="00520D2C">
            <w:pPr>
              <w:rPr>
                <w:rFonts w:ascii="Arial" w:hAnsi="Arial" w:cs="Arial"/>
                <w:color w:val="010205"/>
                <w:sz w:val="18"/>
                <w:szCs w:val="18"/>
              </w:rPr>
            </w:pPr>
          </w:p>
        </w:tc>
        <w:tc>
          <w:tcPr>
            <w:tcW w:w="1992" w:type="dxa"/>
            <w:tcBorders>
              <w:top w:val="single" w:sz="8" w:space="0" w:color="AEAEAE"/>
              <w:left w:val="nil"/>
              <w:bottom w:val="nil"/>
              <w:right w:val="nil"/>
            </w:tcBorders>
            <w:shd w:val="clear" w:color="auto" w:fill="E0E0E0"/>
          </w:tcPr>
          <w:p w14:paraId="76DE766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26" w:type="dxa"/>
            <w:tcBorders>
              <w:top w:val="single" w:sz="8" w:space="0" w:color="AEAEAE"/>
              <w:left w:val="nil"/>
              <w:bottom w:val="nil"/>
              <w:right w:val="single" w:sz="8" w:space="0" w:color="E0E0E0"/>
            </w:tcBorders>
            <w:shd w:val="clear" w:color="auto" w:fill="F9F9FB"/>
          </w:tcPr>
          <w:p w14:paraId="4F7060F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302" w:type="dxa"/>
            <w:tcBorders>
              <w:top w:val="single" w:sz="8" w:space="0" w:color="AEAEAE"/>
              <w:left w:val="single" w:sz="8" w:space="0" w:color="E0E0E0"/>
              <w:bottom w:val="nil"/>
              <w:right w:val="single" w:sz="8" w:space="0" w:color="E0E0E0"/>
            </w:tcBorders>
            <w:shd w:val="clear" w:color="auto" w:fill="F9F9FB"/>
          </w:tcPr>
          <w:p w14:paraId="2545F6E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6" w:type="dxa"/>
            <w:tcBorders>
              <w:top w:val="single" w:sz="8" w:space="0" w:color="AEAEAE"/>
              <w:left w:val="single" w:sz="8" w:space="0" w:color="E0E0E0"/>
              <w:bottom w:val="nil"/>
              <w:right w:val="single" w:sz="8" w:space="0" w:color="E0E0E0"/>
            </w:tcBorders>
            <w:shd w:val="clear" w:color="auto" w:fill="F9F9FB"/>
          </w:tcPr>
          <w:p w14:paraId="081E7EE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471" w:type="dxa"/>
            <w:tcBorders>
              <w:top w:val="single" w:sz="8" w:space="0" w:color="AEAEAE"/>
              <w:left w:val="single" w:sz="8" w:space="0" w:color="E0E0E0"/>
              <w:bottom w:val="nil"/>
              <w:right w:val="nil"/>
            </w:tcBorders>
            <w:shd w:val="clear" w:color="auto" w:fill="F9F9FB"/>
          </w:tcPr>
          <w:p w14:paraId="14F6014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3698B16C" w14:textId="77777777">
        <w:trPr>
          <w:cantSplit/>
        </w:trPr>
        <w:tc>
          <w:tcPr>
            <w:tcW w:w="1578" w:type="dxa"/>
            <w:vMerge w:val="restart"/>
            <w:tcBorders>
              <w:top w:val="single" w:sz="8" w:space="0" w:color="AEAEAE"/>
              <w:left w:val="nil"/>
              <w:bottom w:val="nil"/>
              <w:right w:val="nil"/>
            </w:tcBorders>
            <w:shd w:val="clear" w:color="auto" w:fill="E0E0E0"/>
          </w:tcPr>
          <w:p w14:paraId="287712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GDP.growth</w:t>
            </w:r>
          </w:p>
        </w:tc>
        <w:tc>
          <w:tcPr>
            <w:tcW w:w="1992" w:type="dxa"/>
            <w:tcBorders>
              <w:top w:val="single" w:sz="8" w:space="0" w:color="AEAEAE"/>
              <w:left w:val="nil"/>
              <w:bottom w:val="single" w:sz="8" w:space="0" w:color="AEAEAE"/>
              <w:right w:val="nil"/>
            </w:tcBorders>
            <w:shd w:val="clear" w:color="auto" w:fill="E0E0E0"/>
          </w:tcPr>
          <w:p w14:paraId="7AFBA7E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26" w:type="dxa"/>
            <w:tcBorders>
              <w:top w:val="single" w:sz="8" w:space="0" w:color="AEAEAE"/>
              <w:left w:val="nil"/>
              <w:bottom w:val="single" w:sz="8" w:space="0" w:color="AEAEAE"/>
              <w:right w:val="single" w:sz="8" w:space="0" w:color="E0E0E0"/>
            </w:tcBorders>
            <w:shd w:val="clear" w:color="auto" w:fill="F9F9FB"/>
          </w:tcPr>
          <w:p w14:paraId="2365317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.010</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7C26A4D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719003A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p>
        </w:tc>
        <w:tc>
          <w:tcPr>
            <w:tcW w:w="1471" w:type="dxa"/>
            <w:tcBorders>
              <w:top w:val="single" w:sz="8" w:space="0" w:color="AEAEAE"/>
              <w:left w:val="single" w:sz="8" w:space="0" w:color="E0E0E0"/>
              <w:bottom w:val="single" w:sz="8" w:space="0" w:color="AEAEAE"/>
              <w:right w:val="nil"/>
            </w:tcBorders>
            <w:shd w:val="clear" w:color="auto" w:fill="F9F9FB"/>
          </w:tcPr>
          <w:p w14:paraId="3CE84B2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r>
      <w:tr w:rsidR="00520D2C" w14:paraId="6E4B9CFD" w14:textId="77777777">
        <w:trPr>
          <w:cantSplit/>
        </w:trPr>
        <w:tc>
          <w:tcPr>
            <w:tcW w:w="1578" w:type="dxa"/>
            <w:vMerge/>
            <w:tcBorders>
              <w:top w:val="single" w:sz="8" w:space="0" w:color="AEAEAE"/>
              <w:left w:val="nil"/>
              <w:bottom w:val="nil"/>
              <w:right w:val="nil"/>
            </w:tcBorders>
            <w:shd w:val="clear" w:color="auto" w:fill="E0E0E0"/>
          </w:tcPr>
          <w:p w14:paraId="1ADB5F4B"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AEAEAE"/>
              <w:right w:val="nil"/>
            </w:tcBorders>
            <w:shd w:val="clear" w:color="auto" w:fill="E0E0E0"/>
          </w:tcPr>
          <w:p w14:paraId="6CE378A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26" w:type="dxa"/>
            <w:tcBorders>
              <w:top w:val="single" w:sz="8" w:space="0" w:color="AEAEAE"/>
              <w:left w:val="nil"/>
              <w:bottom w:val="single" w:sz="8" w:space="0" w:color="AEAEAE"/>
              <w:right w:val="single" w:sz="8" w:space="0" w:color="E0E0E0"/>
            </w:tcBorders>
            <w:shd w:val="clear" w:color="auto" w:fill="F9F9FB"/>
          </w:tcPr>
          <w:p w14:paraId="6D99095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.976</w:t>
            </w:r>
          </w:p>
        </w:tc>
        <w:tc>
          <w:tcPr>
            <w:tcW w:w="130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3084AEA" w14:textId="77777777" w:rsidR="00520D2C" w:rsidRDefault="00520D2C">
            <w:pPr>
              <w:rPr>
                <w:rFonts w:ascii="Times New Roman" w:hAnsi="Times New Roman" w:cs="Times New Roman"/>
              </w:rPr>
            </w:pP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02EB3A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.971</w:t>
            </w:r>
          </w:p>
        </w:tc>
        <w:tc>
          <w:tcPr>
            <w:tcW w:w="1471" w:type="dxa"/>
            <w:tcBorders>
              <w:top w:val="single" w:sz="8" w:space="0" w:color="AEAEAE"/>
              <w:left w:val="single" w:sz="8" w:space="0" w:color="E0E0E0"/>
              <w:bottom w:val="single" w:sz="8" w:space="0" w:color="AEAEAE"/>
              <w:right w:val="nil"/>
            </w:tcBorders>
            <w:shd w:val="clear" w:color="auto" w:fill="F9F9FB"/>
          </w:tcPr>
          <w:p w14:paraId="6AAF9DF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.572</w:t>
            </w:r>
          </w:p>
        </w:tc>
      </w:tr>
      <w:tr w:rsidR="00520D2C" w14:paraId="0F2FD2E6" w14:textId="77777777">
        <w:trPr>
          <w:cantSplit/>
        </w:trPr>
        <w:tc>
          <w:tcPr>
            <w:tcW w:w="1578" w:type="dxa"/>
            <w:vMerge/>
            <w:tcBorders>
              <w:top w:val="single" w:sz="8" w:space="0" w:color="AEAEAE"/>
              <w:left w:val="nil"/>
              <w:bottom w:val="nil"/>
              <w:right w:val="nil"/>
            </w:tcBorders>
            <w:shd w:val="clear" w:color="auto" w:fill="E0E0E0"/>
          </w:tcPr>
          <w:p w14:paraId="65D27FB5" w14:textId="77777777" w:rsidR="00520D2C" w:rsidRDefault="00520D2C">
            <w:pPr>
              <w:rPr>
                <w:rFonts w:ascii="Arial" w:hAnsi="Arial" w:cs="Arial"/>
                <w:color w:val="010205"/>
                <w:sz w:val="18"/>
                <w:szCs w:val="18"/>
              </w:rPr>
            </w:pPr>
          </w:p>
        </w:tc>
        <w:tc>
          <w:tcPr>
            <w:tcW w:w="1992" w:type="dxa"/>
            <w:tcBorders>
              <w:top w:val="single" w:sz="8" w:space="0" w:color="AEAEAE"/>
              <w:left w:val="nil"/>
              <w:bottom w:val="nil"/>
              <w:right w:val="nil"/>
            </w:tcBorders>
            <w:shd w:val="clear" w:color="auto" w:fill="E0E0E0"/>
          </w:tcPr>
          <w:p w14:paraId="577A2EE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26" w:type="dxa"/>
            <w:tcBorders>
              <w:top w:val="single" w:sz="8" w:space="0" w:color="AEAEAE"/>
              <w:left w:val="nil"/>
              <w:bottom w:val="nil"/>
              <w:right w:val="single" w:sz="8" w:space="0" w:color="E0E0E0"/>
            </w:tcBorders>
            <w:shd w:val="clear" w:color="auto" w:fill="F9F9FB"/>
          </w:tcPr>
          <w:p w14:paraId="0565255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302" w:type="dxa"/>
            <w:tcBorders>
              <w:top w:val="single" w:sz="8" w:space="0" w:color="AEAEAE"/>
              <w:left w:val="single" w:sz="8" w:space="0" w:color="E0E0E0"/>
              <w:bottom w:val="nil"/>
              <w:right w:val="single" w:sz="8" w:space="0" w:color="E0E0E0"/>
            </w:tcBorders>
            <w:shd w:val="clear" w:color="auto" w:fill="F9F9FB"/>
          </w:tcPr>
          <w:p w14:paraId="1456258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6" w:type="dxa"/>
            <w:tcBorders>
              <w:top w:val="single" w:sz="8" w:space="0" w:color="AEAEAE"/>
              <w:left w:val="single" w:sz="8" w:space="0" w:color="E0E0E0"/>
              <w:bottom w:val="nil"/>
              <w:right w:val="single" w:sz="8" w:space="0" w:color="E0E0E0"/>
            </w:tcBorders>
            <w:shd w:val="clear" w:color="auto" w:fill="F9F9FB"/>
          </w:tcPr>
          <w:p w14:paraId="47EAFC0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471" w:type="dxa"/>
            <w:tcBorders>
              <w:top w:val="single" w:sz="8" w:space="0" w:color="AEAEAE"/>
              <w:left w:val="single" w:sz="8" w:space="0" w:color="E0E0E0"/>
              <w:bottom w:val="nil"/>
              <w:right w:val="nil"/>
            </w:tcBorders>
            <w:shd w:val="clear" w:color="auto" w:fill="F9F9FB"/>
          </w:tcPr>
          <w:p w14:paraId="1CD414D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6C547DBF" w14:textId="77777777">
        <w:trPr>
          <w:cantSplit/>
        </w:trPr>
        <w:tc>
          <w:tcPr>
            <w:tcW w:w="1578" w:type="dxa"/>
            <w:vMerge w:val="restart"/>
            <w:tcBorders>
              <w:top w:val="single" w:sz="8" w:space="0" w:color="AEAEAE"/>
              <w:left w:val="nil"/>
              <w:bottom w:val="nil"/>
              <w:right w:val="nil"/>
            </w:tcBorders>
            <w:shd w:val="clear" w:color="auto" w:fill="E0E0E0"/>
          </w:tcPr>
          <w:p w14:paraId="38BA78C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992" w:type="dxa"/>
            <w:tcBorders>
              <w:top w:val="single" w:sz="8" w:space="0" w:color="AEAEAE"/>
              <w:left w:val="nil"/>
              <w:bottom w:val="single" w:sz="8" w:space="0" w:color="AEAEAE"/>
              <w:right w:val="nil"/>
            </w:tcBorders>
            <w:shd w:val="clear" w:color="auto" w:fill="E0E0E0"/>
          </w:tcPr>
          <w:p w14:paraId="64B83F1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26" w:type="dxa"/>
            <w:tcBorders>
              <w:top w:val="single" w:sz="8" w:space="0" w:color="AEAEAE"/>
              <w:left w:val="nil"/>
              <w:bottom w:val="single" w:sz="8" w:space="0" w:color="AEAEAE"/>
              <w:right w:val="single" w:sz="8" w:space="0" w:color="E0E0E0"/>
            </w:tcBorders>
            <w:shd w:val="clear" w:color="auto" w:fill="F9F9FB"/>
          </w:tcPr>
          <w:p w14:paraId="0B5A06B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.654</w:t>
            </w:r>
            <w:r>
              <w:rPr>
                <w:rFonts w:ascii="Arial" w:hAnsi="Arial" w:cs="Arial"/>
                <w:color w:val="010205"/>
                <w:sz w:val="18"/>
                <w:szCs w:val="18"/>
                <w:vertAlign w:val="superscript"/>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17BF6EE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60E22A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71" w:type="dxa"/>
            <w:tcBorders>
              <w:top w:val="single" w:sz="8" w:space="0" w:color="AEAEAE"/>
              <w:left w:val="single" w:sz="8" w:space="0" w:color="E0E0E0"/>
              <w:bottom w:val="single" w:sz="8" w:space="0" w:color="AEAEAE"/>
              <w:right w:val="nil"/>
            </w:tcBorders>
            <w:shd w:val="clear" w:color="auto" w:fill="F9F9FB"/>
          </w:tcPr>
          <w:p w14:paraId="07553EB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-.482</w:t>
            </w:r>
          </w:p>
        </w:tc>
      </w:tr>
      <w:tr w:rsidR="00520D2C" w14:paraId="3EE574C9" w14:textId="77777777">
        <w:trPr>
          <w:cantSplit/>
        </w:trPr>
        <w:tc>
          <w:tcPr>
            <w:tcW w:w="1578" w:type="dxa"/>
            <w:vMerge/>
            <w:tcBorders>
              <w:top w:val="single" w:sz="8" w:space="0" w:color="AEAEAE"/>
              <w:left w:val="nil"/>
              <w:bottom w:val="nil"/>
              <w:right w:val="nil"/>
            </w:tcBorders>
            <w:shd w:val="clear" w:color="auto" w:fill="E0E0E0"/>
          </w:tcPr>
          <w:p w14:paraId="00690539"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AEAEAE"/>
              <w:right w:val="nil"/>
            </w:tcBorders>
            <w:shd w:val="clear" w:color="auto" w:fill="E0E0E0"/>
          </w:tcPr>
          <w:p w14:paraId="57FA007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26" w:type="dxa"/>
            <w:tcBorders>
              <w:top w:val="single" w:sz="8" w:space="0" w:color="AEAEAE"/>
              <w:left w:val="nil"/>
              <w:bottom w:val="single" w:sz="8" w:space="0" w:color="AEAEAE"/>
              <w:right w:val="single" w:sz="8" w:space="0" w:color="E0E0E0"/>
            </w:tcBorders>
            <w:shd w:val="clear" w:color="auto" w:fill="F9F9FB"/>
          </w:tcPr>
          <w:p w14:paraId="2CF1E91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5788279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.971</w:t>
            </w:r>
          </w:p>
        </w:tc>
        <w:tc>
          <w:tcPr>
            <w:tcW w:w="102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D63BEF3" w14:textId="77777777" w:rsidR="00520D2C" w:rsidRDefault="00520D2C">
            <w:pPr>
              <w:rPr>
                <w:rFonts w:ascii="Times New Roman" w:hAnsi="Times New Roman" w:cs="Times New Roman"/>
              </w:rPr>
            </w:pPr>
          </w:p>
        </w:tc>
        <w:tc>
          <w:tcPr>
            <w:tcW w:w="1471" w:type="dxa"/>
            <w:tcBorders>
              <w:top w:val="single" w:sz="8" w:space="0" w:color="AEAEAE"/>
              <w:left w:val="single" w:sz="8" w:space="0" w:color="E0E0E0"/>
              <w:bottom w:val="single" w:sz="8" w:space="0" w:color="AEAEAE"/>
              <w:right w:val="nil"/>
            </w:tcBorders>
            <w:shd w:val="clear" w:color="auto" w:fill="F9F9FB"/>
          </w:tcPr>
          <w:p w14:paraId="16A123C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.133</w:t>
            </w:r>
          </w:p>
        </w:tc>
      </w:tr>
      <w:tr w:rsidR="00520D2C" w14:paraId="6CA8F8AC" w14:textId="77777777">
        <w:trPr>
          <w:cantSplit/>
        </w:trPr>
        <w:tc>
          <w:tcPr>
            <w:tcW w:w="1578" w:type="dxa"/>
            <w:vMerge/>
            <w:tcBorders>
              <w:top w:val="single" w:sz="8" w:space="0" w:color="AEAEAE"/>
              <w:left w:val="nil"/>
              <w:bottom w:val="nil"/>
              <w:right w:val="nil"/>
            </w:tcBorders>
            <w:shd w:val="clear" w:color="auto" w:fill="E0E0E0"/>
          </w:tcPr>
          <w:p w14:paraId="03BE1C6A" w14:textId="77777777" w:rsidR="00520D2C" w:rsidRDefault="00520D2C">
            <w:pPr>
              <w:rPr>
                <w:rFonts w:ascii="Arial" w:hAnsi="Arial" w:cs="Arial"/>
                <w:color w:val="010205"/>
                <w:sz w:val="18"/>
                <w:szCs w:val="18"/>
              </w:rPr>
            </w:pPr>
          </w:p>
        </w:tc>
        <w:tc>
          <w:tcPr>
            <w:tcW w:w="1992" w:type="dxa"/>
            <w:tcBorders>
              <w:top w:val="single" w:sz="8" w:space="0" w:color="AEAEAE"/>
              <w:left w:val="nil"/>
              <w:bottom w:val="nil"/>
              <w:right w:val="nil"/>
            </w:tcBorders>
            <w:shd w:val="clear" w:color="auto" w:fill="E0E0E0"/>
          </w:tcPr>
          <w:p w14:paraId="2F54B65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26" w:type="dxa"/>
            <w:tcBorders>
              <w:top w:val="single" w:sz="8" w:space="0" w:color="AEAEAE"/>
              <w:left w:val="nil"/>
              <w:bottom w:val="nil"/>
              <w:right w:val="single" w:sz="8" w:space="0" w:color="E0E0E0"/>
            </w:tcBorders>
            <w:shd w:val="clear" w:color="auto" w:fill="F9F9FB"/>
          </w:tcPr>
          <w:p w14:paraId="5FE5264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302" w:type="dxa"/>
            <w:tcBorders>
              <w:top w:val="single" w:sz="8" w:space="0" w:color="AEAEAE"/>
              <w:left w:val="single" w:sz="8" w:space="0" w:color="E0E0E0"/>
              <w:bottom w:val="nil"/>
              <w:right w:val="single" w:sz="8" w:space="0" w:color="E0E0E0"/>
            </w:tcBorders>
            <w:shd w:val="clear" w:color="auto" w:fill="F9F9FB"/>
          </w:tcPr>
          <w:p w14:paraId="74F9CAA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6" w:type="dxa"/>
            <w:tcBorders>
              <w:top w:val="single" w:sz="8" w:space="0" w:color="AEAEAE"/>
              <w:left w:val="single" w:sz="8" w:space="0" w:color="E0E0E0"/>
              <w:bottom w:val="nil"/>
              <w:right w:val="single" w:sz="8" w:space="0" w:color="E0E0E0"/>
            </w:tcBorders>
            <w:shd w:val="clear" w:color="auto" w:fill="F9F9FB"/>
          </w:tcPr>
          <w:p w14:paraId="2DE1561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471" w:type="dxa"/>
            <w:tcBorders>
              <w:top w:val="single" w:sz="8" w:space="0" w:color="AEAEAE"/>
              <w:left w:val="single" w:sz="8" w:space="0" w:color="E0E0E0"/>
              <w:bottom w:val="nil"/>
              <w:right w:val="nil"/>
            </w:tcBorders>
            <w:shd w:val="clear" w:color="auto" w:fill="F9F9FB"/>
          </w:tcPr>
          <w:p w14:paraId="38B0AB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6A1F4D4E" w14:textId="77777777">
        <w:trPr>
          <w:cantSplit/>
        </w:trPr>
        <w:tc>
          <w:tcPr>
            <w:tcW w:w="1578" w:type="dxa"/>
            <w:vMerge w:val="restart"/>
            <w:tcBorders>
              <w:top w:val="single" w:sz="8" w:space="0" w:color="AEAEAE"/>
              <w:left w:val="nil"/>
              <w:bottom w:val="nil"/>
              <w:right w:val="nil"/>
            </w:tcBorders>
            <w:shd w:val="clear" w:color="auto" w:fill="E0E0E0"/>
          </w:tcPr>
          <w:p w14:paraId="2958CBC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992" w:type="dxa"/>
            <w:tcBorders>
              <w:top w:val="single" w:sz="8" w:space="0" w:color="AEAEAE"/>
              <w:left w:val="nil"/>
              <w:bottom w:val="single" w:sz="8" w:space="0" w:color="AEAEAE"/>
              <w:right w:val="nil"/>
            </w:tcBorders>
            <w:shd w:val="clear" w:color="auto" w:fill="E0E0E0"/>
          </w:tcPr>
          <w:p w14:paraId="4E8F784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26" w:type="dxa"/>
            <w:tcBorders>
              <w:top w:val="single" w:sz="8" w:space="0" w:color="AEAEAE"/>
              <w:left w:val="nil"/>
              <w:bottom w:val="single" w:sz="8" w:space="0" w:color="AEAEAE"/>
              <w:right w:val="single" w:sz="8" w:space="0" w:color="E0E0E0"/>
            </w:tcBorders>
            <w:shd w:val="clear" w:color="auto" w:fill="F9F9FB"/>
          </w:tcPr>
          <w:p w14:paraId="7105F87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-.823</w:t>
            </w:r>
            <w:r>
              <w:rPr>
                <w:rFonts w:ascii="Arial" w:hAnsi="Arial" w:cs="Arial"/>
                <w:color w:val="010205"/>
                <w:sz w:val="18"/>
                <w:szCs w:val="18"/>
                <w:vertAlign w:val="superscript"/>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D1A8BD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4E733BA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-.482</w:t>
            </w:r>
          </w:p>
        </w:tc>
        <w:tc>
          <w:tcPr>
            <w:tcW w:w="1471" w:type="dxa"/>
            <w:tcBorders>
              <w:top w:val="single" w:sz="8" w:space="0" w:color="AEAEAE"/>
              <w:left w:val="single" w:sz="8" w:space="0" w:color="E0E0E0"/>
              <w:bottom w:val="single" w:sz="8" w:space="0" w:color="AEAEAE"/>
              <w:right w:val="nil"/>
            </w:tcBorders>
            <w:shd w:val="clear" w:color="auto" w:fill="F9F9FB"/>
          </w:tcPr>
          <w:p w14:paraId="35C538C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r>
      <w:tr w:rsidR="00520D2C" w14:paraId="73B53FB7" w14:textId="77777777">
        <w:trPr>
          <w:cantSplit/>
        </w:trPr>
        <w:tc>
          <w:tcPr>
            <w:tcW w:w="1578" w:type="dxa"/>
            <w:vMerge/>
            <w:tcBorders>
              <w:top w:val="single" w:sz="8" w:space="0" w:color="AEAEAE"/>
              <w:left w:val="nil"/>
              <w:bottom w:val="nil"/>
              <w:right w:val="nil"/>
            </w:tcBorders>
            <w:shd w:val="clear" w:color="auto" w:fill="E0E0E0"/>
          </w:tcPr>
          <w:p w14:paraId="4DE59994"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AEAEAE"/>
              <w:right w:val="nil"/>
            </w:tcBorders>
            <w:shd w:val="clear" w:color="auto" w:fill="E0E0E0"/>
          </w:tcPr>
          <w:p w14:paraId="7C41A05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26" w:type="dxa"/>
            <w:tcBorders>
              <w:top w:val="single" w:sz="8" w:space="0" w:color="AEAEAE"/>
              <w:left w:val="nil"/>
              <w:bottom w:val="single" w:sz="8" w:space="0" w:color="AEAEAE"/>
              <w:right w:val="single" w:sz="8" w:space="0" w:color="E0E0E0"/>
            </w:tcBorders>
            <w:shd w:val="clear" w:color="auto" w:fill="F9F9FB"/>
          </w:tcPr>
          <w:p w14:paraId="7CB1718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3E5CA01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.572</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2770CD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.133</w:t>
            </w:r>
          </w:p>
        </w:tc>
        <w:tc>
          <w:tcPr>
            <w:tcW w:w="1471" w:type="dxa"/>
            <w:tcBorders>
              <w:top w:val="single" w:sz="8" w:space="0" w:color="AEAEAE"/>
              <w:left w:val="single" w:sz="8" w:space="0" w:color="E0E0E0"/>
              <w:bottom w:val="single" w:sz="8" w:space="0" w:color="AEAEAE"/>
              <w:right w:val="nil"/>
            </w:tcBorders>
            <w:shd w:val="clear" w:color="auto" w:fill="F9F9FB"/>
            <w:vAlign w:val="center"/>
          </w:tcPr>
          <w:p w14:paraId="2C347690" w14:textId="77777777" w:rsidR="00520D2C" w:rsidRDefault="00520D2C">
            <w:pPr>
              <w:rPr>
                <w:rFonts w:ascii="Times New Roman" w:hAnsi="Times New Roman" w:cs="Times New Roman"/>
              </w:rPr>
            </w:pPr>
          </w:p>
        </w:tc>
      </w:tr>
      <w:tr w:rsidR="00520D2C" w14:paraId="41347096" w14:textId="77777777">
        <w:trPr>
          <w:cantSplit/>
        </w:trPr>
        <w:tc>
          <w:tcPr>
            <w:tcW w:w="1578" w:type="dxa"/>
            <w:vMerge/>
            <w:tcBorders>
              <w:top w:val="single" w:sz="8" w:space="0" w:color="AEAEAE"/>
              <w:left w:val="nil"/>
              <w:bottom w:val="nil"/>
              <w:right w:val="nil"/>
            </w:tcBorders>
            <w:shd w:val="clear" w:color="auto" w:fill="E0E0E0"/>
          </w:tcPr>
          <w:p w14:paraId="0B5A3250" w14:textId="77777777" w:rsidR="00520D2C" w:rsidRDefault="00520D2C">
            <w:pPr>
              <w:rPr>
                <w:rFonts w:ascii="Times New Roman" w:hAnsi="Times New Roman" w:cs="Times New Roman"/>
              </w:rPr>
            </w:pPr>
          </w:p>
        </w:tc>
        <w:tc>
          <w:tcPr>
            <w:tcW w:w="1992" w:type="dxa"/>
            <w:tcBorders>
              <w:top w:val="single" w:sz="8" w:space="0" w:color="AEAEAE"/>
              <w:left w:val="nil"/>
              <w:bottom w:val="nil"/>
              <w:right w:val="nil"/>
            </w:tcBorders>
            <w:shd w:val="clear" w:color="auto" w:fill="E0E0E0"/>
          </w:tcPr>
          <w:p w14:paraId="1E48F10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26" w:type="dxa"/>
            <w:tcBorders>
              <w:top w:val="single" w:sz="8" w:space="0" w:color="AEAEAE"/>
              <w:left w:val="nil"/>
              <w:bottom w:val="nil"/>
              <w:right w:val="single" w:sz="8" w:space="0" w:color="E0E0E0"/>
            </w:tcBorders>
            <w:shd w:val="clear" w:color="auto" w:fill="F9F9FB"/>
          </w:tcPr>
          <w:p w14:paraId="6F530B0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302" w:type="dxa"/>
            <w:tcBorders>
              <w:top w:val="single" w:sz="8" w:space="0" w:color="AEAEAE"/>
              <w:left w:val="single" w:sz="8" w:space="0" w:color="E0E0E0"/>
              <w:bottom w:val="nil"/>
              <w:right w:val="single" w:sz="8" w:space="0" w:color="E0E0E0"/>
            </w:tcBorders>
            <w:shd w:val="clear" w:color="auto" w:fill="F9F9FB"/>
          </w:tcPr>
          <w:p w14:paraId="5FDA1C6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6" w:type="dxa"/>
            <w:tcBorders>
              <w:top w:val="single" w:sz="8" w:space="0" w:color="AEAEAE"/>
              <w:left w:val="single" w:sz="8" w:space="0" w:color="E0E0E0"/>
              <w:bottom w:val="nil"/>
              <w:right w:val="single" w:sz="8" w:space="0" w:color="E0E0E0"/>
            </w:tcBorders>
            <w:shd w:val="clear" w:color="auto" w:fill="F9F9FB"/>
          </w:tcPr>
          <w:p w14:paraId="4D814D3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471" w:type="dxa"/>
            <w:tcBorders>
              <w:top w:val="single" w:sz="8" w:space="0" w:color="AEAEAE"/>
              <w:left w:val="single" w:sz="8" w:space="0" w:color="E0E0E0"/>
              <w:bottom w:val="nil"/>
              <w:right w:val="nil"/>
            </w:tcBorders>
            <w:shd w:val="clear" w:color="auto" w:fill="F9F9FB"/>
          </w:tcPr>
          <w:p w14:paraId="747B81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24557831" w14:textId="77777777">
        <w:trPr>
          <w:cantSplit/>
        </w:trPr>
        <w:tc>
          <w:tcPr>
            <w:tcW w:w="1578" w:type="dxa"/>
            <w:vMerge w:val="restart"/>
            <w:tcBorders>
              <w:top w:val="single" w:sz="8" w:space="0" w:color="AEAEAE"/>
              <w:left w:val="nil"/>
              <w:bottom w:val="single" w:sz="8" w:space="0" w:color="152935"/>
              <w:right w:val="nil"/>
            </w:tcBorders>
            <w:shd w:val="clear" w:color="auto" w:fill="E0E0E0"/>
          </w:tcPr>
          <w:p w14:paraId="13CFFE5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992" w:type="dxa"/>
            <w:tcBorders>
              <w:top w:val="single" w:sz="8" w:space="0" w:color="AEAEAE"/>
              <w:left w:val="nil"/>
              <w:bottom w:val="single" w:sz="8" w:space="0" w:color="AEAEAE"/>
              <w:right w:val="nil"/>
            </w:tcBorders>
            <w:shd w:val="clear" w:color="auto" w:fill="E0E0E0"/>
          </w:tcPr>
          <w:p w14:paraId="2D5D0CE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26" w:type="dxa"/>
            <w:tcBorders>
              <w:top w:val="single" w:sz="8" w:space="0" w:color="AEAEAE"/>
              <w:left w:val="nil"/>
              <w:bottom w:val="single" w:sz="8" w:space="0" w:color="AEAEAE"/>
              <w:right w:val="single" w:sz="8" w:space="0" w:color="E0E0E0"/>
            </w:tcBorders>
            <w:shd w:val="clear" w:color="auto" w:fill="F9F9FB"/>
          </w:tcPr>
          <w:p w14:paraId="65C49D5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.834</w:t>
            </w:r>
            <w:r>
              <w:rPr>
                <w:rFonts w:ascii="Arial" w:hAnsi="Arial" w:cs="Arial"/>
                <w:color w:val="010205"/>
                <w:sz w:val="18"/>
                <w:szCs w:val="18"/>
                <w:vertAlign w:val="superscript"/>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42D5A90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9C2BD9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.866</w:t>
            </w:r>
            <w:r>
              <w:rPr>
                <w:rFonts w:ascii="Arial" w:hAnsi="Arial" w:cs="Arial"/>
                <w:color w:val="010205"/>
                <w:sz w:val="18"/>
                <w:szCs w:val="18"/>
                <w:vertAlign w:val="superscript"/>
              </w:rPr>
              <w:t>**</w:t>
            </w:r>
          </w:p>
        </w:tc>
        <w:tc>
          <w:tcPr>
            <w:tcW w:w="1471" w:type="dxa"/>
            <w:tcBorders>
              <w:top w:val="single" w:sz="8" w:space="0" w:color="AEAEAE"/>
              <w:left w:val="single" w:sz="8" w:space="0" w:color="E0E0E0"/>
              <w:bottom w:val="single" w:sz="8" w:space="0" w:color="AEAEAE"/>
              <w:right w:val="nil"/>
            </w:tcBorders>
            <w:shd w:val="clear" w:color="auto" w:fill="F9F9FB"/>
          </w:tcPr>
          <w:p w14:paraId="5EEF7B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-.527</w:t>
            </w:r>
          </w:p>
        </w:tc>
      </w:tr>
      <w:tr w:rsidR="00520D2C" w14:paraId="36936F6C" w14:textId="77777777">
        <w:trPr>
          <w:cantSplit/>
        </w:trPr>
        <w:tc>
          <w:tcPr>
            <w:tcW w:w="1578" w:type="dxa"/>
            <w:vMerge/>
            <w:tcBorders>
              <w:top w:val="single" w:sz="8" w:space="0" w:color="AEAEAE"/>
              <w:left w:val="nil"/>
              <w:bottom w:val="single" w:sz="8" w:space="0" w:color="152935"/>
              <w:right w:val="nil"/>
            </w:tcBorders>
            <w:shd w:val="clear" w:color="auto" w:fill="E0E0E0"/>
          </w:tcPr>
          <w:p w14:paraId="7DF0B987"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AEAEAE"/>
              <w:right w:val="nil"/>
            </w:tcBorders>
            <w:shd w:val="clear" w:color="auto" w:fill="E0E0E0"/>
          </w:tcPr>
          <w:p w14:paraId="170A660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26" w:type="dxa"/>
            <w:tcBorders>
              <w:top w:val="single" w:sz="8" w:space="0" w:color="AEAEAE"/>
              <w:left w:val="nil"/>
              <w:bottom w:val="single" w:sz="8" w:space="0" w:color="AEAEAE"/>
              <w:right w:val="single" w:sz="8" w:space="0" w:color="E0E0E0"/>
            </w:tcBorders>
            <w:shd w:val="clear" w:color="auto" w:fill="F9F9FB"/>
          </w:tcPr>
          <w:p w14:paraId="04FA043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680D01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6BB732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471" w:type="dxa"/>
            <w:tcBorders>
              <w:top w:val="single" w:sz="8" w:space="0" w:color="AEAEAE"/>
              <w:left w:val="single" w:sz="8" w:space="0" w:color="E0E0E0"/>
              <w:bottom w:val="single" w:sz="8" w:space="0" w:color="AEAEAE"/>
              <w:right w:val="nil"/>
            </w:tcBorders>
            <w:shd w:val="clear" w:color="auto" w:fill="F9F9FB"/>
          </w:tcPr>
          <w:p w14:paraId="303D312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.095</w:t>
            </w:r>
          </w:p>
        </w:tc>
      </w:tr>
      <w:tr w:rsidR="00520D2C" w14:paraId="2E7EB691" w14:textId="77777777">
        <w:trPr>
          <w:cantSplit/>
        </w:trPr>
        <w:tc>
          <w:tcPr>
            <w:tcW w:w="1578" w:type="dxa"/>
            <w:vMerge/>
            <w:tcBorders>
              <w:top w:val="single" w:sz="8" w:space="0" w:color="AEAEAE"/>
              <w:left w:val="nil"/>
              <w:bottom w:val="single" w:sz="8" w:space="0" w:color="152935"/>
              <w:right w:val="nil"/>
            </w:tcBorders>
            <w:shd w:val="clear" w:color="auto" w:fill="E0E0E0"/>
          </w:tcPr>
          <w:p w14:paraId="51265C4C" w14:textId="77777777" w:rsidR="00520D2C" w:rsidRDefault="00520D2C">
            <w:pPr>
              <w:rPr>
                <w:rFonts w:ascii="Arial" w:hAnsi="Arial" w:cs="Arial"/>
                <w:color w:val="010205"/>
                <w:sz w:val="18"/>
                <w:szCs w:val="18"/>
              </w:rPr>
            </w:pPr>
          </w:p>
        </w:tc>
        <w:tc>
          <w:tcPr>
            <w:tcW w:w="1992" w:type="dxa"/>
            <w:tcBorders>
              <w:top w:val="single" w:sz="8" w:space="0" w:color="AEAEAE"/>
              <w:left w:val="nil"/>
              <w:bottom w:val="single" w:sz="8" w:space="0" w:color="152935"/>
              <w:right w:val="nil"/>
            </w:tcBorders>
            <w:shd w:val="clear" w:color="auto" w:fill="E0E0E0"/>
          </w:tcPr>
          <w:p w14:paraId="47AFB63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26" w:type="dxa"/>
            <w:tcBorders>
              <w:top w:val="single" w:sz="8" w:space="0" w:color="AEAEAE"/>
              <w:left w:val="nil"/>
              <w:bottom w:val="single" w:sz="8" w:space="0" w:color="152935"/>
              <w:right w:val="single" w:sz="8" w:space="0" w:color="E0E0E0"/>
            </w:tcBorders>
            <w:shd w:val="clear" w:color="auto" w:fill="F9F9FB"/>
          </w:tcPr>
          <w:p w14:paraId="3AED1C7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302" w:type="dxa"/>
            <w:tcBorders>
              <w:top w:val="single" w:sz="8" w:space="0" w:color="AEAEAE"/>
              <w:left w:val="single" w:sz="8" w:space="0" w:color="E0E0E0"/>
              <w:bottom w:val="single" w:sz="8" w:space="0" w:color="152935"/>
              <w:right w:val="single" w:sz="8" w:space="0" w:color="E0E0E0"/>
            </w:tcBorders>
            <w:shd w:val="clear" w:color="auto" w:fill="F9F9FB"/>
          </w:tcPr>
          <w:p w14:paraId="3569D09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3773A55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471" w:type="dxa"/>
            <w:tcBorders>
              <w:top w:val="single" w:sz="8" w:space="0" w:color="AEAEAE"/>
              <w:left w:val="single" w:sz="8" w:space="0" w:color="E0E0E0"/>
              <w:bottom w:val="single" w:sz="8" w:space="0" w:color="152935"/>
              <w:right w:val="nil"/>
            </w:tcBorders>
            <w:shd w:val="clear" w:color="auto" w:fill="F9F9FB"/>
          </w:tcPr>
          <w:p w14:paraId="6A99EF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bl>
    <w:p w14:paraId="4E2E9EBC" w14:textId="77777777" w:rsidR="00520D2C" w:rsidRDefault="00520D2C">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26"/>
        <w:gridCol w:w="3566"/>
        <w:gridCol w:w="2633"/>
      </w:tblGrid>
      <w:tr w:rsidR="00520D2C" w14:paraId="3E28F761" w14:textId="77777777">
        <w:trPr>
          <w:cantSplit/>
        </w:trPr>
        <w:tc>
          <w:tcPr>
            <w:tcW w:w="9024" w:type="dxa"/>
            <w:gridSpan w:val="3"/>
            <w:tcBorders>
              <w:top w:val="nil"/>
              <w:left w:val="nil"/>
              <w:bottom w:val="nil"/>
              <w:right w:val="nil"/>
            </w:tcBorders>
            <w:shd w:val="clear" w:color="auto" w:fill="FFFFFF"/>
            <w:vAlign w:val="center"/>
          </w:tcPr>
          <w:p w14:paraId="6D8C65C4"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Correlations</w:t>
            </w:r>
          </w:p>
        </w:tc>
      </w:tr>
      <w:tr w:rsidR="00520D2C" w14:paraId="283993CD" w14:textId="77777777">
        <w:trPr>
          <w:cantSplit/>
        </w:trPr>
        <w:tc>
          <w:tcPr>
            <w:tcW w:w="6391" w:type="dxa"/>
            <w:gridSpan w:val="2"/>
            <w:tcBorders>
              <w:top w:val="nil"/>
              <w:left w:val="nil"/>
              <w:bottom w:val="single" w:sz="8" w:space="0" w:color="152935"/>
              <w:right w:val="nil"/>
            </w:tcBorders>
            <w:shd w:val="clear" w:color="auto" w:fill="FFFFFF"/>
            <w:vAlign w:val="bottom"/>
          </w:tcPr>
          <w:p w14:paraId="44A722B9" w14:textId="77777777" w:rsidR="00520D2C" w:rsidRDefault="00520D2C">
            <w:pPr>
              <w:rPr>
                <w:rFonts w:ascii="Times New Roman" w:hAnsi="Times New Roman" w:cs="Times New Roman"/>
              </w:rPr>
            </w:pPr>
          </w:p>
        </w:tc>
        <w:tc>
          <w:tcPr>
            <w:tcW w:w="2633" w:type="dxa"/>
            <w:tcBorders>
              <w:top w:val="nil"/>
              <w:left w:val="nil"/>
              <w:bottom w:val="single" w:sz="8" w:space="0" w:color="152935"/>
              <w:right w:val="nil"/>
            </w:tcBorders>
            <w:shd w:val="clear" w:color="auto" w:fill="FFFFFF"/>
            <w:vAlign w:val="bottom"/>
          </w:tcPr>
          <w:p w14:paraId="5AEBEEE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exchange.rate</w:t>
            </w:r>
          </w:p>
        </w:tc>
      </w:tr>
      <w:tr w:rsidR="00520D2C" w14:paraId="07FFC1C7" w14:textId="77777777">
        <w:trPr>
          <w:cantSplit/>
        </w:trPr>
        <w:tc>
          <w:tcPr>
            <w:tcW w:w="2825" w:type="dxa"/>
            <w:vMerge w:val="restart"/>
            <w:tcBorders>
              <w:top w:val="single" w:sz="8" w:space="0" w:color="152935"/>
              <w:left w:val="nil"/>
              <w:bottom w:val="nil"/>
              <w:right w:val="nil"/>
            </w:tcBorders>
            <w:shd w:val="clear" w:color="auto" w:fill="E0E0E0"/>
          </w:tcPr>
          <w:p w14:paraId="43E7DE9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w:t>
            </w:r>
          </w:p>
        </w:tc>
        <w:tc>
          <w:tcPr>
            <w:tcW w:w="3566" w:type="dxa"/>
            <w:tcBorders>
              <w:top w:val="single" w:sz="8" w:space="0" w:color="152935"/>
              <w:left w:val="nil"/>
              <w:bottom w:val="single" w:sz="8" w:space="0" w:color="AEAEAE"/>
              <w:right w:val="nil"/>
            </w:tcBorders>
            <w:shd w:val="clear" w:color="auto" w:fill="E0E0E0"/>
          </w:tcPr>
          <w:p w14:paraId="315211E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2633" w:type="dxa"/>
            <w:tcBorders>
              <w:top w:val="single" w:sz="8" w:space="0" w:color="152935"/>
              <w:left w:val="nil"/>
              <w:bottom w:val="single" w:sz="8" w:space="0" w:color="AEAEAE"/>
              <w:right w:val="nil"/>
            </w:tcBorders>
            <w:shd w:val="clear" w:color="auto" w:fill="F9F9FB"/>
          </w:tcPr>
          <w:p w14:paraId="3485B1B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.834</w:t>
            </w:r>
            <w:r>
              <w:rPr>
                <w:rFonts w:ascii="Arial" w:hAnsi="Arial" w:cs="Arial"/>
                <w:color w:val="010205"/>
                <w:sz w:val="18"/>
                <w:szCs w:val="18"/>
                <w:vertAlign w:val="superscript"/>
              </w:rPr>
              <w:t>**</w:t>
            </w:r>
          </w:p>
        </w:tc>
      </w:tr>
      <w:tr w:rsidR="00520D2C" w14:paraId="4D0E0B4A" w14:textId="77777777">
        <w:trPr>
          <w:cantSplit/>
        </w:trPr>
        <w:tc>
          <w:tcPr>
            <w:tcW w:w="2825" w:type="dxa"/>
            <w:vMerge/>
            <w:tcBorders>
              <w:top w:val="single" w:sz="8" w:space="0" w:color="152935"/>
              <w:left w:val="nil"/>
              <w:bottom w:val="nil"/>
              <w:right w:val="nil"/>
            </w:tcBorders>
            <w:shd w:val="clear" w:color="auto" w:fill="E0E0E0"/>
          </w:tcPr>
          <w:p w14:paraId="79B9B247" w14:textId="77777777" w:rsidR="00520D2C" w:rsidRDefault="00520D2C">
            <w:pPr>
              <w:rPr>
                <w:rFonts w:ascii="Arial" w:hAnsi="Arial" w:cs="Arial"/>
                <w:color w:val="010205"/>
                <w:sz w:val="18"/>
                <w:szCs w:val="18"/>
              </w:rPr>
            </w:pPr>
          </w:p>
        </w:tc>
        <w:tc>
          <w:tcPr>
            <w:tcW w:w="3566" w:type="dxa"/>
            <w:tcBorders>
              <w:top w:val="single" w:sz="8" w:space="0" w:color="AEAEAE"/>
              <w:left w:val="nil"/>
              <w:bottom w:val="single" w:sz="8" w:space="0" w:color="AEAEAE"/>
              <w:right w:val="nil"/>
            </w:tcBorders>
            <w:shd w:val="clear" w:color="auto" w:fill="E0E0E0"/>
          </w:tcPr>
          <w:p w14:paraId="63F9367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2633" w:type="dxa"/>
            <w:tcBorders>
              <w:top w:val="single" w:sz="8" w:space="0" w:color="AEAEAE"/>
              <w:left w:val="nil"/>
              <w:bottom w:val="single" w:sz="8" w:space="0" w:color="AEAEAE"/>
              <w:right w:val="nil"/>
            </w:tcBorders>
            <w:shd w:val="clear" w:color="auto" w:fill="F9F9FB"/>
          </w:tcPr>
          <w:p w14:paraId="6AAB69F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r>
      <w:tr w:rsidR="00520D2C" w14:paraId="08F8688F" w14:textId="77777777">
        <w:trPr>
          <w:cantSplit/>
        </w:trPr>
        <w:tc>
          <w:tcPr>
            <w:tcW w:w="2825" w:type="dxa"/>
            <w:vMerge/>
            <w:tcBorders>
              <w:top w:val="single" w:sz="8" w:space="0" w:color="152935"/>
              <w:left w:val="nil"/>
              <w:bottom w:val="nil"/>
              <w:right w:val="nil"/>
            </w:tcBorders>
            <w:shd w:val="clear" w:color="auto" w:fill="E0E0E0"/>
          </w:tcPr>
          <w:p w14:paraId="2ED403CE" w14:textId="77777777" w:rsidR="00520D2C" w:rsidRDefault="00520D2C">
            <w:pPr>
              <w:rPr>
                <w:rFonts w:ascii="Arial" w:hAnsi="Arial" w:cs="Arial"/>
                <w:color w:val="010205"/>
                <w:sz w:val="18"/>
                <w:szCs w:val="18"/>
              </w:rPr>
            </w:pPr>
          </w:p>
        </w:tc>
        <w:tc>
          <w:tcPr>
            <w:tcW w:w="3566" w:type="dxa"/>
            <w:tcBorders>
              <w:top w:val="single" w:sz="8" w:space="0" w:color="AEAEAE"/>
              <w:left w:val="nil"/>
              <w:bottom w:val="nil"/>
              <w:right w:val="nil"/>
            </w:tcBorders>
            <w:shd w:val="clear" w:color="auto" w:fill="E0E0E0"/>
          </w:tcPr>
          <w:p w14:paraId="16A2BB3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633" w:type="dxa"/>
            <w:tcBorders>
              <w:top w:val="single" w:sz="8" w:space="0" w:color="AEAEAE"/>
              <w:left w:val="nil"/>
              <w:bottom w:val="nil"/>
              <w:right w:val="nil"/>
            </w:tcBorders>
            <w:shd w:val="clear" w:color="auto" w:fill="F9F9FB"/>
          </w:tcPr>
          <w:p w14:paraId="7BF534D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2A35F5FA" w14:textId="77777777">
        <w:trPr>
          <w:cantSplit/>
        </w:trPr>
        <w:tc>
          <w:tcPr>
            <w:tcW w:w="2825" w:type="dxa"/>
            <w:vMerge w:val="restart"/>
            <w:tcBorders>
              <w:top w:val="single" w:sz="8" w:space="0" w:color="AEAEAE"/>
              <w:left w:val="nil"/>
              <w:bottom w:val="nil"/>
              <w:right w:val="nil"/>
            </w:tcBorders>
            <w:shd w:val="clear" w:color="auto" w:fill="E0E0E0"/>
          </w:tcPr>
          <w:p w14:paraId="3CCFEAA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GDP.growth</w:t>
            </w:r>
          </w:p>
        </w:tc>
        <w:tc>
          <w:tcPr>
            <w:tcW w:w="3566" w:type="dxa"/>
            <w:tcBorders>
              <w:top w:val="single" w:sz="8" w:space="0" w:color="AEAEAE"/>
              <w:left w:val="nil"/>
              <w:bottom w:val="single" w:sz="8" w:space="0" w:color="AEAEAE"/>
              <w:right w:val="nil"/>
            </w:tcBorders>
            <w:shd w:val="clear" w:color="auto" w:fill="E0E0E0"/>
          </w:tcPr>
          <w:p w14:paraId="0F68CA3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2633" w:type="dxa"/>
            <w:tcBorders>
              <w:top w:val="single" w:sz="8" w:space="0" w:color="AEAEAE"/>
              <w:left w:val="nil"/>
              <w:bottom w:val="single" w:sz="8" w:space="0" w:color="AEAEAE"/>
              <w:right w:val="nil"/>
            </w:tcBorders>
            <w:shd w:val="clear" w:color="auto" w:fill="F9F9FB"/>
          </w:tcPr>
          <w:p w14:paraId="4221EAB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r>
      <w:tr w:rsidR="00520D2C" w14:paraId="5C8784DB" w14:textId="77777777">
        <w:trPr>
          <w:cantSplit/>
        </w:trPr>
        <w:tc>
          <w:tcPr>
            <w:tcW w:w="2825" w:type="dxa"/>
            <w:vMerge/>
            <w:tcBorders>
              <w:top w:val="single" w:sz="8" w:space="0" w:color="AEAEAE"/>
              <w:left w:val="nil"/>
              <w:bottom w:val="nil"/>
              <w:right w:val="nil"/>
            </w:tcBorders>
            <w:shd w:val="clear" w:color="auto" w:fill="E0E0E0"/>
          </w:tcPr>
          <w:p w14:paraId="732A3196" w14:textId="77777777" w:rsidR="00520D2C" w:rsidRDefault="00520D2C">
            <w:pPr>
              <w:rPr>
                <w:rFonts w:ascii="Arial" w:hAnsi="Arial" w:cs="Arial"/>
                <w:color w:val="010205"/>
                <w:sz w:val="18"/>
                <w:szCs w:val="18"/>
              </w:rPr>
            </w:pPr>
          </w:p>
        </w:tc>
        <w:tc>
          <w:tcPr>
            <w:tcW w:w="3566" w:type="dxa"/>
            <w:tcBorders>
              <w:top w:val="single" w:sz="8" w:space="0" w:color="AEAEAE"/>
              <w:left w:val="nil"/>
              <w:bottom w:val="single" w:sz="8" w:space="0" w:color="AEAEAE"/>
              <w:right w:val="nil"/>
            </w:tcBorders>
            <w:shd w:val="clear" w:color="auto" w:fill="E0E0E0"/>
          </w:tcPr>
          <w:p w14:paraId="34BD496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2633" w:type="dxa"/>
            <w:tcBorders>
              <w:top w:val="single" w:sz="8" w:space="0" w:color="AEAEAE"/>
              <w:left w:val="nil"/>
              <w:bottom w:val="single" w:sz="8" w:space="0" w:color="AEAEAE"/>
              <w:right w:val="nil"/>
            </w:tcBorders>
            <w:shd w:val="clear" w:color="auto" w:fill="F9F9FB"/>
          </w:tcPr>
          <w:p w14:paraId="5CB6668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.943</w:t>
            </w:r>
          </w:p>
        </w:tc>
      </w:tr>
      <w:tr w:rsidR="00520D2C" w14:paraId="53B37211" w14:textId="77777777">
        <w:trPr>
          <w:cantSplit/>
        </w:trPr>
        <w:tc>
          <w:tcPr>
            <w:tcW w:w="2825" w:type="dxa"/>
            <w:vMerge/>
            <w:tcBorders>
              <w:top w:val="single" w:sz="8" w:space="0" w:color="AEAEAE"/>
              <w:left w:val="nil"/>
              <w:bottom w:val="nil"/>
              <w:right w:val="nil"/>
            </w:tcBorders>
            <w:shd w:val="clear" w:color="auto" w:fill="E0E0E0"/>
          </w:tcPr>
          <w:p w14:paraId="5600BA85" w14:textId="77777777" w:rsidR="00520D2C" w:rsidRDefault="00520D2C">
            <w:pPr>
              <w:rPr>
                <w:rFonts w:ascii="Arial" w:hAnsi="Arial" w:cs="Arial"/>
                <w:color w:val="010205"/>
                <w:sz w:val="18"/>
                <w:szCs w:val="18"/>
              </w:rPr>
            </w:pPr>
          </w:p>
        </w:tc>
        <w:tc>
          <w:tcPr>
            <w:tcW w:w="3566" w:type="dxa"/>
            <w:tcBorders>
              <w:top w:val="single" w:sz="8" w:space="0" w:color="AEAEAE"/>
              <w:left w:val="nil"/>
              <w:bottom w:val="nil"/>
              <w:right w:val="nil"/>
            </w:tcBorders>
            <w:shd w:val="clear" w:color="auto" w:fill="E0E0E0"/>
          </w:tcPr>
          <w:p w14:paraId="75006EE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633" w:type="dxa"/>
            <w:tcBorders>
              <w:top w:val="single" w:sz="8" w:space="0" w:color="AEAEAE"/>
              <w:left w:val="nil"/>
              <w:bottom w:val="nil"/>
              <w:right w:val="nil"/>
            </w:tcBorders>
            <w:shd w:val="clear" w:color="auto" w:fill="F9F9FB"/>
          </w:tcPr>
          <w:p w14:paraId="2CABBE6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4CF9184E" w14:textId="77777777">
        <w:trPr>
          <w:cantSplit/>
        </w:trPr>
        <w:tc>
          <w:tcPr>
            <w:tcW w:w="2825" w:type="dxa"/>
            <w:vMerge w:val="restart"/>
            <w:tcBorders>
              <w:top w:val="single" w:sz="8" w:space="0" w:color="AEAEAE"/>
              <w:left w:val="nil"/>
              <w:bottom w:val="nil"/>
              <w:right w:val="nil"/>
            </w:tcBorders>
            <w:shd w:val="clear" w:color="auto" w:fill="E0E0E0"/>
          </w:tcPr>
          <w:p w14:paraId="262BE66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3566" w:type="dxa"/>
            <w:tcBorders>
              <w:top w:val="single" w:sz="8" w:space="0" w:color="AEAEAE"/>
              <w:left w:val="nil"/>
              <w:bottom w:val="single" w:sz="8" w:space="0" w:color="AEAEAE"/>
              <w:right w:val="nil"/>
            </w:tcBorders>
            <w:shd w:val="clear" w:color="auto" w:fill="E0E0E0"/>
          </w:tcPr>
          <w:p w14:paraId="7D33747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2633" w:type="dxa"/>
            <w:tcBorders>
              <w:top w:val="single" w:sz="8" w:space="0" w:color="AEAEAE"/>
              <w:left w:val="nil"/>
              <w:bottom w:val="single" w:sz="8" w:space="0" w:color="AEAEAE"/>
              <w:right w:val="nil"/>
            </w:tcBorders>
            <w:shd w:val="clear" w:color="auto" w:fill="F9F9FB"/>
          </w:tcPr>
          <w:p w14:paraId="3A07815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.866</w:t>
            </w:r>
            <w:r>
              <w:rPr>
                <w:rFonts w:ascii="Arial" w:hAnsi="Arial" w:cs="Arial"/>
                <w:color w:val="010205"/>
                <w:sz w:val="18"/>
                <w:szCs w:val="18"/>
                <w:vertAlign w:val="superscript"/>
              </w:rPr>
              <w:t>**</w:t>
            </w:r>
          </w:p>
        </w:tc>
      </w:tr>
      <w:tr w:rsidR="00520D2C" w14:paraId="520871BE" w14:textId="77777777">
        <w:trPr>
          <w:cantSplit/>
        </w:trPr>
        <w:tc>
          <w:tcPr>
            <w:tcW w:w="2825" w:type="dxa"/>
            <w:vMerge/>
            <w:tcBorders>
              <w:top w:val="single" w:sz="8" w:space="0" w:color="AEAEAE"/>
              <w:left w:val="nil"/>
              <w:bottom w:val="nil"/>
              <w:right w:val="nil"/>
            </w:tcBorders>
            <w:shd w:val="clear" w:color="auto" w:fill="E0E0E0"/>
          </w:tcPr>
          <w:p w14:paraId="0B26494C" w14:textId="77777777" w:rsidR="00520D2C" w:rsidRDefault="00520D2C">
            <w:pPr>
              <w:rPr>
                <w:rFonts w:ascii="Arial" w:hAnsi="Arial" w:cs="Arial"/>
                <w:color w:val="010205"/>
                <w:sz w:val="18"/>
                <w:szCs w:val="18"/>
              </w:rPr>
            </w:pPr>
          </w:p>
        </w:tc>
        <w:tc>
          <w:tcPr>
            <w:tcW w:w="3566" w:type="dxa"/>
            <w:tcBorders>
              <w:top w:val="single" w:sz="8" w:space="0" w:color="AEAEAE"/>
              <w:left w:val="nil"/>
              <w:bottom w:val="single" w:sz="8" w:space="0" w:color="AEAEAE"/>
              <w:right w:val="nil"/>
            </w:tcBorders>
            <w:shd w:val="clear" w:color="auto" w:fill="E0E0E0"/>
          </w:tcPr>
          <w:p w14:paraId="56D69DB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2633" w:type="dxa"/>
            <w:tcBorders>
              <w:top w:val="single" w:sz="8" w:space="0" w:color="AEAEAE"/>
              <w:left w:val="nil"/>
              <w:bottom w:val="single" w:sz="8" w:space="0" w:color="AEAEAE"/>
              <w:right w:val="nil"/>
            </w:tcBorders>
            <w:shd w:val="clear" w:color="auto" w:fill="F9F9FB"/>
          </w:tcPr>
          <w:p w14:paraId="026E06D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r>
      <w:tr w:rsidR="00520D2C" w14:paraId="7741A639" w14:textId="77777777">
        <w:trPr>
          <w:cantSplit/>
        </w:trPr>
        <w:tc>
          <w:tcPr>
            <w:tcW w:w="2825" w:type="dxa"/>
            <w:vMerge/>
            <w:tcBorders>
              <w:top w:val="single" w:sz="8" w:space="0" w:color="AEAEAE"/>
              <w:left w:val="nil"/>
              <w:bottom w:val="nil"/>
              <w:right w:val="nil"/>
            </w:tcBorders>
            <w:shd w:val="clear" w:color="auto" w:fill="E0E0E0"/>
          </w:tcPr>
          <w:p w14:paraId="29005C7F" w14:textId="77777777" w:rsidR="00520D2C" w:rsidRDefault="00520D2C">
            <w:pPr>
              <w:rPr>
                <w:rFonts w:ascii="Arial" w:hAnsi="Arial" w:cs="Arial"/>
                <w:color w:val="010205"/>
                <w:sz w:val="18"/>
                <w:szCs w:val="18"/>
              </w:rPr>
            </w:pPr>
          </w:p>
        </w:tc>
        <w:tc>
          <w:tcPr>
            <w:tcW w:w="3566" w:type="dxa"/>
            <w:tcBorders>
              <w:top w:val="single" w:sz="8" w:space="0" w:color="AEAEAE"/>
              <w:left w:val="nil"/>
              <w:bottom w:val="nil"/>
              <w:right w:val="nil"/>
            </w:tcBorders>
            <w:shd w:val="clear" w:color="auto" w:fill="E0E0E0"/>
          </w:tcPr>
          <w:p w14:paraId="0DE92FC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633" w:type="dxa"/>
            <w:tcBorders>
              <w:top w:val="single" w:sz="8" w:space="0" w:color="AEAEAE"/>
              <w:left w:val="nil"/>
              <w:bottom w:val="nil"/>
              <w:right w:val="nil"/>
            </w:tcBorders>
            <w:shd w:val="clear" w:color="auto" w:fill="F9F9FB"/>
          </w:tcPr>
          <w:p w14:paraId="45DAD59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7E74B14D" w14:textId="77777777">
        <w:trPr>
          <w:cantSplit/>
        </w:trPr>
        <w:tc>
          <w:tcPr>
            <w:tcW w:w="2825" w:type="dxa"/>
            <w:vMerge w:val="restart"/>
            <w:tcBorders>
              <w:top w:val="single" w:sz="8" w:space="0" w:color="AEAEAE"/>
              <w:left w:val="nil"/>
              <w:bottom w:val="nil"/>
              <w:right w:val="nil"/>
            </w:tcBorders>
            <w:shd w:val="clear" w:color="auto" w:fill="E0E0E0"/>
          </w:tcPr>
          <w:p w14:paraId="2C92CFC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3566" w:type="dxa"/>
            <w:tcBorders>
              <w:top w:val="single" w:sz="8" w:space="0" w:color="AEAEAE"/>
              <w:left w:val="nil"/>
              <w:bottom w:val="single" w:sz="8" w:space="0" w:color="AEAEAE"/>
              <w:right w:val="nil"/>
            </w:tcBorders>
            <w:shd w:val="clear" w:color="auto" w:fill="E0E0E0"/>
          </w:tcPr>
          <w:p w14:paraId="1739842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2633" w:type="dxa"/>
            <w:tcBorders>
              <w:top w:val="single" w:sz="8" w:space="0" w:color="AEAEAE"/>
              <w:left w:val="nil"/>
              <w:bottom w:val="single" w:sz="8" w:space="0" w:color="AEAEAE"/>
              <w:right w:val="nil"/>
            </w:tcBorders>
            <w:shd w:val="clear" w:color="auto" w:fill="F9F9FB"/>
          </w:tcPr>
          <w:p w14:paraId="14904A0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-.527</w:t>
            </w:r>
          </w:p>
        </w:tc>
      </w:tr>
      <w:tr w:rsidR="00520D2C" w14:paraId="2A950AD7" w14:textId="77777777">
        <w:trPr>
          <w:cantSplit/>
        </w:trPr>
        <w:tc>
          <w:tcPr>
            <w:tcW w:w="2825" w:type="dxa"/>
            <w:vMerge/>
            <w:tcBorders>
              <w:top w:val="single" w:sz="8" w:space="0" w:color="AEAEAE"/>
              <w:left w:val="nil"/>
              <w:bottom w:val="nil"/>
              <w:right w:val="nil"/>
            </w:tcBorders>
            <w:shd w:val="clear" w:color="auto" w:fill="E0E0E0"/>
          </w:tcPr>
          <w:p w14:paraId="5DC2D11B" w14:textId="77777777" w:rsidR="00520D2C" w:rsidRDefault="00520D2C">
            <w:pPr>
              <w:rPr>
                <w:rFonts w:ascii="Arial" w:hAnsi="Arial" w:cs="Arial"/>
                <w:color w:val="010205"/>
                <w:sz w:val="18"/>
                <w:szCs w:val="18"/>
              </w:rPr>
            </w:pPr>
          </w:p>
        </w:tc>
        <w:tc>
          <w:tcPr>
            <w:tcW w:w="3566" w:type="dxa"/>
            <w:tcBorders>
              <w:top w:val="single" w:sz="8" w:space="0" w:color="AEAEAE"/>
              <w:left w:val="nil"/>
              <w:bottom w:val="single" w:sz="8" w:space="0" w:color="AEAEAE"/>
              <w:right w:val="nil"/>
            </w:tcBorders>
            <w:shd w:val="clear" w:color="auto" w:fill="E0E0E0"/>
          </w:tcPr>
          <w:p w14:paraId="15DCD5A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2633" w:type="dxa"/>
            <w:tcBorders>
              <w:top w:val="single" w:sz="8" w:space="0" w:color="AEAEAE"/>
              <w:left w:val="nil"/>
              <w:bottom w:val="single" w:sz="8" w:space="0" w:color="AEAEAE"/>
              <w:right w:val="nil"/>
            </w:tcBorders>
            <w:shd w:val="clear" w:color="auto" w:fill="F9F9FB"/>
          </w:tcPr>
          <w:p w14:paraId="53FCF6C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.095</w:t>
            </w:r>
          </w:p>
        </w:tc>
      </w:tr>
      <w:tr w:rsidR="00520D2C" w14:paraId="2D0680A3" w14:textId="77777777">
        <w:trPr>
          <w:cantSplit/>
        </w:trPr>
        <w:tc>
          <w:tcPr>
            <w:tcW w:w="2825" w:type="dxa"/>
            <w:vMerge/>
            <w:tcBorders>
              <w:top w:val="single" w:sz="8" w:space="0" w:color="AEAEAE"/>
              <w:left w:val="nil"/>
              <w:bottom w:val="nil"/>
              <w:right w:val="nil"/>
            </w:tcBorders>
            <w:shd w:val="clear" w:color="auto" w:fill="E0E0E0"/>
          </w:tcPr>
          <w:p w14:paraId="32CD90F4" w14:textId="77777777" w:rsidR="00520D2C" w:rsidRDefault="00520D2C">
            <w:pPr>
              <w:rPr>
                <w:rFonts w:ascii="Arial" w:hAnsi="Arial" w:cs="Arial"/>
                <w:color w:val="010205"/>
                <w:sz w:val="18"/>
                <w:szCs w:val="18"/>
              </w:rPr>
            </w:pPr>
          </w:p>
        </w:tc>
        <w:tc>
          <w:tcPr>
            <w:tcW w:w="3566" w:type="dxa"/>
            <w:tcBorders>
              <w:top w:val="single" w:sz="8" w:space="0" w:color="AEAEAE"/>
              <w:left w:val="nil"/>
              <w:bottom w:val="nil"/>
              <w:right w:val="nil"/>
            </w:tcBorders>
            <w:shd w:val="clear" w:color="auto" w:fill="E0E0E0"/>
          </w:tcPr>
          <w:p w14:paraId="133EB8F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633" w:type="dxa"/>
            <w:tcBorders>
              <w:top w:val="single" w:sz="8" w:space="0" w:color="AEAEAE"/>
              <w:left w:val="nil"/>
              <w:bottom w:val="nil"/>
              <w:right w:val="nil"/>
            </w:tcBorders>
            <w:shd w:val="clear" w:color="auto" w:fill="F9F9FB"/>
          </w:tcPr>
          <w:p w14:paraId="684B54F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r w:rsidR="00520D2C" w14:paraId="4CC20B0A" w14:textId="77777777">
        <w:trPr>
          <w:cantSplit/>
        </w:trPr>
        <w:tc>
          <w:tcPr>
            <w:tcW w:w="2825" w:type="dxa"/>
            <w:vMerge w:val="restart"/>
            <w:tcBorders>
              <w:top w:val="single" w:sz="8" w:space="0" w:color="AEAEAE"/>
              <w:left w:val="nil"/>
              <w:bottom w:val="single" w:sz="8" w:space="0" w:color="152935"/>
              <w:right w:val="nil"/>
            </w:tcBorders>
            <w:shd w:val="clear" w:color="auto" w:fill="E0E0E0"/>
          </w:tcPr>
          <w:p w14:paraId="6D81B3F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3566" w:type="dxa"/>
            <w:tcBorders>
              <w:top w:val="single" w:sz="8" w:space="0" w:color="AEAEAE"/>
              <w:left w:val="nil"/>
              <w:bottom w:val="single" w:sz="8" w:space="0" w:color="AEAEAE"/>
              <w:right w:val="nil"/>
            </w:tcBorders>
            <w:shd w:val="clear" w:color="auto" w:fill="E0E0E0"/>
          </w:tcPr>
          <w:p w14:paraId="23E136B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2633" w:type="dxa"/>
            <w:tcBorders>
              <w:top w:val="single" w:sz="8" w:space="0" w:color="AEAEAE"/>
              <w:left w:val="nil"/>
              <w:bottom w:val="single" w:sz="8" w:space="0" w:color="AEAEAE"/>
              <w:right w:val="nil"/>
            </w:tcBorders>
            <w:shd w:val="clear" w:color="auto" w:fill="F9F9FB"/>
          </w:tcPr>
          <w:p w14:paraId="11FDB2D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r>
      <w:tr w:rsidR="00520D2C" w14:paraId="2ACBD712" w14:textId="77777777">
        <w:trPr>
          <w:cantSplit/>
        </w:trPr>
        <w:tc>
          <w:tcPr>
            <w:tcW w:w="2825" w:type="dxa"/>
            <w:vMerge/>
            <w:tcBorders>
              <w:top w:val="single" w:sz="8" w:space="0" w:color="AEAEAE"/>
              <w:left w:val="nil"/>
              <w:bottom w:val="single" w:sz="8" w:space="0" w:color="152935"/>
              <w:right w:val="nil"/>
            </w:tcBorders>
            <w:shd w:val="clear" w:color="auto" w:fill="E0E0E0"/>
          </w:tcPr>
          <w:p w14:paraId="4B2E55ED" w14:textId="77777777" w:rsidR="00520D2C" w:rsidRDefault="00520D2C">
            <w:pPr>
              <w:rPr>
                <w:rFonts w:ascii="Arial" w:hAnsi="Arial" w:cs="Arial"/>
                <w:color w:val="010205"/>
                <w:sz w:val="18"/>
                <w:szCs w:val="18"/>
              </w:rPr>
            </w:pPr>
          </w:p>
        </w:tc>
        <w:tc>
          <w:tcPr>
            <w:tcW w:w="3566" w:type="dxa"/>
            <w:tcBorders>
              <w:top w:val="single" w:sz="8" w:space="0" w:color="AEAEAE"/>
              <w:left w:val="nil"/>
              <w:bottom w:val="single" w:sz="8" w:space="0" w:color="AEAEAE"/>
              <w:right w:val="nil"/>
            </w:tcBorders>
            <w:shd w:val="clear" w:color="auto" w:fill="E0E0E0"/>
          </w:tcPr>
          <w:p w14:paraId="4BA3300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2633" w:type="dxa"/>
            <w:tcBorders>
              <w:top w:val="single" w:sz="8" w:space="0" w:color="AEAEAE"/>
              <w:left w:val="nil"/>
              <w:bottom w:val="single" w:sz="8" w:space="0" w:color="AEAEAE"/>
              <w:right w:val="nil"/>
            </w:tcBorders>
            <w:shd w:val="clear" w:color="auto" w:fill="F9F9FB"/>
            <w:vAlign w:val="center"/>
          </w:tcPr>
          <w:p w14:paraId="4E764898" w14:textId="77777777" w:rsidR="00520D2C" w:rsidRDefault="00520D2C">
            <w:pPr>
              <w:rPr>
                <w:rFonts w:ascii="Times New Roman" w:hAnsi="Times New Roman" w:cs="Times New Roman"/>
              </w:rPr>
            </w:pPr>
          </w:p>
        </w:tc>
      </w:tr>
      <w:tr w:rsidR="00520D2C" w14:paraId="7775CEF1" w14:textId="77777777">
        <w:trPr>
          <w:cantSplit/>
        </w:trPr>
        <w:tc>
          <w:tcPr>
            <w:tcW w:w="2825" w:type="dxa"/>
            <w:vMerge/>
            <w:tcBorders>
              <w:top w:val="single" w:sz="8" w:space="0" w:color="AEAEAE"/>
              <w:left w:val="nil"/>
              <w:bottom w:val="single" w:sz="8" w:space="0" w:color="152935"/>
              <w:right w:val="nil"/>
            </w:tcBorders>
            <w:shd w:val="clear" w:color="auto" w:fill="E0E0E0"/>
          </w:tcPr>
          <w:p w14:paraId="69069DEF" w14:textId="77777777" w:rsidR="00520D2C" w:rsidRDefault="00520D2C">
            <w:pPr>
              <w:rPr>
                <w:rFonts w:ascii="Times New Roman" w:hAnsi="Times New Roman" w:cs="Times New Roman"/>
              </w:rPr>
            </w:pPr>
          </w:p>
        </w:tc>
        <w:tc>
          <w:tcPr>
            <w:tcW w:w="3566" w:type="dxa"/>
            <w:tcBorders>
              <w:top w:val="single" w:sz="8" w:space="0" w:color="AEAEAE"/>
              <w:left w:val="nil"/>
              <w:bottom w:val="single" w:sz="8" w:space="0" w:color="152935"/>
              <w:right w:val="nil"/>
            </w:tcBorders>
            <w:shd w:val="clear" w:color="auto" w:fill="E0E0E0"/>
          </w:tcPr>
          <w:p w14:paraId="3DE5D63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633" w:type="dxa"/>
            <w:tcBorders>
              <w:top w:val="single" w:sz="8" w:space="0" w:color="AEAEAE"/>
              <w:left w:val="nil"/>
              <w:bottom w:val="single" w:sz="8" w:space="0" w:color="152935"/>
              <w:right w:val="nil"/>
            </w:tcBorders>
            <w:shd w:val="clear" w:color="auto" w:fill="F9F9FB"/>
          </w:tcPr>
          <w:p w14:paraId="355776D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w:t>
            </w:r>
          </w:p>
        </w:tc>
      </w:tr>
    </w:tbl>
    <w:p w14:paraId="7D90FB64" w14:textId="77777777" w:rsidR="00520D2C" w:rsidRDefault="00520D2C">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25"/>
      </w:tblGrid>
      <w:tr w:rsidR="00520D2C" w:rsidRPr="00FB2AD1" w14:paraId="02A97D35" w14:textId="77777777">
        <w:trPr>
          <w:cantSplit/>
        </w:trPr>
        <w:tc>
          <w:tcPr>
            <w:tcW w:w="9024" w:type="dxa"/>
            <w:tcBorders>
              <w:top w:val="nil"/>
              <w:left w:val="nil"/>
              <w:bottom w:val="nil"/>
              <w:right w:val="nil"/>
            </w:tcBorders>
            <w:shd w:val="clear" w:color="auto" w:fill="FFFFFF"/>
          </w:tcPr>
          <w:p w14:paraId="3E0937AB"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 Correlation is significant at the 0.05 level (2-tailed).</w:t>
            </w:r>
          </w:p>
        </w:tc>
      </w:tr>
      <w:tr w:rsidR="00520D2C" w:rsidRPr="00FB2AD1" w14:paraId="7C067FFF" w14:textId="77777777">
        <w:trPr>
          <w:cantSplit/>
        </w:trPr>
        <w:tc>
          <w:tcPr>
            <w:tcW w:w="9024" w:type="dxa"/>
            <w:tcBorders>
              <w:top w:val="nil"/>
              <w:left w:val="nil"/>
              <w:bottom w:val="nil"/>
              <w:right w:val="nil"/>
            </w:tcBorders>
            <w:shd w:val="clear" w:color="auto" w:fill="FFFFFF"/>
          </w:tcPr>
          <w:p w14:paraId="3B3504D0"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 Correlation is significant at the 0.01 level (2-tailed).</w:t>
            </w:r>
          </w:p>
        </w:tc>
      </w:tr>
    </w:tbl>
    <w:p w14:paraId="206941B7" w14:textId="77777777" w:rsidR="00520D2C" w:rsidRDefault="00520D2C" w:rsidP="002F19DC">
      <w:pPr>
        <w:rPr>
          <w:rFonts w:ascii="Arial" w:hAnsi="Arial" w:cs="Arial"/>
          <w:b/>
          <w:bCs/>
          <w:sz w:val="26"/>
          <w:szCs w:val="26"/>
          <w:rtl/>
        </w:rPr>
      </w:pPr>
    </w:p>
    <w:p w14:paraId="010AC880" w14:textId="77777777" w:rsidR="00520D2C" w:rsidRPr="002F19DC" w:rsidRDefault="00520D2C" w:rsidP="002F19DC">
      <w:pPr>
        <w:rPr>
          <w:rFonts w:ascii="Arial" w:hAnsi="Arial" w:cs="Arial"/>
          <w:b/>
          <w:bCs/>
          <w:sz w:val="26"/>
          <w:szCs w:val="26"/>
        </w:rPr>
      </w:pPr>
      <w:r>
        <w:rPr>
          <w:rFonts w:ascii="Arial" w:hAnsi="Arial" w:cs="Arial"/>
          <w:b/>
          <w:bCs/>
          <w:sz w:val="26"/>
          <w:szCs w:val="26"/>
        </w:rPr>
        <w:t>Regression</w:t>
      </w:r>
    </w:p>
    <w:p w14:paraId="15BA80C3" w14:textId="77777777" w:rsidR="00520D2C" w:rsidRDefault="00520D2C">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74D99F1C" w14:textId="77777777">
        <w:trPr>
          <w:cantSplit/>
        </w:trPr>
        <w:tc>
          <w:tcPr>
            <w:tcW w:w="4804" w:type="dxa"/>
            <w:gridSpan w:val="4"/>
            <w:tcBorders>
              <w:top w:val="nil"/>
              <w:left w:val="nil"/>
              <w:bottom w:val="nil"/>
              <w:right w:val="nil"/>
            </w:tcBorders>
            <w:shd w:val="clear" w:color="auto" w:fill="FFFFFF"/>
            <w:vAlign w:val="center"/>
          </w:tcPr>
          <w:p w14:paraId="2EEA7D67"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578D25D0" w14:textId="77777777">
        <w:trPr>
          <w:cantSplit/>
        </w:trPr>
        <w:tc>
          <w:tcPr>
            <w:tcW w:w="803" w:type="dxa"/>
            <w:tcBorders>
              <w:top w:val="nil"/>
              <w:left w:val="nil"/>
              <w:bottom w:val="single" w:sz="8" w:space="0" w:color="152935"/>
              <w:right w:val="nil"/>
            </w:tcBorders>
            <w:shd w:val="clear" w:color="auto" w:fill="FFFFFF"/>
            <w:vAlign w:val="bottom"/>
          </w:tcPr>
          <w:p w14:paraId="5BB9F0B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07538DB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2B718AE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3DEA10A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781E1188" w14:textId="77777777">
        <w:trPr>
          <w:cantSplit/>
        </w:trPr>
        <w:tc>
          <w:tcPr>
            <w:tcW w:w="803" w:type="dxa"/>
            <w:tcBorders>
              <w:top w:val="single" w:sz="8" w:space="0" w:color="152935"/>
              <w:left w:val="nil"/>
              <w:bottom w:val="single" w:sz="8" w:space="0" w:color="152935"/>
              <w:right w:val="nil"/>
            </w:tcBorders>
            <w:shd w:val="clear" w:color="auto" w:fill="E0E0E0"/>
          </w:tcPr>
          <w:p w14:paraId="5CF08C4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13427954"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exchange.rate, Unemployment, inflation</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783556D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31507ED2"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3493870B"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14:paraId="7E9AAA24" w14:textId="77777777">
        <w:trPr>
          <w:cantSplit/>
        </w:trPr>
        <w:tc>
          <w:tcPr>
            <w:tcW w:w="4804" w:type="dxa"/>
            <w:tcBorders>
              <w:top w:val="nil"/>
              <w:left w:val="nil"/>
              <w:bottom w:val="nil"/>
              <w:right w:val="nil"/>
            </w:tcBorders>
            <w:shd w:val="clear" w:color="auto" w:fill="FFFFFF"/>
          </w:tcPr>
          <w:p w14:paraId="1AB0758F"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rsidRPr="00FB2AD1" w14:paraId="15D02846" w14:textId="77777777">
        <w:trPr>
          <w:cantSplit/>
        </w:trPr>
        <w:tc>
          <w:tcPr>
            <w:tcW w:w="4804" w:type="dxa"/>
            <w:tcBorders>
              <w:top w:val="nil"/>
              <w:left w:val="nil"/>
              <w:bottom w:val="nil"/>
              <w:right w:val="nil"/>
            </w:tcBorders>
            <w:shd w:val="clear" w:color="auto" w:fill="FFFFFF"/>
          </w:tcPr>
          <w:p w14:paraId="0E7E13F4"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6DA5B47B"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59539B8E" w14:textId="77777777">
        <w:trPr>
          <w:cantSplit/>
        </w:trPr>
        <w:tc>
          <w:tcPr>
            <w:tcW w:w="5880" w:type="dxa"/>
            <w:gridSpan w:val="5"/>
            <w:tcBorders>
              <w:top w:val="nil"/>
              <w:left w:val="nil"/>
              <w:bottom w:val="nil"/>
              <w:right w:val="nil"/>
            </w:tcBorders>
            <w:shd w:val="clear" w:color="auto" w:fill="FFFFFF"/>
            <w:vAlign w:val="center"/>
          </w:tcPr>
          <w:p w14:paraId="0909D596"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78E7E89D" w14:textId="77777777">
        <w:trPr>
          <w:cantSplit/>
        </w:trPr>
        <w:tc>
          <w:tcPr>
            <w:tcW w:w="800" w:type="dxa"/>
            <w:tcBorders>
              <w:top w:val="nil"/>
              <w:left w:val="nil"/>
              <w:bottom w:val="single" w:sz="8" w:space="0" w:color="152935"/>
              <w:right w:val="nil"/>
            </w:tcBorders>
            <w:shd w:val="clear" w:color="auto" w:fill="FFFFFF"/>
            <w:vAlign w:val="bottom"/>
          </w:tcPr>
          <w:p w14:paraId="77837C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0A3A633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7CFD689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20A2050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02A7C2C6"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3DC6B93E" w14:textId="77777777">
        <w:trPr>
          <w:cantSplit/>
        </w:trPr>
        <w:tc>
          <w:tcPr>
            <w:tcW w:w="800" w:type="dxa"/>
            <w:tcBorders>
              <w:top w:val="single" w:sz="8" w:space="0" w:color="152935"/>
              <w:left w:val="nil"/>
              <w:bottom w:val="single" w:sz="8" w:space="0" w:color="152935"/>
              <w:right w:val="nil"/>
            </w:tcBorders>
            <w:shd w:val="clear" w:color="auto" w:fill="E0E0E0"/>
          </w:tcPr>
          <w:p w14:paraId="73D3C23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1DCE165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.962</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063BCC2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.926</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3F1448D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.894</w:t>
            </w:r>
          </w:p>
        </w:tc>
        <w:tc>
          <w:tcPr>
            <w:tcW w:w="1478" w:type="dxa"/>
            <w:tcBorders>
              <w:top w:val="single" w:sz="8" w:space="0" w:color="152935"/>
              <w:left w:val="single" w:sz="8" w:space="0" w:color="E0E0E0"/>
              <w:bottom w:val="single" w:sz="8" w:space="0" w:color="152935"/>
              <w:right w:val="nil"/>
            </w:tcBorders>
            <w:shd w:val="clear" w:color="auto" w:fill="F9F9FB"/>
          </w:tcPr>
          <w:p w14:paraId="083A407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56713.66321</w:t>
            </w:r>
          </w:p>
        </w:tc>
      </w:tr>
    </w:tbl>
    <w:p w14:paraId="0BBD4DFA"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5C0D8083" w14:textId="77777777">
        <w:trPr>
          <w:cantSplit/>
        </w:trPr>
        <w:tc>
          <w:tcPr>
            <w:tcW w:w="5880" w:type="dxa"/>
            <w:tcBorders>
              <w:top w:val="nil"/>
              <w:left w:val="nil"/>
              <w:bottom w:val="nil"/>
              <w:right w:val="nil"/>
            </w:tcBorders>
            <w:shd w:val="clear" w:color="auto" w:fill="FFFFFF"/>
          </w:tcPr>
          <w:p w14:paraId="78652A1D"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exchange.rate, Unemployment, inflation</w:t>
            </w:r>
          </w:p>
        </w:tc>
      </w:tr>
    </w:tbl>
    <w:p w14:paraId="0781AE69" w14:textId="77777777" w:rsidR="00520D2C" w:rsidRDefault="00520D2C">
      <w:pPr>
        <w:spacing w:line="400" w:lineRule="atLeast"/>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8"/>
        <w:gridCol w:w="1472"/>
        <w:gridCol w:w="1027"/>
        <w:gridCol w:w="1472"/>
        <w:gridCol w:w="1027"/>
        <w:gridCol w:w="1027"/>
      </w:tblGrid>
      <w:tr w:rsidR="00520D2C" w14:paraId="22378B0E" w14:textId="77777777">
        <w:trPr>
          <w:cantSplit/>
        </w:trPr>
        <w:tc>
          <w:tcPr>
            <w:tcW w:w="8049" w:type="dxa"/>
            <w:gridSpan w:val="7"/>
            <w:tcBorders>
              <w:top w:val="nil"/>
              <w:left w:val="nil"/>
              <w:bottom w:val="nil"/>
              <w:right w:val="nil"/>
            </w:tcBorders>
            <w:shd w:val="clear" w:color="auto" w:fill="FFFFFF"/>
            <w:vAlign w:val="center"/>
          </w:tcPr>
          <w:p w14:paraId="150CAC38"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0BF5F381" w14:textId="77777777">
        <w:trPr>
          <w:cantSplit/>
        </w:trPr>
        <w:tc>
          <w:tcPr>
            <w:tcW w:w="2024" w:type="dxa"/>
            <w:gridSpan w:val="2"/>
            <w:tcBorders>
              <w:top w:val="nil"/>
              <w:left w:val="nil"/>
              <w:bottom w:val="single" w:sz="8" w:space="0" w:color="152935"/>
              <w:right w:val="nil"/>
            </w:tcBorders>
            <w:shd w:val="clear" w:color="auto" w:fill="FFFFFF"/>
            <w:vAlign w:val="bottom"/>
          </w:tcPr>
          <w:p w14:paraId="47DE601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3919418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18F486F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77EB0CF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0F5D725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0EF945C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01883209"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58B4F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7C640EC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25986BC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282037034965.400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36B3F4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24686BE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94012344988.467</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55004B3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29.229</w:t>
            </w:r>
          </w:p>
        </w:tc>
        <w:tc>
          <w:tcPr>
            <w:tcW w:w="1027" w:type="dxa"/>
            <w:tcBorders>
              <w:top w:val="single" w:sz="8" w:space="0" w:color="152935"/>
              <w:left w:val="single" w:sz="8" w:space="0" w:color="E0E0E0"/>
              <w:bottom w:val="single" w:sz="8" w:space="0" w:color="AEAEAE"/>
              <w:right w:val="nil"/>
            </w:tcBorders>
            <w:shd w:val="clear" w:color="auto" w:fill="F9F9FB"/>
          </w:tcPr>
          <w:p w14:paraId="0752761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r>
              <w:rPr>
                <w:rFonts w:ascii="Arial" w:hAnsi="Arial" w:cs="Arial"/>
                <w:color w:val="010205"/>
                <w:sz w:val="18"/>
                <w:szCs w:val="18"/>
                <w:vertAlign w:val="superscript"/>
              </w:rPr>
              <w:t>b</w:t>
            </w:r>
          </w:p>
        </w:tc>
      </w:tr>
      <w:tr w:rsidR="00520D2C" w14:paraId="6D8B7825" w14:textId="77777777">
        <w:trPr>
          <w:cantSplit/>
        </w:trPr>
        <w:tc>
          <w:tcPr>
            <w:tcW w:w="736" w:type="dxa"/>
            <w:vMerge/>
            <w:tcBorders>
              <w:top w:val="single" w:sz="8" w:space="0" w:color="152935"/>
              <w:left w:val="nil"/>
              <w:bottom w:val="single" w:sz="8" w:space="0" w:color="152935"/>
              <w:right w:val="nil"/>
            </w:tcBorders>
            <w:shd w:val="clear" w:color="auto" w:fill="E0E0E0"/>
          </w:tcPr>
          <w:p w14:paraId="60F43E29"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1501A24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7ABA8A7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22515077159.146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615F559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21646C7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3216439594.164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4A0B69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448997A5" w14:textId="77777777" w:rsidR="00520D2C" w:rsidRDefault="00520D2C">
            <w:pPr>
              <w:rPr>
                <w:rFonts w:ascii="Times New Roman" w:hAnsi="Times New Roman" w:cs="Times New Roman"/>
              </w:rPr>
            </w:pPr>
          </w:p>
        </w:tc>
      </w:tr>
      <w:tr w:rsidR="00520D2C" w14:paraId="142D2517" w14:textId="77777777">
        <w:trPr>
          <w:cantSplit/>
        </w:trPr>
        <w:tc>
          <w:tcPr>
            <w:tcW w:w="736" w:type="dxa"/>
            <w:vMerge/>
            <w:tcBorders>
              <w:top w:val="single" w:sz="8" w:space="0" w:color="152935"/>
              <w:left w:val="nil"/>
              <w:bottom w:val="single" w:sz="8" w:space="0" w:color="152935"/>
              <w:right w:val="nil"/>
            </w:tcBorders>
            <w:shd w:val="clear" w:color="auto" w:fill="E0E0E0"/>
          </w:tcPr>
          <w:p w14:paraId="1A8D102A"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30B1E45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3390AEB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304552112124.545</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508BCAF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DF75FAC"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61E0474"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389DAE1B" w14:textId="77777777" w:rsidR="00520D2C" w:rsidRDefault="00520D2C">
            <w:pPr>
              <w:rPr>
                <w:rFonts w:ascii="Times New Roman" w:hAnsi="Times New Roman" w:cs="Times New Roman"/>
              </w:rPr>
            </w:pPr>
          </w:p>
        </w:tc>
      </w:tr>
    </w:tbl>
    <w:p w14:paraId="22F4B0AF" w14:textId="77777777" w:rsidR="00520D2C" w:rsidRDefault="00520D2C">
      <w:pPr>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50"/>
      </w:tblGrid>
      <w:tr w:rsidR="00520D2C" w14:paraId="2A09EF64" w14:textId="77777777">
        <w:trPr>
          <w:cantSplit/>
        </w:trPr>
        <w:tc>
          <w:tcPr>
            <w:tcW w:w="8049" w:type="dxa"/>
            <w:tcBorders>
              <w:top w:val="nil"/>
              <w:left w:val="nil"/>
              <w:bottom w:val="nil"/>
              <w:right w:val="nil"/>
            </w:tcBorders>
            <w:shd w:val="clear" w:color="auto" w:fill="FFFFFF"/>
          </w:tcPr>
          <w:p w14:paraId="202AEE70"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14:paraId="3E9563E5" w14:textId="77777777">
        <w:trPr>
          <w:cantSplit/>
        </w:trPr>
        <w:tc>
          <w:tcPr>
            <w:tcW w:w="8049" w:type="dxa"/>
            <w:tcBorders>
              <w:top w:val="nil"/>
              <w:left w:val="nil"/>
              <w:bottom w:val="nil"/>
              <w:right w:val="nil"/>
            </w:tcBorders>
            <w:shd w:val="clear" w:color="auto" w:fill="FFFFFF"/>
          </w:tcPr>
          <w:p w14:paraId="5A31ABB7"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exchange.rate, Unemployment, inflation</w:t>
            </w:r>
          </w:p>
        </w:tc>
      </w:tr>
    </w:tbl>
    <w:p w14:paraId="47E2C855" w14:textId="77777777" w:rsidR="00520D2C" w:rsidRDefault="00520D2C">
      <w:pPr>
        <w:spacing w:line="400" w:lineRule="atLeast"/>
        <w:rPr>
          <w:rFonts w:ascii="Times New Roman" w:hAnsi="Times New Roman" w:cs="Times New Roman"/>
        </w:rPr>
      </w:pPr>
    </w:p>
    <w:tbl>
      <w:tblPr>
        <w:tblW w:w="8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579"/>
        <w:gridCol w:w="1410"/>
        <w:gridCol w:w="1333"/>
        <w:gridCol w:w="1471"/>
        <w:gridCol w:w="1026"/>
        <w:gridCol w:w="1026"/>
      </w:tblGrid>
      <w:tr w:rsidR="00520D2C" w14:paraId="596008A2" w14:textId="77777777">
        <w:trPr>
          <w:cantSplit/>
        </w:trPr>
        <w:tc>
          <w:tcPr>
            <w:tcW w:w="8576" w:type="dxa"/>
            <w:gridSpan w:val="7"/>
            <w:tcBorders>
              <w:top w:val="nil"/>
              <w:left w:val="nil"/>
              <w:bottom w:val="nil"/>
              <w:right w:val="nil"/>
            </w:tcBorders>
            <w:shd w:val="clear" w:color="auto" w:fill="FFFFFF"/>
            <w:vAlign w:val="center"/>
          </w:tcPr>
          <w:p w14:paraId="622C5259"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34F7145B" w14:textId="77777777">
        <w:trPr>
          <w:cantSplit/>
        </w:trPr>
        <w:tc>
          <w:tcPr>
            <w:tcW w:w="2313" w:type="dxa"/>
            <w:gridSpan w:val="2"/>
            <w:vMerge w:val="restart"/>
            <w:tcBorders>
              <w:top w:val="nil"/>
              <w:left w:val="nil"/>
              <w:bottom w:val="nil"/>
              <w:right w:val="nil"/>
            </w:tcBorders>
            <w:shd w:val="clear" w:color="auto" w:fill="FFFFFF"/>
            <w:vAlign w:val="bottom"/>
          </w:tcPr>
          <w:p w14:paraId="543802B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741" w:type="dxa"/>
            <w:gridSpan w:val="2"/>
            <w:tcBorders>
              <w:top w:val="nil"/>
              <w:left w:val="nil"/>
              <w:bottom w:val="nil"/>
              <w:right w:val="single" w:sz="8" w:space="0" w:color="E0E0E0"/>
            </w:tcBorders>
            <w:shd w:val="clear" w:color="auto" w:fill="FFFFFF"/>
            <w:vAlign w:val="bottom"/>
          </w:tcPr>
          <w:p w14:paraId="03CC4A5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0" w:type="dxa"/>
            <w:tcBorders>
              <w:top w:val="nil"/>
              <w:left w:val="single" w:sz="8" w:space="0" w:color="E0E0E0"/>
              <w:bottom w:val="nil"/>
              <w:right w:val="single" w:sz="8" w:space="0" w:color="E0E0E0"/>
            </w:tcBorders>
            <w:shd w:val="clear" w:color="auto" w:fill="FFFFFF"/>
            <w:vAlign w:val="bottom"/>
          </w:tcPr>
          <w:p w14:paraId="4F4BF59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30199ED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61EF50A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35D5058F" w14:textId="77777777">
        <w:trPr>
          <w:cantSplit/>
        </w:trPr>
        <w:tc>
          <w:tcPr>
            <w:tcW w:w="2313" w:type="dxa"/>
            <w:gridSpan w:val="2"/>
            <w:vMerge/>
            <w:tcBorders>
              <w:top w:val="nil"/>
              <w:left w:val="nil"/>
              <w:bottom w:val="nil"/>
              <w:right w:val="nil"/>
            </w:tcBorders>
            <w:shd w:val="clear" w:color="auto" w:fill="FFFFFF"/>
            <w:vAlign w:val="bottom"/>
          </w:tcPr>
          <w:p w14:paraId="05D4A52E" w14:textId="77777777" w:rsidR="00520D2C" w:rsidRDefault="00520D2C">
            <w:pPr>
              <w:rPr>
                <w:rFonts w:ascii="Arial" w:hAnsi="Arial" w:cs="Arial"/>
                <w:color w:val="264A60"/>
                <w:sz w:val="18"/>
                <w:szCs w:val="18"/>
              </w:rPr>
            </w:pPr>
          </w:p>
        </w:tc>
        <w:tc>
          <w:tcPr>
            <w:tcW w:w="1409" w:type="dxa"/>
            <w:tcBorders>
              <w:top w:val="nil"/>
              <w:left w:val="nil"/>
              <w:bottom w:val="single" w:sz="8" w:space="0" w:color="152935"/>
              <w:right w:val="single" w:sz="8" w:space="0" w:color="E0E0E0"/>
            </w:tcBorders>
            <w:shd w:val="clear" w:color="auto" w:fill="FFFFFF"/>
            <w:vAlign w:val="bottom"/>
          </w:tcPr>
          <w:p w14:paraId="49D1791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2" w:type="dxa"/>
            <w:tcBorders>
              <w:top w:val="nil"/>
              <w:left w:val="single" w:sz="8" w:space="0" w:color="E0E0E0"/>
              <w:bottom w:val="single" w:sz="8" w:space="0" w:color="152935"/>
              <w:right w:val="single" w:sz="8" w:space="0" w:color="E0E0E0"/>
            </w:tcBorders>
            <w:shd w:val="clear" w:color="auto" w:fill="FFFFFF"/>
            <w:vAlign w:val="bottom"/>
          </w:tcPr>
          <w:p w14:paraId="041EC3E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2B4EC51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07EB0DF2"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5F82BE8D" w14:textId="77777777" w:rsidR="00520D2C" w:rsidRDefault="00520D2C">
            <w:pPr>
              <w:rPr>
                <w:rFonts w:ascii="Arial" w:hAnsi="Arial" w:cs="Arial"/>
                <w:color w:val="264A60"/>
                <w:sz w:val="18"/>
                <w:szCs w:val="18"/>
              </w:rPr>
            </w:pPr>
          </w:p>
        </w:tc>
      </w:tr>
      <w:tr w:rsidR="00520D2C" w14:paraId="62C89F23"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48430CB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578" w:type="dxa"/>
            <w:tcBorders>
              <w:top w:val="single" w:sz="8" w:space="0" w:color="152935"/>
              <w:left w:val="nil"/>
              <w:bottom w:val="single" w:sz="8" w:space="0" w:color="AEAEAE"/>
              <w:right w:val="nil"/>
            </w:tcBorders>
            <w:shd w:val="clear" w:color="auto" w:fill="E0E0E0"/>
          </w:tcPr>
          <w:p w14:paraId="4F4C03E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409" w:type="dxa"/>
            <w:tcBorders>
              <w:top w:val="single" w:sz="8" w:space="0" w:color="152935"/>
              <w:left w:val="nil"/>
              <w:bottom w:val="single" w:sz="8" w:space="0" w:color="AEAEAE"/>
              <w:right w:val="single" w:sz="8" w:space="0" w:color="E0E0E0"/>
            </w:tcBorders>
            <w:shd w:val="clear" w:color="auto" w:fill="F9F9FB"/>
          </w:tcPr>
          <w:p w14:paraId="323D8D1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1511073.600</w:t>
            </w:r>
          </w:p>
        </w:tc>
        <w:tc>
          <w:tcPr>
            <w:tcW w:w="1332" w:type="dxa"/>
            <w:tcBorders>
              <w:top w:val="single" w:sz="8" w:space="0" w:color="152935"/>
              <w:left w:val="single" w:sz="8" w:space="0" w:color="E0E0E0"/>
              <w:bottom w:val="single" w:sz="8" w:space="0" w:color="AEAEAE"/>
              <w:right w:val="single" w:sz="8" w:space="0" w:color="E0E0E0"/>
            </w:tcBorders>
            <w:shd w:val="clear" w:color="auto" w:fill="F9F9FB"/>
          </w:tcPr>
          <w:p w14:paraId="7E5A16E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168049.728</w:t>
            </w:r>
          </w:p>
        </w:tc>
        <w:tc>
          <w:tcPr>
            <w:tcW w:w="1470"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612D5F34"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24AA2C3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8.992</w:t>
            </w:r>
          </w:p>
        </w:tc>
        <w:tc>
          <w:tcPr>
            <w:tcW w:w="1026" w:type="dxa"/>
            <w:tcBorders>
              <w:top w:val="single" w:sz="8" w:space="0" w:color="152935"/>
              <w:left w:val="single" w:sz="8" w:space="0" w:color="E0E0E0"/>
              <w:bottom w:val="single" w:sz="8" w:space="0" w:color="AEAEAE"/>
              <w:right w:val="nil"/>
            </w:tcBorders>
            <w:shd w:val="clear" w:color="auto" w:fill="F9F9FB"/>
          </w:tcPr>
          <w:p w14:paraId="2F6F7AD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520D2C" w14:paraId="6EE91AF0" w14:textId="77777777">
        <w:trPr>
          <w:cantSplit/>
        </w:trPr>
        <w:tc>
          <w:tcPr>
            <w:tcW w:w="735" w:type="dxa"/>
            <w:vMerge/>
            <w:tcBorders>
              <w:top w:val="single" w:sz="8" w:space="0" w:color="152935"/>
              <w:left w:val="nil"/>
              <w:bottom w:val="single" w:sz="8" w:space="0" w:color="152935"/>
              <w:right w:val="nil"/>
            </w:tcBorders>
            <w:shd w:val="clear" w:color="auto" w:fill="E0E0E0"/>
          </w:tcPr>
          <w:p w14:paraId="458DE66B"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AEAEAE"/>
              <w:right w:val="nil"/>
            </w:tcBorders>
            <w:shd w:val="clear" w:color="auto" w:fill="E0E0E0"/>
          </w:tcPr>
          <w:p w14:paraId="6FCD758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409" w:type="dxa"/>
            <w:tcBorders>
              <w:top w:val="single" w:sz="8" w:space="0" w:color="AEAEAE"/>
              <w:left w:val="nil"/>
              <w:bottom w:val="single" w:sz="8" w:space="0" w:color="AEAEAE"/>
              <w:right w:val="single" w:sz="8" w:space="0" w:color="E0E0E0"/>
            </w:tcBorders>
            <w:shd w:val="clear" w:color="auto" w:fill="F9F9FB"/>
          </w:tcPr>
          <w:p w14:paraId="3821BF8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-2443.591</w:t>
            </w:r>
          </w:p>
        </w:tc>
        <w:tc>
          <w:tcPr>
            <w:tcW w:w="1332" w:type="dxa"/>
            <w:tcBorders>
              <w:top w:val="single" w:sz="8" w:space="0" w:color="AEAEAE"/>
              <w:left w:val="single" w:sz="8" w:space="0" w:color="E0E0E0"/>
              <w:bottom w:val="single" w:sz="8" w:space="0" w:color="AEAEAE"/>
              <w:right w:val="single" w:sz="8" w:space="0" w:color="E0E0E0"/>
            </w:tcBorders>
            <w:shd w:val="clear" w:color="auto" w:fill="F9F9FB"/>
          </w:tcPr>
          <w:p w14:paraId="01BCE2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1520.613</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465A6BE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-.331</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5E938B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-1.607</w:t>
            </w:r>
          </w:p>
        </w:tc>
        <w:tc>
          <w:tcPr>
            <w:tcW w:w="1026" w:type="dxa"/>
            <w:tcBorders>
              <w:top w:val="single" w:sz="8" w:space="0" w:color="AEAEAE"/>
              <w:left w:val="single" w:sz="8" w:space="0" w:color="E0E0E0"/>
              <w:bottom w:val="single" w:sz="8" w:space="0" w:color="AEAEAE"/>
              <w:right w:val="nil"/>
            </w:tcBorders>
            <w:shd w:val="clear" w:color="auto" w:fill="F9F9FB"/>
          </w:tcPr>
          <w:p w14:paraId="2F3066E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.152</w:t>
            </w:r>
          </w:p>
        </w:tc>
      </w:tr>
      <w:tr w:rsidR="00520D2C" w14:paraId="09D817BC" w14:textId="77777777">
        <w:trPr>
          <w:cantSplit/>
        </w:trPr>
        <w:tc>
          <w:tcPr>
            <w:tcW w:w="735" w:type="dxa"/>
            <w:vMerge/>
            <w:tcBorders>
              <w:top w:val="single" w:sz="8" w:space="0" w:color="152935"/>
              <w:left w:val="nil"/>
              <w:bottom w:val="single" w:sz="8" w:space="0" w:color="152935"/>
              <w:right w:val="nil"/>
            </w:tcBorders>
            <w:shd w:val="clear" w:color="auto" w:fill="E0E0E0"/>
          </w:tcPr>
          <w:p w14:paraId="7FBB53A8"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AEAEAE"/>
              <w:right w:val="nil"/>
            </w:tcBorders>
            <w:shd w:val="clear" w:color="auto" w:fill="E0E0E0"/>
          </w:tcPr>
          <w:p w14:paraId="5085589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409" w:type="dxa"/>
            <w:tcBorders>
              <w:top w:val="single" w:sz="8" w:space="0" w:color="AEAEAE"/>
              <w:left w:val="nil"/>
              <w:bottom w:val="single" w:sz="8" w:space="0" w:color="AEAEAE"/>
              <w:right w:val="single" w:sz="8" w:space="0" w:color="E0E0E0"/>
            </w:tcBorders>
            <w:shd w:val="clear" w:color="auto" w:fill="F9F9FB"/>
          </w:tcPr>
          <w:p w14:paraId="26A40C0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-63140.446</w:t>
            </w:r>
          </w:p>
        </w:tc>
        <w:tc>
          <w:tcPr>
            <w:tcW w:w="1332" w:type="dxa"/>
            <w:tcBorders>
              <w:top w:val="single" w:sz="8" w:space="0" w:color="AEAEAE"/>
              <w:left w:val="single" w:sz="8" w:space="0" w:color="E0E0E0"/>
              <w:bottom w:val="single" w:sz="8" w:space="0" w:color="AEAEAE"/>
              <w:right w:val="single" w:sz="8" w:space="0" w:color="E0E0E0"/>
            </w:tcBorders>
            <w:shd w:val="clear" w:color="auto" w:fill="F9F9FB"/>
          </w:tcPr>
          <w:p w14:paraId="7E6ED98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14102.560</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7D9B566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-.543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4B4F535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-4.477</w:t>
            </w:r>
          </w:p>
        </w:tc>
        <w:tc>
          <w:tcPr>
            <w:tcW w:w="1026" w:type="dxa"/>
            <w:tcBorders>
              <w:top w:val="single" w:sz="8" w:space="0" w:color="AEAEAE"/>
              <w:left w:val="single" w:sz="8" w:space="0" w:color="E0E0E0"/>
              <w:bottom w:val="single" w:sz="8" w:space="0" w:color="AEAEAE"/>
              <w:right w:val="nil"/>
            </w:tcBorders>
            <w:shd w:val="clear" w:color="auto" w:fill="F9F9FB"/>
          </w:tcPr>
          <w:p w14:paraId="3D3DE07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.003</w:t>
            </w:r>
          </w:p>
        </w:tc>
      </w:tr>
      <w:tr w:rsidR="00520D2C" w14:paraId="1048237C" w14:textId="77777777">
        <w:trPr>
          <w:cantSplit/>
        </w:trPr>
        <w:tc>
          <w:tcPr>
            <w:tcW w:w="735" w:type="dxa"/>
            <w:vMerge/>
            <w:tcBorders>
              <w:top w:val="single" w:sz="8" w:space="0" w:color="152935"/>
              <w:left w:val="nil"/>
              <w:bottom w:val="single" w:sz="8" w:space="0" w:color="152935"/>
              <w:right w:val="nil"/>
            </w:tcBorders>
            <w:shd w:val="clear" w:color="auto" w:fill="E0E0E0"/>
          </w:tcPr>
          <w:p w14:paraId="4213421E"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152935"/>
              <w:right w:val="nil"/>
            </w:tcBorders>
            <w:shd w:val="clear" w:color="auto" w:fill="E0E0E0"/>
          </w:tcPr>
          <w:p w14:paraId="77DC42E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409" w:type="dxa"/>
            <w:tcBorders>
              <w:top w:val="single" w:sz="8" w:space="0" w:color="AEAEAE"/>
              <w:left w:val="nil"/>
              <w:bottom w:val="single" w:sz="8" w:space="0" w:color="152935"/>
              <w:right w:val="single" w:sz="8" w:space="0" w:color="E0E0E0"/>
            </w:tcBorders>
            <w:shd w:val="clear" w:color="auto" w:fill="F9F9FB"/>
          </w:tcPr>
          <w:p w14:paraId="5800699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12700.650</w:t>
            </w:r>
          </w:p>
        </w:tc>
        <w:tc>
          <w:tcPr>
            <w:tcW w:w="1332" w:type="dxa"/>
            <w:tcBorders>
              <w:top w:val="single" w:sz="8" w:space="0" w:color="AEAEAE"/>
              <w:left w:val="single" w:sz="8" w:space="0" w:color="E0E0E0"/>
              <w:bottom w:val="single" w:sz="8" w:space="0" w:color="152935"/>
              <w:right w:val="single" w:sz="8" w:space="0" w:color="E0E0E0"/>
            </w:tcBorders>
            <w:shd w:val="clear" w:color="auto" w:fill="F9F9FB"/>
          </w:tcPr>
          <w:p w14:paraId="22E0C56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3233.979</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2402466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.835</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0652CD0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3.927</w:t>
            </w:r>
          </w:p>
        </w:tc>
        <w:tc>
          <w:tcPr>
            <w:tcW w:w="1026" w:type="dxa"/>
            <w:tcBorders>
              <w:top w:val="single" w:sz="8" w:space="0" w:color="AEAEAE"/>
              <w:left w:val="single" w:sz="8" w:space="0" w:color="E0E0E0"/>
              <w:bottom w:val="single" w:sz="8" w:space="0" w:color="152935"/>
              <w:right w:val="nil"/>
            </w:tcBorders>
            <w:shd w:val="clear" w:color="auto" w:fill="F9F9FB"/>
          </w:tcPr>
          <w:p w14:paraId="319084E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.006</w:t>
            </w:r>
          </w:p>
        </w:tc>
      </w:tr>
    </w:tbl>
    <w:p w14:paraId="3A86060B" w14:textId="77777777" w:rsidR="00520D2C" w:rsidRDefault="00520D2C">
      <w:pPr>
        <w:rPr>
          <w:rFonts w:ascii="Arial" w:hAnsi="Arial" w:cs="Arial"/>
          <w:color w:val="010205"/>
          <w:sz w:val="18"/>
          <w:szCs w:val="18"/>
        </w:rPr>
      </w:pPr>
    </w:p>
    <w:tbl>
      <w:tblPr>
        <w:tblW w:w="8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80"/>
      </w:tblGrid>
      <w:tr w:rsidR="00520D2C" w14:paraId="73981792" w14:textId="77777777">
        <w:trPr>
          <w:cantSplit/>
        </w:trPr>
        <w:tc>
          <w:tcPr>
            <w:tcW w:w="8576" w:type="dxa"/>
            <w:tcBorders>
              <w:top w:val="nil"/>
              <w:left w:val="nil"/>
              <w:bottom w:val="nil"/>
              <w:right w:val="nil"/>
            </w:tcBorders>
            <w:shd w:val="clear" w:color="auto" w:fill="FFFFFF"/>
          </w:tcPr>
          <w:p w14:paraId="42A29E1A"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bl>
    <w:p w14:paraId="2CCD2ADC" w14:textId="77777777" w:rsidR="00520D2C" w:rsidRPr="00E759D4" w:rsidRDefault="00520D2C" w:rsidP="00E759D4">
      <w:pPr>
        <w:rPr>
          <w:sz w:val="26"/>
          <w:szCs w:val="26"/>
        </w:rPr>
      </w:pPr>
      <w:r>
        <w:rPr>
          <w:sz w:val="26"/>
          <w:szCs w:val="26"/>
        </w:rPr>
        <w:t>.</w:t>
      </w:r>
    </w:p>
    <w:p w14:paraId="55F20646" w14:textId="77777777" w:rsidR="00520D2C" w:rsidRPr="00E759D4" w:rsidRDefault="00520D2C" w:rsidP="00E759D4">
      <w:pPr>
        <w:rPr>
          <w:rFonts w:ascii="Arial" w:hAnsi="Arial" w:cs="Arial"/>
          <w:b/>
          <w:bCs/>
          <w:sz w:val="26"/>
          <w:szCs w:val="26"/>
        </w:rPr>
      </w:pPr>
      <w:r>
        <w:rPr>
          <w:rFonts w:ascii="Arial" w:hAnsi="Arial" w:cs="Arial"/>
          <w:b/>
          <w:bCs/>
          <w:sz w:val="26"/>
          <w:szCs w:val="26"/>
        </w:rPr>
        <w:t>Regression</w:t>
      </w: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0D7793AA" w14:textId="77777777">
        <w:trPr>
          <w:cantSplit/>
        </w:trPr>
        <w:tc>
          <w:tcPr>
            <w:tcW w:w="4804" w:type="dxa"/>
            <w:gridSpan w:val="4"/>
            <w:tcBorders>
              <w:top w:val="nil"/>
              <w:left w:val="nil"/>
              <w:bottom w:val="nil"/>
              <w:right w:val="nil"/>
            </w:tcBorders>
            <w:shd w:val="clear" w:color="auto" w:fill="FFFFFF"/>
            <w:vAlign w:val="center"/>
          </w:tcPr>
          <w:p w14:paraId="40E788CA"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705F633E" w14:textId="77777777">
        <w:trPr>
          <w:cantSplit/>
        </w:trPr>
        <w:tc>
          <w:tcPr>
            <w:tcW w:w="803" w:type="dxa"/>
            <w:tcBorders>
              <w:top w:val="nil"/>
              <w:left w:val="nil"/>
              <w:bottom w:val="single" w:sz="8" w:space="0" w:color="152935"/>
              <w:right w:val="nil"/>
            </w:tcBorders>
            <w:shd w:val="clear" w:color="auto" w:fill="FFFFFF"/>
            <w:vAlign w:val="bottom"/>
          </w:tcPr>
          <w:p w14:paraId="3F6891E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29B2777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3E9E696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5E3D4A7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4F74E383" w14:textId="77777777">
        <w:trPr>
          <w:cantSplit/>
        </w:trPr>
        <w:tc>
          <w:tcPr>
            <w:tcW w:w="803" w:type="dxa"/>
            <w:tcBorders>
              <w:top w:val="single" w:sz="8" w:space="0" w:color="152935"/>
              <w:left w:val="nil"/>
              <w:bottom w:val="single" w:sz="8" w:space="0" w:color="152935"/>
              <w:right w:val="nil"/>
            </w:tcBorders>
            <w:shd w:val="clear" w:color="auto" w:fill="E0E0E0"/>
          </w:tcPr>
          <w:p w14:paraId="166F267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4122FD64"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inflation</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765FC99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53C53451"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5248FB7F"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14:paraId="71702802" w14:textId="77777777">
        <w:trPr>
          <w:cantSplit/>
        </w:trPr>
        <w:tc>
          <w:tcPr>
            <w:tcW w:w="4804" w:type="dxa"/>
            <w:tcBorders>
              <w:top w:val="nil"/>
              <w:left w:val="nil"/>
              <w:bottom w:val="nil"/>
              <w:right w:val="nil"/>
            </w:tcBorders>
            <w:shd w:val="clear" w:color="auto" w:fill="FFFFFF"/>
          </w:tcPr>
          <w:p w14:paraId="54E507FC"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rsidRPr="00FB2AD1" w14:paraId="1E32483A" w14:textId="77777777">
        <w:trPr>
          <w:cantSplit/>
        </w:trPr>
        <w:tc>
          <w:tcPr>
            <w:tcW w:w="4804" w:type="dxa"/>
            <w:tcBorders>
              <w:top w:val="nil"/>
              <w:left w:val="nil"/>
              <w:bottom w:val="nil"/>
              <w:right w:val="nil"/>
            </w:tcBorders>
            <w:shd w:val="clear" w:color="auto" w:fill="FFFFFF"/>
          </w:tcPr>
          <w:p w14:paraId="76BBD048"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0A09AC78"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5DB77837" w14:textId="77777777">
        <w:trPr>
          <w:cantSplit/>
        </w:trPr>
        <w:tc>
          <w:tcPr>
            <w:tcW w:w="5880" w:type="dxa"/>
            <w:gridSpan w:val="5"/>
            <w:tcBorders>
              <w:top w:val="nil"/>
              <w:left w:val="nil"/>
              <w:bottom w:val="nil"/>
              <w:right w:val="nil"/>
            </w:tcBorders>
            <w:shd w:val="clear" w:color="auto" w:fill="FFFFFF"/>
            <w:vAlign w:val="center"/>
          </w:tcPr>
          <w:p w14:paraId="302A3171"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27E4AE59" w14:textId="77777777">
        <w:trPr>
          <w:cantSplit/>
        </w:trPr>
        <w:tc>
          <w:tcPr>
            <w:tcW w:w="800" w:type="dxa"/>
            <w:tcBorders>
              <w:top w:val="nil"/>
              <w:left w:val="nil"/>
              <w:bottom w:val="single" w:sz="8" w:space="0" w:color="152935"/>
              <w:right w:val="nil"/>
            </w:tcBorders>
            <w:shd w:val="clear" w:color="auto" w:fill="FFFFFF"/>
            <w:vAlign w:val="bottom"/>
          </w:tcPr>
          <w:p w14:paraId="628BD0B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28D2C43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38BD38C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4E3743B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392DAA22"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0CB2E4FD" w14:textId="77777777">
        <w:trPr>
          <w:cantSplit/>
        </w:trPr>
        <w:tc>
          <w:tcPr>
            <w:tcW w:w="800" w:type="dxa"/>
            <w:tcBorders>
              <w:top w:val="single" w:sz="8" w:space="0" w:color="152935"/>
              <w:left w:val="nil"/>
              <w:bottom w:val="single" w:sz="8" w:space="0" w:color="152935"/>
              <w:right w:val="nil"/>
            </w:tcBorders>
            <w:shd w:val="clear" w:color="auto" w:fill="E0E0E0"/>
          </w:tcPr>
          <w:p w14:paraId="0B01579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4D88F0E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.654</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198D98B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.427</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682982E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.364</w:t>
            </w:r>
          </w:p>
        </w:tc>
        <w:tc>
          <w:tcPr>
            <w:tcW w:w="1478" w:type="dxa"/>
            <w:tcBorders>
              <w:top w:val="single" w:sz="8" w:space="0" w:color="152935"/>
              <w:left w:val="single" w:sz="8" w:space="0" w:color="E0E0E0"/>
              <w:bottom w:val="single" w:sz="8" w:space="0" w:color="152935"/>
              <w:right w:val="nil"/>
            </w:tcBorders>
            <w:shd w:val="clear" w:color="auto" w:fill="F9F9FB"/>
          </w:tcPr>
          <w:p w14:paraId="1B905FA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139221.52751</w:t>
            </w:r>
          </w:p>
        </w:tc>
      </w:tr>
    </w:tbl>
    <w:p w14:paraId="4607646C"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52AA1B85" w14:textId="77777777">
        <w:trPr>
          <w:cantSplit/>
        </w:trPr>
        <w:tc>
          <w:tcPr>
            <w:tcW w:w="5880" w:type="dxa"/>
            <w:tcBorders>
              <w:top w:val="nil"/>
              <w:left w:val="nil"/>
              <w:bottom w:val="nil"/>
              <w:right w:val="nil"/>
            </w:tcBorders>
            <w:shd w:val="clear" w:color="auto" w:fill="FFFFFF"/>
          </w:tcPr>
          <w:p w14:paraId="24A46B03"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inflation</w:t>
            </w:r>
          </w:p>
        </w:tc>
      </w:tr>
    </w:tbl>
    <w:p w14:paraId="62EE9774" w14:textId="77777777" w:rsidR="00520D2C" w:rsidRDefault="00520D2C">
      <w:pPr>
        <w:spacing w:line="400" w:lineRule="atLeast"/>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8"/>
        <w:gridCol w:w="1472"/>
        <w:gridCol w:w="1027"/>
        <w:gridCol w:w="1472"/>
        <w:gridCol w:w="1027"/>
        <w:gridCol w:w="1027"/>
      </w:tblGrid>
      <w:tr w:rsidR="00520D2C" w14:paraId="70B36AD7" w14:textId="77777777">
        <w:trPr>
          <w:cantSplit/>
        </w:trPr>
        <w:tc>
          <w:tcPr>
            <w:tcW w:w="8049" w:type="dxa"/>
            <w:gridSpan w:val="7"/>
            <w:tcBorders>
              <w:top w:val="nil"/>
              <w:left w:val="nil"/>
              <w:bottom w:val="nil"/>
              <w:right w:val="nil"/>
            </w:tcBorders>
            <w:shd w:val="clear" w:color="auto" w:fill="FFFFFF"/>
            <w:vAlign w:val="center"/>
          </w:tcPr>
          <w:p w14:paraId="76352AAF" w14:textId="77777777" w:rsidR="00520D2C" w:rsidRDefault="00520D2C" w:rsidP="00137994">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3E05D7E9" w14:textId="77777777">
        <w:trPr>
          <w:cantSplit/>
        </w:trPr>
        <w:tc>
          <w:tcPr>
            <w:tcW w:w="2024" w:type="dxa"/>
            <w:gridSpan w:val="2"/>
            <w:tcBorders>
              <w:top w:val="nil"/>
              <w:left w:val="nil"/>
              <w:bottom w:val="single" w:sz="8" w:space="0" w:color="152935"/>
              <w:right w:val="nil"/>
            </w:tcBorders>
            <w:shd w:val="clear" w:color="auto" w:fill="FFFFFF"/>
            <w:vAlign w:val="bottom"/>
          </w:tcPr>
          <w:p w14:paraId="2E16B04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37750BC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0519A6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759E05D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4A53C6F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0B04463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0635F2CE"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0138E72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7F079C8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620CC21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130108408631.800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E7E795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7501028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130108408631.800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42CAB0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6.713</w:t>
            </w:r>
          </w:p>
        </w:tc>
        <w:tc>
          <w:tcPr>
            <w:tcW w:w="1027" w:type="dxa"/>
            <w:tcBorders>
              <w:top w:val="single" w:sz="8" w:space="0" w:color="152935"/>
              <w:left w:val="single" w:sz="8" w:space="0" w:color="E0E0E0"/>
              <w:bottom w:val="single" w:sz="8" w:space="0" w:color="AEAEAE"/>
              <w:right w:val="nil"/>
            </w:tcBorders>
            <w:shd w:val="clear" w:color="auto" w:fill="F9F9FB"/>
          </w:tcPr>
          <w:p w14:paraId="74DABA9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r>
              <w:rPr>
                <w:rFonts w:ascii="Arial" w:hAnsi="Arial" w:cs="Arial"/>
                <w:color w:val="010205"/>
                <w:sz w:val="18"/>
                <w:szCs w:val="18"/>
                <w:vertAlign w:val="superscript"/>
              </w:rPr>
              <w:t>b</w:t>
            </w:r>
          </w:p>
        </w:tc>
      </w:tr>
      <w:tr w:rsidR="00520D2C" w14:paraId="688DB716" w14:textId="77777777">
        <w:trPr>
          <w:cantSplit/>
        </w:trPr>
        <w:tc>
          <w:tcPr>
            <w:tcW w:w="736" w:type="dxa"/>
            <w:vMerge/>
            <w:tcBorders>
              <w:top w:val="single" w:sz="8" w:space="0" w:color="152935"/>
              <w:left w:val="nil"/>
              <w:bottom w:val="single" w:sz="8" w:space="0" w:color="152935"/>
              <w:right w:val="nil"/>
            </w:tcBorders>
            <w:shd w:val="clear" w:color="auto" w:fill="E0E0E0"/>
          </w:tcPr>
          <w:p w14:paraId="5EB06D53"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315EF49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22DA7D8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174443703492.745</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30F809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74C5BA3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19382633721.416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08585C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7D6A0D50" w14:textId="77777777" w:rsidR="00520D2C" w:rsidRDefault="00520D2C">
            <w:pPr>
              <w:rPr>
                <w:rFonts w:ascii="Times New Roman" w:hAnsi="Times New Roman" w:cs="Times New Roman"/>
              </w:rPr>
            </w:pPr>
          </w:p>
        </w:tc>
      </w:tr>
      <w:tr w:rsidR="00520D2C" w14:paraId="3B25FB3F" w14:textId="77777777">
        <w:trPr>
          <w:cantSplit/>
        </w:trPr>
        <w:tc>
          <w:tcPr>
            <w:tcW w:w="736" w:type="dxa"/>
            <w:vMerge/>
            <w:tcBorders>
              <w:top w:val="single" w:sz="8" w:space="0" w:color="152935"/>
              <w:left w:val="nil"/>
              <w:bottom w:val="single" w:sz="8" w:space="0" w:color="152935"/>
              <w:right w:val="nil"/>
            </w:tcBorders>
            <w:shd w:val="clear" w:color="auto" w:fill="E0E0E0"/>
          </w:tcPr>
          <w:p w14:paraId="1FB5BF1B"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1A7128C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023730F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304552112124.545</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1A5D59A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A4630AC"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1C5F36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621783BE" w14:textId="77777777" w:rsidR="00520D2C" w:rsidRDefault="00520D2C">
            <w:pPr>
              <w:rPr>
                <w:rFonts w:ascii="Times New Roman" w:hAnsi="Times New Roman" w:cs="Times New Roman"/>
              </w:rPr>
            </w:pPr>
          </w:p>
        </w:tc>
      </w:tr>
    </w:tbl>
    <w:p w14:paraId="3B2476F4" w14:textId="77777777" w:rsidR="00520D2C" w:rsidRDefault="00520D2C">
      <w:pPr>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50"/>
      </w:tblGrid>
      <w:tr w:rsidR="00520D2C" w14:paraId="36EF23F6" w14:textId="77777777">
        <w:trPr>
          <w:cantSplit/>
        </w:trPr>
        <w:tc>
          <w:tcPr>
            <w:tcW w:w="8049" w:type="dxa"/>
            <w:tcBorders>
              <w:top w:val="nil"/>
              <w:left w:val="nil"/>
              <w:bottom w:val="nil"/>
              <w:right w:val="nil"/>
            </w:tcBorders>
            <w:shd w:val="clear" w:color="auto" w:fill="FFFFFF"/>
          </w:tcPr>
          <w:p w14:paraId="00F44B08"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14:paraId="2516705D" w14:textId="77777777">
        <w:trPr>
          <w:cantSplit/>
        </w:trPr>
        <w:tc>
          <w:tcPr>
            <w:tcW w:w="8049" w:type="dxa"/>
            <w:tcBorders>
              <w:top w:val="nil"/>
              <w:left w:val="nil"/>
              <w:bottom w:val="nil"/>
              <w:right w:val="nil"/>
            </w:tcBorders>
            <w:shd w:val="clear" w:color="auto" w:fill="FFFFFF"/>
          </w:tcPr>
          <w:p w14:paraId="0F4354BC"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inflation</w:t>
            </w:r>
          </w:p>
        </w:tc>
      </w:tr>
    </w:tbl>
    <w:p w14:paraId="68E15EDF" w14:textId="77777777" w:rsidR="00520D2C" w:rsidRDefault="00520D2C">
      <w:pPr>
        <w:spacing w:line="400" w:lineRule="atLeast"/>
        <w:rPr>
          <w:rFonts w:ascii="Times New Roman" w:hAnsi="Times New Roman" w:cs="Times New Roman"/>
        </w:rPr>
      </w:pPr>
    </w:p>
    <w:p w14:paraId="29018EF8" w14:textId="77777777" w:rsidR="00520D2C" w:rsidRDefault="00520D2C">
      <w:pPr>
        <w:spacing w:line="400" w:lineRule="atLeast"/>
        <w:rPr>
          <w:rFonts w:ascii="Times New Roman" w:hAnsi="Times New Roman" w:cs="Times New Roman"/>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80"/>
        <w:gridCol w:w="1334"/>
        <w:gridCol w:w="1334"/>
        <w:gridCol w:w="1472"/>
        <w:gridCol w:w="1028"/>
        <w:gridCol w:w="1028"/>
      </w:tblGrid>
      <w:tr w:rsidR="00520D2C" w14:paraId="2F0DC357" w14:textId="77777777">
        <w:trPr>
          <w:cantSplit/>
        </w:trPr>
        <w:tc>
          <w:tcPr>
            <w:tcW w:w="8106" w:type="dxa"/>
            <w:gridSpan w:val="7"/>
            <w:tcBorders>
              <w:top w:val="nil"/>
              <w:left w:val="nil"/>
              <w:bottom w:val="nil"/>
              <w:right w:val="nil"/>
            </w:tcBorders>
            <w:shd w:val="clear" w:color="auto" w:fill="FFFFFF"/>
            <w:vAlign w:val="center"/>
          </w:tcPr>
          <w:p w14:paraId="3BD68088"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54C99214" w14:textId="77777777">
        <w:trPr>
          <w:cantSplit/>
        </w:trPr>
        <w:tc>
          <w:tcPr>
            <w:tcW w:w="1915" w:type="dxa"/>
            <w:gridSpan w:val="2"/>
            <w:vMerge w:val="restart"/>
            <w:tcBorders>
              <w:top w:val="nil"/>
              <w:left w:val="nil"/>
              <w:bottom w:val="nil"/>
              <w:right w:val="nil"/>
            </w:tcBorders>
            <w:shd w:val="clear" w:color="auto" w:fill="FFFFFF"/>
            <w:vAlign w:val="bottom"/>
          </w:tcPr>
          <w:p w14:paraId="3E0BA39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5F8FC08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28D9F1B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7" w:type="dxa"/>
            <w:vMerge w:val="restart"/>
            <w:tcBorders>
              <w:top w:val="nil"/>
              <w:left w:val="single" w:sz="8" w:space="0" w:color="E0E0E0"/>
              <w:bottom w:val="nil"/>
              <w:right w:val="single" w:sz="8" w:space="0" w:color="E0E0E0"/>
            </w:tcBorders>
            <w:shd w:val="clear" w:color="auto" w:fill="FFFFFF"/>
            <w:vAlign w:val="bottom"/>
          </w:tcPr>
          <w:p w14:paraId="4C1B61F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7" w:type="dxa"/>
            <w:vMerge w:val="restart"/>
            <w:tcBorders>
              <w:top w:val="nil"/>
              <w:left w:val="single" w:sz="8" w:space="0" w:color="E0E0E0"/>
              <w:bottom w:val="nil"/>
              <w:right w:val="nil"/>
            </w:tcBorders>
            <w:shd w:val="clear" w:color="auto" w:fill="FFFFFF"/>
            <w:vAlign w:val="bottom"/>
          </w:tcPr>
          <w:p w14:paraId="518ACC3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39C046BC" w14:textId="77777777">
        <w:trPr>
          <w:cantSplit/>
        </w:trPr>
        <w:tc>
          <w:tcPr>
            <w:tcW w:w="1915" w:type="dxa"/>
            <w:gridSpan w:val="2"/>
            <w:vMerge/>
            <w:tcBorders>
              <w:top w:val="nil"/>
              <w:left w:val="nil"/>
              <w:bottom w:val="nil"/>
              <w:right w:val="nil"/>
            </w:tcBorders>
            <w:shd w:val="clear" w:color="auto" w:fill="FFFFFF"/>
            <w:vAlign w:val="bottom"/>
          </w:tcPr>
          <w:p w14:paraId="53F5EE45"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1CC2A13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71AF6DC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7213715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7" w:type="dxa"/>
            <w:vMerge/>
            <w:tcBorders>
              <w:top w:val="nil"/>
              <w:left w:val="single" w:sz="8" w:space="0" w:color="E0E0E0"/>
              <w:bottom w:val="nil"/>
              <w:right w:val="single" w:sz="8" w:space="0" w:color="E0E0E0"/>
            </w:tcBorders>
            <w:shd w:val="clear" w:color="auto" w:fill="FFFFFF"/>
            <w:vAlign w:val="bottom"/>
          </w:tcPr>
          <w:p w14:paraId="6EEFEECB" w14:textId="77777777" w:rsidR="00520D2C" w:rsidRDefault="00520D2C">
            <w:pPr>
              <w:rPr>
                <w:rFonts w:ascii="Arial" w:hAnsi="Arial" w:cs="Arial"/>
                <w:color w:val="264A60"/>
                <w:sz w:val="18"/>
                <w:szCs w:val="18"/>
              </w:rPr>
            </w:pPr>
          </w:p>
        </w:tc>
        <w:tc>
          <w:tcPr>
            <w:tcW w:w="1027" w:type="dxa"/>
            <w:vMerge/>
            <w:tcBorders>
              <w:top w:val="nil"/>
              <w:left w:val="single" w:sz="8" w:space="0" w:color="E0E0E0"/>
              <w:bottom w:val="nil"/>
              <w:right w:val="nil"/>
            </w:tcBorders>
            <w:shd w:val="clear" w:color="auto" w:fill="FFFFFF"/>
            <w:vAlign w:val="bottom"/>
          </w:tcPr>
          <w:p w14:paraId="05A8DA03" w14:textId="77777777" w:rsidR="00520D2C" w:rsidRDefault="00520D2C">
            <w:pPr>
              <w:rPr>
                <w:rFonts w:ascii="Arial" w:hAnsi="Arial" w:cs="Arial"/>
                <w:color w:val="264A60"/>
                <w:sz w:val="18"/>
                <w:szCs w:val="18"/>
              </w:rPr>
            </w:pPr>
          </w:p>
        </w:tc>
      </w:tr>
      <w:tr w:rsidR="00520D2C" w14:paraId="2F5AE5D4"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2066632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180" w:type="dxa"/>
            <w:tcBorders>
              <w:top w:val="single" w:sz="8" w:space="0" w:color="152935"/>
              <w:left w:val="nil"/>
              <w:bottom w:val="single" w:sz="8" w:space="0" w:color="AEAEAE"/>
              <w:right w:val="nil"/>
            </w:tcBorders>
            <w:shd w:val="clear" w:color="auto" w:fill="E0E0E0"/>
          </w:tcPr>
          <w:p w14:paraId="12F5B1B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76B0AE2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781224.043</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7316BA4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63746.659</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49F43B96" w14:textId="77777777" w:rsidR="00520D2C" w:rsidRDefault="00520D2C">
            <w:pPr>
              <w:rPr>
                <w:rFonts w:ascii="Times New Roman" w:hAnsi="Times New Roman" w:cs="Times New Roman"/>
              </w:rPr>
            </w:pP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99EB99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12.255</w:t>
            </w:r>
          </w:p>
        </w:tc>
        <w:tc>
          <w:tcPr>
            <w:tcW w:w="1027" w:type="dxa"/>
            <w:tcBorders>
              <w:top w:val="single" w:sz="8" w:space="0" w:color="152935"/>
              <w:left w:val="single" w:sz="8" w:space="0" w:color="E0E0E0"/>
              <w:bottom w:val="single" w:sz="8" w:space="0" w:color="AEAEAE"/>
              <w:right w:val="nil"/>
            </w:tcBorders>
            <w:shd w:val="clear" w:color="auto" w:fill="F9F9FB"/>
          </w:tcPr>
          <w:p w14:paraId="1942B65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520D2C" w14:paraId="0947B131" w14:textId="77777777">
        <w:trPr>
          <w:cantSplit/>
        </w:trPr>
        <w:tc>
          <w:tcPr>
            <w:tcW w:w="735" w:type="dxa"/>
            <w:vMerge/>
            <w:tcBorders>
              <w:top w:val="single" w:sz="8" w:space="0" w:color="152935"/>
              <w:left w:val="nil"/>
              <w:bottom w:val="single" w:sz="8" w:space="0" w:color="152935"/>
              <w:right w:val="nil"/>
            </w:tcBorders>
            <w:shd w:val="clear" w:color="auto" w:fill="E0E0E0"/>
          </w:tcPr>
          <w:p w14:paraId="4D2FB9E6" w14:textId="77777777" w:rsidR="00520D2C" w:rsidRDefault="00520D2C">
            <w:pPr>
              <w:rPr>
                <w:rFonts w:ascii="Arial" w:hAnsi="Arial" w:cs="Arial"/>
                <w:color w:val="010205"/>
                <w:sz w:val="18"/>
                <w:szCs w:val="18"/>
              </w:rPr>
            </w:pPr>
          </w:p>
        </w:tc>
        <w:tc>
          <w:tcPr>
            <w:tcW w:w="1180" w:type="dxa"/>
            <w:tcBorders>
              <w:top w:val="single" w:sz="8" w:space="0" w:color="AEAEAE"/>
              <w:left w:val="nil"/>
              <w:bottom w:val="single" w:sz="8" w:space="0" w:color="152935"/>
              <w:right w:val="nil"/>
            </w:tcBorders>
            <w:shd w:val="clear" w:color="auto" w:fill="E0E0E0"/>
          </w:tcPr>
          <w:p w14:paraId="3AFB9C2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333" w:type="dxa"/>
            <w:tcBorders>
              <w:top w:val="single" w:sz="8" w:space="0" w:color="AEAEAE"/>
              <w:left w:val="nil"/>
              <w:bottom w:val="single" w:sz="8" w:space="0" w:color="152935"/>
              <w:right w:val="single" w:sz="8" w:space="0" w:color="E0E0E0"/>
            </w:tcBorders>
            <w:shd w:val="clear" w:color="auto" w:fill="F9F9FB"/>
          </w:tcPr>
          <w:p w14:paraId="61A13CD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4821.095</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01A8977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1860.799</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3BC79E6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.654</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7413A32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2.591</w:t>
            </w:r>
          </w:p>
        </w:tc>
        <w:tc>
          <w:tcPr>
            <w:tcW w:w="1027" w:type="dxa"/>
            <w:tcBorders>
              <w:top w:val="single" w:sz="8" w:space="0" w:color="AEAEAE"/>
              <w:left w:val="single" w:sz="8" w:space="0" w:color="E0E0E0"/>
              <w:bottom w:val="single" w:sz="8" w:space="0" w:color="152935"/>
              <w:right w:val="nil"/>
            </w:tcBorders>
            <w:shd w:val="clear" w:color="auto" w:fill="F9F9FB"/>
          </w:tcPr>
          <w:p w14:paraId="306762D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.029</w:t>
            </w:r>
          </w:p>
        </w:tc>
      </w:tr>
    </w:tbl>
    <w:p w14:paraId="1E656B89" w14:textId="77777777" w:rsidR="00520D2C" w:rsidRDefault="00520D2C">
      <w:pPr>
        <w:rPr>
          <w:rFonts w:ascii="Arial" w:hAnsi="Arial" w:cs="Arial"/>
          <w:color w:val="010205"/>
          <w:sz w:val="18"/>
          <w:szCs w:val="18"/>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10"/>
      </w:tblGrid>
      <w:tr w:rsidR="00520D2C" w14:paraId="7A3C9584" w14:textId="77777777">
        <w:trPr>
          <w:cantSplit/>
        </w:trPr>
        <w:tc>
          <w:tcPr>
            <w:tcW w:w="8106" w:type="dxa"/>
            <w:tcBorders>
              <w:top w:val="nil"/>
              <w:left w:val="nil"/>
              <w:bottom w:val="nil"/>
              <w:right w:val="nil"/>
            </w:tcBorders>
            <w:shd w:val="clear" w:color="auto" w:fill="FFFFFF"/>
          </w:tcPr>
          <w:p w14:paraId="33DB2C3B"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bl>
    <w:p w14:paraId="0140F11A" w14:textId="77777777" w:rsidR="00520D2C" w:rsidRDefault="00520D2C">
      <w:pPr>
        <w:rPr>
          <w:rFonts w:ascii="Arial" w:hAnsi="Arial" w:cs="Arial"/>
          <w:b/>
          <w:bCs/>
          <w:sz w:val="26"/>
          <w:szCs w:val="26"/>
        </w:rPr>
      </w:pPr>
    </w:p>
    <w:p w14:paraId="336E2792" w14:textId="77777777" w:rsidR="00520D2C" w:rsidRDefault="00520D2C">
      <w:pPr>
        <w:rPr>
          <w:rFonts w:ascii="Arial" w:hAnsi="Arial" w:cs="Arial"/>
          <w:b/>
          <w:bCs/>
          <w:sz w:val="26"/>
          <w:szCs w:val="26"/>
        </w:rPr>
      </w:pPr>
      <w:r>
        <w:rPr>
          <w:rFonts w:ascii="Arial" w:hAnsi="Arial" w:cs="Arial"/>
          <w:b/>
          <w:bCs/>
          <w:sz w:val="26"/>
          <w:szCs w:val="26"/>
        </w:rPr>
        <w:t>Regression</w:t>
      </w:r>
    </w:p>
    <w:p w14:paraId="03A0C7A0" w14:textId="77777777" w:rsidR="00520D2C" w:rsidRDefault="00520D2C">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6E6E7C10" w14:textId="77777777">
        <w:trPr>
          <w:cantSplit/>
        </w:trPr>
        <w:tc>
          <w:tcPr>
            <w:tcW w:w="4804" w:type="dxa"/>
            <w:gridSpan w:val="4"/>
            <w:tcBorders>
              <w:top w:val="nil"/>
              <w:left w:val="nil"/>
              <w:bottom w:val="nil"/>
              <w:right w:val="nil"/>
            </w:tcBorders>
            <w:shd w:val="clear" w:color="auto" w:fill="FFFFFF"/>
            <w:vAlign w:val="center"/>
          </w:tcPr>
          <w:p w14:paraId="4A16F980"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3A55CCF5" w14:textId="77777777">
        <w:trPr>
          <w:cantSplit/>
        </w:trPr>
        <w:tc>
          <w:tcPr>
            <w:tcW w:w="803" w:type="dxa"/>
            <w:tcBorders>
              <w:top w:val="nil"/>
              <w:left w:val="nil"/>
              <w:bottom w:val="single" w:sz="8" w:space="0" w:color="152935"/>
              <w:right w:val="nil"/>
            </w:tcBorders>
            <w:shd w:val="clear" w:color="auto" w:fill="FFFFFF"/>
            <w:vAlign w:val="bottom"/>
          </w:tcPr>
          <w:p w14:paraId="1F9A667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015A291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7AE832B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38EEC05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7974C7B5" w14:textId="77777777">
        <w:trPr>
          <w:cantSplit/>
        </w:trPr>
        <w:tc>
          <w:tcPr>
            <w:tcW w:w="803" w:type="dxa"/>
            <w:tcBorders>
              <w:top w:val="single" w:sz="8" w:space="0" w:color="152935"/>
              <w:left w:val="nil"/>
              <w:bottom w:val="single" w:sz="8" w:space="0" w:color="152935"/>
              <w:right w:val="nil"/>
            </w:tcBorders>
            <w:shd w:val="clear" w:color="auto" w:fill="E0E0E0"/>
          </w:tcPr>
          <w:p w14:paraId="08A4967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2D2C32CF"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Unemployment</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13A60D2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6453AF31"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101E73F3"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14:paraId="397CEAFD" w14:textId="77777777">
        <w:trPr>
          <w:cantSplit/>
        </w:trPr>
        <w:tc>
          <w:tcPr>
            <w:tcW w:w="4804" w:type="dxa"/>
            <w:tcBorders>
              <w:top w:val="nil"/>
              <w:left w:val="nil"/>
              <w:bottom w:val="nil"/>
              <w:right w:val="nil"/>
            </w:tcBorders>
            <w:shd w:val="clear" w:color="auto" w:fill="FFFFFF"/>
          </w:tcPr>
          <w:p w14:paraId="7B52FB3A"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rsidRPr="00FB2AD1" w14:paraId="760937F0" w14:textId="77777777">
        <w:trPr>
          <w:cantSplit/>
        </w:trPr>
        <w:tc>
          <w:tcPr>
            <w:tcW w:w="4804" w:type="dxa"/>
            <w:tcBorders>
              <w:top w:val="nil"/>
              <w:left w:val="nil"/>
              <w:bottom w:val="nil"/>
              <w:right w:val="nil"/>
            </w:tcBorders>
            <w:shd w:val="clear" w:color="auto" w:fill="FFFFFF"/>
          </w:tcPr>
          <w:p w14:paraId="084FBCC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43B48018"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4B4614DF" w14:textId="77777777">
        <w:trPr>
          <w:cantSplit/>
        </w:trPr>
        <w:tc>
          <w:tcPr>
            <w:tcW w:w="5880" w:type="dxa"/>
            <w:gridSpan w:val="5"/>
            <w:tcBorders>
              <w:top w:val="nil"/>
              <w:left w:val="nil"/>
              <w:bottom w:val="nil"/>
              <w:right w:val="nil"/>
            </w:tcBorders>
            <w:shd w:val="clear" w:color="auto" w:fill="FFFFFF"/>
            <w:vAlign w:val="center"/>
          </w:tcPr>
          <w:p w14:paraId="7EA2EC09"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7ABAB2BB" w14:textId="77777777">
        <w:trPr>
          <w:cantSplit/>
        </w:trPr>
        <w:tc>
          <w:tcPr>
            <w:tcW w:w="800" w:type="dxa"/>
            <w:tcBorders>
              <w:top w:val="nil"/>
              <w:left w:val="nil"/>
              <w:bottom w:val="single" w:sz="8" w:space="0" w:color="152935"/>
              <w:right w:val="nil"/>
            </w:tcBorders>
            <w:shd w:val="clear" w:color="auto" w:fill="FFFFFF"/>
            <w:vAlign w:val="bottom"/>
          </w:tcPr>
          <w:p w14:paraId="5A9B95B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1DCC4EA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41F1173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59151AB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19AF7225"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59A582AB" w14:textId="77777777">
        <w:trPr>
          <w:cantSplit/>
        </w:trPr>
        <w:tc>
          <w:tcPr>
            <w:tcW w:w="800" w:type="dxa"/>
            <w:tcBorders>
              <w:top w:val="single" w:sz="8" w:space="0" w:color="152935"/>
              <w:left w:val="nil"/>
              <w:bottom w:val="single" w:sz="8" w:space="0" w:color="152935"/>
              <w:right w:val="nil"/>
            </w:tcBorders>
            <w:shd w:val="clear" w:color="auto" w:fill="E0E0E0"/>
          </w:tcPr>
          <w:p w14:paraId="6767A01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0D75DC2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.823</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7D8B0A9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.677</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5A2362C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.641</w:t>
            </w:r>
          </w:p>
        </w:tc>
        <w:tc>
          <w:tcPr>
            <w:tcW w:w="1478" w:type="dxa"/>
            <w:tcBorders>
              <w:top w:val="single" w:sz="8" w:space="0" w:color="152935"/>
              <w:left w:val="single" w:sz="8" w:space="0" w:color="E0E0E0"/>
              <w:bottom w:val="single" w:sz="8" w:space="0" w:color="152935"/>
              <w:right w:val="nil"/>
            </w:tcBorders>
            <w:shd w:val="clear" w:color="auto" w:fill="F9F9FB"/>
          </w:tcPr>
          <w:p w14:paraId="1A91779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104491.01789</w:t>
            </w:r>
          </w:p>
        </w:tc>
      </w:tr>
    </w:tbl>
    <w:p w14:paraId="3D92B768"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60117DFE" w14:textId="77777777">
        <w:trPr>
          <w:cantSplit/>
        </w:trPr>
        <w:tc>
          <w:tcPr>
            <w:tcW w:w="5880" w:type="dxa"/>
            <w:tcBorders>
              <w:top w:val="nil"/>
              <w:left w:val="nil"/>
              <w:bottom w:val="nil"/>
              <w:right w:val="nil"/>
            </w:tcBorders>
            <w:shd w:val="clear" w:color="auto" w:fill="FFFFFF"/>
          </w:tcPr>
          <w:p w14:paraId="4092F017"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Unemployment</w:t>
            </w:r>
          </w:p>
        </w:tc>
      </w:tr>
    </w:tbl>
    <w:p w14:paraId="1A1B58BC" w14:textId="77777777" w:rsidR="00520D2C" w:rsidRDefault="00520D2C">
      <w:pPr>
        <w:spacing w:line="400" w:lineRule="atLeast"/>
        <w:rPr>
          <w:rFonts w:ascii="Times New Roman" w:hAnsi="Times New Roman" w:cs="Times New Roman"/>
        </w:rPr>
      </w:pPr>
    </w:p>
    <w:p w14:paraId="2627E782" w14:textId="77777777" w:rsidR="00520D2C" w:rsidRDefault="00520D2C">
      <w:pPr>
        <w:spacing w:line="400" w:lineRule="atLeast"/>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8"/>
        <w:gridCol w:w="1472"/>
        <w:gridCol w:w="1027"/>
        <w:gridCol w:w="1472"/>
        <w:gridCol w:w="1027"/>
        <w:gridCol w:w="1027"/>
      </w:tblGrid>
      <w:tr w:rsidR="00520D2C" w14:paraId="05E70261" w14:textId="77777777">
        <w:trPr>
          <w:cantSplit/>
        </w:trPr>
        <w:tc>
          <w:tcPr>
            <w:tcW w:w="8049" w:type="dxa"/>
            <w:gridSpan w:val="7"/>
            <w:tcBorders>
              <w:top w:val="nil"/>
              <w:left w:val="nil"/>
              <w:bottom w:val="nil"/>
              <w:right w:val="nil"/>
            </w:tcBorders>
            <w:shd w:val="clear" w:color="auto" w:fill="FFFFFF"/>
            <w:vAlign w:val="center"/>
          </w:tcPr>
          <w:p w14:paraId="63E93D71"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11FFFC45" w14:textId="77777777">
        <w:trPr>
          <w:cantSplit/>
        </w:trPr>
        <w:tc>
          <w:tcPr>
            <w:tcW w:w="2024" w:type="dxa"/>
            <w:gridSpan w:val="2"/>
            <w:tcBorders>
              <w:top w:val="nil"/>
              <w:left w:val="nil"/>
              <w:bottom w:val="single" w:sz="8" w:space="0" w:color="152935"/>
              <w:right w:val="nil"/>
            </w:tcBorders>
            <w:shd w:val="clear" w:color="auto" w:fill="FFFFFF"/>
            <w:vAlign w:val="bottom"/>
          </w:tcPr>
          <w:p w14:paraId="0A52ED0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2A5CCCD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452B01A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1DEB9B0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72A6D47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0533097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57E3272D"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247DA03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0277F37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4EC4BAE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206286756755.310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C432E7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685AC0C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206286756755.310</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7CA296F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18.894</w:t>
            </w:r>
          </w:p>
        </w:tc>
        <w:tc>
          <w:tcPr>
            <w:tcW w:w="1027" w:type="dxa"/>
            <w:tcBorders>
              <w:top w:val="single" w:sz="8" w:space="0" w:color="152935"/>
              <w:left w:val="single" w:sz="8" w:space="0" w:color="E0E0E0"/>
              <w:bottom w:val="single" w:sz="8" w:space="0" w:color="AEAEAE"/>
              <w:right w:val="nil"/>
            </w:tcBorders>
            <w:shd w:val="clear" w:color="auto" w:fill="F9F9FB"/>
          </w:tcPr>
          <w:p w14:paraId="04875C0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r>
              <w:rPr>
                <w:rFonts w:ascii="Arial" w:hAnsi="Arial" w:cs="Arial"/>
                <w:color w:val="010205"/>
                <w:sz w:val="18"/>
                <w:szCs w:val="18"/>
                <w:vertAlign w:val="superscript"/>
              </w:rPr>
              <w:t>b</w:t>
            </w:r>
          </w:p>
        </w:tc>
      </w:tr>
      <w:tr w:rsidR="00520D2C" w14:paraId="74DCA5E8" w14:textId="77777777">
        <w:trPr>
          <w:cantSplit/>
        </w:trPr>
        <w:tc>
          <w:tcPr>
            <w:tcW w:w="736" w:type="dxa"/>
            <w:vMerge/>
            <w:tcBorders>
              <w:top w:val="single" w:sz="8" w:space="0" w:color="152935"/>
              <w:left w:val="nil"/>
              <w:bottom w:val="single" w:sz="8" w:space="0" w:color="152935"/>
              <w:right w:val="nil"/>
            </w:tcBorders>
            <w:shd w:val="clear" w:color="auto" w:fill="E0E0E0"/>
          </w:tcPr>
          <w:p w14:paraId="4062DBFD"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2B9E4F4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7355275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98265355369.236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24D43EA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7D74701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10918372818.804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6FD4A5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6E19F519" w14:textId="77777777" w:rsidR="00520D2C" w:rsidRDefault="00520D2C">
            <w:pPr>
              <w:rPr>
                <w:rFonts w:ascii="Times New Roman" w:hAnsi="Times New Roman" w:cs="Times New Roman"/>
              </w:rPr>
            </w:pPr>
          </w:p>
        </w:tc>
      </w:tr>
      <w:tr w:rsidR="00520D2C" w14:paraId="25E6BE94" w14:textId="77777777">
        <w:trPr>
          <w:cantSplit/>
        </w:trPr>
        <w:tc>
          <w:tcPr>
            <w:tcW w:w="736" w:type="dxa"/>
            <w:vMerge/>
            <w:tcBorders>
              <w:top w:val="single" w:sz="8" w:space="0" w:color="152935"/>
              <w:left w:val="nil"/>
              <w:bottom w:val="single" w:sz="8" w:space="0" w:color="152935"/>
              <w:right w:val="nil"/>
            </w:tcBorders>
            <w:shd w:val="clear" w:color="auto" w:fill="E0E0E0"/>
          </w:tcPr>
          <w:p w14:paraId="4FD5AFCA"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53C5B19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623C076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304552112124.545</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33F5418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2DEBD1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6090349"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72CFB885" w14:textId="77777777" w:rsidR="00520D2C" w:rsidRDefault="00520D2C">
            <w:pPr>
              <w:rPr>
                <w:rFonts w:ascii="Times New Roman" w:hAnsi="Times New Roman" w:cs="Times New Roman"/>
              </w:rPr>
            </w:pPr>
          </w:p>
        </w:tc>
      </w:tr>
    </w:tbl>
    <w:p w14:paraId="2029FBC6" w14:textId="77777777" w:rsidR="00520D2C" w:rsidRDefault="00520D2C">
      <w:pPr>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50"/>
      </w:tblGrid>
      <w:tr w:rsidR="00520D2C" w14:paraId="4B133898" w14:textId="77777777">
        <w:trPr>
          <w:cantSplit/>
        </w:trPr>
        <w:tc>
          <w:tcPr>
            <w:tcW w:w="8049" w:type="dxa"/>
            <w:tcBorders>
              <w:top w:val="nil"/>
              <w:left w:val="nil"/>
              <w:bottom w:val="nil"/>
              <w:right w:val="nil"/>
            </w:tcBorders>
            <w:shd w:val="clear" w:color="auto" w:fill="FFFFFF"/>
          </w:tcPr>
          <w:p w14:paraId="05ACA3C4"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14:paraId="2D7A8D6C" w14:textId="77777777">
        <w:trPr>
          <w:cantSplit/>
        </w:trPr>
        <w:tc>
          <w:tcPr>
            <w:tcW w:w="8049" w:type="dxa"/>
            <w:tcBorders>
              <w:top w:val="nil"/>
              <w:left w:val="nil"/>
              <w:bottom w:val="nil"/>
              <w:right w:val="nil"/>
            </w:tcBorders>
            <w:shd w:val="clear" w:color="auto" w:fill="FFFFFF"/>
          </w:tcPr>
          <w:p w14:paraId="3B6F075F"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Unemployment</w:t>
            </w:r>
          </w:p>
        </w:tc>
      </w:tr>
    </w:tbl>
    <w:p w14:paraId="51902DC4" w14:textId="77777777" w:rsidR="00520D2C" w:rsidRDefault="00520D2C">
      <w:pPr>
        <w:spacing w:line="400" w:lineRule="atLeast"/>
        <w:rPr>
          <w:rFonts w:ascii="Times New Roman" w:hAnsi="Times New Roman" w:cs="Times New Roman"/>
        </w:rPr>
      </w:pPr>
    </w:p>
    <w:p w14:paraId="2338A7A0" w14:textId="77777777" w:rsidR="00520D2C" w:rsidRDefault="00520D2C">
      <w:pPr>
        <w:spacing w:line="400" w:lineRule="atLeast"/>
        <w:rPr>
          <w:rFonts w:ascii="Times New Roman" w:hAnsi="Times New Roman" w:cs="Times New Roman"/>
        </w:rPr>
      </w:pPr>
    </w:p>
    <w:tbl>
      <w:tblPr>
        <w:tblW w:w="8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579"/>
        <w:gridCol w:w="1410"/>
        <w:gridCol w:w="1333"/>
        <w:gridCol w:w="1471"/>
        <w:gridCol w:w="1026"/>
        <w:gridCol w:w="1026"/>
      </w:tblGrid>
      <w:tr w:rsidR="00520D2C" w14:paraId="7D7D7705" w14:textId="77777777">
        <w:trPr>
          <w:cantSplit/>
        </w:trPr>
        <w:tc>
          <w:tcPr>
            <w:tcW w:w="8576" w:type="dxa"/>
            <w:gridSpan w:val="7"/>
            <w:tcBorders>
              <w:top w:val="nil"/>
              <w:left w:val="nil"/>
              <w:bottom w:val="nil"/>
              <w:right w:val="nil"/>
            </w:tcBorders>
            <w:shd w:val="clear" w:color="auto" w:fill="FFFFFF"/>
            <w:vAlign w:val="center"/>
          </w:tcPr>
          <w:p w14:paraId="4F835C6C"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532D6B1E" w14:textId="77777777">
        <w:trPr>
          <w:cantSplit/>
        </w:trPr>
        <w:tc>
          <w:tcPr>
            <w:tcW w:w="2313" w:type="dxa"/>
            <w:gridSpan w:val="2"/>
            <w:vMerge w:val="restart"/>
            <w:tcBorders>
              <w:top w:val="nil"/>
              <w:left w:val="nil"/>
              <w:bottom w:val="nil"/>
              <w:right w:val="nil"/>
            </w:tcBorders>
            <w:shd w:val="clear" w:color="auto" w:fill="FFFFFF"/>
            <w:vAlign w:val="bottom"/>
          </w:tcPr>
          <w:p w14:paraId="514BE83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741" w:type="dxa"/>
            <w:gridSpan w:val="2"/>
            <w:tcBorders>
              <w:top w:val="nil"/>
              <w:left w:val="nil"/>
              <w:bottom w:val="nil"/>
              <w:right w:val="single" w:sz="8" w:space="0" w:color="E0E0E0"/>
            </w:tcBorders>
            <w:shd w:val="clear" w:color="auto" w:fill="FFFFFF"/>
            <w:vAlign w:val="bottom"/>
          </w:tcPr>
          <w:p w14:paraId="681840F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0" w:type="dxa"/>
            <w:tcBorders>
              <w:top w:val="nil"/>
              <w:left w:val="single" w:sz="8" w:space="0" w:color="E0E0E0"/>
              <w:bottom w:val="nil"/>
              <w:right w:val="single" w:sz="8" w:space="0" w:color="E0E0E0"/>
            </w:tcBorders>
            <w:shd w:val="clear" w:color="auto" w:fill="FFFFFF"/>
            <w:vAlign w:val="bottom"/>
          </w:tcPr>
          <w:p w14:paraId="0580823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2E1167C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6CC8172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26A31B23" w14:textId="77777777">
        <w:trPr>
          <w:cantSplit/>
        </w:trPr>
        <w:tc>
          <w:tcPr>
            <w:tcW w:w="2313" w:type="dxa"/>
            <w:gridSpan w:val="2"/>
            <w:vMerge/>
            <w:tcBorders>
              <w:top w:val="nil"/>
              <w:left w:val="nil"/>
              <w:bottom w:val="nil"/>
              <w:right w:val="nil"/>
            </w:tcBorders>
            <w:shd w:val="clear" w:color="auto" w:fill="FFFFFF"/>
            <w:vAlign w:val="bottom"/>
          </w:tcPr>
          <w:p w14:paraId="1073350B" w14:textId="77777777" w:rsidR="00520D2C" w:rsidRDefault="00520D2C">
            <w:pPr>
              <w:rPr>
                <w:rFonts w:ascii="Arial" w:hAnsi="Arial" w:cs="Arial"/>
                <w:color w:val="264A60"/>
                <w:sz w:val="18"/>
                <w:szCs w:val="18"/>
              </w:rPr>
            </w:pPr>
          </w:p>
        </w:tc>
        <w:tc>
          <w:tcPr>
            <w:tcW w:w="1409" w:type="dxa"/>
            <w:tcBorders>
              <w:top w:val="nil"/>
              <w:left w:val="nil"/>
              <w:bottom w:val="single" w:sz="8" w:space="0" w:color="152935"/>
              <w:right w:val="single" w:sz="8" w:space="0" w:color="E0E0E0"/>
            </w:tcBorders>
            <w:shd w:val="clear" w:color="auto" w:fill="FFFFFF"/>
            <w:vAlign w:val="bottom"/>
          </w:tcPr>
          <w:p w14:paraId="2EC6A3F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2" w:type="dxa"/>
            <w:tcBorders>
              <w:top w:val="nil"/>
              <w:left w:val="single" w:sz="8" w:space="0" w:color="E0E0E0"/>
              <w:bottom w:val="single" w:sz="8" w:space="0" w:color="152935"/>
              <w:right w:val="single" w:sz="8" w:space="0" w:color="E0E0E0"/>
            </w:tcBorders>
            <w:shd w:val="clear" w:color="auto" w:fill="FFFFFF"/>
            <w:vAlign w:val="bottom"/>
          </w:tcPr>
          <w:p w14:paraId="158DF53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0204B2F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095391B8"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6609F259" w14:textId="77777777" w:rsidR="00520D2C" w:rsidRDefault="00520D2C">
            <w:pPr>
              <w:rPr>
                <w:rFonts w:ascii="Arial" w:hAnsi="Arial" w:cs="Arial"/>
                <w:color w:val="264A60"/>
                <w:sz w:val="18"/>
                <w:szCs w:val="18"/>
              </w:rPr>
            </w:pPr>
          </w:p>
        </w:tc>
      </w:tr>
      <w:tr w:rsidR="00520D2C" w14:paraId="738587E5"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5A54DDF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578" w:type="dxa"/>
            <w:tcBorders>
              <w:top w:val="single" w:sz="8" w:space="0" w:color="152935"/>
              <w:left w:val="nil"/>
              <w:bottom w:val="single" w:sz="8" w:space="0" w:color="AEAEAE"/>
              <w:right w:val="nil"/>
            </w:tcBorders>
            <w:shd w:val="clear" w:color="auto" w:fill="E0E0E0"/>
          </w:tcPr>
          <w:p w14:paraId="04D414D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409" w:type="dxa"/>
            <w:tcBorders>
              <w:top w:val="single" w:sz="8" w:space="0" w:color="152935"/>
              <w:left w:val="nil"/>
              <w:bottom w:val="single" w:sz="8" w:space="0" w:color="AEAEAE"/>
              <w:right w:val="single" w:sz="8" w:space="0" w:color="E0E0E0"/>
            </w:tcBorders>
            <w:shd w:val="clear" w:color="auto" w:fill="F9F9FB"/>
          </w:tcPr>
          <w:p w14:paraId="572F3F5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1953029.678</w:t>
            </w:r>
          </w:p>
        </w:tc>
        <w:tc>
          <w:tcPr>
            <w:tcW w:w="1332" w:type="dxa"/>
            <w:tcBorders>
              <w:top w:val="single" w:sz="8" w:space="0" w:color="152935"/>
              <w:left w:val="single" w:sz="8" w:space="0" w:color="E0E0E0"/>
              <w:bottom w:val="single" w:sz="8" w:space="0" w:color="AEAEAE"/>
              <w:right w:val="single" w:sz="8" w:space="0" w:color="E0E0E0"/>
            </w:tcBorders>
            <w:shd w:val="clear" w:color="auto" w:fill="F9F9FB"/>
          </w:tcPr>
          <w:p w14:paraId="4A9E976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243041.779</w:t>
            </w:r>
          </w:p>
        </w:tc>
        <w:tc>
          <w:tcPr>
            <w:tcW w:w="1470"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4123CC65"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1565277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8.036</w:t>
            </w:r>
          </w:p>
        </w:tc>
        <w:tc>
          <w:tcPr>
            <w:tcW w:w="1026" w:type="dxa"/>
            <w:tcBorders>
              <w:top w:val="single" w:sz="8" w:space="0" w:color="152935"/>
              <w:left w:val="single" w:sz="8" w:space="0" w:color="E0E0E0"/>
              <w:bottom w:val="single" w:sz="8" w:space="0" w:color="AEAEAE"/>
              <w:right w:val="nil"/>
            </w:tcBorders>
            <w:shd w:val="clear" w:color="auto" w:fill="F9F9FB"/>
          </w:tcPr>
          <w:p w14:paraId="64A6F15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520D2C" w14:paraId="4EBE5204" w14:textId="77777777">
        <w:trPr>
          <w:cantSplit/>
        </w:trPr>
        <w:tc>
          <w:tcPr>
            <w:tcW w:w="735" w:type="dxa"/>
            <w:vMerge/>
            <w:tcBorders>
              <w:top w:val="single" w:sz="8" w:space="0" w:color="152935"/>
              <w:left w:val="nil"/>
              <w:bottom w:val="single" w:sz="8" w:space="0" w:color="152935"/>
              <w:right w:val="nil"/>
            </w:tcBorders>
            <w:shd w:val="clear" w:color="auto" w:fill="E0E0E0"/>
          </w:tcPr>
          <w:p w14:paraId="64BB4E9B"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152935"/>
              <w:right w:val="nil"/>
            </w:tcBorders>
            <w:shd w:val="clear" w:color="auto" w:fill="E0E0E0"/>
          </w:tcPr>
          <w:p w14:paraId="00C3783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409" w:type="dxa"/>
            <w:tcBorders>
              <w:top w:val="single" w:sz="8" w:space="0" w:color="AEAEAE"/>
              <w:left w:val="nil"/>
              <w:bottom w:val="single" w:sz="8" w:space="0" w:color="152935"/>
              <w:right w:val="single" w:sz="8" w:space="0" w:color="E0E0E0"/>
            </w:tcBorders>
            <w:shd w:val="clear" w:color="auto" w:fill="F9F9FB"/>
          </w:tcPr>
          <w:p w14:paraId="65E86D2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-95782.207</w:t>
            </w:r>
          </w:p>
        </w:tc>
        <w:tc>
          <w:tcPr>
            <w:tcW w:w="1332" w:type="dxa"/>
            <w:tcBorders>
              <w:top w:val="single" w:sz="8" w:space="0" w:color="AEAEAE"/>
              <w:left w:val="single" w:sz="8" w:space="0" w:color="E0E0E0"/>
              <w:bottom w:val="single" w:sz="8" w:space="0" w:color="152935"/>
              <w:right w:val="single" w:sz="8" w:space="0" w:color="E0E0E0"/>
            </w:tcBorders>
            <w:shd w:val="clear" w:color="auto" w:fill="F9F9FB"/>
          </w:tcPr>
          <w:p w14:paraId="20B0B62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22035.765</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3648EFE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-.823</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2729374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-4.347</w:t>
            </w:r>
          </w:p>
        </w:tc>
        <w:tc>
          <w:tcPr>
            <w:tcW w:w="1026" w:type="dxa"/>
            <w:tcBorders>
              <w:top w:val="single" w:sz="8" w:space="0" w:color="AEAEAE"/>
              <w:left w:val="single" w:sz="8" w:space="0" w:color="E0E0E0"/>
              <w:bottom w:val="single" w:sz="8" w:space="0" w:color="152935"/>
              <w:right w:val="nil"/>
            </w:tcBorders>
            <w:shd w:val="clear" w:color="auto" w:fill="F9F9FB"/>
          </w:tcPr>
          <w:p w14:paraId="733B8DD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r>
    </w:tbl>
    <w:p w14:paraId="765D51AB" w14:textId="77777777" w:rsidR="00520D2C" w:rsidRDefault="00520D2C">
      <w:pPr>
        <w:rPr>
          <w:rFonts w:ascii="Arial" w:hAnsi="Arial" w:cs="Arial"/>
          <w:color w:val="010205"/>
          <w:sz w:val="18"/>
          <w:szCs w:val="18"/>
        </w:rPr>
      </w:pPr>
    </w:p>
    <w:tbl>
      <w:tblPr>
        <w:tblW w:w="8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80"/>
      </w:tblGrid>
      <w:tr w:rsidR="00520D2C" w14:paraId="780F8E2B" w14:textId="77777777">
        <w:trPr>
          <w:cantSplit/>
        </w:trPr>
        <w:tc>
          <w:tcPr>
            <w:tcW w:w="8576" w:type="dxa"/>
            <w:tcBorders>
              <w:top w:val="nil"/>
              <w:left w:val="nil"/>
              <w:bottom w:val="nil"/>
              <w:right w:val="nil"/>
            </w:tcBorders>
            <w:shd w:val="clear" w:color="auto" w:fill="FFFFFF"/>
          </w:tcPr>
          <w:p w14:paraId="751314BD"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bl>
    <w:p w14:paraId="07CDFD0A" w14:textId="77777777" w:rsidR="00520D2C" w:rsidRDefault="00520D2C">
      <w:pPr>
        <w:spacing w:line="400" w:lineRule="atLeast"/>
        <w:rPr>
          <w:rFonts w:ascii="Times New Roman" w:hAnsi="Times New Roman" w:cs="Times New Roman"/>
        </w:rPr>
      </w:pPr>
    </w:p>
    <w:p w14:paraId="18CE4FB0" w14:textId="689E8B3C" w:rsidR="00520D2C" w:rsidRPr="00137994" w:rsidRDefault="00520D2C" w:rsidP="00137994">
      <w:pPr>
        <w:rPr>
          <w:rFonts w:ascii="Arial" w:hAnsi="Arial" w:cs="Arial"/>
          <w:b/>
          <w:bCs/>
          <w:sz w:val="26"/>
          <w:szCs w:val="26"/>
        </w:rPr>
      </w:pPr>
      <w:r>
        <w:rPr>
          <w:rFonts w:ascii="Arial" w:hAnsi="Arial" w:cs="Arial"/>
          <w:b/>
          <w:bCs/>
          <w:sz w:val="26"/>
          <w:szCs w:val="26"/>
        </w:rPr>
        <w:t>Regression</w:t>
      </w: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029D4918" w14:textId="77777777">
        <w:trPr>
          <w:cantSplit/>
        </w:trPr>
        <w:tc>
          <w:tcPr>
            <w:tcW w:w="4804" w:type="dxa"/>
            <w:gridSpan w:val="4"/>
            <w:tcBorders>
              <w:top w:val="nil"/>
              <w:left w:val="nil"/>
              <w:bottom w:val="nil"/>
              <w:right w:val="nil"/>
            </w:tcBorders>
            <w:shd w:val="clear" w:color="auto" w:fill="FFFFFF"/>
            <w:vAlign w:val="center"/>
          </w:tcPr>
          <w:p w14:paraId="3DD3D4F3"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57F422FF" w14:textId="77777777">
        <w:trPr>
          <w:cantSplit/>
        </w:trPr>
        <w:tc>
          <w:tcPr>
            <w:tcW w:w="803" w:type="dxa"/>
            <w:tcBorders>
              <w:top w:val="nil"/>
              <w:left w:val="nil"/>
              <w:bottom w:val="single" w:sz="8" w:space="0" w:color="152935"/>
              <w:right w:val="nil"/>
            </w:tcBorders>
            <w:shd w:val="clear" w:color="auto" w:fill="FFFFFF"/>
            <w:vAlign w:val="bottom"/>
          </w:tcPr>
          <w:p w14:paraId="6709D6E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7F85B30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47313DD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471DA94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7FD23D9C" w14:textId="77777777">
        <w:trPr>
          <w:cantSplit/>
        </w:trPr>
        <w:tc>
          <w:tcPr>
            <w:tcW w:w="803" w:type="dxa"/>
            <w:tcBorders>
              <w:top w:val="single" w:sz="8" w:space="0" w:color="152935"/>
              <w:left w:val="nil"/>
              <w:bottom w:val="single" w:sz="8" w:space="0" w:color="152935"/>
              <w:right w:val="nil"/>
            </w:tcBorders>
            <w:shd w:val="clear" w:color="auto" w:fill="E0E0E0"/>
          </w:tcPr>
          <w:p w14:paraId="4BEF636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39C66826"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exchange.rate</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0B9656F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21922CED"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3F928EBF"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14:paraId="2DAE10A5" w14:textId="77777777">
        <w:trPr>
          <w:cantSplit/>
        </w:trPr>
        <w:tc>
          <w:tcPr>
            <w:tcW w:w="4804" w:type="dxa"/>
            <w:tcBorders>
              <w:top w:val="nil"/>
              <w:left w:val="nil"/>
              <w:bottom w:val="nil"/>
              <w:right w:val="nil"/>
            </w:tcBorders>
            <w:shd w:val="clear" w:color="auto" w:fill="FFFFFF"/>
          </w:tcPr>
          <w:p w14:paraId="747AFFA3"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rsidRPr="00FB2AD1" w14:paraId="574C6D4C" w14:textId="77777777">
        <w:trPr>
          <w:cantSplit/>
        </w:trPr>
        <w:tc>
          <w:tcPr>
            <w:tcW w:w="4804" w:type="dxa"/>
            <w:tcBorders>
              <w:top w:val="nil"/>
              <w:left w:val="nil"/>
              <w:bottom w:val="nil"/>
              <w:right w:val="nil"/>
            </w:tcBorders>
            <w:shd w:val="clear" w:color="auto" w:fill="FFFFFF"/>
          </w:tcPr>
          <w:p w14:paraId="09C14A4F"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5965E991"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5CCB58F8" w14:textId="77777777">
        <w:trPr>
          <w:cantSplit/>
        </w:trPr>
        <w:tc>
          <w:tcPr>
            <w:tcW w:w="5880" w:type="dxa"/>
            <w:gridSpan w:val="5"/>
            <w:tcBorders>
              <w:top w:val="nil"/>
              <w:left w:val="nil"/>
              <w:bottom w:val="nil"/>
              <w:right w:val="nil"/>
            </w:tcBorders>
            <w:shd w:val="clear" w:color="auto" w:fill="FFFFFF"/>
            <w:vAlign w:val="center"/>
          </w:tcPr>
          <w:p w14:paraId="35BE3386"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00A31FE4" w14:textId="77777777">
        <w:trPr>
          <w:cantSplit/>
        </w:trPr>
        <w:tc>
          <w:tcPr>
            <w:tcW w:w="800" w:type="dxa"/>
            <w:tcBorders>
              <w:top w:val="nil"/>
              <w:left w:val="nil"/>
              <w:bottom w:val="single" w:sz="8" w:space="0" w:color="152935"/>
              <w:right w:val="nil"/>
            </w:tcBorders>
            <w:shd w:val="clear" w:color="auto" w:fill="FFFFFF"/>
            <w:vAlign w:val="bottom"/>
          </w:tcPr>
          <w:p w14:paraId="0021124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0FC66AF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4A0211F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4C774A0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17610901"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15A090AE" w14:textId="77777777">
        <w:trPr>
          <w:cantSplit/>
        </w:trPr>
        <w:tc>
          <w:tcPr>
            <w:tcW w:w="800" w:type="dxa"/>
            <w:tcBorders>
              <w:top w:val="single" w:sz="8" w:space="0" w:color="152935"/>
              <w:left w:val="nil"/>
              <w:bottom w:val="single" w:sz="8" w:space="0" w:color="152935"/>
              <w:right w:val="nil"/>
            </w:tcBorders>
            <w:shd w:val="clear" w:color="auto" w:fill="E0E0E0"/>
          </w:tcPr>
          <w:p w14:paraId="0D0B2DF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00EF492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.834</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76D63C2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.695</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13CE008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.662</w:t>
            </w:r>
          </w:p>
        </w:tc>
        <w:tc>
          <w:tcPr>
            <w:tcW w:w="1478" w:type="dxa"/>
            <w:tcBorders>
              <w:top w:val="single" w:sz="8" w:space="0" w:color="152935"/>
              <w:left w:val="single" w:sz="8" w:space="0" w:color="E0E0E0"/>
              <w:bottom w:val="single" w:sz="8" w:space="0" w:color="152935"/>
              <w:right w:val="nil"/>
            </w:tcBorders>
            <w:shd w:val="clear" w:color="auto" w:fill="F9F9FB"/>
          </w:tcPr>
          <w:p w14:paraId="60F7987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101531.64527</w:t>
            </w:r>
          </w:p>
        </w:tc>
      </w:tr>
    </w:tbl>
    <w:p w14:paraId="4BDB2453"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67F89529" w14:textId="77777777">
        <w:trPr>
          <w:cantSplit/>
        </w:trPr>
        <w:tc>
          <w:tcPr>
            <w:tcW w:w="5880" w:type="dxa"/>
            <w:tcBorders>
              <w:top w:val="nil"/>
              <w:left w:val="nil"/>
              <w:bottom w:val="nil"/>
              <w:right w:val="nil"/>
            </w:tcBorders>
            <w:shd w:val="clear" w:color="auto" w:fill="FFFFFF"/>
          </w:tcPr>
          <w:p w14:paraId="310D5813"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exchange.rate</w:t>
            </w:r>
          </w:p>
        </w:tc>
      </w:tr>
    </w:tbl>
    <w:p w14:paraId="18ABC18C" w14:textId="77777777" w:rsidR="00520D2C" w:rsidRDefault="00520D2C">
      <w:pPr>
        <w:spacing w:line="400" w:lineRule="atLeast"/>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8"/>
        <w:gridCol w:w="1472"/>
        <w:gridCol w:w="1027"/>
        <w:gridCol w:w="1472"/>
        <w:gridCol w:w="1027"/>
        <w:gridCol w:w="1027"/>
      </w:tblGrid>
      <w:tr w:rsidR="00520D2C" w14:paraId="20D7DB8C" w14:textId="77777777">
        <w:trPr>
          <w:cantSplit/>
        </w:trPr>
        <w:tc>
          <w:tcPr>
            <w:tcW w:w="8049" w:type="dxa"/>
            <w:gridSpan w:val="7"/>
            <w:tcBorders>
              <w:top w:val="nil"/>
              <w:left w:val="nil"/>
              <w:bottom w:val="nil"/>
              <w:right w:val="nil"/>
            </w:tcBorders>
            <w:shd w:val="clear" w:color="auto" w:fill="FFFFFF"/>
            <w:vAlign w:val="center"/>
          </w:tcPr>
          <w:p w14:paraId="102CC6EB"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21B53BE0" w14:textId="77777777">
        <w:trPr>
          <w:cantSplit/>
        </w:trPr>
        <w:tc>
          <w:tcPr>
            <w:tcW w:w="2024" w:type="dxa"/>
            <w:gridSpan w:val="2"/>
            <w:tcBorders>
              <w:top w:val="nil"/>
              <w:left w:val="nil"/>
              <w:bottom w:val="single" w:sz="8" w:space="0" w:color="152935"/>
              <w:right w:val="nil"/>
            </w:tcBorders>
            <w:shd w:val="clear" w:color="auto" w:fill="FFFFFF"/>
            <w:vAlign w:val="bottom"/>
          </w:tcPr>
          <w:p w14:paraId="140E49D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0333E85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7964472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1709F02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734E918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2832034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3596CB44"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40C6BBD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2322160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6DB3F75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211774037209.704</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2C24948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1263DE3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211774037209.704</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C5164B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20.543</w:t>
            </w:r>
          </w:p>
        </w:tc>
        <w:tc>
          <w:tcPr>
            <w:tcW w:w="1027" w:type="dxa"/>
            <w:tcBorders>
              <w:top w:val="single" w:sz="8" w:space="0" w:color="152935"/>
              <w:left w:val="single" w:sz="8" w:space="0" w:color="E0E0E0"/>
              <w:bottom w:val="single" w:sz="8" w:space="0" w:color="AEAEAE"/>
              <w:right w:val="nil"/>
            </w:tcBorders>
            <w:shd w:val="clear" w:color="auto" w:fill="F9F9FB"/>
          </w:tcPr>
          <w:p w14:paraId="799072F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r>
              <w:rPr>
                <w:rFonts w:ascii="Arial" w:hAnsi="Arial" w:cs="Arial"/>
                <w:color w:val="010205"/>
                <w:sz w:val="18"/>
                <w:szCs w:val="18"/>
                <w:vertAlign w:val="superscript"/>
              </w:rPr>
              <w:t>b</w:t>
            </w:r>
          </w:p>
        </w:tc>
      </w:tr>
      <w:tr w:rsidR="00520D2C" w14:paraId="051B4A77" w14:textId="77777777">
        <w:trPr>
          <w:cantSplit/>
        </w:trPr>
        <w:tc>
          <w:tcPr>
            <w:tcW w:w="736" w:type="dxa"/>
            <w:vMerge/>
            <w:tcBorders>
              <w:top w:val="single" w:sz="8" w:space="0" w:color="152935"/>
              <w:left w:val="nil"/>
              <w:bottom w:val="single" w:sz="8" w:space="0" w:color="152935"/>
              <w:right w:val="nil"/>
            </w:tcBorders>
            <w:shd w:val="clear" w:color="auto" w:fill="E0E0E0"/>
          </w:tcPr>
          <w:p w14:paraId="7500B442"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37104FE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07D5F13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92778074914.842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593897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780DAD2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10308674990.538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FB905AA"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381B29B1" w14:textId="77777777" w:rsidR="00520D2C" w:rsidRDefault="00520D2C">
            <w:pPr>
              <w:rPr>
                <w:rFonts w:ascii="Times New Roman" w:hAnsi="Times New Roman" w:cs="Times New Roman"/>
              </w:rPr>
            </w:pPr>
          </w:p>
        </w:tc>
      </w:tr>
      <w:tr w:rsidR="00520D2C" w14:paraId="40B1A1FE" w14:textId="77777777">
        <w:trPr>
          <w:cantSplit/>
        </w:trPr>
        <w:tc>
          <w:tcPr>
            <w:tcW w:w="736" w:type="dxa"/>
            <w:vMerge/>
            <w:tcBorders>
              <w:top w:val="single" w:sz="8" w:space="0" w:color="152935"/>
              <w:left w:val="nil"/>
              <w:bottom w:val="single" w:sz="8" w:space="0" w:color="152935"/>
              <w:right w:val="nil"/>
            </w:tcBorders>
            <w:shd w:val="clear" w:color="auto" w:fill="E0E0E0"/>
          </w:tcPr>
          <w:p w14:paraId="03045E92"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59ACC86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548FF3B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304552112124.545</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31850F4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8A86DFC"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0905029"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4B601926" w14:textId="77777777" w:rsidR="00520D2C" w:rsidRDefault="00520D2C">
            <w:pPr>
              <w:rPr>
                <w:rFonts w:ascii="Times New Roman" w:hAnsi="Times New Roman" w:cs="Times New Roman"/>
              </w:rPr>
            </w:pPr>
          </w:p>
        </w:tc>
      </w:tr>
    </w:tbl>
    <w:p w14:paraId="79A06948" w14:textId="77777777" w:rsidR="00520D2C" w:rsidRDefault="00520D2C">
      <w:pPr>
        <w:rPr>
          <w:rFonts w:ascii="Times New Roman" w:hAnsi="Times New Roman" w:cs="Times New Roman"/>
        </w:rPr>
      </w:pPr>
    </w:p>
    <w:tbl>
      <w:tblPr>
        <w:tblW w:w="8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50"/>
      </w:tblGrid>
      <w:tr w:rsidR="00520D2C" w14:paraId="3E82EA8C" w14:textId="77777777">
        <w:trPr>
          <w:cantSplit/>
        </w:trPr>
        <w:tc>
          <w:tcPr>
            <w:tcW w:w="8049" w:type="dxa"/>
            <w:tcBorders>
              <w:top w:val="nil"/>
              <w:left w:val="nil"/>
              <w:bottom w:val="nil"/>
              <w:right w:val="nil"/>
            </w:tcBorders>
            <w:shd w:val="clear" w:color="auto" w:fill="FFFFFF"/>
          </w:tcPr>
          <w:p w14:paraId="19F3F176"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r w:rsidR="00520D2C" w14:paraId="4E63F7F7" w14:textId="77777777">
        <w:trPr>
          <w:cantSplit/>
        </w:trPr>
        <w:tc>
          <w:tcPr>
            <w:tcW w:w="8049" w:type="dxa"/>
            <w:tcBorders>
              <w:top w:val="nil"/>
              <w:left w:val="nil"/>
              <w:bottom w:val="nil"/>
              <w:right w:val="nil"/>
            </w:tcBorders>
            <w:shd w:val="clear" w:color="auto" w:fill="FFFFFF"/>
          </w:tcPr>
          <w:p w14:paraId="3F6CDCEB"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exchange.rate</w:t>
            </w:r>
          </w:p>
        </w:tc>
      </w:tr>
    </w:tbl>
    <w:p w14:paraId="065045EE" w14:textId="77777777" w:rsidR="00520D2C" w:rsidRDefault="00520D2C">
      <w:pPr>
        <w:spacing w:line="400" w:lineRule="atLeast"/>
        <w:rPr>
          <w:rFonts w:ascii="Times New Roman" w:hAnsi="Times New Roman" w:cs="Times New Roman"/>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72"/>
        <w:gridCol w:w="1333"/>
        <w:gridCol w:w="1333"/>
        <w:gridCol w:w="1472"/>
        <w:gridCol w:w="1026"/>
        <w:gridCol w:w="1026"/>
      </w:tblGrid>
      <w:tr w:rsidR="00520D2C" w14:paraId="5C9EBDD3" w14:textId="77777777">
        <w:trPr>
          <w:cantSplit/>
        </w:trPr>
        <w:tc>
          <w:tcPr>
            <w:tcW w:w="8395" w:type="dxa"/>
            <w:gridSpan w:val="7"/>
            <w:tcBorders>
              <w:top w:val="nil"/>
              <w:left w:val="nil"/>
              <w:bottom w:val="nil"/>
              <w:right w:val="nil"/>
            </w:tcBorders>
            <w:shd w:val="clear" w:color="auto" w:fill="FFFFFF"/>
            <w:vAlign w:val="center"/>
          </w:tcPr>
          <w:p w14:paraId="50976F89"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758836C6" w14:textId="77777777">
        <w:trPr>
          <w:cantSplit/>
        </w:trPr>
        <w:tc>
          <w:tcPr>
            <w:tcW w:w="2206" w:type="dxa"/>
            <w:gridSpan w:val="2"/>
            <w:vMerge w:val="restart"/>
            <w:tcBorders>
              <w:top w:val="nil"/>
              <w:left w:val="nil"/>
              <w:bottom w:val="nil"/>
              <w:right w:val="nil"/>
            </w:tcBorders>
            <w:shd w:val="clear" w:color="auto" w:fill="FFFFFF"/>
            <w:vAlign w:val="bottom"/>
          </w:tcPr>
          <w:p w14:paraId="50E5267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020067E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649F2B9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4958007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5015F5E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69FF1E87" w14:textId="77777777">
        <w:trPr>
          <w:cantSplit/>
        </w:trPr>
        <w:tc>
          <w:tcPr>
            <w:tcW w:w="2206" w:type="dxa"/>
            <w:gridSpan w:val="2"/>
            <w:vMerge/>
            <w:tcBorders>
              <w:top w:val="nil"/>
              <w:left w:val="nil"/>
              <w:bottom w:val="nil"/>
              <w:right w:val="nil"/>
            </w:tcBorders>
            <w:shd w:val="clear" w:color="auto" w:fill="FFFFFF"/>
            <w:vAlign w:val="bottom"/>
          </w:tcPr>
          <w:p w14:paraId="05AA342F"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6DA0921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4410695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44A646C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39F6637D"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3C537D6A" w14:textId="77777777" w:rsidR="00520D2C" w:rsidRDefault="00520D2C">
            <w:pPr>
              <w:rPr>
                <w:rFonts w:ascii="Arial" w:hAnsi="Arial" w:cs="Arial"/>
                <w:color w:val="264A60"/>
                <w:sz w:val="18"/>
                <w:szCs w:val="18"/>
              </w:rPr>
            </w:pPr>
          </w:p>
        </w:tc>
      </w:tr>
      <w:tr w:rsidR="00520D2C" w14:paraId="09BC2FB0"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7B4304C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71" w:type="dxa"/>
            <w:tcBorders>
              <w:top w:val="single" w:sz="8" w:space="0" w:color="152935"/>
              <w:left w:val="nil"/>
              <w:bottom w:val="single" w:sz="8" w:space="0" w:color="AEAEAE"/>
              <w:right w:val="nil"/>
            </w:tcBorders>
            <w:shd w:val="clear" w:color="auto" w:fill="E0E0E0"/>
          </w:tcPr>
          <w:p w14:paraId="551AF0B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0590FC0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757702.141</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2621CC8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44730.026</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79AFEFB1"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6D8B504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16.939</w:t>
            </w:r>
          </w:p>
        </w:tc>
        <w:tc>
          <w:tcPr>
            <w:tcW w:w="1026" w:type="dxa"/>
            <w:tcBorders>
              <w:top w:val="single" w:sz="8" w:space="0" w:color="152935"/>
              <w:left w:val="single" w:sz="8" w:space="0" w:color="E0E0E0"/>
              <w:bottom w:val="single" w:sz="8" w:space="0" w:color="AEAEAE"/>
              <w:right w:val="nil"/>
            </w:tcBorders>
            <w:shd w:val="clear" w:color="auto" w:fill="F9F9FB"/>
          </w:tcPr>
          <w:p w14:paraId="1493EB7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r w:rsidR="00520D2C" w14:paraId="325BA5BC" w14:textId="77777777">
        <w:trPr>
          <w:cantSplit/>
        </w:trPr>
        <w:tc>
          <w:tcPr>
            <w:tcW w:w="735" w:type="dxa"/>
            <w:vMerge/>
            <w:tcBorders>
              <w:top w:val="single" w:sz="8" w:space="0" w:color="152935"/>
              <w:left w:val="nil"/>
              <w:bottom w:val="single" w:sz="8" w:space="0" w:color="152935"/>
              <w:right w:val="nil"/>
            </w:tcBorders>
            <w:shd w:val="clear" w:color="auto" w:fill="E0E0E0"/>
          </w:tcPr>
          <w:p w14:paraId="137E1A0E" w14:textId="77777777" w:rsidR="00520D2C" w:rsidRDefault="00520D2C">
            <w:pPr>
              <w:rPr>
                <w:rFonts w:ascii="Arial" w:hAnsi="Arial" w:cs="Arial"/>
                <w:color w:val="010205"/>
                <w:sz w:val="18"/>
                <w:szCs w:val="18"/>
              </w:rPr>
            </w:pPr>
          </w:p>
        </w:tc>
        <w:tc>
          <w:tcPr>
            <w:tcW w:w="1471" w:type="dxa"/>
            <w:tcBorders>
              <w:top w:val="single" w:sz="8" w:space="0" w:color="AEAEAE"/>
              <w:left w:val="nil"/>
              <w:bottom w:val="single" w:sz="8" w:space="0" w:color="152935"/>
              <w:right w:val="nil"/>
            </w:tcBorders>
            <w:shd w:val="clear" w:color="auto" w:fill="E0E0E0"/>
          </w:tcPr>
          <w:p w14:paraId="67BA378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333" w:type="dxa"/>
            <w:tcBorders>
              <w:top w:val="single" w:sz="8" w:space="0" w:color="AEAEAE"/>
              <w:left w:val="nil"/>
              <w:bottom w:val="single" w:sz="8" w:space="0" w:color="152935"/>
              <w:right w:val="single" w:sz="8" w:space="0" w:color="E0E0E0"/>
            </w:tcBorders>
            <w:shd w:val="clear" w:color="auto" w:fill="F9F9FB"/>
          </w:tcPr>
          <w:p w14:paraId="6DF0B82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12687.293</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46D51A3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2799.201</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785B816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.834</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9811D7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4.532</w:t>
            </w:r>
          </w:p>
        </w:tc>
        <w:tc>
          <w:tcPr>
            <w:tcW w:w="1026" w:type="dxa"/>
            <w:tcBorders>
              <w:top w:val="single" w:sz="8" w:space="0" w:color="AEAEAE"/>
              <w:left w:val="single" w:sz="8" w:space="0" w:color="E0E0E0"/>
              <w:bottom w:val="single" w:sz="8" w:space="0" w:color="152935"/>
              <w:right w:val="nil"/>
            </w:tcBorders>
            <w:shd w:val="clear" w:color="auto" w:fill="F9F9FB"/>
          </w:tcPr>
          <w:p w14:paraId="1953792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r>
    </w:tbl>
    <w:p w14:paraId="00F1EB9A" w14:textId="77777777" w:rsidR="00520D2C" w:rsidRDefault="00520D2C">
      <w:pPr>
        <w:rPr>
          <w:rFonts w:ascii="Arial" w:hAnsi="Arial" w:cs="Arial"/>
          <w:color w:val="010205"/>
          <w:sz w:val="18"/>
          <w:szCs w:val="18"/>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98"/>
      </w:tblGrid>
      <w:tr w:rsidR="00520D2C" w14:paraId="7305BB31" w14:textId="77777777">
        <w:trPr>
          <w:cantSplit/>
        </w:trPr>
        <w:tc>
          <w:tcPr>
            <w:tcW w:w="8395" w:type="dxa"/>
            <w:tcBorders>
              <w:top w:val="nil"/>
              <w:left w:val="nil"/>
              <w:bottom w:val="nil"/>
              <w:right w:val="nil"/>
            </w:tcBorders>
            <w:shd w:val="clear" w:color="auto" w:fill="FFFFFF"/>
          </w:tcPr>
          <w:p w14:paraId="5BE81F4D"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Dependent Variable: GDP</w:t>
            </w:r>
          </w:p>
        </w:tc>
      </w:tr>
    </w:tbl>
    <w:p w14:paraId="3DEB3386" w14:textId="77777777" w:rsidR="00520D2C" w:rsidRDefault="00520D2C">
      <w:pPr>
        <w:spacing w:line="400" w:lineRule="atLeast"/>
        <w:rPr>
          <w:rFonts w:ascii="Times New Roman" w:hAnsi="Times New Roman" w:cs="Times New Roman"/>
        </w:rPr>
      </w:pPr>
    </w:p>
    <w:p w14:paraId="7E36C8EC" w14:textId="255060C1" w:rsidR="00520D2C" w:rsidRPr="00137994" w:rsidRDefault="00520D2C" w:rsidP="00137994">
      <w:pPr>
        <w:rPr>
          <w:rFonts w:ascii="Arial" w:hAnsi="Arial" w:cs="Arial"/>
          <w:b/>
          <w:bCs/>
          <w:sz w:val="26"/>
          <w:szCs w:val="26"/>
        </w:rPr>
      </w:pPr>
      <w:r>
        <w:rPr>
          <w:rFonts w:ascii="Arial" w:hAnsi="Arial" w:cs="Arial"/>
          <w:b/>
          <w:bCs/>
          <w:sz w:val="26"/>
          <w:szCs w:val="26"/>
        </w:rPr>
        <w:t>Regression</w:t>
      </w:r>
    </w:p>
    <w:p w14:paraId="16C6F588" w14:textId="77777777" w:rsidR="00520D2C" w:rsidRDefault="00520D2C">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6F4DD041" w14:textId="77777777">
        <w:trPr>
          <w:cantSplit/>
        </w:trPr>
        <w:tc>
          <w:tcPr>
            <w:tcW w:w="4804" w:type="dxa"/>
            <w:gridSpan w:val="4"/>
            <w:tcBorders>
              <w:top w:val="nil"/>
              <w:left w:val="nil"/>
              <w:bottom w:val="nil"/>
              <w:right w:val="nil"/>
            </w:tcBorders>
            <w:shd w:val="clear" w:color="auto" w:fill="FFFFFF"/>
            <w:vAlign w:val="center"/>
          </w:tcPr>
          <w:p w14:paraId="69C6162E"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57FC1C23" w14:textId="77777777">
        <w:trPr>
          <w:cantSplit/>
        </w:trPr>
        <w:tc>
          <w:tcPr>
            <w:tcW w:w="803" w:type="dxa"/>
            <w:tcBorders>
              <w:top w:val="nil"/>
              <w:left w:val="nil"/>
              <w:bottom w:val="single" w:sz="8" w:space="0" w:color="152935"/>
              <w:right w:val="nil"/>
            </w:tcBorders>
            <w:shd w:val="clear" w:color="auto" w:fill="FFFFFF"/>
            <w:vAlign w:val="bottom"/>
          </w:tcPr>
          <w:p w14:paraId="173B3CE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569B79E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25A0578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134BA4C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6A54CE14" w14:textId="77777777">
        <w:trPr>
          <w:cantSplit/>
        </w:trPr>
        <w:tc>
          <w:tcPr>
            <w:tcW w:w="803" w:type="dxa"/>
            <w:tcBorders>
              <w:top w:val="single" w:sz="8" w:space="0" w:color="152935"/>
              <w:left w:val="nil"/>
              <w:bottom w:val="single" w:sz="8" w:space="0" w:color="152935"/>
              <w:right w:val="nil"/>
            </w:tcBorders>
            <w:shd w:val="clear" w:color="auto" w:fill="E0E0E0"/>
          </w:tcPr>
          <w:p w14:paraId="7DD0420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398111A8"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Unemployment, inflation, exchange.rate</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278F261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39B4DB7B"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5272D1A5"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rsidRPr="00FB2AD1" w14:paraId="7E18A7AA" w14:textId="77777777">
        <w:trPr>
          <w:cantSplit/>
        </w:trPr>
        <w:tc>
          <w:tcPr>
            <w:tcW w:w="4804" w:type="dxa"/>
            <w:tcBorders>
              <w:top w:val="nil"/>
              <w:left w:val="nil"/>
              <w:bottom w:val="nil"/>
              <w:right w:val="nil"/>
            </w:tcBorders>
            <w:shd w:val="clear" w:color="auto" w:fill="FFFFFF"/>
          </w:tcPr>
          <w:p w14:paraId="19E194DD"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rsidRPr="00FB2AD1" w14:paraId="7CECF5EB" w14:textId="77777777">
        <w:trPr>
          <w:cantSplit/>
        </w:trPr>
        <w:tc>
          <w:tcPr>
            <w:tcW w:w="4804" w:type="dxa"/>
            <w:tcBorders>
              <w:top w:val="nil"/>
              <w:left w:val="nil"/>
              <w:bottom w:val="nil"/>
              <w:right w:val="nil"/>
            </w:tcBorders>
            <w:shd w:val="clear" w:color="auto" w:fill="FFFFFF"/>
          </w:tcPr>
          <w:p w14:paraId="12E52C9B"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76F782FA"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173754BA" w14:textId="77777777">
        <w:trPr>
          <w:cantSplit/>
        </w:trPr>
        <w:tc>
          <w:tcPr>
            <w:tcW w:w="5880" w:type="dxa"/>
            <w:gridSpan w:val="5"/>
            <w:tcBorders>
              <w:top w:val="nil"/>
              <w:left w:val="nil"/>
              <w:bottom w:val="nil"/>
              <w:right w:val="nil"/>
            </w:tcBorders>
            <w:shd w:val="clear" w:color="auto" w:fill="FFFFFF"/>
            <w:vAlign w:val="center"/>
          </w:tcPr>
          <w:p w14:paraId="10689561"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3EB8CCBB" w14:textId="77777777">
        <w:trPr>
          <w:cantSplit/>
        </w:trPr>
        <w:tc>
          <w:tcPr>
            <w:tcW w:w="800" w:type="dxa"/>
            <w:tcBorders>
              <w:top w:val="nil"/>
              <w:left w:val="nil"/>
              <w:bottom w:val="single" w:sz="8" w:space="0" w:color="152935"/>
              <w:right w:val="nil"/>
            </w:tcBorders>
            <w:shd w:val="clear" w:color="auto" w:fill="FFFFFF"/>
            <w:vAlign w:val="bottom"/>
          </w:tcPr>
          <w:p w14:paraId="40BA16A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3E0499A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51886FD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7A377DD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3DE2BEA6"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7CD2F5CE" w14:textId="77777777">
        <w:trPr>
          <w:cantSplit/>
        </w:trPr>
        <w:tc>
          <w:tcPr>
            <w:tcW w:w="800" w:type="dxa"/>
            <w:tcBorders>
              <w:top w:val="single" w:sz="8" w:space="0" w:color="152935"/>
              <w:left w:val="nil"/>
              <w:bottom w:val="single" w:sz="8" w:space="0" w:color="152935"/>
              <w:right w:val="nil"/>
            </w:tcBorders>
            <w:shd w:val="clear" w:color="auto" w:fill="E0E0E0"/>
          </w:tcPr>
          <w:p w14:paraId="5293076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6D8F388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.214</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2A79866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.046</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132565E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-.363</w:t>
            </w:r>
          </w:p>
        </w:tc>
        <w:tc>
          <w:tcPr>
            <w:tcW w:w="1478" w:type="dxa"/>
            <w:tcBorders>
              <w:top w:val="single" w:sz="8" w:space="0" w:color="152935"/>
              <w:left w:val="single" w:sz="8" w:space="0" w:color="E0E0E0"/>
              <w:bottom w:val="single" w:sz="8" w:space="0" w:color="152935"/>
              <w:right w:val="nil"/>
            </w:tcBorders>
            <w:shd w:val="clear" w:color="auto" w:fill="F9F9FB"/>
          </w:tcPr>
          <w:p w14:paraId="1CC2EB8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3.41576</w:t>
            </w:r>
          </w:p>
        </w:tc>
      </w:tr>
    </w:tbl>
    <w:p w14:paraId="442CD686"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22FF4E9D" w14:textId="77777777">
        <w:trPr>
          <w:cantSplit/>
        </w:trPr>
        <w:tc>
          <w:tcPr>
            <w:tcW w:w="5880" w:type="dxa"/>
            <w:tcBorders>
              <w:top w:val="nil"/>
              <w:left w:val="nil"/>
              <w:bottom w:val="nil"/>
              <w:right w:val="nil"/>
            </w:tcBorders>
            <w:shd w:val="clear" w:color="auto" w:fill="FFFFFF"/>
          </w:tcPr>
          <w:p w14:paraId="072EA1BC"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Unemployment, inflation, exchange.rate</w:t>
            </w:r>
          </w:p>
        </w:tc>
      </w:tr>
    </w:tbl>
    <w:p w14:paraId="03906501" w14:textId="77777777" w:rsidR="00520D2C" w:rsidRDefault="00520D2C">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520D2C" w14:paraId="1823B59C" w14:textId="77777777">
        <w:trPr>
          <w:cantSplit/>
        </w:trPr>
        <w:tc>
          <w:tcPr>
            <w:tcW w:w="7987" w:type="dxa"/>
            <w:gridSpan w:val="7"/>
            <w:tcBorders>
              <w:top w:val="nil"/>
              <w:left w:val="nil"/>
              <w:bottom w:val="nil"/>
              <w:right w:val="nil"/>
            </w:tcBorders>
            <w:shd w:val="clear" w:color="auto" w:fill="FFFFFF"/>
            <w:vAlign w:val="center"/>
          </w:tcPr>
          <w:p w14:paraId="557F8525"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62914501" w14:textId="77777777">
        <w:trPr>
          <w:cantSplit/>
        </w:trPr>
        <w:tc>
          <w:tcPr>
            <w:tcW w:w="2024" w:type="dxa"/>
            <w:gridSpan w:val="2"/>
            <w:tcBorders>
              <w:top w:val="nil"/>
              <w:left w:val="nil"/>
              <w:bottom w:val="single" w:sz="8" w:space="0" w:color="152935"/>
              <w:right w:val="nil"/>
            </w:tcBorders>
            <w:shd w:val="clear" w:color="auto" w:fill="FFFFFF"/>
            <w:vAlign w:val="bottom"/>
          </w:tcPr>
          <w:p w14:paraId="2CFADAF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2EB01A6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34F1392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single" w:sz="8" w:space="0" w:color="E0E0E0"/>
            </w:tcBorders>
            <w:shd w:val="clear" w:color="auto" w:fill="FFFFFF"/>
            <w:vAlign w:val="bottom"/>
          </w:tcPr>
          <w:p w14:paraId="252B852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11A03B8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4B1793E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78DF14C3"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A11138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7C26E58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7B41456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3.917</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120FC7D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w:t>
            </w:r>
          </w:p>
        </w:tc>
        <w:tc>
          <w:tcPr>
            <w:tcW w:w="1410" w:type="dxa"/>
            <w:tcBorders>
              <w:top w:val="single" w:sz="8" w:space="0" w:color="152935"/>
              <w:left w:val="single" w:sz="8" w:space="0" w:color="E0E0E0"/>
              <w:bottom w:val="single" w:sz="8" w:space="0" w:color="AEAEAE"/>
              <w:right w:val="single" w:sz="8" w:space="0" w:color="E0E0E0"/>
            </w:tcBorders>
            <w:shd w:val="clear" w:color="auto" w:fill="F9F9FB"/>
          </w:tcPr>
          <w:p w14:paraId="0272A46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1.306</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031AC63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.112</w:t>
            </w:r>
          </w:p>
        </w:tc>
        <w:tc>
          <w:tcPr>
            <w:tcW w:w="1027" w:type="dxa"/>
            <w:tcBorders>
              <w:top w:val="single" w:sz="8" w:space="0" w:color="152935"/>
              <w:left w:val="single" w:sz="8" w:space="0" w:color="E0E0E0"/>
              <w:bottom w:val="single" w:sz="8" w:space="0" w:color="AEAEAE"/>
              <w:right w:val="nil"/>
            </w:tcBorders>
            <w:shd w:val="clear" w:color="auto" w:fill="F9F9FB"/>
          </w:tcPr>
          <w:p w14:paraId="3532CC9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.950</w:t>
            </w:r>
            <w:r>
              <w:rPr>
                <w:rFonts w:ascii="Arial" w:hAnsi="Arial" w:cs="Arial"/>
                <w:color w:val="010205"/>
                <w:sz w:val="18"/>
                <w:szCs w:val="18"/>
                <w:vertAlign w:val="superscript"/>
              </w:rPr>
              <w:t>b</w:t>
            </w:r>
          </w:p>
        </w:tc>
      </w:tr>
      <w:tr w:rsidR="00520D2C" w14:paraId="7504F675" w14:textId="77777777">
        <w:trPr>
          <w:cantSplit/>
        </w:trPr>
        <w:tc>
          <w:tcPr>
            <w:tcW w:w="736" w:type="dxa"/>
            <w:vMerge/>
            <w:tcBorders>
              <w:top w:val="single" w:sz="8" w:space="0" w:color="152935"/>
              <w:left w:val="nil"/>
              <w:bottom w:val="single" w:sz="8" w:space="0" w:color="152935"/>
              <w:right w:val="nil"/>
            </w:tcBorders>
            <w:shd w:val="clear" w:color="auto" w:fill="E0E0E0"/>
          </w:tcPr>
          <w:p w14:paraId="212C6E95"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409B19C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1938C45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81.672</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1D1A17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522C13D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11.667</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00309FD"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0FA2D653" w14:textId="77777777" w:rsidR="00520D2C" w:rsidRDefault="00520D2C">
            <w:pPr>
              <w:rPr>
                <w:rFonts w:ascii="Times New Roman" w:hAnsi="Times New Roman" w:cs="Times New Roman"/>
              </w:rPr>
            </w:pPr>
          </w:p>
        </w:tc>
      </w:tr>
      <w:tr w:rsidR="00520D2C" w14:paraId="59334B87" w14:textId="77777777">
        <w:trPr>
          <w:cantSplit/>
        </w:trPr>
        <w:tc>
          <w:tcPr>
            <w:tcW w:w="736" w:type="dxa"/>
            <w:vMerge/>
            <w:tcBorders>
              <w:top w:val="single" w:sz="8" w:space="0" w:color="152935"/>
              <w:left w:val="nil"/>
              <w:bottom w:val="single" w:sz="8" w:space="0" w:color="152935"/>
              <w:right w:val="nil"/>
            </w:tcBorders>
            <w:shd w:val="clear" w:color="auto" w:fill="E0E0E0"/>
          </w:tcPr>
          <w:p w14:paraId="5A6FD908"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0FE5E72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01E124C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85.589</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354B96F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1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2FEB6AEF"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5721E33"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35FD8064" w14:textId="77777777" w:rsidR="00520D2C" w:rsidRDefault="00520D2C">
            <w:pPr>
              <w:rPr>
                <w:rFonts w:ascii="Times New Roman" w:hAnsi="Times New Roman" w:cs="Times New Roman"/>
              </w:rPr>
            </w:pPr>
          </w:p>
        </w:tc>
      </w:tr>
    </w:tbl>
    <w:p w14:paraId="1FE553A9" w14:textId="77777777" w:rsidR="00520D2C" w:rsidRDefault="00520D2C">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520D2C" w:rsidRPr="00FB2AD1" w14:paraId="649C05A5" w14:textId="77777777">
        <w:trPr>
          <w:cantSplit/>
        </w:trPr>
        <w:tc>
          <w:tcPr>
            <w:tcW w:w="7987" w:type="dxa"/>
            <w:tcBorders>
              <w:top w:val="nil"/>
              <w:left w:val="nil"/>
              <w:bottom w:val="nil"/>
              <w:right w:val="nil"/>
            </w:tcBorders>
            <w:shd w:val="clear" w:color="auto" w:fill="FFFFFF"/>
          </w:tcPr>
          <w:p w14:paraId="3BC73729"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14:paraId="78AB3218" w14:textId="77777777">
        <w:trPr>
          <w:cantSplit/>
        </w:trPr>
        <w:tc>
          <w:tcPr>
            <w:tcW w:w="7987" w:type="dxa"/>
            <w:tcBorders>
              <w:top w:val="nil"/>
              <w:left w:val="nil"/>
              <w:bottom w:val="nil"/>
              <w:right w:val="nil"/>
            </w:tcBorders>
            <w:shd w:val="clear" w:color="auto" w:fill="FFFFFF"/>
          </w:tcPr>
          <w:p w14:paraId="50917E68"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Unemployment, inflation, exchange.rate</w:t>
            </w:r>
          </w:p>
        </w:tc>
      </w:tr>
    </w:tbl>
    <w:p w14:paraId="588B98ED" w14:textId="77777777" w:rsidR="00520D2C" w:rsidRDefault="00520D2C">
      <w:pPr>
        <w:spacing w:line="400" w:lineRule="atLeast"/>
        <w:rPr>
          <w:rFonts w:ascii="Times New Roman" w:hAnsi="Times New Roman" w:cs="Times New Roman"/>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79"/>
        <w:gridCol w:w="1333"/>
        <w:gridCol w:w="1333"/>
        <w:gridCol w:w="1472"/>
        <w:gridCol w:w="1026"/>
        <w:gridCol w:w="1026"/>
      </w:tblGrid>
      <w:tr w:rsidR="00520D2C" w14:paraId="28CCEE0E" w14:textId="77777777">
        <w:trPr>
          <w:cantSplit/>
        </w:trPr>
        <w:tc>
          <w:tcPr>
            <w:tcW w:w="8502" w:type="dxa"/>
            <w:gridSpan w:val="7"/>
            <w:tcBorders>
              <w:top w:val="nil"/>
              <w:left w:val="nil"/>
              <w:bottom w:val="nil"/>
              <w:right w:val="nil"/>
            </w:tcBorders>
            <w:shd w:val="clear" w:color="auto" w:fill="FFFFFF"/>
            <w:vAlign w:val="center"/>
          </w:tcPr>
          <w:p w14:paraId="7E76A60B"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0C800778" w14:textId="77777777">
        <w:trPr>
          <w:cantSplit/>
        </w:trPr>
        <w:tc>
          <w:tcPr>
            <w:tcW w:w="2313" w:type="dxa"/>
            <w:gridSpan w:val="2"/>
            <w:vMerge w:val="restart"/>
            <w:tcBorders>
              <w:top w:val="nil"/>
              <w:left w:val="nil"/>
              <w:bottom w:val="nil"/>
              <w:right w:val="nil"/>
            </w:tcBorders>
            <w:shd w:val="clear" w:color="auto" w:fill="FFFFFF"/>
            <w:vAlign w:val="bottom"/>
          </w:tcPr>
          <w:p w14:paraId="58D564E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0D8BE4C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4AD391D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318F854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69F8E54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33C67F41" w14:textId="77777777">
        <w:trPr>
          <w:cantSplit/>
        </w:trPr>
        <w:tc>
          <w:tcPr>
            <w:tcW w:w="2313" w:type="dxa"/>
            <w:gridSpan w:val="2"/>
            <w:vMerge/>
            <w:tcBorders>
              <w:top w:val="nil"/>
              <w:left w:val="nil"/>
              <w:bottom w:val="nil"/>
              <w:right w:val="nil"/>
            </w:tcBorders>
            <w:shd w:val="clear" w:color="auto" w:fill="FFFFFF"/>
            <w:vAlign w:val="bottom"/>
          </w:tcPr>
          <w:p w14:paraId="26AB4F0D"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1504720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6696406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2D3126B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51A784B6"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229B1D79" w14:textId="77777777" w:rsidR="00520D2C" w:rsidRDefault="00520D2C">
            <w:pPr>
              <w:rPr>
                <w:rFonts w:ascii="Arial" w:hAnsi="Arial" w:cs="Arial"/>
                <w:color w:val="264A60"/>
                <w:sz w:val="18"/>
                <w:szCs w:val="18"/>
              </w:rPr>
            </w:pPr>
          </w:p>
        </w:tc>
      </w:tr>
      <w:tr w:rsidR="00520D2C" w14:paraId="285DAED9"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610CA15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578" w:type="dxa"/>
            <w:tcBorders>
              <w:top w:val="single" w:sz="8" w:space="0" w:color="152935"/>
              <w:left w:val="nil"/>
              <w:bottom w:val="single" w:sz="8" w:space="0" w:color="AEAEAE"/>
              <w:right w:val="nil"/>
            </w:tcBorders>
            <w:shd w:val="clear" w:color="auto" w:fill="E0E0E0"/>
          </w:tcPr>
          <w:p w14:paraId="3C96D12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00E2049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10.474</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79D68BF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10.121</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6C35ECA"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0018404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1.035</w:t>
            </w:r>
          </w:p>
        </w:tc>
        <w:tc>
          <w:tcPr>
            <w:tcW w:w="1026" w:type="dxa"/>
            <w:tcBorders>
              <w:top w:val="single" w:sz="8" w:space="0" w:color="152935"/>
              <w:left w:val="single" w:sz="8" w:space="0" w:color="E0E0E0"/>
              <w:bottom w:val="single" w:sz="8" w:space="0" w:color="AEAEAE"/>
              <w:right w:val="nil"/>
            </w:tcBorders>
            <w:shd w:val="clear" w:color="auto" w:fill="F9F9FB"/>
          </w:tcPr>
          <w:p w14:paraId="3D66B5E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.335</w:t>
            </w:r>
          </w:p>
        </w:tc>
      </w:tr>
      <w:tr w:rsidR="00520D2C" w14:paraId="0B0FA7B0" w14:textId="77777777">
        <w:trPr>
          <w:cantSplit/>
        </w:trPr>
        <w:tc>
          <w:tcPr>
            <w:tcW w:w="735" w:type="dxa"/>
            <w:vMerge/>
            <w:tcBorders>
              <w:top w:val="single" w:sz="8" w:space="0" w:color="152935"/>
              <w:left w:val="nil"/>
              <w:bottom w:val="single" w:sz="8" w:space="0" w:color="152935"/>
              <w:right w:val="nil"/>
            </w:tcBorders>
            <w:shd w:val="clear" w:color="auto" w:fill="E0E0E0"/>
          </w:tcPr>
          <w:p w14:paraId="2D097DF8"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AEAEAE"/>
              <w:right w:val="nil"/>
            </w:tcBorders>
            <w:shd w:val="clear" w:color="auto" w:fill="E0E0E0"/>
          </w:tcPr>
          <w:p w14:paraId="6032635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333" w:type="dxa"/>
            <w:tcBorders>
              <w:top w:val="single" w:sz="8" w:space="0" w:color="AEAEAE"/>
              <w:left w:val="nil"/>
              <w:bottom w:val="single" w:sz="8" w:space="0" w:color="AEAEAE"/>
              <w:right w:val="single" w:sz="8" w:space="0" w:color="E0E0E0"/>
            </w:tcBorders>
            <w:shd w:val="clear" w:color="auto" w:fill="F9F9FB"/>
          </w:tcPr>
          <w:p w14:paraId="0819EF0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-.014</w:t>
            </w:r>
          </w:p>
        </w:tc>
        <w:tc>
          <w:tcPr>
            <w:tcW w:w="1333" w:type="dxa"/>
            <w:tcBorders>
              <w:top w:val="single" w:sz="8" w:space="0" w:color="AEAEAE"/>
              <w:left w:val="single" w:sz="8" w:space="0" w:color="E0E0E0"/>
              <w:bottom w:val="single" w:sz="8" w:space="0" w:color="AEAEAE"/>
              <w:right w:val="single" w:sz="8" w:space="0" w:color="E0E0E0"/>
            </w:tcBorders>
            <w:shd w:val="clear" w:color="auto" w:fill="F9F9FB"/>
          </w:tcPr>
          <w:p w14:paraId="65F4958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.195</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7318FA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-.053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047B79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-.070</w:t>
            </w:r>
          </w:p>
        </w:tc>
        <w:tc>
          <w:tcPr>
            <w:tcW w:w="1026" w:type="dxa"/>
            <w:tcBorders>
              <w:top w:val="single" w:sz="8" w:space="0" w:color="AEAEAE"/>
              <w:left w:val="single" w:sz="8" w:space="0" w:color="E0E0E0"/>
              <w:bottom w:val="single" w:sz="8" w:space="0" w:color="AEAEAE"/>
              <w:right w:val="nil"/>
            </w:tcBorders>
            <w:shd w:val="clear" w:color="auto" w:fill="F9F9FB"/>
          </w:tcPr>
          <w:p w14:paraId="7A5ADE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.946</w:t>
            </w:r>
          </w:p>
        </w:tc>
      </w:tr>
      <w:tr w:rsidR="00520D2C" w14:paraId="45E3F1C2" w14:textId="77777777">
        <w:trPr>
          <w:cantSplit/>
        </w:trPr>
        <w:tc>
          <w:tcPr>
            <w:tcW w:w="735" w:type="dxa"/>
            <w:vMerge/>
            <w:tcBorders>
              <w:top w:val="single" w:sz="8" w:space="0" w:color="152935"/>
              <w:left w:val="nil"/>
              <w:bottom w:val="single" w:sz="8" w:space="0" w:color="152935"/>
              <w:right w:val="nil"/>
            </w:tcBorders>
            <w:shd w:val="clear" w:color="auto" w:fill="E0E0E0"/>
          </w:tcPr>
          <w:p w14:paraId="72A0D1E4"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AEAEAE"/>
              <w:right w:val="nil"/>
            </w:tcBorders>
            <w:shd w:val="clear" w:color="auto" w:fill="E0E0E0"/>
          </w:tcPr>
          <w:p w14:paraId="1EA1188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333" w:type="dxa"/>
            <w:tcBorders>
              <w:top w:val="single" w:sz="8" w:space="0" w:color="AEAEAE"/>
              <w:left w:val="nil"/>
              <w:bottom w:val="single" w:sz="8" w:space="0" w:color="AEAEAE"/>
              <w:right w:val="single" w:sz="8" w:space="0" w:color="E0E0E0"/>
            </w:tcBorders>
            <w:shd w:val="clear" w:color="auto" w:fill="F9F9FB"/>
          </w:tcPr>
          <w:p w14:paraId="2537DBD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-.008</w:t>
            </w:r>
          </w:p>
        </w:tc>
        <w:tc>
          <w:tcPr>
            <w:tcW w:w="1333" w:type="dxa"/>
            <w:tcBorders>
              <w:top w:val="single" w:sz="8" w:space="0" w:color="AEAEAE"/>
              <w:left w:val="single" w:sz="8" w:space="0" w:color="E0E0E0"/>
              <w:bottom w:val="single" w:sz="8" w:space="0" w:color="AEAEAE"/>
              <w:right w:val="single" w:sz="8" w:space="0" w:color="E0E0E0"/>
            </w:tcBorders>
            <w:shd w:val="clear" w:color="auto" w:fill="F9F9FB"/>
          </w:tcPr>
          <w:p w14:paraId="6AF8F82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.092</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6C53F8F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-.062</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C82A94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-.083</w:t>
            </w:r>
          </w:p>
        </w:tc>
        <w:tc>
          <w:tcPr>
            <w:tcW w:w="1026" w:type="dxa"/>
            <w:tcBorders>
              <w:top w:val="single" w:sz="8" w:space="0" w:color="AEAEAE"/>
              <w:left w:val="single" w:sz="8" w:space="0" w:color="E0E0E0"/>
              <w:bottom w:val="single" w:sz="8" w:space="0" w:color="AEAEAE"/>
              <w:right w:val="nil"/>
            </w:tcBorders>
            <w:shd w:val="clear" w:color="auto" w:fill="F9F9FB"/>
          </w:tcPr>
          <w:p w14:paraId="6BA5777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.936</w:t>
            </w:r>
          </w:p>
        </w:tc>
      </w:tr>
      <w:tr w:rsidR="00520D2C" w14:paraId="6D82728D" w14:textId="77777777">
        <w:trPr>
          <w:cantSplit/>
        </w:trPr>
        <w:tc>
          <w:tcPr>
            <w:tcW w:w="735" w:type="dxa"/>
            <w:vMerge/>
            <w:tcBorders>
              <w:top w:val="single" w:sz="8" w:space="0" w:color="152935"/>
              <w:left w:val="nil"/>
              <w:bottom w:val="single" w:sz="8" w:space="0" w:color="152935"/>
              <w:right w:val="nil"/>
            </w:tcBorders>
            <w:shd w:val="clear" w:color="auto" w:fill="E0E0E0"/>
          </w:tcPr>
          <w:p w14:paraId="54BE72DF"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152935"/>
              <w:right w:val="nil"/>
            </w:tcBorders>
            <w:shd w:val="clear" w:color="auto" w:fill="E0E0E0"/>
          </w:tcPr>
          <w:p w14:paraId="2949B53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333" w:type="dxa"/>
            <w:tcBorders>
              <w:top w:val="single" w:sz="8" w:space="0" w:color="AEAEAE"/>
              <w:left w:val="nil"/>
              <w:bottom w:val="single" w:sz="8" w:space="0" w:color="152935"/>
              <w:right w:val="single" w:sz="8" w:space="0" w:color="E0E0E0"/>
            </w:tcBorders>
            <w:shd w:val="clear" w:color="auto" w:fill="F9F9FB"/>
          </w:tcPr>
          <w:p w14:paraId="0BBA07E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-.487</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7ACCF0B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.849</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233C971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-.250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67D471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-.573</w:t>
            </w:r>
          </w:p>
        </w:tc>
        <w:tc>
          <w:tcPr>
            <w:tcW w:w="1026" w:type="dxa"/>
            <w:tcBorders>
              <w:top w:val="single" w:sz="8" w:space="0" w:color="AEAEAE"/>
              <w:left w:val="single" w:sz="8" w:space="0" w:color="E0E0E0"/>
              <w:bottom w:val="single" w:sz="8" w:space="0" w:color="152935"/>
              <w:right w:val="nil"/>
            </w:tcBorders>
            <w:shd w:val="clear" w:color="auto" w:fill="F9F9FB"/>
          </w:tcPr>
          <w:p w14:paraId="6F1E03B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.584</w:t>
            </w:r>
          </w:p>
        </w:tc>
      </w:tr>
    </w:tbl>
    <w:p w14:paraId="40718608" w14:textId="77777777" w:rsidR="00520D2C" w:rsidRDefault="00520D2C">
      <w:pPr>
        <w:rPr>
          <w:rFonts w:ascii="Arial" w:hAnsi="Arial" w:cs="Arial"/>
          <w:color w:val="010205"/>
          <w:sz w:val="18"/>
          <w:szCs w:val="18"/>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05"/>
      </w:tblGrid>
      <w:tr w:rsidR="00520D2C" w:rsidRPr="00FB2AD1" w14:paraId="66729632" w14:textId="77777777">
        <w:trPr>
          <w:cantSplit/>
        </w:trPr>
        <w:tc>
          <w:tcPr>
            <w:tcW w:w="8502" w:type="dxa"/>
            <w:tcBorders>
              <w:top w:val="nil"/>
              <w:left w:val="nil"/>
              <w:bottom w:val="nil"/>
              <w:right w:val="nil"/>
            </w:tcBorders>
            <w:shd w:val="clear" w:color="auto" w:fill="FFFFFF"/>
          </w:tcPr>
          <w:p w14:paraId="5E2FAFA8"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bl>
    <w:p w14:paraId="54F8F805" w14:textId="77777777" w:rsidR="00520D2C" w:rsidRPr="0061791E" w:rsidRDefault="00520D2C">
      <w:pPr>
        <w:spacing w:line="400" w:lineRule="atLeast"/>
        <w:rPr>
          <w:rFonts w:ascii="Times New Roman" w:hAnsi="Times New Roman" w:cs="Times New Roman"/>
          <w:lang w:val="en-US"/>
        </w:rPr>
      </w:pPr>
    </w:p>
    <w:p w14:paraId="6E4FBB52" w14:textId="77777777" w:rsidR="00520D2C" w:rsidRPr="003F664B" w:rsidRDefault="00520D2C" w:rsidP="003F664B">
      <w:pPr>
        <w:rPr>
          <w:rFonts w:ascii="Arial" w:hAnsi="Arial" w:cs="Arial"/>
          <w:b/>
          <w:bCs/>
          <w:sz w:val="26"/>
          <w:szCs w:val="26"/>
        </w:rPr>
      </w:pPr>
      <w:r>
        <w:rPr>
          <w:rFonts w:ascii="Arial" w:hAnsi="Arial" w:cs="Arial"/>
          <w:b/>
          <w:bCs/>
          <w:sz w:val="26"/>
          <w:szCs w:val="26"/>
        </w:rPr>
        <w:t>Regression</w:t>
      </w:r>
    </w:p>
    <w:p w14:paraId="03D21B06" w14:textId="77777777" w:rsidR="00520D2C" w:rsidRDefault="00520D2C">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37763DE9" w14:textId="77777777">
        <w:trPr>
          <w:cantSplit/>
        </w:trPr>
        <w:tc>
          <w:tcPr>
            <w:tcW w:w="4804" w:type="dxa"/>
            <w:gridSpan w:val="4"/>
            <w:tcBorders>
              <w:top w:val="nil"/>
              <w:left w:val="nil"/>
              <w:bottom w:val="nil"/>
              <w:right w:val="nil"/>
            </w:tcBorders>
            <w:shd w:val="clear" w:color="auto" w:fill="FFFFFF"/>
            <w:vAlign w:val="center"/>
          </w:tcPr>
          <w:p w14:paraId="2E636DC0"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695BCB27" w14:textId="77777777">
        <w:trPr>
          <w:cantSplit/>
        </w:trPr>
        <w:tc>
          <w:tcPr>
            <w:tcW w:w="803" w:type="dxa"/>
            <w:tcBorders>
              <w:top w:val="nil"/>
              <w:left w:val="nil"/>
              <w:bottom w:val="single" w:sz="8" w:space="0" w:color="152935"/>
              <w:right w:val="nil"/>
            </w:tcBorders>
            <w:shd w:val="clear" w:color="auto" w:fill="FFFFFF"/>
            <w:vAlign w:val="bottom"/>
          </w:tcPr>
          <w:p w14:paraId="4E31E15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6A9ED4A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6A518CF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5598FE2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3F76C164" w14:textId="77777777">
        <w:trPr>
          <w:cantSplit/>
        </w:trPr>
        <w:tc>
          <w:tcPr>
            <w:tcW w:w="803" w:type="dxa"/>
            <w:tcBorders>
              <w:top w:val="single" w:sz="8" w:space="0" w:color="152935"/>
              <w:left w:val="nil"/>
              <w:bottom w:val="single" w:sz="8" w:space="0" w:color="152935"/>
              <w:right w:val="nil"/>
            </w:tcBorders>
            <w:shd w:val="clear" w:color="auto" w:fill="E0E0E0"/>
          </w:tcPr>
          <w:p w14:paraId="018D89F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2DF26056"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inflation</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46667F0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65245FA9"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49E601DA"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rsidRPr="00FB2AD1" w14:paraId="51E54B34" w14:textId="77777777">
        <w:trPr>
          <w:cantSplit/>
        </w:trPr>
        <w:tc>
          <w:tcPr>
            <w:tcW w:w="4804" w:type="dxa"/>
            <w:tcBorders>
              <w:top w:val="nil"/>
              <w:left w:val="nil"/>
              <w:bottom w:val="nil"/>
              <w:right w:val="nil"/>
            </w:tcBorders>
            <w:shd w:val="clear" w:color="auto" w:fill="FFFFFF"/>
          </w:tcPr>
          <w:p w14:paraId="17E1F0F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rsidRPr="00FB2AD1" w14:paraId="0FEB0621" w14:textId="77777777">
        <w:trPr>
          <w:cantSplit/>
        </w:trPr>
        <w:tc>
          <w:tcPr>
            <w:tcW w:w="4804" w:type="dxa"/>
            <w:tcBorders>
              <w:top w:val="nil"/>
              <w:left w:val="nil"/>
              <w:bottom w:val="nil"/>
              <w:right w:val="nil"/>
            </w:tcBorders>
            <w:shd w:val="clear" w:color="auto" w:fill="FFFFFF"/>
          </w:tcPr>
          <w:p w14:paraId="6482FB2E"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0E14D5B9"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52E7EAD7" w14:textId="77777777">
        <w:trPr>
          <w:cantSplit/>
        </w:trPr>
        <w:tc>
          <w:tcPr>
            <w:tcW w:w="5880" w:type="dxa"/>
            <w:gridSpan w:val="5"/>
            <w:tcBorders>
              <w:top w:val="nil"/>
              <w:left w:val="nil"/>
              <w:bottom w:val="nil"/>
              <w:right w:val="nil"/>
            </w:tcBorders>
            <w:shd w:val="clear" w:color="auto" w:fill="FFFFFF"/>
            <w:vAlign w:val="center"/>
          </w:tcPr>
          <w:p w14:paraId="5057C9DC"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73FD9AAE" w14:textId="77777777">
        <w:trPr>
          <w:cantSplit/>
        </w:trPr>
        <w:tc>
          <w:tcPr>
            <w:tcW w:w="800" w:type="dxa"/>
            <w:tcBorders>
              <w:top w:val="nil"/>
              <w:left w:val="nil"/>
              <w:bottom w:val="single" w:sz="8" w:space="0" w:color="152935"/>
              <w:right w:val="nil"/>
            </w:tcBorders>
            <w:shd w:val="clear" w:color="auto" w:fill="FFFFFF"/>
            <w:vAlign w:val="bottom"/>
          </w:tcPr>
          <w:p w14:paraId="262925D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139DFDA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2F19BBC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09448FC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264D0676"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585209EF" w14:textId="77777777">
        <w:trPr>
          <w:cantSplit/>
        </w:trPr>
        <w:tc>
          <w:tcPr>
            <w:tcW w:w="800" w:type="dxa"/>
            <w:tcBorders>
              <w:top w:val="single" w:sz="8" w:space="0" w:color="152935"/>
              <w:left w:val="nil"/>
              <w:bottom w:val="single" w:sz="8" w:space="0" w:color="152935"/>
              <w:right w:val="nil"/>
            </w:tcBorders>
            <w:shd w:val="clear" w:color="auto" w:fill="E0E0E0"/>
          </w:tcPr>
          <w:p w14:paraId="6323FFC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7718EEE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1291094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611EA79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-.111</w:t>
            </w:r>
          </w:p>
        </w:tc>
        <w:tc>
          <w:tcPr>
            <w:tcW w:w="1478" w:type="dxa"/>
            <w:tcBorders>
              <w:top w:val="single" w:sz="8" w:space="0" w:color="152935"/>
              <w:left w:val="single" w:sz="8" w:space="0" w:color="E0E0E0"/>
              <w:bottom w:val="single" w:sz="8" w:space="0" w:color="152935"/>
              <w:right w:val="nil"/>
            </w:tcBorders>
            <w:shd w:val="clear" w:color="auto" w:fill="F9F9FB"/>
          </w:tcPr>
          <w:p w14:paraId="7011074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3.08358</w:t>
            </w:r>
          </w:p>
        </w:tc>
      </w:tr>
    </w:tbl>
    <w:p w14:paraId="5E54047E"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3FF938F4" w14:textId="77777777">
        <w:trPr>
          <w:cantSplit/>
        </w:trPr>
        <w:tc>
          <w:tcPr>
            <w:tcW w:w="5880" w:type="dxa"/>
            <w:tcBorders>
              <w:top w:val="nil"/>
              <w:left w:val="nil"/>
              <w:bottom w:val="nil"/>
              <w:right w:val="nil"/>
            </w:tcBorders>
            <w:shd w:val="clear" w:color="auto" w:fill="FFFFFF"/>
          </w:tcPr>
          <w:p w14:paraId="583D3A7A"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inflation</w:t>
            </w:r>
          </w:p>
        </w:tc>
      </w:tr>
    </w:tbl>
    <w:p w14:paraId="55323F11" w14:textId="77777777" w:rsidR="00520D2C" w:rsidRDefault="00520D2C">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520D2C" w14:paraId="389A3AC9" w14:textId="77777777">
        <w:trPr>
          <w:cantSplit/>
        </w:trPr>
        <w:tc>
          <w:tcPr>
            <w:tcW w:w="7987" w:type="dxa"/>
            <w:gridSpan w:val="7"/>
            <w:tcBorders>
              <w:top w:val="nil"/>
              <w:left w:val="nil"/>
              <w:bottom w:val="nil"/>
              <w:right w:val="nil"/>
            </w:tcBorders>
            <w:shd w:val="clear" w:color="auto" w:fill="FFFFFF"/>
            <w:vAlign w:val="center"/>
          </w:tcPr>
          <w:p w14:paraId="03AA5562"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7C022C94" w14:textId="77777777">
        <w:trPr>
          <w:cantSplit/>
        </w:trPr>
        <w:tc>
          <w:tcPr>
            <w:tcW w:w="2024" w:type="dxa"/>
            <w:gridSpan w:val="2"/>
            <w:tcBorders>
              <w:top w:val="nil"/>
              <w:left w:val="nil"/>
              <w:bottom w:val="single" w:sz="8" w:space="0" w:color="152935"/>
              <w:right w:val="nil"/>
            </w:tcBorders>
            <w:shd w:val="clear" w:color="auto" w:fill="FFFFFF"/>
            <w:vAlign w:val="bottom"/>
          </w:tcPr>
          <w:p w14:paraId="0FCE14F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70077A2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69E556D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single" w:sz="8" w:space="0" w:color="E0E0E0"/>
            </w:tcBorders>
            <w:shd w:val="clear" w:color="auto" w:fill="FFFFFF"/>
            <w:vAlign w:val="bottom"/>
          </w:tcPr>
          <w:p w14:paraId="1E419D4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563B431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3A8ADB0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4C6CE12D"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A75261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7B42679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3D8BF63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D71CCB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10" w:type="dxa"/>
            <w:tcBorders>
              <w:top w:val="single" w:sz="8" w:space="0" w:color="152935"/>
              <w:left w:val="single" w:sz="8" w:space="0" w:color="E0E0E0"/>
              <w:bottom w:val="single" w:sz="8" w:space="0" w:color="AEAEAE"/>
              <w:right w:val="single" w:sz="8" w:space="0" w:color="E0E0E0"/>
            </w:tcBorders>
            <w:shd w:val="clear" w:color="auto" w:fill="F9F9FB"/>
          </w:tcPr>
          <w:p w14:paraId="51C834F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08A3E9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027" w:type="dxa"/>
            <w:tcBorders>
              <w:top w:val="single" w:sz="8" w:space="0" w:color="152935"/>
              <w:left w:val="single" w:sz="8" w:space="0" w:color="E0E0E0"/>
              <w:bottom w:val="single" w:sz="8" w:space="0" w:color="AEAEAE"/>
              <w:right w:val="nil"/>
            </w:tcBorders>
            <w:shd w:val="clear" w:color="auto" w:fill="F9F9FB"/>
          </w:tcPr>
          <w:p w14:paraId="135203E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.971</w:t>
            </w:r>
            <w:r>
              <w:rPr>
                <w:rFonts w:ascii="Arial" w:hAnsi="Arial" w:cs="Arial"/>
                <w:color w:val="010205"/>
                <w:sz w:val="18"/>
                <w:szCs w:val="18"/>
                <w:vertAlign w:val="superscript"/>
              </w:rPr>
              <w:t>b</w:t>
            </w:r>
          </w:p>
        </w:tc>
      </w:tr>
      <w:tr w:rsidR="00520D2C" w14:paraId="6561A60B" w14:textId="77777777">
        <w:trPr>
          <w:cantSplit/>
        </w:trPr>
        <w:tc>
          <w:tcPr>
            <w:tcW w:w="736" w:type="dxa"/>
            <w:vMerge/>
            <w:tcBorders>
              <w:top w:val="single" w:sz="8" w:space="0" w:color="152935"/>
              <w:left w:val="nil"/>
              <w:bottom w:val="single" w:sz="8" w:space="0" w:color="152935"/>
              <w:right w:val="nil"/>
            </w:tcBorders>
            <w:shd w:val="clear" w:color="auto" w:fill="E0E0E0"/>
          </w:tcPr>
          <w:p w14:paraId="08076BE5"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1FC2DCE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11A234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85.576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6C252F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37F613B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9.508</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65E4317"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1940C8BC" w14:textId="77777777" w:rsidR="00520D2C" w:rsidRDefault="00520D2C">
            <w:pPr>
              <w:rPr>
                <w:rFonts w:ascii="Times New Roman" w:hAnsi="Times New Roman" w:cs="Times New Roman"/>
              </w:rPr>
            </w:pPr>
          </w:p>
        </w:tc>
      </w:tr>
      <w:tr w:rsidR="00520D2C" w14:paraId="63C7212D" w14:textId="77777777">
        <w:trPr>
          <w:cantSplit/>
        </w:trPr>
        <w:tc>
          <w:tcPr>
            <w:tcW w:w="736" w:type="dxa"/>
            <w:vMerge/>
            <w:tcBorders>
              <w:top w:val="single" w:sz="8" w:space="0" w:color="152935"/>
              <w:left w:val="nil"/>
              <w:bottom w:val="single" w:sz="8" w:space="0" w:color="152935"/>
              <w:right w:val="nil"/>
            </w:tcBorders>
            <w:shd w:val="clear" w:color="auto" w:fill="E0E0E0"/>
          </w:tcPr>
          <w:p w14:paraId="6E2BD45A"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227E712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67C8247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85.589</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042B924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1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6980F68"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293B92F"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583426F3" w14:textId="77777777" w:rsidR="00520D2C" w:rsidRDefault="00520D2C">
            <w:pPr>
              <w:rPr>
                <w:rFonts w:ascii="Times New Roman" w:hAnsi="Times New Roman" w:cs="Times New Roman"/>
              </w:rPr>
            </w:pPr>
          </w:p>
        </w:tc>
      </w:tr>
    </w:tbl>
    <w:p w14:paraId="6950A093" w14:textId="77777777" w:rsidR="00520D2C" w:rsidRDefault="00520D2C">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520D2C" w:rsidRPr="00FB2AD1" w14:paraId="3CDCFEF1" w14:textId="77777777">
        <w:trPr>
          <w:cantSplit/>
        </w:trPr>
        <w:tc>
          <w:tcPr>
            <w:tcW w:w="7987" w:type="dxa"/>
            <w:tcBorders>
              <w:top w:val="nil"/>
              <w:left w:val="nil"/>
              <w:bottom w:val="nil"/>
              <w:right w:val="nil"/>
            </w:tcBorders>
            <w:shd w:val="clear" w:color="auto" w:fill="FFFFFF"/>
          </w:tcPr>
          <w:p w14:paraId="552D107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14:paraId="34A44AF9" w14:textId="77777777">
        <w:trPr>
          <w:cantSplit/>
        </w:trPr>
        <w:tc>
          <w:tcPr>
            <w:tcW w:w="7987" w:type="dxa"/>
            <w:tcBorders>
              <w:top w:val="nil"/>
              <w:left w:val="nil"/>
              <w:bottom w:val="nil"/>
              <w:right w:val="nil"/>
            </w:tcBorders>
            <w:shd w:val="clear" w:color="auto" w:fill="FFFFFF"/>
          </w:tcPr>
          <w:p w14:paraId="052D445D"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inflation</w:t>
            </w:r>
          </w:p>
        </w:tc>
      </w:tr>
    </w:tbl>
    <w:p w14:paraId="442AB169" w14:textId="77777777" w:rsidR="00520D2C" w:rsidRDefault="00520D2C">
      <w:pPr>
        <w:spacing w:line="400" w:lineRule="atLeast"/>
        <w:rPr>
          <w:rFonts w:ascii="Times New Roman" w:hAnsi="Times New Roman" w:cs="Times New Roman"/>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80"/>
        <w:gridCol w:w="1334"/>
        <w:gridCol w:w="1334"/>
        <w:gridCol w:w="1472"/>
        <w:gridCol w:w="1028"/>
        <w:gridCol w:w="1028"/>
      </w:tblGrid>
      <w:tr w:rsidR="00520D2C" w14:paraId="4C7188E2" w14:textId="77777777">
        <w:trPr>
          <w:cantSplit/>
        </w:trPr>
        <w:tc>
          <w:tcPr>
            <w:tcW w:w="8106" w:type="dxa"/>
            <w:gridSpan w:val="7"/>
            <w:tcBorders>
              <w:top w:val="nil"/>
              <w:left w:val="nil"/>
              <w:bottom w:val="nil"/>
              <w:right w:val="nil"/>
            </w:tcBorders>
            <w:shd w:val="clear" w:color="auto" w:fill="FFFFFF"/>
            <w:vAlign w:val="center"/>
          </w:tcPr>
          <w:p w14:paraId="34E4E6A8"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0AC2A950" w14:textId="77777777">
        <w:trPr>
          <w:cantSplit/>
        </w:trPr>
        <w:tc>
          <w:tcPr>
            <w:tcW w:w="1915" w:type="dxa"/>
            <w:gridSpan w:val="2"/>
            <w:vMerge w:val="restart"/>
            <w:tcBorders>
              <w:top w:val="nil"/>
              <w:left w:val="nil"/>
              <w:bottom w:val="nil"/>
              <w:right w:val="nil"/>
            </w:tcBorders>
            <w:shd w:val="clear" w:color="auto" w:fill="FFFFFF"/>
            <w:vAlign w:val="bottom"/>
          </w:tcPr>
          <w:p w14:paraId="3A9D156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3749E47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28CE3B8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7" w:type="dxa"/>
            <w:vMerge w:val="restart"/>
            <w:tcBorders>
              <w:top w:val="nil"/>
              <w:left w:val="single" w:sz="8" w:space="0" w:color="E0E0E0"/>
              <w:bottom w:val="nil"/>
              <w:right w:val="single" w:sz="8" w:space="0" w:color="E0E0E0"/>
            </w:tcBorders>
            <w:shd w:val="clear" w:color="auto" w:fill="FFFFFF"/>
            <w:vAlign w:val="bottom"/>
          </w:tcPr>
          <w:p w14:paraId="0ACDF6B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7" w:type="dxa"/>
            <w:vMerge w:val="restart"/>
            <w:tcBorders>
              <w:top w:val="nil"/>
              <w:left w:val="single" w:sz="8" w:space="0" w:color="E0E0E0"/>
              <w:bottom w:val="nil"/>
              <w:right w:val="nil"/>
            </w:tcBorders>
            <w:shd w:val="clear" w:color="auto" w:fill="FFFFFF"/>
            <w:vAlign w:val="bottom"/>
          </w:tcPr>
          <w:p w14:paraId="1A7EBA6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13E41A5B" w14:textId="77777777">
        <w:trPr>
          <w:cantSplit/>
        </w:trPr>
        <w:tc>
          <w:tcPr>
            <w:tcW w:w="1915" w:type="dxa"/>
            <w:gridSpan w:val="2"/>
            <w:vMerge/>
            <w:tcBorders>
              <w:top w:val="nil"/>
              <w:left w:val="nil"/>
              <w:bottom w:val="nil"/>
              <w:right w:val="nil"/>
            </w:tcBorders>
            <w:shd w:val="clear" w:color="auto" w:fill="FFFFFF"/>
            <w:vAlign w:val="bottom"/>
          </w:tcPr>
          <w:p w14:paraId="68E62100"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5F8CED0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3C6DA17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54D9665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7" w:type="dxa"/>
            <w:vMerge/>
            <w:tcBorders>
              <w:top w:val="nil"/>
              <w:left w:val="single" w:sz="8" w:space="0" w:color="E0E0E0"/>
              <w:bottom w:val="nil"/>
              <w:right w:val="single" w:sz="8" w:space="0" w:color="E0E0E0"/>
            </w:tcBorders>
            <w:shd w:val="clear" w:color="auto" w:fill="FFFFFF"/>
            <w:vAlign w:val="bottom"/>
          </w:tcPr>
          <w:p w14:paraId="333721D2" w14:textId="77777777" w:rsidR="00520D2C" w:rsidRDefault="00520D2C">
            <w:pPr>
              <w:rPr>
                <w:rFonts w:ascii="Arial" w:hAnsi="Arial" w:cs="Arial"/>
                <w:color w:val="264A60"/>
                <w:sz w:val="18"/>
                <w:szCs w:val="18"/>
              </w:rPr>
            </w:pPr>
          </w:p>
        </w:tc>
        <w:tc>
          <w:tcPr>
            <w:tcW w:w="1027" w:type="dxa"/>
            <w:vMerge/>
            <w:tcBorders>
              <w:top w:val="nil"/>
              <w:left w:val="single" w:sz="8" w:space="0" w:color="E0E0E0"/>
              <w:bottom w:val="nil"/>
              <w:right w:val="nil"/>
            </w:tcBorders>
            <w:shd w:val="clear" w:color="auto" w:fill="FFFFFF"/>
            <w:vAlign w:val="bottom"/>
          </w:tcPr>
          <w:p w14:paraId="65193A72" w14:textId="77777777" w:rsidR="00520D2C" w:rsidRDefault="00520D2C">
            <w:pPr>
              <w:rPr>
                <w:rFonts w:ascii="Arial" w:hAnsi="Arial" w:cs="Arial"/>
                <w:color w:val="264A60"/>
                <w:sz w:val="18"/>
                <w:szCs w:val="18"/>
              </w:rPr>
            </w:pPr>
          </w:p>
        </w:tc>
      </w:tr>
      <w:tr w:rsidR="00520D2C" w14:paraId="01A81C94"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30D3E0F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180" w:type="dxa"/>
            <w:tcBorders>
              <w:top w:val="single" w:sz="8" w:space="0" w:color="152935"/>
              <w:left w:val="nil"/>
              <w:bottom w:val="single" w:sz="8" w:space="0" w:color="AEAEAE"/>
              <w:right w:val="nil"/>
            </w:tcBorders>
            <w:shd w:val="clear" w:color="auto" w:fill="E0E0E0"/>
          </w:tcPr>
          <w:p w14:paraId="4B6A174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400BFDC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4.752</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2714506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1.412</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515C67D6" w14:textId="77777777" w:rsidR="00520D2C" w:rsidRDefault="00520D2C">
            <w:pPr>
              <w:rPr>
                <w:rFonts w:ascii="Times New Roman" w:hAnsi="Times New Roman" w:cs="Times New Roman"/>
              </w:rPr>
            </w:pP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61086B5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3.366</w:t>
            </w:r>
          </w:p>
        </w:tc>
        <w:tc>
          <w:tcPr>
            <w:tcW w:w="1027" w:type="dxa"/>
            <w:tcBorders>
              <w:top w:val="single" w:sz="8" w:space="0" w:color="152935"/>
              <w:left w:val="single" w:sz="8" w:space="0" w:color="E0E0E0"/>
              <w:bottom w:val="single" w:sz="8" w:space="0" w:color="AEAEAE"/>
              <w:right w:val="nil"/>
            </w:tcBorders>
            <w:shd w:val="clear" w:color="auto" w:fill="F9F9FB"/>
          </w:tcPr>
          <w:p w14:paraId="1B0A9FF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.008</w:t>
            </w:r>
          </w:p>
        </w:tc>
      </w:tr>
      <w:tr w:rsidR="00520D2C" w14:paraId="5C87ECD7" w14:textId="77777777">
        <w:trPr>
          <w:cantSplit/>
        </w:trPr>
        <w:tc>
          <w:tcPr>
            <w:tcW w:w="735" w:type="dxa"/>
            <w:vMerge/>
            <w:tcBorders>
              <w:top w:val="single" w:sz="8" w:space="0" w:color="152935"/>
              <w:left w:val="nil"/>
              <w:bottom w:val="single" w:sz="8" w:space="0" w:color="152935"/>
              <w:right w:val="nil"/>
            </w:tcBorders>
            <w:shd w:val="clear" w:color="auto" w:fill="E0E0E0"/>
          </w:tcPr>
          <w:p w14:paraId="295D1CAE" w14:textId="77777777" w:rsidR="00520D2C" w:rsidRDefault="00520D2C">
            <w:pPr>
              <w:rPr>
                <w:rFonts w:ascii="Arial" w:hAnsi="Arial" w:cs="Arial"/>
                <w:color w:val="010205"/>
                <w:sz w:val="18"/>
                <w:szCs w:val="18"/>
              </w:rPr>
            </w:pPr>
          </w:p>
        </w:tc>
        <w:tc>
          <w:tcPr>
            <w:tcW w:w="1180" w:type="dxa"/>
            <w:tcBorders>
              <w:top w:val="single" w:sz="8" w:space="0" w:color="AEAEAE"/>
              <w:left w:val="nil"/>
              <w:bottom w:val="single" w:sz="8" w:space="0" w:color="152935"/>
              <w:right w:val="nil"/>
            </w:tcBorders>
            <w:shd w:val="clear" w:color="auto" w:fill="E0E0E0"/>
          </w:tcPr>
          <w:p w14:paraId="7421FA8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inflation</w:t>
            </w:r>
          </w:p>
        </w:tc>
        <w:tc>
          <w:tcPr>
            <w:tcW w:w="1333" w:type="dxa"/>
            <w:tcBorders>
              <w:top w:val="single" w:sz="8" w:space="0" w:color="AEAEAE"/>
              <w:left w:val="nil"/>
              <w:bottom w:val="single" w:sz="8" w:space="0" w:color="152935"/>
              <w:right w:val="single" w:sz="8" w:space="0" w:color="E0E0E0"/>
            </w:tcBorders>
            <w:shd w:val="clear" w:color="auto" w:fill="F9F9FB"/>
          </w:tcPr>
          <w:p w14:paraId="5695F98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.002</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5292B3D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.041</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610A2C5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.012</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5E544C1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.037</w:t>
            </w:r>
          </w:p>
        </w:tc>
        <w:tc>
          <w:tcPr>
            <w:tcW w:w="1027" w:type="dxa"/>
            <w:tcBorders>
              <w:top w:val="single" w:sz="8" w:space="0" w:color="AEAEAE"/>
              <w:left w:val="single" w:sz="8" w:space="0" w:color="E0E0E0"/>
              <w:bottom w:val="single" w:sz="8" w:space="0" w:color="152935"/>
              <w:right w:val="nil"/>
            </w:tcBorders>
            <w:shd w:val="clear" w:color="auto" w:fill="F9F9FB"/>
          </w:tcPr>
          <w:p w14:paraId="62F7EE9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.971</w:t>
            </w:r>
          </w:p>
        </w:tc>
      </w:tr>
    </w:tbl>
    <w:p w14:paraId="6595EED6" w14:textId="77777777" w:rsidR="00520D2C" w:rsidRDefault="00520D2C">
      <w:pPr>
        <w:rPr>
          <w:rFonts w:ascii="Arial" w:hAnsi="Arial" w:cs="Arial"/>
          <w:color w:val="010205"/>
          <w:sz w:val="18"/>
          <w:szCs w:val="18"/>
        </w:rPr>
      </w:pPr>
    </w:p>
    <w:tbl>
      <w:tblPr>
        <w:tblW w:w="8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10"/>
      </w:tblGrid>
      <w:tr w:rsidR="00520D2C" w:rsidRPr="00FB2AD1" w14:paraId="2DCC7FE2" w14:textId="77777777">
        <w:trPr>
          <w:cantSplit/>
        </w:trPr>
        <w:tc>
          <w:tcPr>
            <w:tcW w:w="8106" w:type="dxa"/>
            <w:tcBorders>
              <w:top w:val="nil"/>
              <w:left w:val="nil"/>
              <w:bottom w:val="nil"/>
              <w:right w:val="nil"/>
            </w:tcBorders>
            <w:shd w:val="clear" w:color="auto" w:fill="FFFFFF"/>
          </w:tcPr>
          <w:p w14:paraId="43F875D0"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bl>
    <w:p w14:paraId="1952DA58" w14:textId="77777777" w:rsidR="00520D2C" w:rsidRPr="0061791E" w:rsidRDefault="00520D2C">
      <w:pPr>
        <w:spacing w:line="400" w:lineRule="atLeast"/>
        <w:rPr>
          <w:rFonts w:ascii="Times New Roman" w:hAnsi="Times New Roman" w:cs="Times New Roman"/>
          <w:lang w:val="en-US"/>
        </w:rPr>
      </w:pPr>
    </w:p>
    <w:p w14:paraId="1A8F2243" w14:textId="77777777" w:rsidR="00520D2C" w:rsidRDefault="00520D2C">
      <w:pPr>
        <w:rPr>
          <w:rFonts w:ascii="Arial" w:hAnsi="Arial" w:cs="Arial"/>
          <w:b/>
          <w:bCs/>
          <w:sz w:val="26"/>
          <w:szCs w:val="26"/>
        </w:rPr>
      </w:pPr>
      <w:r>
        <w:rPr>
          <w:rFonts w:ascii="Arial" w:hAnsi="Arial" w:cs="Arial"/>
          <w:b/>
          <w:bCs/>
          <w:sz w:val="26"/>
          <w:szCs w:val="26"/>
        </w:rPr>
        <w:t>Regression</w:t>
      </w:r>
    </w:p>
    <w:p w14:paraId="6B851FB6" w14:textId="77777777" w:rsidR="00520D2C" w:rsidRDefault="00520D2C">
      <w:pPr>
        <w:spacing w:line="400" w:lineRule="atLeast"/>
        <w:rPr>
          <w:rFonts w:ascii="Times New Roman" w:hAnsi="Times New Roman" w:cs="Times New Roman"/>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46FFC68A" w14:textId="77777777">
        <w:trPr>
          <w:cantSplit/>
        </w:trPr>
        <w:tc>
          <w:tcPr>
            <w:tcW w:w="4804" w:type="dxa"/>
            <w:gridSpan w:val="4"/>
            <w:tcBorders>
              <w:top w:val="nil"/>
              <w:left w:val="nil"/>
              <w:bottom w:val="nil"/>
              <w:right w:val="nil"/>
            </w:tcBorders>
            <w:shd w:val="clear" w:color="auto" w:fill="FFFFFF"/>
            <w:vAlign w:val="center"/>
          </w:tcPr>
          <w:p w14:paraId="6D1E85CC"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40CCA15D" w14:textId="77777777">
        <w:trPr>
          <w:cantSplit/>
        </w:trPr>
        <w:tc>
          <w:tcPr>
            <w:tcW w:w="803" w:type="dxa"/>
            <w:tcBorders>
              <w:top w:val="nil"/>
              <w:left w:val="nil"/>
              <w:bottom w:val="single" w:sz="8" w:space="0" w:color="152935"/>
              <w:right w:val="nil"/>
            </w:tcBorders>
            <w:shd w:val="clear" w:color="auto" w:fill="FFFFFF"/>
            <w:vAlign w:val="bottom"/>
          </w:tcPr>
          <w:p w14:paraId="5D70777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3EA4208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3981483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2FBB558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5EB2C0D7" w14:textId="77777777">
        <w:trPr>
          <w:cantSplit/>
        </w:trPr>
        <w:tc>
          <w:tcPr>
            <w:tcW w:w="803" w:type="dxa"/>
            <w:tcBorders>
              <w:top w:val="single" w:sz="8" w:space="0" w:color="152935"/>
              <w:left w:val="nil"/>
              <w:bottom w:val="single" w:sz="8" w:space="0" w:color="152935"/>
              <w:right w:val="nil"/>
            </w:tcBorders>
            <w:shd w:val="clear" w:color="auto" w:fill="E0E0E0"/>
          </w:tcPr>
          <w:p w14:paraId="055742A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7FA4E0A6"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Unemployment</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734B344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272201FB"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0A9CDCF6"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rsidRPr="00FB2AD1" w14:paraId="21F1DBD0" w14:textId="77777777">
        <w:trPr>
          <w:cantSplit/>
        </w:trPr>
        <w:tc>
          <w:tcPr>
            <w:tcW w:w="4804" w:type="dxa"/>
            <w:tcBorders>
              <w:top w:val="nil"/>
              <w:left w:val="nil"/>
              <w:bottom w:val="nil"/>
              <w:right w:val="nil"/>
            </w:tcBorders>
            <w:shd w:val="clear" w:color="auto" w:fill="FFFFFF"/>
          </w:tcPr>
          <w:p w14:paraId="3ED58F9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rsidRPr="00FB2AD1" w14:paraId="186FBE83" w14:textId="77777777">
        <w:trPr>
          <w:cantSplit/>
        </w:trPr>
        <w:tc>
          <w:tcPr>
            <w:tcW w:w="4804" w:type="dxa"/>
            <w:tcBorders>
              <w:top w:val="nil"/>
              <w:left w:val="nil"/>
              <w:bottom w:val="nil"/>
              <w:right w:val="nil"/>
            </w:tcBorders>
            <w:shd w:val="clear" w:color="auto" w:fill="FFFFFF"/>
          </w:tcPr>
          <w:p w14:paraId="568A7322"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11EC754B" w14:textId="77777777" w:rsidR="00520D2C" w:rsidRPr="0061791E" w:rsidRDefault="00520D2C">
      <w:pPr>
        <w:spacing w:line="400" w:lineRule="atLeast"/>
        <w:rPr>
          <w:rFonts w:ascii="Times New Roman" w:hAnsi="Times New Roman" w:cs="Times New Roman"/>
          <w:lang w:val="en-US"/>
        </w:rPr>
      </w:pPr>
    </w:p>
    <w:p w14:paraId="375C7F96"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3448F1E7" w14:textId="77777777">
        <w:trPr>
          <w:cantSplit/>
        </w:trPr>
        <w:tc>
          <w:tcPr>
            <w:tcW w:w="5880" w:type="dxa"/>
            <w:gridSpan w:val="5"/>
            <w:tcBorders>
              <w:top w:val="nil"/>
              <w:left w:val="nil"/>
              <w:bottom w:val="nil"/>
              <w:right w:val="nil"/>
            </w:tcBorders>
            <w:shd w:val="clear" w:color="auto" w:fill="FFFFFF"/>
            <w:vAlign w:val="center"/>
          </w:tcPr>
          <w:p w14:paraId="72975FF3"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62005854" w14:textId="77777777">
        <w:trPr>
          <w:cantSplit/>
        </w:trPr>
        <w:tc>
          <w:tcPr>
            <w:tcW w:w="800" w:type="dxa"/>
            <w:tcBorders>
              <w:top w:val="nil"/>
              <w:left w:val="nil"/>
              <w:bottom w:val="single" w:sz="8" w:space="0" w:color="152935"/>
              <w:right w:val="nil"/>
            </w:tcBorders>
            <w:shd w:val="clear" w:color="auto" w:fill="FFFFFF"/>
            <w:vAlign w:val="bottom"/>
          </w:tcPr>
          <w:p w14:paraId="6D74F1D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3A6FF8B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74A646E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29FAB00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11401207"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3F12B04F" w14:textId="77777777">
        <w:trPr>
          <w:cantSplit/>
        </w:trPr>
        <w:tc>
          <w:tcPr>
            <w:tcW w:w="800" w:type="dxa"/>
            <w:tcBorders>
              <w:top w:val="single" w:sz="8" w:space="0" w:color="152935"/>
              <w:left w:val="nil"/>
              <w:bottom w:val="single" w:sz="8" w:space="0" w:color="152935"/>
              <w:right w:val="nil"/>
            </w:tcBorders>
            <w:shd w:val="clear" w:color="auto" w:fill="E0E0E0"/>
          </w:tcPr>
          <w:p w14:paraId="42497AC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17F85CE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2E116C6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.037</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6D796F4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-.070</w:t>
            </w:r>
          </w:p>
        </w:tc>
        <w:tc>
          <w:tcPr>
            <w:tcW w:w="1478" w:type="dxa"/>
            <w:tcBorders>
              <w:top w:val="single" w:sz="8" w:space="0" w:color="152935"/>
              <w:left w:val="single" w:sz="8" w:space="0" w:color="E0E0E0"/>
              <w:bottom w:val="single" w:sz="8" w:space="0" w:color="152935"/>
              <w:right w:val="nil"/>
            </w:tcBorders>
            <w:shd w:val="clear" w:color="auto" w:fill="F9F9FB"/>
          </w:tcPr>
          <w:p w14:paraId="66AE12C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3.02666</w:t>
            </w:r>
          </w:p>
        </w:tc>
      </w:tr>
    </w:tbl>
    <w:p w14:paraId="4B02AF00"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47765020" w14:textId="77777777">
        <w:trPr>
          <w:cantSplit/>
        </w:trPr>
        <w:tc>
          <w:tcPr>
            <w:tcW w:w="5880" w:type="dxa"/>
            <w:tcBorders>
              <w:top w:val="nil"/>
              <w:left w:val="nil"/>
              <w:bottom w:val="nil"/>
              <w:right w:val="nil"/>
            </w:tcBorders>
            <w:shd w:val="clear" w:color="auto" w:fill="FFFFFF"/>
          </w:tcPr>
          <w:p w14:paraId="410066D8"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Unemployment</w:t>
            </w:r>
          </w:p>
        </w:tc>
      </w:tr>
    </w:tbl>
    <w:p w14:paraId="31934394" w14:textId="77777777" w:rsidR="00520D2C" w:rsidRDefault="00520D2C">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520D2C" w14:paraId="4BDBB388" w14:textId="77777777">
        <w:trPr>
          <w:cantSplit/>
        </w:trPr>
        <w:tc>
          <w:tcPr>
            <w:tcW w:w="7987" w:type="dxa"/>
            <w:gridSpan w:val="7"/>
            <w:tcBorders>
              <w:top w:val="nil"/>
              <w:left w:val="nil"/>
              <w:bottom w:val="nil"/>
              <w:right w:val="nil"/>
            </w:tcBorders>
            <w:shd w:val="clear" w:color="auto" w:fill="FFFFFF"/>
            <w:vAlign w:val="center"/>
          </w:tcPr>
          <w:p w14:paraId="79945DB4"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0EDEC6A5" w14:textId="77777777">
        <w:trPr>
          <w:cantSplit/>
        </w:trPr>
        <w:tc>
          <w:tcPr>
            <w:tcW w:w="2024" w:type="dxa"/>
            <w:gridSpan w:val="2"/>
            <w:tcBorders>
              <w:top w:val="nil"/>
              <w:left w:val="nil"/>
              <w:bottom w:val="single" w:sz="8" w:space="0" w:color="152935"/>
              <w:right w:val="nil"/>
            </w:tcBorders>
            <w:shd w:val="clear" w:color="auto" w:fill="FFFFFF"/>
            <w:vAlign w:val="bottom"/>
          </w:tcPr>
          <w:p w14:paraId="46834D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362F29F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4A68A39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single" w:sz="8" w:space="0" w:color="E0E0E0"/>
            </w:tcBorders>
            <w:shd w:val="clear" w:color="auto" w:fill="FFFFFF"/>
            <w:vAlign w:val="bottom"/>
          </w:tcPr>
          <w:p w14:paraId="2B58DC0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0AFDE24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48DE2FD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3C275056"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1377528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63A4D8E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462319E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3.143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4BA5548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10" w:type="dxa"/>
            <w:tcBorders>
              <w:top w:val="single" w:sz="8" w:space="0" w:color="152935"/>
              <w:left w:val="single" w:sz="8" w:space="0" w:color="E0E0E0"/>
              <w:bottom w:val="single" w:sz="8" w:space="0" w:color="AEAEAE"/>
              <w:right w:val="single" w:sz="8" w:space="0" w:color="E0E0E0"/>
            </w:tcBorders>
            <w:shd w:val="clear" w:color="auto" w:fill="F9F9FB"/>
          </w:tcPr>
          <w:p w14:paraId="20A9E12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3.143</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302F113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.343</w:t>
            </w:r>
          </w:p>
        </w:tc>
        <w:tc>
          <w:tcPr>
            <w:tcW w:w="1027" w:type="dxa"/>
            <w:tcBorders>
              <w:top w:val="single" w:sz="8" w:space="0" w:color="152935"/>
              <w:left w:val="single" w:sz="8" w:space="0" w:color="E0E0E0"/>
              <w:bottom w:val="single" w:sz="8" w:space="0" w:color="AEAEAE"/>
              <w:right w:val="nil"/>
            </w:tcBorders>
            <w:shd w:val="clear" w:color="auto" w:fill="F9F9FB"/>
          </w:tcPr>
          <w:p w14:paraId="18B3935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.572</w:t>
            </w:r>
            <w:r>
              <w:rPr>
                <w:rFonts w:ascii="Arial" w:hAnsi="Arial" w:cs="Arial"/>
                <w:color w:val="010205"/>
                <w:sz w:val="18"/>
                <w:szCs w:val="18"/>
                <w:vertAlign w:val="superscript"/>
              </w:rPr>
              <w:t>b</w:t>
            </w:r>
          </w:p>
        </w:tc>
      </w:tr>
      <w:tr w:rsidR="00520D2C" w14:paraId="46876D1E" w14:textId="77777777">
        <w:trPr>
          <w:cantSplit/>
        </w:trPr>
        <w:tc>
          <w:tcPr>
            <w:tcW w:w="736" w:type="dxa"/>
            <w:vMerge/>
            <w:tcBorders>
              <w:top w:val="single" w:sz="8" w:space="0" w:color="152935"/>
              <w:left w:val="nil"/>
              <w:bottom w:val="single" w:sz="8" w:space="0" w:color="152935"/>
              <w:right w:val="nil"/>
            </w:tcBorders>
            <w:shd w:val="clear" w:color="auto" w:fill="E0E0E0"/>
          </w:tcPr>
          <w:p w14:paraId="4B41B8C6"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335A735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3007FAF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82.446</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3D34BE1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2B6C32D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9.161</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0E769CC"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78D2B56F" w14:textId="77777777" w:rsidR="00520D2C" w:rsidRDefault="00520D2C">
            <w:pPr>
              <w:rPr>
                <w:rFonts w:ascii="Times New Roman" w:hAnsi="Times New Roman" w:cs="Times New Roman"/>
              </w:rPr>
            </w:pPr>
          </w:p>
        </w:tc>
      </w:tr>
      <w:tr w:rsidR="00520D2C" w14:paraId="719BD75E" w14:textId="77777777">
        <w:trPr>
          <w:cantSplit/>
        </w:trPr>
        <w:tc>
          <w:tcPr>
            <w:tcW w:w="736" w:type="dxa"/>
            <w:vMerge/>
            <w:tcBorders>
              <w:top w:val="single" w:sz="8" w:space="0" w:color="152935"/>
              <w:left w:val="nil"/>
              <w:bottom w:val="single" w:sz="8" w:space="0" w:color="152935"/>
              <w:right w:val="nil"/>
            </w:tcBorders>
            <w:shd w:val="clear" w:color="auto" w:fill="E0E0E0"/>
          </w:tcPr>
          <w:p w14:paraId="5471F33C"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328D2EB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6D47291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85.589</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5DFFE05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1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C4E8861"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2BD2C71C"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502D36CB" w14:textId="77777777" w:rsidR="00520D2C" w:rsidRDefault="00520D2C">
            <w:pPr>
              <w:rPr>
                <w:rFonts w:ascii="Times New Roman" w:hAnsi="Times New Roman" w:cs="Times New Roman"/>
              </w:rPr>
            </w:pPr>
          </w:p>
        </w:tc>
      </w:tr>
    </w:tbl>
    <w:p w14:paraId="02A23840" w14:textId="77777777" w:rsidR="00520D2C" w:rsidRDefault="00520D2C">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520D2C" w:rsidRPr="00FB2AD1" w14:paraId="5B13AC5A" w14:textId="77777777">
        <w:trPr>
          <w:cantSplit/>
        </w:trPr>
        <w:tc>
          <w:tcPr>
            <w:tcW w:w="7987" w:type="dxa"/>
            <w:tcBorders>
              <w:top w:val="nil"/>
              <w:left w:val="nil"/>
              <w:bottom w:val="nil"/>
              <w:right w:val="nil"/>
            </w:tcBorders>
            <w:shd w:val="clear" w:color="auto" w:fill="FFFFFF"/>
          </w:tcPr>
          <w:p w14:paraId="24548F8C"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14:paraId="3965FD9F" w14:textId="77777777">
        <w:trPr>
          <w:cantSplit/>
        </w:trPr>
        <w:tc>
          <w:tcPr>
            <w:tcW w:w="7987" w:type="dxa"/>
            <w:tcBorders>
              <w:top w:val="nil"/>
              <w:left w:val="nil"/>
              <w:bottom w:val="nil"/>
              <w:right w:val="nil"/>
            </w:tcBorders>
            <w:shd w:val="clear" w:color="auto" w:fill="FFFFFF"/>
          </w:tcPr>
          <w:p w14:paraId="1CC7D5E9"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Unemployment</w:t>
            </w:r>
          </w:p>
        </w:tc>
      </w:tr>
    </w:tbl>
    <w:p w14:paraId="09E47967" w14:textId="77777777" w:rsidR="00520D2C" w:rsidRDefault="00520D2C">
      <w:pPr>
        <w:spacing w:line="400" w:lineRule="atLeast"/>
        <w:rPr>
          <w:rFonts w:ascii="Times New Roman" w:hAnsi="Times New Roman" w:cs="Times New Roman"/>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79"/>
        <w:gridCol w:w="1333"/>
        <w:gridCol w:w="1333"/>
        <w:gridCol w:w="1472"/>
        <w:gridCol w:w="1026"/>
        <w:gridCol w:w="1026"/>
      </w:tblGrid>
      <w:tr w:rsidR="00520D2C" w14:paraId="5D0E3CA0" w14:textId="77777777">
        <w:trPr>
          <w:cantSplit/>
        </w:trPr>
        <w:tc>
          <w:tcPr>
            <w:tcW w:w="8502" w:type="dxa"/>
            <w:gridSpan w:val="7"/>
            <w:tcBorders>
              <w:top w:val="nil"/>
              <w:left w:val="nil"/>
              <w:bottom w:val="nil"/>
              <w:right w:val="nil"/>
            </w:tcBorders>
            <w:shd w:val="clear" w:color="auto" w:fill="FFFFFF"/>
            <w:vAlign w:val="center"/>
          </w:tcPr>
          <w:p w14:paraId="1D122B27"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4C08676E" w14:textId="77777777">
        <w:trPr>
          <w:cantSplit/>
        </w:trPr>
        <w:tc>
          <w:tcPr>
            <w:tcW w:w="2313" w:type="dxa"/>
            <w:gridSpan w:val="2"/>
            <w:vMerge w:val="restart"/>
            <w:tcBorders>
              <w:top w:val="nil"/>
              <w:left w:val="nil"/>
              <w:bottom w:val="nil"/>
              <w:right w:val="nil"/>
            </w:tcBorders>
            <w:shd w:val="clear" w:color="auto" w:fill="FFFFFF"/>
            <w:vAlign w:val="bottom"/>
          </w:tcPr>
          <w:p w14:paraId="0638AE9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478E1F2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324F297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21F76AF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2BCF554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58C7CC41" w14:textId="77777777">
        <w:trPr>
          <w:cantSplit/>
        </w:trPr>
        <w:tc>
          <w:tcPr>
            <w:tcW w:w="2313" w:type="dxa"/>
            <w:gridSpan w:val="2"/>
            <w:vMerge/>
            <w:tcBorders>
              <w:top w:val="nil"/>
              <w:left w:val="nil"/>
              <w:bottom w:val="nil"/>
              <w:right w:val="nil"/>
            </w:tcBorders>
            <w:shd w:val="clear" w:color="auto" w:fill="FFFFFF"/>
            <w:vAlign w:val="bottom"/>
          </w:tcPr>
          <w:p w14:paraId="7974B57C"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0D633DA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3341D16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7F0BB8D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7FBF923B"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7359D831" w14:textId="77777777" w:rsidR="00520D2C" w:rsidRDefault="00520D2C">
            <w:pPr>
              <w:rPr>
                <w:rFonts w:ascii="Arial" w:hAnsi="Arial" w:cs="Arial"/>
                <w:color w:val="264A60"/>
                <w:sz w:val="18"/>
                <w:szCs w:val="18"/>
              </w:rPr>
            </w:pPr>
          </w:p>
        </w:tc>
      </w:tr>
      <w:tr w:rsidR="00520D2C" w14:paraId="5A11D87D"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03F3CE9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578" w:type="dxa"/>
            <w:tcBorders>
              <w:top w:val="single" w:sz="8" w:space="0" w:color="152935"/>
              <w:left w:val="nil"/>
              <w:bottom w:val="single" w:sz="8" w:space="0" w:color="AEAEAE"/>
              <w:right w:val="nil"/>
            </w:tcBorders>
            <w:shd w:val="clear" w:color="auto" w:fill="E0E0E0"/>
          </w:tcPr>
          <w:p w14:paraId="3B48CBF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72C6D35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8.880</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50A7C64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7.040</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4F6E0820"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4B3AA34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1.261</w:t>
            </w:r>
          </w:p>
        </w:tc>
        <w:tc>
          <w:tcPr>
            <w:tcW w:w="1026" w:type="dxa"/>
            <w:tcBorders>
              <w:top w:val="single" w:sz="8" w:space="0" w:color="152935"/>
              <w:left w:val="single" w:sz="8" w:space="0" w:color="E0E0E0"/>
              <w:bottom w:val="single" w:sz="8" w:space="0" w:color="AEAEAE"/>
              <w:right w:val="nil"/>
            </w:tcBorders>
            <w:shd w:val="clear" w:color="auto" w:fill="F9F9FB"/>
          </w:tcPr>
          <w:p w14:paraId="23965A4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.239</w:t>
            </w:r>
          </w:p>
        </w:tc>
      </w:tr>
      <w:tr w:rsidR="00520D2C" w14:paraId="7BC1F851" w14:textId="77777777">
        <w:trPr>
          <w:cantSplit/>
        </w:trPr>
        <w:tc>
          <w:tcPr>
            <w:tcW w:w="735" w:type="dxa"/>
            <w:vMerge/>
            <w:tcBorders>
              <w:top w:val="single" w:sz="8" w:space="0" w:color="152935"/>
              <w:left w:val="nil"/>
              <w:bottom w:val="single" w:sz="8" w:space="0" w:color="152935"/>
              <w:right w:val="nil"/>
            </w:tcBorders>
            <w:shd w:val="clear" w:color="auto" w:fill="E0E0E0"/>
          </w:tcPr>
          <w:p w14:paraId="79AB21ED" w14:textId="77777777" w:rsidR="00520D2C" w:rsidRDefault="00520D2C">
            <w:pPr>
              <w:rPr>
                <w:rFonts w:ascii="Arial" w:hAnsi="Arial" w:cs="Arial"/>
                <w:color w:val="010205"/>
                <w:sz w:val="18"/>
                <w:szCs w:val="18"/>
              </w:rPr>
            </w:pPr>
          </w:p>
        </w:tc>
        <w:tc>
          <w:tcPr>
            <w:tcW w:w="1578" w:type="dxa"/>
            <w:tcBorders>
              <w:top w:val="single" w:sz="8" w:space="0" w:color="AEAEAE"/>
              <w:left w:val="nil"/>
              <w:bottom w:val="single" w:sz="8" w:space="0" w:color="152935"/>
              <w:right w:val="nil"/>
            </w:tcBorders>
            <w:shd w:val="clear" w:color="auto" w:fill="E0E0E0"/>
          </w:tcPr>
          <w:p w14:paraId="35417E3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Unemployment</w:t>
            </w:r>
          </w:p>
        </w:tc>
        <w:tc>
          <w:tcPr>
            <w:tcW w:w="1333" w:type="dxa"/>
            <w:tcBorders>
              <w:top w:val="single" w:sz="8" w:space="0" w:color="AEAEAE"/>
              <w:left w:val="nil"/>
              <w:bottom w:val="single" w:sz="8" w:space="0" w:color="152935"/>
              <w:right w:val="single" w:sz="8" w:space="0" w:color="E0E0E0"/>
            </w:tcBorders>
            <w:shd w:val="clear" w:color="auto" w:fill="F9F9FB"/>
          </w:tcPr>
          <w:p w14:paraId="2C945E1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-.374</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52EAB58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.638</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1143E59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74CAFBD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-.586</w:t>
            </w:r>
          </w:p>
        </w:tc>
        <w:tc>
          <w:tcPr>
            <w:tcW w:w="1026" w:type="dxa"/>
            <w:tcBorders>
              <w:top w:val="single" w:sz="8" w:space="0" w:color="AEAEAE"/>
              <w:left w:val="single" w:sz="8" w:space="0" w:color="E0E0E0"/>
              <w:bottom w:val="single" w:sz="8" w:space="0" w:color="152935"/>
              <w:right w:val="nil"/>
            </w:tcBorders>
            <w:shd w:val="clear" w:color="auto" w:fill="F9F9FB"/>
          </w:tcPr>
          <w:p w14:paraId="2A2C2CD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.572</w:t>
            </w:r>
          </w:p>
        </w:tc>
      </w:tr>
    </w:tbl>
    <w:p w14:paraId="5B603A0E" w14:textId="77777777" w:rsidR="00520D2C" w:rsidRDefault="00520D2C">
      <w:pPr>
        <w:rPr>
          <w:rFonts w:ascii="Arial" w:hAnsi="Arial" w:cs="Arial"/>
          <w:color w:val="010205"/>
          <w:sz w:val="18"/>
          <w:szCs w:val="18"/>
        </w:rPr>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05"/>
      </w:tblGrid>
      <w:tr w:rsidR="00520D2C" w:rsidRPr="00FB2AD1" w14:paraId="36C74B53" w14:textId="77777777">
        <w:trPr>
          <w:cantSplit/>
        </w:trPr>
        <w:tc>
          <w:tcPr>
            <w:tcW w:w="8502" w:type="dxa"/>
            <w:tcBorders>
              <w:top w:val="nil"/>
              <w:left w:val="nil"/>
              <w:bottom w:val="nil"/>
              <w:right w:val="nil"/>
            </w:tcBorders>
            <w:shd w:val="clear" w:color="auto" w:fill="FFFFFF"/>
          </w:tcPr>
          <w:p w14:paraId="15A00407"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bl>
    <w:p w14:paraId="16A16D45" w14:textId="77777777" w:rsidR="00520D2C" w:rsidRPr="00C279E0" w:rsidRDefault="00520D2C">
      <w:pPr>
        <w:rPr>
          <w:rFonts w:ascii="Arial" w:hAnsi="Arial" w:cs="Arial"/>
          <w:b/>
          <w:bCs/>
          <w:sz w:val="26"/>
          <w:szCs w:val="26"/>
          <w:lang w:val="en-US"/>
        </w:rPr>
      </w:pPr>
    </w:p>
    <w:p w14:paraId="49E9B9CC" w14:textId="77777777" w:rsidR="00520D2C" w:rsidRPr="003F664B" w:rsidRDefault="00520D2C" w:rsidP="003F664B">
      <w:pPr>
        <w:rPr>
          <w:rFonts w:ascii="Arial" w:hAnsi="Arial" w:cs="Arial"/>
          <w:b/>
          <w:bCs/>
          <w:sz w:val="26"/>
          <w:szCs w:val="26"/>
        </w:rPr>
      </w:pPr>
      <w:r>
        <w:rPr>
          <w:rFonts w:ascii="Arial" w:hAnsi="Arial" w:cs="Arial"/>
          <w:b/>
          <w:bCs/>
          <w:sz w:val="26"/>
          <w:szCs w:val="26"/>
        </w:rPr>
        <w:t>Regression</w:t>
      </w: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483"/>
        <w:gridCol w:w="1483"/>
        <w:gridCol w:w="1035"/>
      </w:tblGrid>
      <w:tr w:rsidR="00520D2C" w14:paraId="07696D8B" w14:textId="77777777">
        <w:trPr>
          <w:cantSplit/>
        </w:trPr>
        <w:tc>
          <w:tcPr>
            <w:tcW w:w="4804" w:type="dxa"/>
            <w:gridSpan w:val="4"/>
            <w:tcBorders>
              <w:top w:val="nil"/>
              <w:left w:val="nil"/>
              <w:bottom w:val="nil"/>
              <w:right w:val="nil"/>
            </w:tcBorders>
            <w:shd w:val="clear" w:color="auto" w:fill="FFFFFF"/>
            <w:vAlign w:val="center"/>
          </w:tcPr>
          <w:p w14:paraId="268996C3"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Variables Entered/Removed</w:t>
            </w:r>
            <w:r>
              <w:rPr>
                <w:rFonts w:ascii="Arial" w:hAnsi="Arial" w:cs="Arial"/>
                <w:b/>
                <w:bCs/>
                <w:color w:val="010205"/>
                <w:vertAlign w:val="superscript"/>
              </w:rPr>
              <w:t>a</w:t>
            </w:r>
          </w:p>
        </w:tc>
      </w:tr>
      <w:tr w:rsidR="00520D2C" w14:paraId="21421AF9" w14:textId="77777777">
        <w:trPr>
          <w:cantSplit/>
        </w:trPr>
        <w:tc>
          <w:tcPr>
            <w:tcW w:w="803" w:type="dxa"/>
            <w:tcBorders>
              <w:top w:val="nil"/>
              <w:left w:val="nil"/>
              <w:bottom w:val="single" w:sz="8" w:space="0" w:color="152935"/>
              <w:right w:val="nil"/>
            </w:tcBorders>
            <w:shd w:val="clear" w:color="auto" w:fill="FFFFFF"/>
            <w:vAlign w:val="bottom"/>
          </w:tcPr>
          <w:p w14:paraId="729C118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3" w:type="dxa"/>
            <w:tcBorders>
              <w:top w:val="nil"/>
              <w:left w:val="nil"/>
              <w:bottom w:val="single" w:sz="8" w:space="0" w:color="152935"/>
              <w:right w:val="single" w:sz="8" w:space="0" w:color="E0E0E0"/>
            </w:tcBorders>
            <w:shd w:val="clear" w:color="auto" w:fill="FFFFFF"/>
            <w:vAlign w:val="bottom"/>
          </w:tcPr>
          <w:p w14:paraId="68599CC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Entered</w:t>
            </w:r>
          </w:p>
        </w:tc>
        <w:tc>
          <w:tcPr>
            <w:tcW w:w="1483" w:type="dxa"/>
            <w:tcBorders>
              <w:top w:val="nil"/>
              <w:left w:val="single" w:sz="8" w:space="0" w:color="E0E0E0"/>
              <w:bottom w:val="single" w:sz="8" w:space="0" w:color="152935"/>
              <w:right w:val="single" w:sz="8" w:space="0" w:color="E0E0E0"/>
            </w:tcBorders>
            <w:shd w:val="clear" w:color="auto" w:fill="FFFFFF"/>
            <w:vAlign w:val="bottom"/>
          </w:tcPr>
          <w:p w14:paraId="50E00FE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Variables Removed</w:t>
            </w:r>
          </w:p>
        </w:tc>
        <w:tc>
          <w:tcPr>
            <w:tcW w:w="1035" w:type="dxa"/>
            <w:tcBorders>
              <w:top w:val="nil"/>
              <w:left w:val="single" w:sz="8" w:space="0" w:color="E0E0E0"/>
              <w:bottom w:val="single" w:sz="8" w:space="0" w:color="152935"/>
              <w:right w:val="nil"/>
            </w:tcBorders>
            <w:shd w:val="clear" w:color="auto" w:fill="FFFFFF"/>
            <w:vAlign w:val="bottom"/>
          </w:tcPr>
          <w:p w14:paraId="3ECEDEB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Method</w:t>
            </w:r>
          </w:p>
        </w:tc>
      </w:tr>
      <w:tr w:rsidR="00520D2C" w14:paraId="158DE4CA" w14:textId="77777777">
        <w:trPr>
          <w:cantSplit/>
        </w:trPr>
        <w:tc>
          <w:tcPr>
            <w:tcW w:w="803" w:type="dxa"/>
            <w:tcBorders>
              <w:top w:val="single" w:sz="8" w:space="0" w:color="152935"/>
              <w:left w:val="nil"/>
              <w:bottom w:val="single" w:sz="8" w:space="0" w:color="152935"/>
              <w:right w:val="nil"/>
            </w:tcBorders>
            <w:shd w:val="clear" w:color="auto" w:fill="E0E0E0"/>
          </w:tcPr>
          <w:p w14:paraId="001180C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83" w:type="dxa"/>
            <w:tcBorders>
              <w:top w:val="single" w:sz="8" w:space="0" w:color="152935"/>
              <w:left w:val="nil"/>
              <w:bottom w:val="single" w:sz="8" w:space="0" w:color="152935"/>
              <w:right w:val="single" w:sz="8" w:space="0" w:color="E0E0E0"/>
            </w:tcBorders>
            <w:shd w:val="clear" w:color="auto" w:fill="F9F9FB"/>
          </w:tcPr>
          <w:p w14:paraId="3A86F0BF"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exchange.rate</w:t>
            </w:r>
            <w:r>
              <w:rPr>
                <w:rFonts w:ascii="Arial" w:hAnsi="Arial" w:cs="Arial"/>
                <w:color w:val="010205"/>
                <w:sz w:val="18"/>
                <w:szCs w:val="18"/>
                <w:vertAlign w:val="superscript"/>
              </w:rPr>
              <w:t>b</w:t>
            </w:r>
          </w:p>
        </w:tc>
        <w:tc>
          <w:tcPr>
            <w:tcW w:w="1483" w:type="dxa"/>
            <w:tcBorders>
              <w:top w:val="single" w:sz="8" w:space="0" w:color="152935"/>
              <w:left w:val="single" w:sz="8" w:space="0" w:color="E0E0E0"/>
              <w:bottom w:val="single" w:sz="8" w:space="0" w:color="152935"/>
              <w:right w:val="single" w:sz="8" w:space="0" w:color="E0E0E0"/>
            </w:tcBorders>
            <w:shd w:val="clear" w:color="auto" w:fill="F9F9FB"/>
          </w:tcPr>
          <w:p w14:paraId="65CE92A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35" w:type="dxa"/>
            <w:tcBorders>
              <w:top w:val="single" w:sz="8" w:space="0" w:color="152935"/>
              <w:left w:val="single" w:sz="8" w:space="0" w:color="E0E0E0"/>
              <w:bottom w:val="single" w:sz="8" w:space="0" w:color="152935"/>
              <w:right w:val="nil"/>
            </w:tcBorders>
            <w:shd w:val="clear" w:color="auto" w:fill="F9F9FB"/>
          </w:tcPr>
          <w:p w14:paraId="40DDBC4E"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Enter</w:t>
            </w:r>
          </w:p>
        </w:tc>
      </w:tr>
    </w:tbl>
    <w:p w14:paraId="7F8ED4CC" w14:textId="77777777" w:rsidR="00520D2C" w:rsidRDefault="00520D2C">
      <w:pPr>
        <w:rPr>
          <w:rFonts w:ascii="Arial" w:hAnsi="Arial" w:cs="Arial"/>
          <w:color w:val="010205"/>
          <w:sz w:val="18"/>
          <w:szCs w:val="18"/>
        </w:rPr>
      </w:pPr>
    </w:p>
    <w:tbl>
      <w:tblPr>
        <w:tblW w:w="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05"/>
      </w:tblGrid>
      <w:tr w:rsidR="00520D2C" w:rsidRPr="00FB2AD1" w14:paraId="377DAA05" w14:textId="77777777">
        <w:trPr>
          <w:cantSplit/>
        </w:trPr>
        <w:tc>
          <w:tcPr>
            <w:tcW w:w="4804" w:type="dxa"/>
            <w:tcBorders>
              <w:top w:val="nil"/>
              <w:left w:val="nil"/>
              <w:bottom w:val="nil"/>
              <w:right w:val="nil"/>
            </w:tcBorders>
            <w:shd w:val="clear" w:color="auto" w:fill="FFFFFF"/>
          </w:tcPr>
          <w:p w14:paraId="258697E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rsidRPr="00FB2AD1" w14:paraId="206F3F6C" w14:textId="77777777">
        <w:trPr>
          <w:cantSplit/>
        </w:trPr>
        <w:tc>
          <w:tcPr>
            <w:tcW w:w="4804" w:type="dxa"/>
            <w:tcBorders>
              <w:top w:val="nil"/>
              <w:left w:val="nil"/>
              <w:bottom w:val="nil"/>
              <w:right w:val="nil"/>
            </w:tcBorders>
            <w:shd w:val="clear" w:color="auto" w:fill="FFFFFF"/>
          </w:tcPr>
          <w:p w14:paraId="6AF05163"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b. All requested variables entered.</w:t>
            </w:r>
          </w:p>
        </w:tc>
      </w:tr>
    </w:tbl>
    <w:p w14:paraId="5C1E39F9" w14:textId="77777777" w:rsidR="00520D2C" w:rsidRPr="0061791E" w:rsidRDefault="00520D2C">
      <w:pPr>
        <w:spacing w:line="400" w:lineRule="atLeast"/>
        <w:rPr>
          <w:rFonts w:ascii="Times New Roman" w:hAnsi="Times New Roman" w:cs="Times New Roman"/>
          <w:lang w:val="en-US"/>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0"/>
        <w:gridCol w:w="1031"/>
        <w:gridCol w:w="1093"/>
        <w:gridCol w:w="1479"/>
        <w:gridCol w:w="1479"/>
      </w:tblGrid>
      <w:tr w:rsidR="00520D2C" w14:paraId="19F2B18F" w14:textId="77777777">
        <w:trPr>
          <w:cantSplit/>
        </w:trPr>
        <w:tc>
          <w:tcPr>
            <w:tcW w:w="5880" w:type="dxa"/>
            <w:gridSpan w:val="5"/>
            <w:tcBorders>
              <w:top w:val="nil"/>
              <w:left w:val="nil"/>
              <w:bottom w:val="nil"/>
              <w:right w:val="nil"/>
            </w:tcBorders>
            <w:shd w:val="clear" w:color="auto" w:fill="FFFFFF"/>
            <w:vAlign w:val="center"/>
          </w:tcPr>
          <w:p w14:paraId="0EA2E332"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Model Summary</w:t>
            </w:r>
          </w:p>
        </w:tc>
      </w:tr>
      <w:tr w:rsidR="00520D2C" w:rsidRPr="00FB2AD1" w14:paraId="616412A4" w14:textId="77777777">
        <w:trPr>
          <w:cantSplit/>
        </w:trPr>
        <w:tc>
          <w:tcPr>
            <w:tcW w:w="800" w:type="dxa"/>
            <w:tcBorders>
              <w:top w:val="nil"/>
              <w:left w:val="nil"/>
              <w:bottom w:val="single" w:sz="8" w:space="0" w:color="152935"/>
              <w:right w:val="nil"/>
            </w:tcBorders>
            <w:shd w:val="clear" w:color="auto" w:fill="FFFFFF"/>
            <w:vAlign w:val="bottom"/>
          </w:tcPr>
          <w:p w14:paraId="0E927DD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1" w:type="dxa"/>
            <w:tcBorders>
              <w:top w:val="nil"/>
              <w:left w:val="nil"/>
              <w:bottom w:val="single" w:sz="8" w:space="0" w:color="152935"/>
              <w:right w:val="single" w:sz="8" w:space="0" w:color="E0E0E0"/>
            </w:tcBorders>
            <w:shd w:val="clear" w:color="auto" w:fill="FFFFFF"/>
            <w:vAlign w:val="bottom"/>
          </w:tcPr>
          <w:p w14:paraId="24F342A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3" w:type="dxa"/>
            <w:tcBorders>
              <w:top w:val="nil"/>
              <w:left w:val="single" w:sz="8" w:space="0" w:color="E0E0E0"/>
              <w:bottom w:val="single" w:sz="8" w:space="0" w:color="152935"/>
              <w:right w:val="single" w:sz="8" w:space="0" w:color="E0E0E0"/>
            </w:tcBorders>
            <w:shd w:val="clear" w:color="auto" w:fill="FFFFFF"/>
            <w:vAlign w:val="bottom"/>
          </w:tcPr>
          <w:p w14:paraId="234FEEE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78" w:type="dxa"/>
            <w:tcBorders>
              <w:top w:val="nil"/>
              <w:left w:val="single" w:sz="8" w:space="0" w:color="E0E0E0"/>
              <w:bottom w:val="single" w:sz="8" w:space="0" w:color="152935"/>
              <w:right w:val="single" w:sz="8" w:space="0" w:color="E0E0E0"/>
            </w:tcBorders>
            <w:shd w:val="clear" w:color="auto" w:fill="FFFFFF"/>
            <w:vAlign w:val="bottom"/>
          </w:tcPr>
          <w:p w14:paraId="4C8E158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78" w:type="dxa"/>
            <w:tcBorders>
              <w:top w:val="nil"/>
              <w:left w:val="single" w:sz="8" w:space="0" w:color="E0E0E0"/>
              <w:bottom w:val="single" w:sz="8" w:space="0" w:color="152935"/>
              <w:right w:val="nil"/>
            </w:tcBorders>
            <w:shd w:val="clear" w:color="auto" w:fill="FFFFFF"/>
            <w:vAlign w:val="bottom"/>
          </w:tcPr>
          <w:p w14:paraId="01DB9EB4" w14:textId="77777777" w:rsidR="00520D2C" w:rsidRPr="0061791E" w:rsidRDefault="00520D2C">
            <w:pPr>
              <w:spacing w:line="320" w:lineRule="atLeast"/>
              <w:ind w:left="60" w:right="60"/>
              <w:jc w:val="center"/>
              <w:rPr>
                <w:rFonts w:ascii="Arial" w:hAnsi="Arial" w:cs="Arial"/>
                <w:color w:val="264A60"/>
                <w:sz w:val="18"/>
                <w:szCs w:val="18"/>
                <w:lang w:val="en-US"/>
              </w:rPr>
            </w:pPr>
            <w:r w:rsidRPr="0061791E">
              <w:rPr>
                <w:rFonts w:ascii="Arial" w:hAnsi="Arial" w:cs="Arial"/>
                <w:color w:val="264A60"/>
                <w:sz w:val="18"/>
                <w:szCs w:val="18"/>
                <w:lang w:val="en-US"/>
              </w:rPr>
              <w:t>Std. Error of the Estimate</w:t>
            </w:r>
          </w:p>
        </w:tc>
      </w:tr>
      <w:tr w:rsidR="00520D2C" w14:paraId="34E745BF" w14:textId="77777777">
        <w:trPr>
          <w:cantSplit/>
        </w:trPr>
        <w:tc>
          <w:tcPr>
            <w:tcW w:w="800" w:type="dxa"/>
            <w:tcBorders>
              <w:top w:val="single" w:sz="8" w:space="0" w:color="152935"/>
              <w:left w:val="nil"/>
              <w:bottom w:val="single" w:sz="8" w:space="0" w:color="152935"/>
              <w:right w:val="nil"/>
            </w:tcBorders>
            <w:shd w:val="clear" w:color="auto" w:fill="E0E0E0"/>
          </w:tcPr>
          <w:p w14:paraId="572C00B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1" w:type="dxa"/>
            <w:tcBorders>
              <w:top w:val="single" w:sz="8" w:space="0" w:color="152935"/>
              <w:left w:val="nil"/>
              <w:bottom w:val="single" w:sz="8" w:space="0" w:color="152935"/>
              <w:right w:val="single" w:sz="8" w:space="0" w:color="E0E0E0"/>
            </w:tcBorders>
            <w:shd w:val="clear" w:color="auto" w:fill="F9F9FB"/>
          </w:tcPr>
          <w:p w14:paraId="4E241C8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r>
              <w:rPr>
                <w:rFonts w:ascii="Arial" w:hAnsi="Arial" w:cs="Arial"/>
                <w:color w:val="010205"/>
                <w:sz w:val="18"/>
                <w:szCs w:val="18"/>
                <w:vertAlign w:val="superscript"/>
              </w:rPr>
              <w:t>a</w:t>
            </w:r>
          </w:p>
        </w:tc>
        <w:tc>
          <w:tcPr>
            <w:tcW w:w="1093" w:type="dxa"/>
            <w:tcBorders>
              <w:top w:val="single" w:sz="8" w:space="0" w:color="152935"/>
              <w:left w:val="single" w:sz="8" w:space="0" w:color="E0E0E0"/>
              <w:bottom w:val="single" w:sz="8" w:space="0" w:color="152935"/>
              <w:right w:val="single" w:sz="8" w:space="0" w:color="E0E0E0"/>
            </w:tcBorders>
            <w:shd w:val="clear" w:color="auto" w:fill="F9F9FB"/>
          </w:tcPr>
          <w:p w14:paraId="5A6691A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1478" w:type="dxa"/>
            <w:tcBorders>
              <w:top w:val="single" w:sz="8" w:space="0" w:color="152935"/>
              <w:left w:val="single" w:sz="8" w:space="0" w:color="E0E0E0"/>
              <w:bottom w:val="single" w:sz="8" w:space="0" w:color="152935"/>
              <w:right w:val="single" w:sz="8" w:space="0" w:color="E0E0E0"/>
            </w:tcBorders>
            <w:shd w:val="clear" w:color="auto" w:fill="F9F9FB"/>
          </w:tcPr>
          <w:p w14:paraId="2BED7E4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-.110</w:t>
            </w:r>
          </w:p>
        </w:tc>
        <w:tc>
          <w:tcPr>
            <w:tcW w:w="1478" w:type="dxa"/>
            <w:tcBorders>
              <w:top w:val="single" w:sz="8" w:space="0" w:color="152935"/>
              <w:left w:val="single" w:sz="8" w:space="0" w:color="E0E0E0"/>
              <w:bottom w:val="single" w:sz="8" w:space="0" w:color="152935"/>
              <w:right w:val="nil"/>
            </w:tcBorders>
            <w:shd w:val="clear" w:color="auto" w:fill="F9F9FB"/>
          </w:tcPr>
          <w:p w14:paraId="5111DA0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3.08288</w:t>
            </w:r>
          </w:p>
        </w:tc>
      </w:tr>
    </w:tbl>
    <w:p w14:paraId="276B7120" w14:textId="77777777" w:rsidR="00520D2C" w:rsidRDefault="00520D2C">
      <w:pPr>
        <w:rPr>
          <w:rFonts w:ascii="Arial" w:hAnsi="Arial" w:cs="Arial"/>
          <w:color w:val="010205"/>
          <w:sz w:val="18"/>
          <w:szCs w:val="18"/>
        </w:rPr>
      </w:pPr>
    </w:p>
    <w:tbl>
      <w:tblPr>
        <w:tblW w:w="58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82"/>
      </w:tblGrid>
      <w:tr w:rsidR="00520D2C" w14:paraId="2372550B" w14:textId="77777777">
        <w:trPr>
          <w:cantSplit/>
        </w:trPr>
        <w:tc>
          <w:tcPr>
            <w:tcW w:w="5880" w:type="dxa"/>
            <w:tcBorders>
              <w:top w:val="nil"/>
              <w:left w:val="nil"/>
              <w:bottom w:val="nil"/>
              <w:right w:val="nil"/>
            </w:tcBorders>
            <w:shd w:val="clear" w:color="auto" w:fill="FFFFFF"/>
          </w:tcPr>
          <w:p w14:paraId="5FDFB011"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a. Predictors: (Constant), exchange.rate</w:t>
            </w:r>
          </w:p>
        </w:tc>
      </w:tr>
    </w:tbl>
    <w:p w14:paraId="74354ACE" w14:textId="77777777" w:rsidR="00520D2C" w:rsidRDefault="00520D2C">
      <w:pPr>
        <w:spacing w:line="400" w:lineRule="atLeast"/>
        <w:rPr>
          <w:rFonts w:ascii="Times New Roman" w:hAnsi="Times New Roman" w:cs="Times New Roman"/>
        </w:rPr>
      </w:pPr>
    </w:p>
    <w:p w14:paraId="3B83A970" w14:textId="77777777" w:rsidR="00520D2C" w:rsidRDefault="00520D2C">
      <w:pPr>
        <w:spacing w:line="400" w:lineRule="atLeast"/>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89"/>
        <w:gridCol w:w="1472"/>
        <w:gridCol w:w="1027"/>
        <w:gridCol w:w="1410"/>
        <w:gridCol w:w="1027"/>
        <w:gridCol w:w="1027"/>
      </w:tblGrid>
      <w:tr w:rsidR="00520D2C" w14:paraId="5D9D342A" w14:textId="77777777">
        <w:trPr>
          <w:cantSplit/>
        </w:trPr>
        <w:tc>
          <w:tcPr>
            <w:tcW w:w="7987" w:type="dxa"/>
            <w:gridSpan w:val="7"/>
            <w:tcBorders>
              <w:top w:val="nil"/>
              <w:left w:val="nil"/>
              <w:bottom w:val="nil"/>
              <w:right w:val="nil"/>
            </w:tcBorders>
            <w:shd w:val="clear" w:color="auto" w:fill="FFFFFF"/>
            <w:vAlign w:val="center"/>
          </w:tcPr>
          <w:p w14:paraId="4507F70B"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ANOVA</w:t>
            </w:r>
            <w:r>
              <w:rPr>
                <w:rFonts w:ascii="Arial" w:hAnsi="Arial" w:cs="Arial"/>
                <w:b/>
                <w:bCs/>
                <w:color w:val="010205"/>
                <w:vertAlign w:val="superscript"/>
              </w:rPr>
              <w:t>a</w:t>
            </w:r>
          </w:p>
        </w:tc>
      </w:tr>
      <w:tr w:rsidR="00520D2C" w14:paraId="258AECCE" w14:textId="77777777">
        <w:trPr>
          <w:cantSplit/>
        </w:trPr>
        <w:tc>
          <w:tcPr>
            <w:tcW w:w="2024" w:type="dxa"/>
            <w:gridSpan w:val="2"/>
            <w:tcBorders>
              <w:top w:val="nil"/>
              <w:left w:val="nil"/>
              <w:bottom w:val="single" w:sz="8" w:space="0" w:color="152935"/>
              <w:right w:val="nil"/>
            </w:tcBorders>
            <w:shd w:val="clear" w:color="auto" w:fill="FFFFFF"/>
            <w:vAlign w:val="bottom"/>
          </w:tcPr>
          <w:p w14:paraId="72E720E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2" w:type="dxa"/>
            <w:tcBorders>
              <w:top w:val="nil"/>
              <w:left w:val="nil"/>
              <w:bottom w:val="single" w:sz="8" w:space="0" w:color="152935"/>
              <w:right w:val="single" w:sz="8" w:space="0" w:color="E0E0E0"/>
            </w:tcBorders>
            <w:shd w:val="clear" w:color="auto" w:fill="FFFFFF"/>
            <w:vAlign w:val="bottom"/>
          </w:tcPr>
          <w:p w14:paraId="27E6ECA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6110AFB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410" w:type="dxa"/>
            <w:tcBorders>
              <w:top w:val="nil"/>
              <w:left w:val="single" w:sz="8" w:space="0" w:color="E0E0E0"/>
              <w:bottom w:val="single" w:sz="8" w:space="0" w:color="152935"/>
              <w:right w:val="single" w:sz="8" w:space="0" w:color="E0E0E0"/>
            </w:tcBorders>
            <w:shd w:val="clear" w:color="auto" w:fill="FFFFFF"/>
            <w:vAlign w:val="bottom"/>
          </w:tcPr>
          <w:p w14:paraId="5832919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2707527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27" w:type="dxa"/>
            <w:tcBorders>
              <w:top w:val="nil"/>
              <w:left w:val="single" w:sz="8" w:space="0" w:color="E0E0E0"/>
              <w:bottom w:val="single" w:sz="8" w:space="0" w:color="152935"/>
              <w:right w:val="nil"/>
            </w:tcBorders>
            <w:shd w:val="clear" w:color="auto" w:fill="FFFFFF"/>
            <w:vAlign w:val="bottom"/>
          </w:tcPr>
          <w:p w14:paraId="5EF2D96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1F84E93D"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5DAB710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88" w:type="dxa"/>
            <w:tcBorders>
              <w:top w:val="single" w:sz="8" w:space="0" w:color="152935"/>
              <w:left w:val="nil"/>
              <w:bottom w:val="single" w:sz="8" w:space="0" w:color="AEAEAE"/>
              <w:right w:val="nil"/>
            </w:tcBorders>
            <w:shd w:val="clear" w:color="auto" w:fill="E0E0E0"/>
          </w:tcPr>
          <w:p w14:paraId="151B08D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72" w:type="dxa"/>
            <w:tcBorders>
              <w:top w:val="single" w:sz="8" w:space="0" w:color="152935"/>
              <w:left w:val="nil"/>
              <w:bottom w:val="single" w:sz="8" w:space="0" w:color="AEAEAE"/>
              <w:right w:val="single" w:sz="8" w:space="0" w:color="E0E0E0"/>
            </w:tcBorders>
            <w:shd w:val="clear" w:color="auto" w:fill="F9F9FB"/>
          </w:tcPr>
          <w:p w14:paraId="492F9D1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.052</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42A9510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410" w:type="dxa"/>
            <w:tcBorders>
              <w:top w:val="single" w:sz="8" w:space="0" w:color="152935"/>
              <w:left w:val="single" w:sz="8" w:space="0" w:color="E0E0E0"/>
              <w:bottom w:val="single" w:sz="8" w:space="0" w:color="AEAEAE"/>
              <w:right w:val="single" w:sz="8" w:space="0" w:color="E0E0E0"/>
            </w:tcBorders>
            <w:shd w:val="clear" w:color="auto" w:fill="F9F9FB"/>
          </w:tcPr>
          <w:p w14:paraId="7496F1D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.052</w:t>
            </w:r>
          </w:p>
        </w:tc>
        <w:tc>
          <w:tcPr>
            <w:tcW w:w="1027" w:type="dxa"/>
            <w:tcBorders>
              <w:top w:val="single" w:sz="8" w:space="0" w:color="152935"/>
              <w:left w:val="single" w:sz="8" w:space="0" w:color="E0E0E0"/>
              <w:bottom w:val="single" w:sz="8" w:space="0" w:color="AEAEAE"/>
              <w:right w:val="single" w:sz="8" w:space="0" w:color="E0E0E0"/>
            </w:tcBorders>
            <w:shd w:val="clear" w:color="auto" w:fill="F9F9FB"/>
          </w:tcPr>
          <w:p w14:paraId="5DC936B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.005</w:t>
            </w:r>
          </w:p>
        </w:tc>
        <w:tc>
          <w:tcPr>
            <w:tcW w:w="1027" w:type="dxa"/>
            <w:tcBorders>
              <w:top w:val="single" w:sz="8" w:space="0" w:color="152935"/>
              <w:left w:val="single" w:sz="8" w:space="0" w:color="E0E0E0"/>
              <w:bottom w:val="single" w:sz="8" w:space="0" w:color="AEAEAE"/>
              <w:right w:val="nil"/>
            </w:tcBorders>
            <w:shd w:val="clear" w:color="auto" w:fill="F9F9FB"/>
          </w:tcPr>
          <w:p w14:paraId="0B4635A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.943</w:t>
            </w:r>
            <w:r>
              <w:rPr>
                <w:rFonts w:ascii="Arial" w:hAnsi="Arial" w:cs="Arial"/>
                <w:color w:val="010205"/>
                <w:sz w:val="18"/>
                <w:szCs w:val="18"/>
                <w:vertAlign w:val="superscript"/>
              </w:rPr>
              <w:t>b</w:t>
            </w:r>
          </w:p>
        </w:tc>
      </w:tr>
      <w:tr w:rsidR="00520D2C" w14:paraId="00B66504" w14:textId="77777777">
        <w:trPr>
          <w:cantSplit/>
        </w:trPr>
        <w:tc>
          <w:tcPr>
            <w:tcW w:w="736" w:type="dxa"/>
            <w:vMerge/>
            <w:tcBorders>
              <w:top w:val="single" w:sz="8" w:space="0" w:color="152935"/>
              <w:left w:val="nil"/>
              <w:bottom w:val="single" w:sz="8" w:space="0" w:color="152935"/>
              <w:right w:val="nil"/>
            </w:tcBorders>
            <w:shd w:val="clear" w:color="auto" w:fill="E0E0E0"/>
          </w:tcPr>
          <w:p w14:paraId="48F48B06" w14:textId="77777777" w:rsidR="00520D2C" w:rsidRDefault="00520D2C">
            <w:pPr>
              <w:rPr>
                <w:rFonts w:ascii="Arial" w:hAnsi="Arial" w:cs="Arial"/>
                <w:color w:val="010205"/>
                <w:sz w:val="18"/>
                <w:szCs w:val="18"/>
              </w:rPr>
            </w:pPr>
          </w:p>
        </w:tc>
        <w:tc>
          <w:tcPr>
            <w:tcW w:w="1288" w:type="dxa"/>
            <w:tcBorders>
              <w:top w:val="single" w:sz="8" w:space="0" w:color="AEAEAE"/>
              <w:left w:val="nil"/>
              <w:bottom w:val="single" w:sz="8" w:space="0" w:color="AEAEAE"/>
              <w:right w:val="nil"/>
            </w:tcBorders>
            <w:shd w:val="clear" w:color="auto" w:fill="E0E0E0"/>
          </w:tcPr>
          <w:p w14:paraId="6886320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72" w:type="dxa"/>
            <w:tcBorders>
              <w:top w:val="single" w:sz="8" w:space="0" w:color="AEAEAE"/>
              <w:left w:val="nil"/>
              <w:bottom w:val="single" w:sz="8" w:space="0" w:color="AEAEAE"/>
              <w:right w:val="single" w:sz="8" w:space="0" w:color="E0E0E0"/>
            </w:tcBorders>
            <w:shd w:val="clear" w:color="auto" w:fill="F9F9FB"/>
          </w:tcPr>
          <w:p w14:paraId="7F3B2AD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85.537</w:t>
            </w:r>
          </w:p>
        </w:tc>
        <w:tc>
          <w:tcPr>
            <w:tcW w:w="1027" w:type="dxa"/>
            <w:tcBorders>
              <w:top w:val="single" w:sz="8" w:space="0" w:color="AEAEAE"/>
              <w:left w:val="single" w:sz="8" w:space="0" w:color="E0E0E0"/>
              <w:bottom w:val="single" w:sz="8" w:space="0" w:color="AEAEAE"/>
              <w:right w:val="single" w:sz="8" w:space="0" w:color="E0E0E0"/>
            </w:tcBorders>
            <w:shd w:val="clear" w:color="auto" w:fill="F9F9FB"/>
          </w:tcPr>
          <w:p w14:paraId="1BE829B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410" w:type="dxa"/>
            <w:tcBorders>
              <w:top w:val="single" w:sz="8" w:space="0" w:color="AEAEAE"/>
              <w:left w:val="single" w:sz="8" w:space="0" w:color="E0E0E0"/>
              <w:bottom w:val="single" w:sz="8" w:space="0" w:color="AEAEAE"/>
              <w:right w:val="single" w:sz="8" w:space="0" w:color="E0E0E0"/>
            </w:tcBorders>
            <w:shd w:val="clear" w:color="auto" w:fill="F9F9FB"/>
          </w:tcPr>
          <w:p w14:paraId="34952B9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9.504</w:t>
            </w:r>
          </w:p>
        </w:tc>
        <w:tc>
          <w:tcPr>
            <w:tcW w:w="1027"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9B739F1"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AEAEAE"/>
              <w:right w:val="nil"/>
            </w:tcBorders>
            <w:shd w:val="clear" w:color="auto" w:fill="F9F9FB"/>
            <w:vAlign w:val="center"/>
          </w:tcPr>
          <w:p w14:paraId="6536C1D1" w14:textId="77777777" w:rsidR="00520D2C" w:rsidRDefault="00520D2C">
            <w:pPr>
              <w:rPr>
                <w:rFonts w:ascii="Times New Roman" w:hAnsi="Times New Roman" w:cs="Times New Roman"/>
              </w:rPr>
            </w:pPr>
          </w:p>
        </w:tc>
      </w:tr>
      <w:tr w:rsidR="00520D2C" w14:paraId="2B2B6870" w14:textId="77777777">
        <w:trPr>
          <w:cantSplit/>
        </w:trPr>
        <w:tc>
          <w:tcPr>
            <w:tcW w:w="736" w:type="dxa"/>
            <w:vMerge/>
            <w:tcBorders>
              <w:top w:val="single" w:sz="8" w:space="0" w:color="152935"/>
              <w:left w:val="nil"/>
              <w:bottom w:val="single" w:sz="8" w:space="0" w:color="152935"/>
              <w:right w:val="nil"/>
            </w:tcBorders>
            <w:shd w:val="clear" w:color="auto" w:fill="E0E0E0"/>
          </w:tcPr>
          <w:p w14:paraId="704E081E" w14:textId="77777777" w:rsidR="00520D2C" w:rsidRDefault="00520D2C">
            <w:pPr>
              <w:rPr>
                <w:rFonts w:ascii="Times New Roman" w:hAnsi="Times New Roman" w:cs="Times New Roman"/>
              </w:rPr>
            </w:pPr>
          </w:p>
        </w:tc>
        <w:tc>
          <w:tcPr>
            <w:tcW w:w="1288" w:type="dxa"/>
            <w:tcBorders>
              <w:top w:val="single" w:sz="8" w:space="0" w:color="AEAEAE"/>
              <w:left w:val="nil"/>
              <w:bottom w:val="single" w:sz="8" w:space="0" w:color="152935"/>
              <w:right w:val="nil"/>
            </w:tcBorders>
            <w:shd w:val="clear" w:color="auto" w:fill="E0E0E0"/>
          </w:tcPr>
          <w:p w14:paraId="7C9A538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72" w:type="dxa"/>
            <w:tcBorders>
              <w:top w:val="single" w:sz="8" w:space="0" w:color="AEAEAE"/>
              <w:left w:val="nil"/>
              <w:bottom w:val="single" w:sz="8" w:space="0" w:color="152935"/>
              <w:right w:val="single" w:sz="8" w:space="0" w:color="E0E0E0"/>
            </w:tcBorders>
            <w:shd w:val="clear" w:color="auto" w:fill="F9F9FB"/>
          </w:tcPr>
          <w:p w14:paraId="4783EF6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85.589</w:t>
            </w:r>
          </w:p>
        </w:tc>
        <w:tc>
          <w:tcPr>
            <w:tcW w:w="1027" w:type="dxa"/>
            <w:tcBorders>
              <w:top w:val="single" w:sz="8" w:space="0" w:color="AEAEAE"/>
              <w:left w:val="single" w:sz="8" w:space="0" w:color="E0E0E0"/>
              <w:bottom w:val="single" w:sz="8" w:space="0" w:color="152935"/>
              <w:right w:val="single" w:sz="8" w:space="0" w:color="E0E0E0"/>
            </w:tcBorders>
            <w:shd w:val="clear" w:color="auto" w:fill="F9F9FB"/>
          </w:tcPr>
          <w:p w14:paraId="2B8468F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1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1BC5D39"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25106BD" w14:textId="77777777" w:rsidR="00520D2C" w:rsidRDefault="00520D2C">
            <w:pPr>
              <w:rPr>
                <w:rFonts w:ascii="Times New Roman" w:hAnsi="Times New Roman" w:cs="Times New Roman"/>
              </w:rPr>
            </w:pPr>
          </w:p>
        </w:tc>
        <w:tc>
          <w:tcPr>
            <w:tcW w:w="1027" w:type="dxa"/>
            <w:tcBorders>
              <w:top w:val="single" w:sz="8" w:space="0" w:color="AEAEAE"/>
              <w:left w:val="single" w:sz="8" w:space="0" w:color="E0E0E0"/>
              <w:bottom w:val="single" w:sz="8" w:space="0" w:color="152935"/>
              <w:right w:val="nil"/>
            </w:tcBorders>
            <w:shd w:val="clear" w:color="auto" w:fill="F9F9FB"/>
            <w:vAlign w:val="center"/>
          </w:tcPr>
          <w:p w14:paraId="797C2885" w14:textId="77777777" w:rsidR="00520D2C" w:rsidRDefault="00520D2C">
            <w:pPr>
              <w:rPr>
                <w:rFonts w:ascii="Times New Roman" w:hAnsi="Times New Roman" w:cs="Times New Roman"/>
              </w:rPr>
            </w:pPr>
          </w:p>
        </w:tc>
      </w:tr>
    </w:tbl>
    <w:p w14:paraId="3B524D4E" w14:textId="77777777" w:rsidR="00520D2C" w:rsidRDefault="00520D2C">
      <w:pPr>
        <w:rPr>
          <w:rFonts w:ascii="Times New Roman" w:hAnsi="Times New Roman" w:cs="Times New Roman"/>
        </w:rPr>
      </w:pPr>
    </w:p>
    <w:tbl>
      <w:tblPr>
        <w:tblW w:w="7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9"/>
      </w:tblGrid>
      <w:tr w:rsidR="00520D2C" w:rsidRPr="00FB2AD1" w14:paraId="60A38A82" w14:textId="77777777">
        <w:trPr>
          <w:cantSplit/>
        </w:trPr>
        <w:tc>
          <w:tcPr>
            <w:tcW w:w="7987" w:type="dxa"/>
            <w:tcBorders>
              <w:top w:val="nil"/>
              <w:left w:val="nil"/>
              <w:bottom w:val="nil"/>
              <w:right w:val="nil"/>
            </w:tcBorders>
            <w:shd w:val="clear" w:color="auto" w:fill="FFFFFF"/>
          </w:tcPr>
          <w:p w14:paraId="5F6C8126"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r w:rsidR="00520D2C" w14:paraId="5AD17E01" w14:textId="77777777">
        <w:trPr>
          <w:cantSplit/>
        </w:trPr>
        <w:tc>
          <w:tcPr>
            <w:tcW w:w="7987" w:type="dxa"/>
            <w:tcBorders>
              <w:top w:val="nil"/>
              <w:left w:val="nil"/>
              <w:bottom w:val="nil"/>
              <w:right w:val="nil"/>
            </w:tcBorders>
            <w:shd w:val="clear" w:color="auto" w:fill="FFFFFF"/>
          </w:tcPr>
          <w:p w14:paraId="7D059928" w14:textId="77777777" w:rsidR="00520D2C" w:rsidRDefault="00520D2C">
            <w:pPr>
              <w:spacing w:line="320" w:lineRule="atLeast"/>
              <w:ind w:left="60" w:right="60"/>
              <w:rPr>
                <w:rFonts w:ascii="Arial" w:hAnsi="Arial" w:cs="Arial"/>
                <w:color w:val="010205"/>
                <w:sz w:val="18"/>
                <w:szCs w:val="18"/>
              </w:rPr>
            </w:pPr>
            <w:r>
              <w:rPr>
                <w:rFonts w:ascii="Arial" w:hAnsi="Arial" w:cs="Arial"/>
                <w:color w:val="010205"/>
                <w:sz w:val="18"/>
                <w:szCs w:val="18"/>
              </w:rPr>
              <w:t>b. Predictors: (Constant), exchange.rate</w:t>
            </w:r>
          </w:p>
        </w:tc>
      </w:tr>
    </w:tbl>
    <w:p w14:paraId="57F6430F" w14:textId="77777777" w:rsidR="00520D2C" w:rsidRDefault="00520D2C">
      <w:pPr>
        <w:spacing w:line="400" w:lineRule="atLeast"/>
        <w:rPr>
          <w:rFonts w:ascii="Times New Roman" w:hAnsi="Times New Roman" w:cs="Times New Roman"/>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72"/>
        <w:gridCol w:w="1333"/>
        <w:gridCol w:w="1333"/>
        <w:gridCol w:w="1472"/>
        <w:gridCol w:w="1026"/>
        <w:gridCol w:w="1026"/>
      </w:tblGrid>
      <w:tr w:rsidR="00520D2C" w14:paraId="0E76E661" w14:textId="77777777">
        <w:trPr>
          <w:cantSplit/>
        </w:trPr>
        <w:tc>
          <w:tcPr>
            <w:tcW w:w="8395" w:type="dxa"/>
            <w:gridSpan w:val="7"/>
            <w:tcBorders>
              <w:top w:val="nil"/>
              <w:left w:val="nil"/>
              <w:bottom w:val="nil"/>
              <w:right w:val="nil"/>
            </w:tcBorders>
            <w:shd w:val="clear" w:color="auto" w:fill="FFFFFF"/>
            <w:vAlign w:val="center"/>
          </w:tcPr>
          <w:p w14:paraId="1D778D5D"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Coefficients</w:t>
            </w:r>
            <w:r>
              <w:rPr>
                <w:rFonts w:ascii="Arial" w:hAnsi="Arial" w:cs="Arial"/>
                <w:b/>
                <w:bCs/>
                <w:color w:val="010205"/>
                <w:vertAlign w:val="superscript"/>
              </w:rPr>
              <w:t>a</w:t>
            </w:r>
          </w:p>
        </w:tc>
      </w:tr>
      <w:tr w:rsidR="00520D2C" w14:paraId="21964C13" w14:textId="77777777">
        <w:trPr>
          <w:cantSplit/>
        </w:trPr>
        <w:tc>
          <w:tcPr>
            <w:tcW w:w="2206" w:type="dxa"/>
            <w:gridSpan w:val="2"/>
            <w:vMerge w:val="restart"/>
            <w:tcBorders>
              <w:top w:val="nil"/>
              <w:left w:val="nil"/>
              <w:bottom w:val="nil"/>
              <w:right w:val="nil"/>
            </w:tcBorders>
            <w:shd w:val="clear" w:color="auto" w:fill="FFFFFF"/>
            <w:vAlign w:val="bottom"/>
          </w:tcPr>
          <w:p w14:paraId="0270D68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666" w:type="dxa"/>
            <w:gridSpan w:val="2"/>
            <w:tcBorders>
              <w:top w:val="nil"/>
              <w:left w:val="nil"/>
              <w:bottom w:val="nil"/>
              <w:right w:val="single" w:sz="8" w:space="0" w:color="E0E0E0"/>
            </w:tcBorders>
            <w:shd w:val="clear" w:color="auto" w:fill="FFFFFF"/>
            <w:vAlign w:val="bottom"/>
          </w:tcPr>
          <w:p w14:paraId="3DE3CBB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471" w:type="dxa"/>
            <w:tcBorders>
              <w:top w:val="nil"/>
              <w:left w:val="single" w:sz="8" w:space="0" w:color="E0E0E0"/>
              <w:bottom w:val="nil"/>
              <w:right w:val="single" w:sz="8" w:space="0" w:color="E0E0E0"/>
            </w:tcBorders>
            <w:shd w:val="clear" w:color="auto" w:fill="FFFFFF"/>
            <w:vAlign w:val="bottom"/>
          </w:tcPr>
          <w:p w14:paraId="670B2C4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1026" w:type="dxa"/>
            <w:vMerge w:val="restart"/>
            <w:tcBorders>
              <w:top w:val="nil"/>
              <w:left w:val="single" w:sz="8" w:space="0" w:color="E0E0E0"/>
              <w:bottom w:val="nil"/>
              <w:right w:val="single" w:sz="8" w:space="0" w:color="E0E0E0"/>
            </w:tcBorders>
            <w:shd w:val="clear" w:color="auto" w:fill="FFFFFF"/>
            <w:vAlign w:val="bottom"/>
          </w:tcPr>
          <w:p w14:paraId="32AEC03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1026" w:type="dxa"/>
            <w:vMerge w:val="restart"/>
            <w:tcBorders>
              <w:top w:val="nil"/>
              <w:left w:val="single" w:sz="8" w:space="0" w:color="E0E0E0"/>
              <w:bottom w:val="nil"/>
              <w:right w:val="nil"/>
            </w:tcBorders>
            <w:shd w:val="clear" w:color="auto" w:fill="FFFFFF"/>
            <w:vAlign w:val="bottom"/>
          </w:tcPr>
          <w:p w14:paraId="7510D3B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78DD10C4" w14:textId="77777777">
        <w:trPr>
          <w:cantSplit/>
        </w:trPr>
        <w:tc>
          <w:tcPr>
            <w:tcW w:w="2206" w:type="dxa"/>
            <w:gridSpan w:val="2"/>
            <w:vMerge/>
            <w:tcBorders>
              <w:top w:val="nil"/>
              <w:left w:val="nil"/>
              <w:bottom w:val="nil"/>
              <w:right w:val="nil"/>
            </w:tcBorders>
            <w:shd w:val="clear" w:color="auto" w:fill="FFFFFF"/>
            <w:vAlign w:val="bottom"/>
          </w:tcPr>
          <w:p w14:paraId="1DF14AD9" w14:textId="77777777" w:rsidR="00520D2C" w:rsidRDefault="00520D2C">
            <w:pPr>
              <w:rPr>
                <w:rFonts w:ascii="Arial" w:hAnsi="Arial" w:cs="Arial"/>
                <w:color w:val="264A60"/>
                <w:sz w:val="18"/>
                <w:szCs w:val="18"/>
              </w:rPr>
            </w:pPr>
          </w:p>
        </w:tc>
        <w:tc>
          <w:tcPr>
            <w:tcW w:w="1333" w:type="dxa"/>
            <w:tcBorders>
              <w:top w:val="nil"/>
              <w:left w:val="nil"/>
              <w:bottom w:val="single" w:sz="8" w:space="0" w:color="152935"/>
              <w:right w:val="single" w:sz="8" w:space="0" w:color="E0E0E0"/>
            </w:tcBorders>
            <w:shd w:val="clear" w:color="auto" w:fill="FFFFFF"/>
            <w:vAlign w:val="bottom"/>
          </w:tcPr>
          <w:p w14:paraId="4CD1276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333" w:type="dxa"/>
            <w:tcBorders>
              <w:top w:val="nil"/>
              <w:left w:val="single" w:sz="8" w:space="0" w:color="E0E0E0"/>
              <w:bottom w:val="single" w:sz="8" w:space="0" w:color="152935"/>
              <w:right w:val="single" w:sz="8" w:space="0" w:color="E0E0E0"/>
            </w:tcBorders>
            <w:shd w:val="clear" w:color="auto" w:fill="FFFFFF"/>
            <w:vAlign w:val="bottom"/>
          </w:tcPr>
          <w:p w14:paraId="0EE223B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1481EAC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1026" w:type="dxa"/>
            <w:vMerge/>
            <w:tcBorders>
              <w:top w:val="nil"/>
              <w:left w:val="single" w:sz="8" w:space="0" w:color="E0E0E0"/>
              <w:bottom w:val="nil"/>
              <w:right w:val="single" w:sz="8" w:space="0" w:color="E0E0E0"/>
            </w:tcBorders>
            <w:shd w:val="clear" w:color="auto" w:fill="FFFFFF"/>
            <w:vAlign w:val="bottom"/>
          </w:tcPr>
          <w:p w14:paraId="57184AA0" w14:textId="77777777" w:rsidR="00520D2C" w:rsidRDefault="00520D2C">
            <w:pPr>
              <w:rPr>
                <w:rFonts w:ascii="Arial"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14:paraId="59F3CBC4" w14:textId="77777777" w:rsidR="00520D2C" w:rsidRDefault="00520D2C">
            <w:pPr>
              <w:rPr>
                <w:rFonts w:ascii="Arial" w:hAnsi="Arial" w:cs="Arial"/>
                <w:color w:val="264A60"/>
                <w:sz w:val="18"/>
                <w:szCs w:val="18"/>
              </w:rPr>
            </w:pPr>
          </w:p>
        </w:tc>
      </w:tr>
      <w:tr w:rsidR="00520D2C" w14:paraId="5ADF44A0" w14:textId="77777777">
        <w:trPr>
          <w:cantSplit/>
        </w:trPr>
        <w:tc>
          <w:tcPr>
            <w:tcW w:w="735" w:type="dxa"/>
            <w:vMerge w:val="restart"/>
            <w:tcBorders>
              <w:top w:val="single" w:sz="8" w:space="0" w:color="152935"/>
              <w:left w:val="nil"/>
              <w:bottom w:val="single" w:sz="8" w:space="0" w:color="152935"/>
              <w:right w:val="nil"/>
            </w:tcBorders>
            <w:shd w:val="clear" w:color="auto" w:fill="E0E0E0"/>
          </w:tcPr>
          <w:p w14:paraId="53D924F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471" w:type="dxa"/>
            <w:tcBorders>
              <w:top w:val="single" w:sz="8" w:space="0" w:color="152935"/>
              <w:left w:val="nil"/>
              <w:bottom w:val="single" w:sz="8" w:space="0" w:color="AEAEAE"/>
              <w:right w:val="nil"/>
            </w:tcBorders>
            <w:shd w:val="clear" w:color="auto" w:fill="E0E0E0"/>
          </w:tcPr>
          <w:p w14:paraId="4C6CEC6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333" w:type="dxa"/>
            <w:tcBorders>
              <w:top w:val="single" w:sz="8" w:space="0" w:color="152935"/>
              <w:left w:val="nil"/>
              <w:bottom w:val="single" w:sz="8" w:space="0" w:color="AEAEAE"/>
              <w:right w:val="single" w:sz="8" w:space="0" w:color="E0E0E0"/>
            </w:tcBorders>
            <w:shd w:val="clear" w:color="auto" w:fill="F9F9FB"/>
          </w:tcPr>
          <w:p w14:paraId="09B70EB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4.718</w:t>
            </w:r>
          </w:p>
        </w:tc>
        <w:tc>
          <w:tcPr>
            <w:tcW w:w="1333" w:type="dxa"/>
            <w:tcBorders>
              <w:top w:val="single" w:sz="8" w:space="0" w:color="152935"/>
              <w:left w:val="single" w:sz="8" w:space="0" w:color="E0E0E0"/>
              <w:bottom w:val="single" w:sz="8" w:space="0" w:color="AEAEAE"/>
              <w:right w:val="single" w:sz="8" w:space="0" w:color="E0E0E0"/>
            </w:tcBorders>
            <w:shd w:val="clear" w:color="auto" w:fill="F9F9FB"/>
          </w:tcPr>
          <w:p w14:paraId="4EBCDC7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1.358</w:t>
            </w:r>
          </w:p>
        </w:tc>
        <w:tc>
          <w:tcPr>
            <w:tcW w:w="147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E61EA50" w14:textId="77777777" w:rsidR="00520D2C" w:rsidRDefault="00520D2C">
            <w:pPr>
              <w:rPr>
                <w:rFonts w:ascii="Times New Roman" w:hAnsi="Times New Roman" w:cs="Times New Roman"/>
              </w:rPr>
            </w:pP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4D66E44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3.474</w:t>
            </w:r>
          </w:p>
        </w:tc>
        <w:tc>
          <w:tcPr>
            <w:tcW w:w="1026" w:type="dxa"/>
            <w:tcBorders>
              <w:top w:val="single" w:sz="8" w:space="0" w:color="152935"/>
              <w:left w:val="single" w:sz="8" w:space="0" w:color="E0E0E0"/>
              <w:bottom w:val="single" w:sz="8" w:space="0" w:color="AEAEAE"/>
              <w:right w:val="nil"/>
            </w:tcBorders>
            <w:shd w:val="clear" w:color="auto" w:fill="F9F9FB"/>
          </w:tcPr>
          <w:p w14:paraId="7F50D3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.007</w:t>
            </w:r>
          </w:p>
        </w:tc>
      </w:tr>
      <w:tr w:rsidR="00520D2C" w14:paraId="376A0C71" w14:textId="77777777">
        <w:trPr>
          <w:cantSplit/>
        </w:trPr>
        <w:tc>
          <w:tcPr>
            <w:tcW w:w="735" w:type="dxa"/>
            <w:vMerge/>
            <w:tcBorders>
              <w:top w:val="single" w:sz="8" w:space="0" w:color="152935"/>
              <w:left w:val="nil"/>
              <w:bottom w:val="single" w:sz="8" w:space="0" w:color="152935"/>
              <w:right w:val="nil"/>
            </w:tcBorders>
            <w:shd w:val="clear" w:color="auto" w:fill="E0E0E0"/>
          </w:tcPr>
          <w:p w14:paraId="42588F02" w14:textId="77777777" w:rsidR="00520D2C" w:rsidRDefault="00520D2C">
            <w:pPr>
              <w:rPr>
                <w:rFonts w:ascii="Arial" w:hAnsi="Arial" w:cs="Arial"/>
                <w:color w:val="010205"/>
                <w:sz w:val="18"/>
                <w:szCs w:val="18"/>
              </w:rPr>
            </w:pPr>
          </w:p>
        </w:tc>
        <w:tc>
          <w:tcPr>
            <w:tcW w:w="1471" w:type="dxa"/>
            <w:tcBorders>
              <w:top w:val="single" w:sz="8" w:space="0" w:color="AEAEAE"/>
              <w:left w:val="nil"/>
              <w:bottom w:val="single" w:sz="8" w:space="0" w:color="152935"/>
              <w:right w:val="nil"/>
            </w:tcBorders>
            <w:shd w:val="clear" w:color="auto" w:fill="E0E0E0"/>
          </w:tcPr>
          <w:p w14:paraId="5A73143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exchange.rate</w:t>
            </w:r>
          </w:p>
        </w:tc>
        <w:tc>
          <w:tcPr>
            <w:tcW w:w="1333" w:type="dxa"/>
            <w:tcBorders>
              <w:top w:val="single" w:sz="8" w:space="0" w:color="AEAEAE"/>
              <w:left w:val="nil"/>
              <w:bottom w:val="single" w:sz="8" w:space="0" w:color="152935"/>
              <w:right w:val="single" w:sz="8" w:space="0" w:color="E0E0E0"/>
            </w:tcBorders>
            <w:shd w:val="clear" w:color="auto" w:fill="F9F9FB"/>
          </w:tcPr>
          <w:p w14:paraId="0BDC8A8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.006</w:t>
            </w:r>
          </w:p>
        </w:tc>
        <w:tc>
          <w:tcPr>
            <w:tcW w:w="1333" w:type="dxa"/>
            <w:tcBorders>
              <w:top w:val="single" w:sz="8" w:space="0" w:color="AEAEAE"/>
              <w:left w:val="single" w:sz="8" w:space="0" w:color="E0E0E0"/>
              <w:bottom w:val="single" w:sz="8" w:space="0" w:color="152935"/>
              <w:right w:val="single" w:sz="8" w:space="0" w:color="E0E0E0"/>
            </w:tcBorders>
            <w:shd w:val="clear" w:color="auto" w:fill="F9F9FB"/>
          </w:tcPr>
          <w:p w14:paraId="26BB4E7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.085</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7ABEC50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.025</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0399C9E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.074</w:t>
            </w:r>
          </w:p>
        </w:tc>
        <w:tc>
          <w:tcPr>
            <w:tcW w:w="1026" w:type="dxa"/>
            <w:tcBorders>
              <w:top w:val="single" w:sz="8" w:space="0" w:color="AEAEAE"/>
              <w:left w:val="single" w:sz="8" w:space="0" w:color="E0E0E0"/>
              <w:bottom w:val="single" w:sz="8" w:space="0" w:color="152935"/>
              <w:right w:val="nil"/>
            </w:tcBorders>
            <w:shd w:val="clear" w:color="auto" w:fill="F9F9FB"/>
          </w:tcPr>
          <w:p w14:paraId="3DE28DE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.943</w:t>
            </w:r>
          </w:p>
        </w:tc>
      </w:tr>
    </w:tbl>
    <w:p w14:paraId="7A6C0FC2" w14:textId="77777777" w:rsidR="00520D2C" w:rsidRDefault="00520D2C">
      <w:pPr>
        <w:rPr>
          <w:rFonts w:ascii="Arial" w:hAnsi="Arial" w:cs="Arial"/>
          <w:color w:val="010205"/>
          <w:sz w:val="18"/>
          <w:szCs w:val="18"/>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98"/>
      </w:tblGrid>
      <w:tr w:rsidR="00520D2C" w:rsidRPr="00FB2AD1" w14:paraId="4C8532B9" w14:textId="77777777">
        <w:trPr>
          <w:cantSplit/>
        </w:trPr>
        <w:tc>
          <w:tcPr>
            <w:tcW w:w="8395" w:type="dxa"/>
            <w:tcBorders>
              <w:top w:val="nil"/>
              <w:left w:val="nil"/>
              <w:bottom w:val="nil"/>
              <w:right w:val="nil"/>
            </w:tcBorders>
            <w:shd w:val="clear" w:color="auto" w:fill="FFFFFF"/>
          </w:tcPr>
          <w:p w14:paraId="1EA574F9" w14:textId="77777777" w:rsidR="00520D2C" w:rsidRPr="0061791E" w:rsidRDefault="00520D2C">
            <w:pPr>
              <w:spacing w:line="320" w:lineRule="atLeast"/>
              <w:ind w:left="60" w:right="60"/>
              <w:rPr>
                <w:rFonts w:ascii="Arial" w:hAnsi="Arial" w:cs="Arial"/>
                <w:color w:val="010205"/>
                <w:sz w:val="18"/>
                <w:szCs w:val="18"/>
                <w:lang w:val="en-US"/>
              </w:rPr>
            </w:pPr>
            <w:r w:rsidRPr="0061791E">
              <w:rPr>
                <w:rFonts w:ascii="Arial" w:hAnsi="Arial" w:cs="Arial"/>
                <w:color w:val="010205"/>
                <w:sz w:val="18"/>
                <w:szCs w:val="18"/>
                <w:lang w:val="en-US"/>
              </w:rPr>
              <w:t>a. Dependent Variable: GDP.growth</w:t>
            </w:r>
          </w:p>
        </w:tc>
      </w:tr>
    </w:tbl>
    <w:p w14:paraId="36C8EAC8" w14:textId="77777777" w:rsidR="00520D2C" w:rsidRPr="00C279E0" w:rsidRDefault="00520D2C">
      <w:pPr>
        <w:spacing w:line="400" w:lineRule="atLeast"/>
        <w:rPr>
          <w:rFonts w:ascii="Times New Roman" w:hAnsi="Times New Roman" w:cs="Times New Roman"/>
          <w:lang w:val="en-US"/>
        </w:rPr>
      </w:pPr>
    </w:p>
    <w:p w14:paraId="6ED2CC9E" w14:textId="179C8B6E" w:rsidR="00520D2C" w:rsidRPr="00137994" w:rsidRDefault="00520D2C" w:rsidP="00137994">
      <w:pPr>
        <w:rPr>
          <w:rFonts w:ascii="Arial" w:hAnsi="Arial" w:cs="Arial"/>
          <w:b/>
          <w:bCs/>
          <w:sz w:val="26"/>
          <w:szCs w:val="26"/>
          <w:lang w:val="en-US"/>
        </w:rPr>
      </w:pPr>
      <w:r w:rsidRPr="000E2AA1">
        <w:rPr>
          <w:rFonts w:ascii="Arial" w:hAnsi="Arial" w:cs="Arial"/>
          <w:b/>
          <w:bCs/>
          <w:sz w:val="26"/>
          <w:szCs w:val="26"/>
          <w:lang w:val="en-US"/>
        </w:rPr>
        <w:t>Time Series Modeler</w:t>
      </w:r>
    </w:p>
    <w:tbl>
      <w:tblPr>
        <w:tblW w:w="4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6"/>
        <w:gridCol w:w="742"/>
        <w:gridCol w:w="1020"/>
        <w:gridCol w:w="1856"/>
      </w:tblGrid>
      <w:tr w:rsidR="00520D2C" w14:paraId="3FF299E6" w14:textId="77777777" w:rsidTr="00937F3B">
        <w:trPr>
          <w:cantSplit/>
        </w:trPr>
        <w:tc>
          <w:tcPr>
            <w:tcW w:w="4652" w:type="dxa"/>
            <w:gridSpan w:val="4"/>
            <w:tcBorders>
              <w:top w:val="nil"/>
              <w:left w:val="nil"/>
              <w:bottom w:val="nil"/>
              <w:right w:val="nil"/>
            </w:tcBorders>
            <w:shd w:val="clear" w:color="auto" w:fill="FFFFFF"/>
            <w:vAlign w:val="center"/>
          </w:tcPr>
          <w:p w14:paraId="2800C0D6"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Model Description</w:t>
            </w:r>
          </w:p>
        </w:tc>
      </w:tr>
      <w:tr w:rsidR="00520D2C" w14:paraId="096C0DA9" w14:textId="77777777" w:rsidTr="00937F3B">
        <w:trPr>
          <w:cantSplit/>
        </w:trPr>
        <w:tc>
          <w:tcPr>
            <w:tcW w:w="2797" w:type="dxa"/>
            <w:gridSpan w:val="3"/>
            <w:tcBorders>
              <w:top w:val="nil"/>
              <w:left w:val="nil"/>
              <w:bottom w:val="single" w:sz="8" w:space="0" w:color="152935"/>
              <w:right w:val="nil"/>
            </w:tcBorders>
            <w:shd w:val="clear" w:color="auto" w:fill="FFFFFF"/>
            <w:vAlign w:val="bottom"/>
          </w:tcPr>
          <w:p w14:paraId="5906E352" w14:textId="77777777" w:rsidR="00520D2C" w:rsidRDefault="00520D2C" w:rsidP="00937F3B">
            <w:pPr>
              <w:rPr>
                <w:rFonts w:ascii="Times New Roman" w:hAnsi="Times New Roman" w:cs="Times New Roman"/>
              </w:rPr>
            </w:pPr>
          </w:p>
        </w:tc>
        <w:tc>
          <w:tcPr>
            <w:tcW w:w="1855" w:type="dxa"/>
            <w:tcBorders>
              <w:top w:val="nil"/>
              <w:left w:val="nil"/>
              <w:bottom w:val="single" w:sz="8" w:space="0" w:color="152935"/>
              <w:right w:val="nil"/>
            </w:tcBorders>
            <w:shd w:val="clear" w:color="auto" w:fill="FFFFFF"/>
            <w:vAlign w:val="bottom"/>
          </w:tcPr>
          <w:p w14:paraId="784BA7AA"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Model Type</w:t>
            </w:r>
          </w:p>
        </w:tc>
      </w:tr>
      <w:tr w:rsidR="00520D2C" w14:paraId="229A6CCB" w14:textId="77777777" w:rsidTr="00937F3B">
        <w:trPr>
          <w:cantSplit/>
        </w:trPr>
        <w:tc>
          <w:tcPr>
            <w:tcW w:w="1035" w:type="dxa"/>
            <w:tcBorders>
              <w:top w:val="single" w:sz="8" w:space="0" w:color="152935"/>
              <w:left w:val="nil"/>
              <w:bottom w:val="single" w:sz="8" w:space="0" w:color="152935"/>
              <w:right w:val="nil"/>
            </w:tcBorders>
            <w:shd w:val="clear" w:color="auto" w:fill="E0E0E0"/>
          </w:tcPr>
          <w:p w14:paraId="1154CB43"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Model ID</w:t>
            </w:r>
          </w:p>
        </w:tc>
        <w:tc>
          <w:tcPr>
            <w:tcW w:w="742" w:type="dxa"/>
            <w:tcBorders>
              <w:top w:val="single" w:sz="8" w:space="0" w:color="152935"/>
              <w:left w:val="nil"/>
              <w:bottom w:val="single" w:sz="8" w:space="0" w:color="152935"/>
              <w:right w:val="nil"/>
            </w:tcBorders>
            <w:shd w:val="clear" w:color="auto" w:fill="E0E0E0"/>
          </w:tcPr>
          <w:p w14:paraId="7D068C06"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GDP</w:t>
            </w:r>
          </w:p>
        </w:tc>
        <w:tc>
          <w:tcPr>
            <w:tcW w:w="1020" w:type="dxa"/>
            <w:tcBorders>
              <w:top w:val="single" w:sz="8" w:space="0" w:color="152935"/>
              <w:left w:val="nil"/>
              <w:bottom w:val="single" w:sz="8" w:space="0" w:color="152935"/>
              <w:right w:val="nil"/>
            </w:tcBorders>
            <w:shd w:val="clear" w:color="auto" w:fill="E0E0E0"/>
          </w:tcPr>
          <w:p w14:paraId="7F36B557"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Model_1</w:t>
            </w:r>
          </w:p>
        </w:tc>
        <w:tc>
          <w:tcPr>
            <w:tcW w:w="1855" w:type="dxa"/>
            <w:tcBorders>
              <w:top w:val="single" w:sz="8" w:space="0" w:color="152935"/>
              <w:left w:val="nil"/>
              <w:bottom w:val="single" w:sz="8" w:space="0" w:color="152935"/>
              <w:right w:val="nil"/>
            </w:tcBorders>
            <w:shd w:val="clear" w:color="auto" w:fill="F9F9FB"/>
          </w:tcPr>
          <w:p w14:paraId="70D7D1D9" w14:textId="77777777" w:rsidR="00520D2C" w:rsidRDefault="00520D2C" w:rsidP="00937F3B">
            <w:pPr>
              <w:spacing w:line="320" w:lineRule="atLeast"/>
              <w:ind w:left="60" w:right="60"/>
              <w:rPr>
                <w:rFonts w:ascii="Arial" w:hAnsi="Arial" w:cs="Arial"/>
                <w:color w:val="010205"/>
                <w:sz w:val="18"/>
                <w:szCs w:val="18"/>
              </w:rPr>
            </w:pPr>
            <w:r>
              <w:rPr>
                <w:rFonts w:ascii="Arial" w:hAnsi="Arial" w:cs="Arial"/>
                <w:color w:val="010205"/>
                <w:sz w:val="18"/>
                <w:szCs w:val="18"/>
              </w:rPr>
              <w:t>Brown</w:t>
            </w:r>
          </w:p>
        </w:tc>
      </w:tr>
    </w:tbl>
    <w:p w14:paraId="1D1BF97A" w14:textId="77777777" w:rsidR="00520D2C" w:rsidRDefault="00520D2C" w:rsidP="00C279E0">
      <w:pPr>
        <w:rPr>
          <w:rFonts w:ascii="Arial" w:hAnsi="Arial" w:cs="Arial"/>
          <w:b/>
          <w:bCs/>
          <w:sz w:val="26"/>
          <w:szCs w:val="26"/>
        </w:rPr>
      </w:pPr>
    </w:p>
    <w:p w14:paraId="4417C6AE" w14:textId="6B9DC117" w:rsidR="00520D2C" w:rsidRPr="00137994" w:rsidRDefault="00520D2C" w:rsidP="00137994">
      <w:pPr>
        <w:rPr>
          <w:rFonts w:ascii="Arial" w:hAnsi="Arial" w:cs="Arial"/>
          <w:b/>
          <w:bCs/>
          <w:sz w:val="26"/>
          <w:szCs w:val="26"/>
        </w:rPr>
      </w:pPr>
      <w:r>
        <w:rPr>
          <w:rFonts w:ascii="Arial" w:hAnsi="Arial" w:cs="Arial"/>
          <w:b/>
          <w:bCs/>
          <w:sz w:val="26"/>
          <w:szCs w:val="26"/>
        </w:rPr>
        <w:t>Model Summary</w:t>
      </w:r>
    </w:p>
    <w:tbl>
      <w:tblPr>
        <w:tblW w:w="8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9"/>
        <w:gridCol w:w="1303"/>
        <w:gridCol w:w="1026"/>
        <w:gridCol w:w="1303"/>
        <w:gridCol w:w="1303"/>
        <w:gridCol w:w="1303"/>
      </w:tblGrid>
      <w:tr w:rsidR="00520D2C" w14:paraId="7FA35796" w14:textId="77777777" w:rsidTr="00937F3B">
        <w:trPr>
          <w:cantSplit/>
        </w:trPr>
        <w:tc>
          <w:tcPr>
            <w:tcW w:w="8303" w:type="dxa"/>
            <w:gridSpan w:val="6"/>
            <w:tcBorders>
              <w:top w:val="nil"/>
              <w:left w:val="nil"/>
              <w:bottom w:val="nil"/>
              <w:right w:val="nil"/>
            </w:tcBorders>
            <w:shd w:val="clear" w:color="auto" w:fill="FFFFFF"/>
            <w:vAlign w:val="center"/>
          </w:tcPr>
          <w:p w14:paraId="5F2DEB28"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Model Fit</w:t>
            </w:r>
          </w:p>
        </w:tc>
      </w:tr>
      <w:tr w:rsidR="00520D2C" w14:paraId="201D886F" w14:textId="77777777" w:rsidTr="00937F3B">
        <w:trPr>
          <w:cantSplit/>
        </w:trPr>
        <w:tc>
          <w:tcPr>
            <w:tcW w:w="2069" w:type="dxa"/>
            <w:vMerge w:val="restart"/>
            <w:tcBorders>
              <w:top w:val="nil"/>
              <w:left w:val="nil"/>
              <w:bottom w:val="nil"/>
              <w:right w:val="nil"/>
            </w:tcBorders>
            <w:shd w:val="clear" w:color="auto" w:fill="FFFFFF"/>
            <w:vAlign w:val="bottom"/>
          </w:tcPr>
          <w:p w14:paraId="38641193"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Fit Statistic</w:t>
            </w:r>
          </w:p>
        </w:tc>
        <w:tc>
          <w:tcPr>
            <w:tcW w:w="1302" w:type="dxa"/>
            <w:vMerge w:val="restart"/>
            <w:tcBorders>
              <w:top w:val="nil"/>
              <w:left w:val="nil"/>
              <w:bottom w:val="nil"/>
              <w:right w:val="single" w:sz="8" w:space="0" w:color="E0E0E0"/>
            </w:tcBorders>
            <w:shd w:val="clear" w:color="auto" w:fill="FFFFFF"/>
            <w:vAlign w:val="bottom"/>
          </w:tcPr>
          <w:p w14:paraId="72030672"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026" w:type="dxa"/>
            <w:vMerge w:val="restart"/>
            <w:tcBorders>
              <w:top w:val="nil"/>
              <w:left w:val="single" w:sz="8" w:space="0" w:color="E0E0E0"/>
              <w:bottom w:val="nil"/>
              <w:right w:val="single" w:sz="8" w:space="0" w:color="E0E0E0"/>
            </w:tcBorders>
            <w:shd w:val="clear" w:color="auto" w:fill="FFFFFF"/>
            <w:vAlign w:val="bottom"/>
          </w:tcPr>
          <w:p w14:paraId="791B3FA4"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SE</w:t>
            </w:r>
          </w:p>
        </w:tc>
        <w:tc>
          <w:tcPr>
            <w:tcW w:w="1302" w:type="dxa"/>
            <w:vMerge w:val="restart"/>
            <w:tcBorders>
              <w:top w:val="nil"/>
              <w:left w:val="single" w:sz="8" w:space="0" w:color="E0E0E0"/>
              <w:bottom w:val="nil"/>
              <w:right w:val="single" w:sz="8" w:space="0" w:color="E0E0E0"/>
            </w:tcBorders>
            <w:shd w:val="clear" w:color="auto" w:fill="FFFFFF"/>
            <w:vAlign w:val="bottom"/>
          </w:tcPr>
          <w:p w14:paraId="25657D14"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Minimum</w:t>
            </w:r>
          </w:p>
        </w:tc>
        <w:tc>
          <w:tcPr>
            <w:tcW w:w="1302" w:type="dxa"/>
            <w:vMerge w:val="restart"/>
            <w:tcBorders>
              <w:top w:val="nil"/>
              <w:left w:val="single" w:sz="8" w:space="0" w:color="E0E0E0"/>
              <w:bottom w:val="nil"/>
              <w:right w:val="single" w:sz="8" w:space="0" w:color="E0E0E0"/>
            </w:tcBorders>
            <w:shd w:val="clear" w:color="auto" w:fill="FFFFFF"/>
            <w:vAlign w:val="bottom"/>
          </w:tcPr>
          <w:p w14:paraId="417C1D8A"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Maximum</w:t>
            </w:r>
          </w:p>
        </w:tc>
        <w:tc>
          <w:tcPr>
            <w:tcW w:w="1302" w:type="dxa"/>
            <w:tcBorders>
              <w:top w:val="nil"/>
              <w:left w:val="single" w:sz="8" w:space="0" w:color="E0E0E0"/>
              <w:bottom w:val="nil"/>
              <w:right w:val="nil"/>
            </w:tcBorders>
            <w:shd w:val="clear" w:color="auto" w:fill="FFFFFF"/>
            <w:vAlign w:val="bottom"/>
          </w:tcPr>
          <w:p w14:paraId="51861697"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Percentile</w:t>
            </w:r>
          </w:p>
        </w:tc>
      </w:tr>
      <w:tr w:rsidR="00520D2C" w14:paraId="0275DBDD" w14:textId="77777777" w:rsidTr="00937F3B">
        <w:trPr>
          <w:cantSplit/>
        </w:trPr>
        <w:tc>
          <w:tcPr>
            <w:tcW w:w="2069" w:type="dxa"/>
            <w:vMerge/>
            <w:tcBorders>
              <w:top w:val="nil"/>
              <w:left w:val="nil"/>
              <w:bottom w:val="nil"/>
              <w:right w:val="nil"/>
            </w:tcBorders>
            <w:shd w:val="clear" w:color="auto" w:fill="FFFFFF"/>
            <w:vAlign w:val="bottom"/>
          </w:tcPr>
          <w:p w14:paraId="2807BB2E" w14:textId="77777777" w:rsidR="00520D2C" w:rsidRDefault="00520D2C" w:rsidP="00937F3B">
            <w:pPr>
              <w:rPr>
                <w:rFonts w:ascii="Arial" w:hAnsi="Arial" w:cs="Arial"/>
                <w:color w:val="264A60"/>
                <w:sz w:val="18"/>
                <w:szCs w:val="18"/>
              </w:rPr>
            </w:pPr>
          </w:p>
        </w:tc>
        <w:tc>
          <w:tcPr>
            <w:tcW w:w="1302" w:type="dxa"/>
            <w:vMerge/>
            <w:tcBorders>
              <w:top w:val="nil"/>
              <w:left w:val="nil"/>
              <w:bottom w:val="nil"/>
              <w:right w:val="single" w:sz="8" w:space="0" w:color="E0E0E0"/>
            </w:tcBorders>
            <w:shd w:val="clear" w:color="auto" w:fill="FFFFFF"/>
            <w:vAlign w:val="bottom"/>
          </w:tcPr>
          <w:p w14:paraId="4BA497AC" w14:textId="77777777" w:rsidR="00520D2C" w:rsidRDefault="00520D2C" w:rsidP="00937F3B">
            <w:pPr>
              <w:rPr>
                <w:rFonts w:ascii="Arial" w:hAnsi="Arial" w:cs="Arial"/>
                <w:color w:val="264A60"/>
                <w:sz w:val="18"/>
                <w:szCs w:val="18"/>
              </w:rPr>
            </w:pPr>
          </w:p>
        </w:tc>
        <w:tc>
          <w:tcPr>
            <w:tcW w:w="1026" w:type="dxa"/>
            <w:vMerge/>
            <w:tcBorders>
              <w:top w:val="nil"/>
              <w:left w:val="single" w:sz="8" w:space="0" w:color="E0E0E0"/>
              <w:bottom w:val="nil"/>
              <w:right w:val="single" w:sz="8" w:space="0" w:color="E0E0E0"/>
            </w:tcBorders>
            <w:shd w:val="clear" w:color="auto" w:fill="FFFFFF"/>
            <w:vAlign w:val="bottom"/>
          </w:tcPr>
          <w:p w14:paraId="045B71A9" w14:textId="77777777" w:rsidR="00520D2C" w:rsidRDefault="00520D2C" w:rsidP="00937F3B">
            <w:pPr>
              <w:rPr>
                <w:rFonts w:ascii="Arial" w:hAnsi="Arial" w:cs="Arial"/>
                <w:color w:val="264A60"/>
                <w:sz w:val="18"/>
                <w:szCs w:val="18"/>
              </w:rPr>
            </w:pPr>
          </w:p>
        </w:tc>
        <w:tc>
          <w:tcPr>
            <w:tcW w:w="1302" w:type="dxa"/>
            <w:vMerge/>
            <w:tcBorders>
              <w:top w:val="nil"/>
              <w:left w:val="single" w:sz="8" w:space="0" w:color="E0E0E0"/>
              <w:bottom w:val="nil"/>
              <w:right w:val="single" w:sz="8" w:space="0" w:color="E0E0E0"/>
            </w:tcBorders>
            <w:shd w:val="clear" w:color="auto" w:fill="FFFFFF"/>
            <w:vAlign w:val="bottom"/>
          </w:tcPr>
          <w:p w14:paraId="43242182" w14:textId="77777777" w:rsidR="00520D2C" w:rsidRDefault="00520D2C" w:rsidP="00937F3B">
            <w:pPr>
              <w:rPr>
                <w:rFonts w:ascii="Arial" w:hAnsi="Arial" w:cs="Arial"/>
                <w:color w:val="264A60"/>
                <w:sz w:val="18"/>
                <w:szCs w:val="18"/>
              </w:rPr>
            </w:pPr>
          </w:p>
        </w:tc>
        <w:tc>
          <w:tcPr>
            <w:tcW w:w="1302" w:type="dxa"/>
            <w:vMerge/>
            <w:tcBorders>
              <w:top w:val="nil"/>
              <w:left w:val="single" w:sz="8" w:space="0" w:color="E0E0E0"/>
              <w:bottom w:val="nil"/>
              <w:right w:val="single" w:sz="8" w:space="0" w:color="E0E0E0"/>
            </w:tcBorders>
            <w:shd w:val="clear" w:color="auto" w:fill="FFFFFF"/>
            <w:vAlign w:val="bottom"/>
          </w:tcPr>
          <w:p w14:paraId="5C264C25" w14:textId="77777777" w:rsidR="00520D2C" w:rsidRDefault="00520D2C" w:rsidP="00937F3B">
            <w:pPr>
              <w:rPr>
                <w:rFonts w:ascii="Arial" w:hAnsi="Arial" w:cs="Arial"/>
                <w:color w:val="264A60"/>
                <w:sz w:val="18"/>
                <w:szCs w:val="18"/>
              </w:rPr>
            </w:pPr>
          </w:p>
        </w:tc>
        <w:tc>
          <w:tcPr>
            <w:tcW w:w="1302" w:type="dxa"/>
            <w:tcBorders>
              <w:top w:val="nil"/>
              <w:left w:val="single" w:sz="8" w:space="0" w:color="E0E0E0"/>
              <w:bottom w:val="single" w:sz="8" w:space="0" w:color="152935"/>
              <w:right w:val="nil"/>
            </w:tcBorders>
            <w:shd w:val="clear" w:color="auto" w:fill="FFFFFF"/>
            <w:vAlign w:val="bottom"/>
          </w:tcPr>
          <w:p w14:paraId="44441210"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5</w:t>
            </w:r>
          </w:p>
        </w:tc>
      </w:tr>
      <w:tr w:rsidR="00520D2C" w14:paraId="32B88312" w14:textId="77777777" w:rsidTr="00937F3B">
        <w:trPr>
          <w:cantSplit/>
        </w:trPr>
        <w:tc>
          <w:tcPr>
            <w:tcW w:w="2069" w:type="dxa"/>
            <w:tcBorders>
              <w:top w:val="single" w:sz="8" w:space="0" w:color="152935"/>
              <w:left w:val="nil"/>
              <w:bottom w:val="single" w:sz="8" w:space="0" w:color="AEAEAE"/>
              <w:right w:val="nil"/>
            </w:tcBorders>
            <w:shd w:val="clear" w:color="auto" w:fill="E0E0E0"/>
          </w:tcPr>
          <w:p w14:paraId="7E805DE9"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Stationary R-squared</w:t>
            </w:r>
          </w:p>
        </w:tc>
        <w:tc>
          <w:tcPr>
            <w:tcW w:w="1302" w:type="dxa"/>
            <w:tcBorders>
              <w:top w:val="single" w:sz="8" w:space="0" w:color="152935"/>
              <w:left w:val="nil"/>
              <w:bottom w:val="single" w:sz="8" w:space="0" w:color="AEAEAE"/>
              <w:right w:val="single" w:sz="8" w:space="0" w:color="E0E0E0"/>
            </w:tcBorders>
            <w:shd w:val="clear" w:color="auto" w:fill="F9F9FB"/>
          </w:tcPr>
          <w:p w14:paraId="1D9FAF6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1219DC37"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152935"/>
              <w:left w:val="single" w:sz="8" w:space="0" w:color="E0E0E0"/>
              <w:bottom w:val="single" w:sz="8" w:space="0" w:color="AEAEAE"/>
              <w:right w:val="single" w:sz="8" w:space="0" w:color="E0E0E0"/>
            </w:tcBorders>
            <w:shd w:val="clear" w:color="auto" w:fill="F9F9FB"/>
          </w:tcPr>
          <w:p w14:paraId="0521E7E0"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02" w:type="dxa"/>
            <w:tcBorders>
              <w:top w:val="single" w:sz="8" w:space="0" w:color="152935"/>
              <w:left w:val="single" w:sz="8" w:space="0" w:color="E0E0E0"/>
              <w:bottom w:val="single" w:sz="8" w:space="0" w:color="AEAEAE"/>
              <w:right w:val="single" w:sz="8" w:space="0" w:color="E0E0E0"/>
            </w:tcBorders>
            <w:shd w:val="clear" w:color="auto" w:fill="F9F9FB"/>
          </w:tcPr>
          <w:p w14:paraId="00C9313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02" w:type="dxa"/>
            <w:tcBorders>
              <w:top w:val="single" w:sz="8" w:space="0" w:color="152935"/>
              <w:left w:val="single" w:sz="8" w:space="0" w:color="E0E0E0"/>
              <w:bottom w:val="single" w:sz="8" w:space="0" w:color="AEAEAE"/>
              <w:right w:val="nil"/>
            </w:tcBorders>
            <w:shd w:val="clear" w:color="auto" w:fill="F9F9FB"/>
          </w:tcPr>
          <w:p w14:paraId="41714D8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r>
      <w:tr w:rsidR="00520D2C" w14:paraId="22BF090D"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6B8929F8"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R-squared</w:t>
            </w:r>
          </w:p>
        </w:tc>
        <w:tc>
          <w:tcPr>
            <w:tcW w:w="1302" w:type="dxa"/>
            <w:tcBorders>
              <w:top w:val="single" w:sz="8" w:space="0" w:color="AEAEAE"/>
              <w:left w:val="nil"/>
              <w:bottom w:val="single" w:sz="8" w:space="0" w:color="AEAEAE"/>
              <w:right w:val="single" w:sz="8" w:space="0" w:color="E0E0E0"/>
            </w:tcBorders>
            <w:shd w:val="clear" w:color="auto" w:fill="F9F9FB"/>
          </w:tcPr>
          <w:p w14:paraId="081C068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6335790"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6AB3061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70FD142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02" w:type="dxa"/>
            <w:tcBorders>
              <w:top w:val="single" w:sz="8" w:space="0" w:color="AEAEAE"/>
              <w:left w:val="single" w:sz="8" w:space="0" w:color="E0E0E0"/>
              <w:bottom w:val="single" w:sz="8" w:space="0" w:color="AEAEAE"/>
              <w:right w:val="nil"/>
            </w:tcBorders>
            <w:shd w:val="clear" w:color="auto" w:fill="F9F9FB"/>
          </w:tcPr>
          <w:p w14:paraId="37FA91F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r>
      <w:tr w:rsidR="00520D2C" w14:paraId="1AB0CF95"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15CAFA69"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RMSE</w:t>
            </w:r>
          </w:p>
        </w:tc>
        <w:tc>
          <w:tcPr>
            <w:tcW w:w="1302" w:type="dxa"/>
            <w:tcBorders>
              <w:top w:val="single" w:sz="8" w:space="0" w:color="AEAEAE"/>
              <w:left w:val="nil"/>
              <w:bottom w:val="single" w:sz="8" w:space="0" w:color="AEAEAE"/>
              <w:right w:val="single" w:sz="8" w:space="0" w:color="E0E0E0"/>
            </w:tcBorders>
            <w:shd w:val="clear" w:color="auto" w:fill="F9F9FB"/>
          </w:tcPr>
          <w:p w14:paraId="26F55AF3"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DAED6B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277044C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190AA03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02" w:type="dxa"/>
            <w:tcBorders>
              <w:top w:val="single" w:sz="8" w:space="0" w:color="AEAEAE"/>
              <w:left w:val="single" w:sz="8" w:space="0" w:color="E0E0E0"/>
              <w:bottom w:val="single" w:sz="8" w:space="0" w:color="AEAEAE"/>
              <w:right w:val="nil"/>
            </w:tcBorders>
            <w:shd w:val="clear" w:color="auto" w:fill="F9F9FB"/>
          </w:tcPr>
          <w:p w14:paraId="47B2353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r>
      <w:tr w:rsidR="00520D2C" w14:paraId="3CDDE7C0"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0C1854FC"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MAPE</w:t>
            </w:r>
          </w:p>
        </w:tc>
        <w:tc>
          <w:tcPr>
            <w:tcW w:w="1302" w:type="dxa"/>
            <w:tcBorders>
              <w:top w:val="single" w:sz="8" w:space="0" w:color="AEAEAE"/>
              <w:left w:val="nil"/>
              <w:bottom w:val="single" w:sz="8" w:space="0" w:color="AEAEAE"/>
              <w:right w:val="single" w:sz="8" w:space="0" w:color="E0E0E0"/>
            </w:tcBorders>
            <w:shd w:val="clear" w:color="auto" w:fill="F9F9FB"/>
          </w:tcPr>
          <w:p w14:paraId="1C80F07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9959917"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1B1EC001"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5B8A62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02" w:type="dxa"/>
            <w:tcBorders>
              <w:top w:val="single" w:sz="8" w:space="0" w:color="AEAEAE"/>
              <w:left w:val="single" w:sz="8" w:space="0" w:color="E0E0E0"/>
              <w:bottom w:val="single" w:sz="8" w:space="0" w:color="AEAEAE"/>
              <w:right w:val="nil"/>
            </w:tcBorders>
            <w:shd w:val="clear" w:color="auto" w:fill="F9F9FB"/>
          </w:tcPr>
          <w:p w14:paraId="17CA099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r>
      <w:tr w:rsidR="00520D2C" w14:paraId="69E5189F"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2810960E"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MaxAPE</w:t>
            </w:r>
          </w:p>
        </w:tc>
        <w:tc>
          <w:tcPr>
            <w:tcW w:w="1302" w:type="dxa"/>
            <w:tcBorders>
              <w:top w:val="single" w:sz="8" w:space="0" w:color="AEAEAE"/>
              <w:left w:val="nil"/>
              <w:bottom w:val="single" w:sz="8" w:space="0" w:color="AEAEAE"/>
              <w:right w:val="single" w:sz="8" w:space="0" w:color="E0E0E0"/>
            </w:tcBorders>
            <w:shd w:val="clear" w:color="auto" w:fill="F9F9FB"/>
          </w:tcPr>
          <w:p w14:paraId="1F5960B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42E121B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51D6D79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3A18EC6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02" w:type="dxa"/>
            <w:tcBorders>
              <w:top w:val="single" w:sz="8" w:space="0" w:color="AEAEAE"/>
              <w:left w:val="single" w:sz="8" w:space="0" w:color="E0E0E0"/>
              <w:bottom w:val="single" w:sz="8" w:space="0" w:color="AEAEAE"/>
              <w:right w:val="nil"/>
            </w:tcBorders>
            <w:shd w:val="clear" w:color="auto" w:fill="F9F9FB"/>
          </w:tcPr>
          <w:p w14:paraId="6933237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r>
      <w:tr w:rsidR="00520D2C" w14:paraId="2716C6A4"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14EE7E08"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MAE</w:t>
            </w:r>
          </w:p>
        </w:tc>
        <w:tc>
          <w:tcPr>
            <w:tcW w:w="1302" w:type="dxa"/>
            <w:tcBorders>
              <w:top w:val="single" w:sz="8" w:space="0" w:color="AEAEAE"/>
              <w:left w:val="nil"/>
              <w:bottom w:val="single" w:sz="8" w:space="0" w:color="AEAEAE"/>
              <w:right w:val="single" w:sz="8" w:space="0" w:color="E0E0E0"/>
            </w:tcBorders>
            <w:shd w:val="clear" w:color="auto" w:fill="F9F9FB"/>
          </w:tcPr>
          <w:p w14:paraId="1C65AC7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395DD2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2751A9B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2E879B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02" w:type="dxa"/>
            <w:tcBorders>
              <w:top w:val="single" w:sz="8" w:space="0" w:color="AEAEAE"/>
              <w:left w:val="single" w:sz="8" w:space="0" w:color="E0E0E0"/>
              <w:bottom w:val="single" w:sz="8" w:space="0" w:color="AEAEAE"/>
              <w:right w:val="nil"/>
            </w:tcBorders>
            <w:shd w:val="clear" w:color="auto" w:fill="F9F9FB"/>
          </w:tcPr>
          <w:p w14:paraId="2B92501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r>
      <w:tr w:rsidR="00520D2C" w14:paraId="3AF85869"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2FCF54FA"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MaxAE</w:t>
            </w:r>
          </w:p>
        </w:tc>
        <w:tc>
          <w:tcPr>
            <w:tcW w:w="1302" w:type="dxa"/>
            <w:tcBorders>
              <w:top w:val="single" w:sz="8" w:space="0" w:color="AEAEAE"/>
              <w:left w:val="nil"/>
              <w:bottom w:val="single" w:sz="8" w:space="0" w:color="AEAEAE"/>
              <w:right w:val="single" w:sz="8" w:space="0" w:color="E0E0E0"/>
            </w:tcBorders>
            <w:shd w:val="clear" w:color="auto" w:fill="F9F9FB"/>
          </w:tcPr>
          <w:p w14:paraId="3FFBB4A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64EC04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633AB4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02" w:type="dxa"/>
            <w:tcBorders>
              <w:top w:val="single" w:sz="8" w:space="0" w:color="AEAEAE"/>
              <w:left w:val="single" w:sz="8" w:space="0" w:color="E0E0E0"/>
              <w:bottom w:val="single" w:sz="8" w:space="0" w:color="AEAEAE"/>
              <w:right w:val="single" w:sz="8" w:space="0" w:color="E0E0E0"/>
            </w:tcBorders>
            <w:shd w:val="clear" w:color="auto" w:fill="F9F9FB"/>
          </w:tcPr>
          <w:p w14:paraId="073DA453"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02" w:type="dxa"/>
            <w:tcBorders>
              <w:top w:val="single" w:sz="8" w:space="0" w:color="AEAEAE"/>
              <w:left w:val="single" w:sz="8" w:space="0" w:color="E0E0E0"/>
              <w:bottom w:val="single" w:sz="8" w:space="0" w:color="AEAEAE"/>
              <w:right w:val="nil"/>
            </w:tcBorders>
            <w:shd w:val="clear" w:color="auto" w:fill="F9F9FB"/>
          </w:tcPr>
          <w:p w14:paraId="62D5B11C"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r>
      <w:tr w:rsidR="00520D2C" w14:paraId="363AFCB4" w14:textId="77777777" w:rsidTr="00937F3B">
        <w:trPr>
          <w:cantSplit/>
        </w:trPr>
        <w:tc>
          <w:tcPr>
            <w:tcW w:w="2069" w:type="dxa"/>
            <w:tcBorders>
              <w:top w:val="single" w:sz="8" w:space="0" w:color="AEAEAE"/>
              <w:left w:val="nil"/>
              <w:bottom w:val="single" w:sz="8" w:space="0" w:color="152935"/>
              <w:right w:val="nil"/>
            </w:tcBorders>
            <w:shd w:val="clear" w:color="auto" w:fill="E0E0E0"/>
          </w:tcPr>
          <w:p w14:paraId="64649ACB"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Normalized BIC</w:t>
            </w:r>
          </w:p>
        </w:tc>
        <w:tc>
          <w:tcPr>
            <w:tcW w:w="1302" w:type="dxa"/>
            <w:tcBorders>
              <w:top w:val="single" w:sz="8" w:space="0" w:color="AEAEAE"/>
              <w:left w:val="nil"/>
              <w:bottom w:val="single" w:sz="8" w:space="0" w:color="152935"/>
              <w:right w:val="single" w:sz="8" w:space="0" w:color="E0E0E0"/>
            </w:tcBorders>
            <w:shd w:val="clear" w:color="auto" w:fill="F9F9FB"/>
          </w:tcPr>
          <w:p w14:paraId="0293581C"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9A7CF0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302" w:type="dxa"/>
            <w:tcBorders>
              <w:top w:val="single" w:sz="8" w:space="0" w:color="AEAEAE"/>
              <w:left w:val="single" w:sz="8" w:space="0" w:color="E0E0E0"/>
              <w:bottom w:val="single" w:sz="8" w:space="0" w:color="152935"/>
              <w:right w:val="single" w:sz="8" w:space="0" w:color="E0E0E0"/>
            </w:tcBorders>
            <w:shd w:val="clear" w:color="auto" w:fill="F9F9FB"/>
          </w:tcPr>
          <w:p w14:paraId="65BE743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02" w:type="dxa"/>
            <w:tcBorders>
              <w:top w:val="single" w:sz="8" w:space="0" w:color="AEAEAE"/>
              <w:left w:val="single" w:sz="8" w:space="0" w:color="E0E0E0"/>
              <w:bottom w:val="single" w:sz="8" w:space="0" w:color="152935"/>
              <w:right w:val="single" w:sz="8" w:space="0" w:color="E0E0E0"/>
            </w:tcBorders>
            <w:shd w:val="clear" w:color="auto" w:fill="F9F9FB"/>
          </w:tcPr>
          <w:p w14:paraId="567C908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02" w:type="dxa"/>
            <w:tcBorders>
              <w:top w:val="single" w:sz="8" w:space="0" w:color="AEAEAE"/>
              <w:left w:val="single" w:sz="8" w:space="0" w:color="E0E0E0"/>
              <w:bottom w:val="single" w:sz="8" w:space="0" w:color="152935"/>
              <w:right w:val="nil"/>
            </w:tcBorders>
            <w:shd w:val="clear" w:color="auto" w:fill="F9F9FB"/>
          </w:tcPr>
          <w:p w14:paraId="03C1A09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r>
    </w:tbl>
    <w:p w14:paraId="0FFD472E" w14:textId="77777777" w:rsidR="00520D2C" w:rsidRDefault="00520D2C" w:rsidP="00C279E0">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75"/>
        <w:gridCol w:w="1370"/>
        <w:gridCol w:w="1370"/>
        <w:gridCol w:w="1370"/>
        <w:gridCol w:w="1370"/>
        <w:gridCol w:w="1370"/>
      </w:tblGrid>
      <w:tr w:rsidR="00520D2C" w14:paraId="60CD1A4B" w14:textId="77777777" w:rsidTr="00937F3B">
        <w:trPr>
          <w:cantSplit/>
        </w:trPr>
        <w:tc>
          <w:tcPr>
            <w:tcW w:w="9020" w:type="dxa"/>
            <w:gridSpan w:val="6"/>
            <w:tcBorders>
              <w:top w:val="nil"/>
              <w:left w:val="nil"/>
              <w:bottom w:val="nil"/>
              <w:right w:val="nil"/>
            </w:tcBorders>
            <w:shd w:val="clear" w:color="auto" w:fill="FFFFFF"/>
            <w:vAlign w:val="center"/>
          </w:tcPr>
          <w:p w14:paraId="02A075A0"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Model Fit</w:t>
            </w:r>
          </w:p>
        </w:tc>
      </w:tr>
      <w:tr w:rsidR="00520D2C" w14:paraId="2D2F05F5" w14:textId="77777777" w:rsidTr="00937F3B">
        <w:trPr>
          <w:cantSplit/>
        </w:trPr>
        <w:tc>
          <w:tcPr>
            <w:tcW w:w="2175" w:type="dxa"/>
            <w:vMerge w:val="restart"/>
            <w:tcBorders>
              <w:top w:val="nil"/>
              <w:left w:val="nil"/>
              <w:bottom w:val="nil"/>
              <w:right w:val="nil"/>
            </w:tcBorders>
            <w:shd w:val="clear" w:color="auto" w:fill="FFFFFF"/>
            <w:vAlign w:val="bottom"/>
          </w:tcPr>
          <w:p w14:paraId="37769EAB"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Fit Statistic</w:t>
            </w:r>
          </w:p>
        </w:tc>
        <w:tc>
          <w:tcPr>
            <w:tcW w:w="6845" w:type="dxa"/>
            <w:gridSpan w:val="5"/>
            <w:tcBorders>
              <w:top w:val="nil"/>
              <w:left w:val="nil"/>
              <w:bottom w:val="nil"/>
              <w:right w:val="nil"/>
            </w:tcBorders>
            <w:shd w:val="clear" w:color="auto" w:fill="FFFFFF"/>
            <w:vAlign w:val="bottom"/>
          </w:tcPr>
          <w:p w14:paraId="5CB1D46B"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Percentile</w:t>
            </w:r>
          </w:p>
        </w:tc>
      </w:tr>
      <w:tr w:rsidR="00520D2C" w14:paraId="1DF3308C" w14:textId="77777777" w:rsidTr="00937F3B">
        <w:trPr>
          <w:cantSplit/>
        </w:trPr>
        <w:tc>
          <w:tcPr>
            <w:tcW w:w="2175" w:type="dxa"/>
            <w:vMerge/>
            <w:tcBorders>
              <w:top w:val="nil"/>
              <w:left w:val="nil"/>
              <w:bottom w:val="nil"/>
              <w:right w:val="nil"/>
            </w:tcBorders>
            <w:shd w:val="clear" w:color="auto" w:fill="FFFFFF"/>
            <w:vAlign w:val="bottom"/>
          </w:tcPr>
          <w:p w14:paraId="00044FDD" w14:textId="77777777" w:rsidR="00520D2C" w:rsidRDefault="00520D2C" w:rsidP="00937F3B">
            <w:pPr>
              <w:rPr>
                <w:rFonts w:ascii="Arial" w:hAnsi="Arial" w:cs="Arial"/>
                <w:color w:val="264A60"/>
                <w:sz w:val="18"/>
                <w:szCs w:val="18"/>
              </w:rPr>
            </w:pPr>
          </w:p>
        </w:tc>
        <w:tc>
          <w:tcPr>
            <w:tcW w:w="1369" w:type="dxa"/>
            <w:tcBorders>
              <w:top w:val="nil"/>
              <w:left w:val="nil"/>
              <w:bottom w:val="single" w:sz="8" w:space="0" w:color="152935"/>
              <w:right w:val="single" w:sz="8" w:space="0" w:color="E0E0E0"/>
            </w:tcBorders>
            <w:shd w:val="clear" w:color="auto" w:fill="FFFFFF"/>
            <w:vAlign w:val="bottom"/>
          </w:tcPr>
          <w:p w14:paraId="40788C2E"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10</w:t>
            </w:r>
          </w:p>
        </w:tc>
        <w:tc>
          <w:tcPr>
            <w:tcW w:w="1369" w:type="dxa"/>
            <w:tcBorders>
              <w:top w:val="nil"/>
              <w:left w:val="single" w:sz="8" w:space="0" w:color="E0E0E0"/>
              <w:bottom w:val="single" w:sz="8" w:space="0" w:color="152935"/>
              <w:right w:val="single" w:sz="8" w:space="0" w:color="E0E0E0"/>
            </w:tcBorders>
            <w:shd w:val="clear" w:color="auto" w:fill="FFFFFF"/>
            <w:vAlign w:val="bottom"/>
          </w:tcPr>
          <w:p w14:paraId="6BA691B5"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25</w:t>
            </w:r>
          </w:p>
        </w:tc>
        <w:tc>
          <w:tcPr>
            <w:tcW w:w="1369" w:type="dxa"/>
            <w:tcBorders>
              <w:top w:val="nil"/>
              <w:left w:val="single" w:sz="8" w:space="0" w:color="E0E0E0"/>
              <w:bottom w:val="single" w:sz="8" w:space="0" w:color="152935"/>
              <w:right w:val="single" w:sz="8" w:space="0" w:color="E0E0E0"/>
            </w:tcBorders>
            <w:shd w:val="clear" w:color="auto" w:fill="FFFFFF"/>
            <w:vAlign w:val="bottom"/>
          </w:tcPr>
          <w:p w14:paraId="7030C204"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50</w:t>
            </w:r>
          </w:p>
        </w:tc>
        <w:tc>
          <w:tcPr>
            <w:tcW w:w="1369" w:type="dxa"/>
            <w:tcBorders>
              <w:top w:val="nil"/>
              <w:left w:val="single" w:sz="8" w:space="0" w:color="E0E0E0"/>
              <w:bottom w:val="single" w:sz="8" w:space="0" w:color="152935"/>
              <w:right w:val="single" w:sz="8" w:space="0" w:color="E0E0E0"/>
            </w:tcBorders>
            <w:shd w:val="clear" w:color="auto" w:fill="FFFFFF"/>
            <w:vAlign w:val="bottom"/>
          </w:tcPr>
          <w:p w14:paraId="198FF7A3"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75</w:t>
            </w:r>
          </w:p>
        </w:tc>
        <w:tc>
          <w:tcPr>
            <w:tcW w:w="1369" w:type="dxa"/>
            <w:tcBorders>
              <w:top w:val="nil"/>
              <w:left w:val="single" w:sz="8" w:space="0" w:color="E0E0E0"/>
              <w:bottom w:val="single" w:sz="8" w:space="0" w:color="152935"/>
              <w:right w:val="nil"/>
            </w:tcBorders>
            <w:shd w:val="clear" w:color="auto" w:fill="FFFFFF"/>
            <w:vAlign w:val="bottom"/>
          </w:tcPr>
          <w:p w14:paraId="431BD625"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90</w:t>
            </w:r>
          </w:p>
        </w:tc>
      </w:tr>
      <w:tr w:rsidR="00520D2C" w14:paraId="689BD9D9" w14:textId="77777777" w:rsidTr="00937F3B">
        <w:trPr>
          <w:cantSplit/>
        </w:trPr>
        <w:tc>
          <w:tcPr>
            <w:tcW w:w="2175" w:type="dxa"/>
            <w:tcBorders>
              <w:top w:val="single" w:sz="8" w:space="0" w:color="152935"/>
              <w:left w:val="nil"/>
              <w:bottom w:val="single" w:sz="8" w:space="0" w:color="AEAEAE"/>
              <w:right w:val="nil"/>
            </w:tcBorders>
            <w:shd w:val="clear" w:color="auto" w:fill="E0E0E0"/>
          </w:tcPr>
          <w:p w14:paraId="159A1BF1"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Stationary R-squared</w:t>
            </w:r>
          </w:p>
        </w:tc>
        <w:tc>
          <w:tcPr>
            <w:tcW w:w="1369" w:type="dxa"/>
            <w:tcBorders>
              <w:top w:val="single" w:sz="8" w:space="0" w:color="152935"/>
              <w:left w:val="nil"/>
              <w:bottom w:val="single" w:sz="8" w:space="0" w:color="AEAEAE"/>
              <w:right w:val="single" w:sz="8" w:space="0" w:color="E0E0E0"/>
            </w:tcBorders>
            <w:shd w:val="clear" w:color="auto" w:fill="F9F9FB"/>
          </w:tcPr>
          <w:p w14:paraId="542E9F0D"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69" w:type="dxa"/>
            <w:tcBorders>
              <w:top w:val="single" w:sz="8" w:space="0" w:color="152935"/>
              <w:left w:val="single" w:sz="8" w:space="0" w:color="E0E0E0"/>
              <w:bottom w:val="single" w:sz="8" w:space="0" w:color="AEAEAE"/>
              <w:right w:val="single" w:sz="8" w:space="0" w:color="E0E0E0"/>
            </w:tcBorders>
            <w:shd w:val="clear" w:color="auto" w:fill="F9F9FB"/>
          </w:tcPr>
          <w:p w14:paraId="1B989FE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69" w:type="dxa"/>
            <w:tcBorders>
              <w:top w:val="single" w:sz="8" w:space="0" w:color="152935"/>
              <w:left w:val="single" w:sz="8" w:space="0" w:color="E0E0E0"/>
              <w:bottom w:val="single" w:sz="8" w:space="0" w:color="AEAEAE"/>
              <w:right w:val="single" w:sz="8" w:space="0" w:color="E0E0E0"/>
            </w:tcBorders>
            <w:shd w:val="clear" w:color="auto" w:fill="F9F9FB"/>
          </w:tcPr>
          <w:p w14:paraId="493AFCC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69" w:type="dxa"/>
            <w:tcBorders>
              <w:top w:val="single" w:sz="8" w:space="0" w:color="152935"/>
              <w:left w:val="single" w:sz="8" w:space="0" w:color="E0E0E0"/>
              <w:bottom w:val="single" w:sz="8" w:space="0" w:color="AEAEAE"/>
              <w:right w:val="single" w:sz="8" w:space="0" w:color="E0E0E0"/>
            </w:tcBorders>
            <w:shd w:val="clear" w:color="auto" w:fill="F9F9FB"/>
          </w:tcPr>
          <w:p w14:paraId="7700C11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369" w:type="dxa"/>
            <w:tcBorders>
              <w:top w:val="single" w:sz="8" w:space="0" w:color="152935"/>
              <w:left w:val="single" w:sz="8" w:space="0" w:color="E0E0E0"/>
              <w:bottom w:val="single" w:sz="8" w:space="0" w:color="AEAEAE"/>
              <w:right w:val="nil"/>
            </w:tcBorders>
            <w:shd w:val="clear" w:color="auto" w:fill="F9F9FB"/>
          </w:tcPr>
          <w:p w14:paraId="72FCD59D"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r>
      <w:tr w:rsidR="00520D2C" w14:paraId="1E381C55"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3E0156BD"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R-squared</w:t>
            </w:r>
          </w:p>
        </w:tc>
        <w:tc>
          <w:tcPr>
            <w:tcW w:w="1369" w:type="dxa"/>
            <w:tcBorders>
              <w:top w:val="single" w:sz="8" w:space="0" w:color="AEAEAE"/>
              <w:left w:val="nil"/>
              <w:bottom w:val="single" w:sz="8" w:space="0" w:color="AEAEAE"/>
              <w:right w:val="single" w:sz="8" w:space="0" w:color="E0E0E0"/>
            </w:tcBorders>
            <w:shd w:val="clear" w:color="auto" w:fill="F9F9FB"/>
          </w:tcPr>
          <w:p w14:paraId="546962A1"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69F9AFC0"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2AD83CD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44A36AC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c>
          <w:tcPr>
            <w:tcW w:w="1369" w:type="dxa"/>
            <w:tcBorders>
              <w:top w:val="single" w:sz="8" w:space="0" w:color="AEAEAE"/>
              <w:left w:val="single" w:sz="8" w:space="0" w:color="E0E0E0"/>
              <w:bottom w:val="single" w:sz="8" w:space="0" w:color="AEAEAE"/>
              <w:right w:val="nil"/>
            </w:tcBorders>
            <w:shd w:val="clear" w:color="auto" w:fill="F9F9FB"/>
          </w:tcPr>
          <w:p w14:paraId="4C456B7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r>
      <w:tr w:rsidR="00520D2C" w14:paraId="0ABE6B81"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69A39E86"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RMSE</w:t>
            </w:r>
          </w:p>
        </w:tc>
        <w:tc>
          <w:tcPr>
            <w:tcW w:w="1369" w:type="dxa"/>
            <w:tcBorders>
              <w:top w:val="single" w:sz="8" w:space="0" w:color="AEAEAE"/>
              <w:left w:val="nil"/>
              <w:bottom w:val="single" w:sz="8" w:space="0" w:color="AEAEAE"/>
              <w:right w:val="single" w:sz="8" w:space="0" w:color="E0E0E0"/>
            </w:tcBorders>
            <w:shd w:val="clear" w:color="auto" w:fill="F9F9FB"/>
          </w:tcPr>
          <w:p w14:paraId="45057CF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7E987E2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3B2C774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33E7F7C5"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c>
          <w:tcPr>
            <w:tcW w:w="1369" w:type="dxa"/>
            <w:tcBorders>
              <w:top w:val="single" w:sz="8" w:space="0" w:color="AEAEAE"/>
              <w:left w:val="single" w:sz="8" w:space="0" w:color="E0E0E0"/>
              <w:bottom w:val="single" w:sz="8" w:space="0" w:color="AEAEAE"/>
              <w:right w:val="nil"/>
            </w:tcBorders>
            <w:shd w:val="clear" w:color="auto" w:fill="F9F9FB"/>
          </w:tcPr>
          <w:p w14:paraId="6518FD6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r>
      <w:tr w:rsidR="00520D2C" w14:paraId="111B261D"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462EFCD8"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MAPE</w:t>
            </w:r>
          </w:p>
        </w:tc>
        <w:tc>
          <w:tcPr>
            <w:tcW w:w="1369" w:type="dxa"/>
            <w:tcBorders>
              <w:top w:val="single" w:sz="8" w:space="0" w:color="AEAEAE"/>
              <w:left w:val="nil"/>
              <w:bottom w:val="single" w:sz="8" w:space="0" w:color="AEAEAE"/>
              <w:right w:val="single" w:sz="8" w:space="0" w:color="E0E0E0"/>
            </w:tcBorders>
            <w:shd w:val="clear" w:color="auto" w:fill="F9F9FB"/>
          </w:tcPr>
          <w:p w14:paraId="13A6C12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7F4D21CD"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4D16A27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7864A0B3"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c>
          <w:tcPr>
            <w:tcW w:w="1369" w:type="dxa"/>
            <w:tcBorders>
              <w:top w:val="single" w:sz="8" w:space="0" w:color="AEAEAE"/>
              <w:left w:val="single" w:sz="8" w:space="0" w:color="E0E0E0"/>
              <w:bottom w:val="single" w:sz="8" w:space="0" w:color="AEAEAE"/>
              <w:right w:val="nil"/>
            </w:tcBorders>
            <w:shd w:val="clear" w:color="auto" w:fill="F9F9FB"/>
          </w:tcPr>
          <w:p w14:paraId="4775E691"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r>
      <w:tr w:rsidR="00520D2C" w14:paraId="19C12A8C"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5991ED6B"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MaxAPE</w:t>
            </w:r>
          </w:p>
        </w:tc>
        <w:tc>
          <w:tcPr>
            <w:tcW w:w="1369" w:type="dxa"/>
            <w:tcBorders>
              <w:top w:val="single" w:sz="8" w:space="0" w:color="AEAEAE"/>
              <w:left w:val="nil"/>
              <w:bottom w:val="single" w:sz="8" w:space="0" w:color="AEAEAE"/>
              <w:right w:val="single" w:sz="8" w:space="0" w:color="E0E0E0"/>
            </w:tcBorders>
            <w:shd w:val="clear" w:color="auto" w:fill="F9F9FB"/>
          </w:tcPr>
          <w:p w14:paraId="4E4DF54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1FC711E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3306FA2D"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2DB864B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c>
          <w:tcPr>
            <w:tcW w:w="1369" w:type="dxa"/>
            <w:tcBorders>
              <w:top w:val="single" w:sz="8" w:space="0" w:color="AEAEAE"/>
              <w:left w:val="single" w:sz="8" w:space="0" w:color="E0E0E0"/>
              <w:bottom w:val="single" w:sz="8" w:space="0" w:color="AEAEAE"/>
              <w:right w:val="nil"/>
            </w:tcBorders>
            <w:shd w:val="clear" w:color="auto" w:fill="F9F9FB"/>
          </w:tcPr>
          <w:p w14:paraId="15FCAE8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r>
      <w:tr w:rsidR="00520D2C" w14:paraId="2A995F69"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2289EFBD"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MAE</w:t>
            </w:r>
          </w:p>
        </w:tc>
        <w:tc>
          <w:tcPr>
            <w:tcW w:w="1369" w:type="dxa"/>
            <w:tcBorders>
              <w:top w:val="single" w:sz="8" w:space="0" w:color="AEAEAE"/>
              <w:left w:val="nil"/>
              <w:bottom w:val="single" w:sz="8" w:space="0" w:color="AEAEAE"/>
              <w:right w:val="single" w:sz="8" w:space="0" w:color="E0E0E0"/>
            </w:tcBorders>
            <w:shd w:val="clear" w:color="auto" w:fill="F9F9FB"/>
          </w:tcPr>
          <w:p w14:paraId="20BEE5F3"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56886F45"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4B219BA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635D63F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c>
          <w:tcPr>
            <w:tcW w:w="1369" w:type="dxa"/>
            <w:tcBorders>
              <w:top w:val="single" w:sz="8" w:space="0" w:color="AEAEAE"/>
              <w:left w:val="single" w:sz="8" w:space="0" w:color="E0E0E0"/>
              <w:bottom w:val="single" w:sz="8" w:space="0" w:color="AEAEAE"/>
              <w:right w:val="nil"/>
            </w:tcBorders>
            <w:shd w:val="clear" w:color="auto" w:fill="F9F9FB"/>
          </w:tcPr>
          <w:p w14:paraId="10D08560"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r>
      <w:tr w:rsidR="00520D2C" w14:paraId="31ECD3F1" w14:textId="77777777" w:rsidTr="00937F3B">
        <w:trPr>
          <w:cantSplit/>
        </w:trPr>
        <w:tc>
          <w:tcPr>
            <w:tcW w:w="2175" w:type="dxa"/>
            <w:tcBorders>
              <w:top w:val="single" w:sz="8" w:space="0" w:color="AEAEAE"/>
              <w:left w:val="nil"/>
              <w:bottom w:val="single" w:sz="8" w:space="0" w:color="AEAEAE"/>
              <w:right w:val="nil"/>
            </w:tcBorders>
            <w:shd w:val="clear" w:color="auto" w:fill="E0E0E0"/>
          </w:tcPr>
          <w:p w14:paraId="58EE0713"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MaxAE</w:t>
            </w:r>
          </w:p>
        </w:tc>
        <w:tc>
          <w:tcPr>
            <w:tcW w:w="1369" w:type="dxa"/>
            <w:tcBorders>
              <w:top w:val="single" w:sz="8" w:space="0" w:color="AEAEAE"/>
              <w:left w:val="nil"/>
              <w:bottom w:val="single" w:sz="8" w:space="0" w:color="AEAEAE"/>
              <w:right w:val="single" w:sz="8" w:space="0" w:color="E0E0E0"/>
            </w:tcBorders>
            <w:shd w:val="clear" w:color="auto" w:fill="F9F9FB"/>
          </w:tcPr>
          <w:p w14:paraId="3E924C21"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0D7F5ADE"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69CDB80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69" w:type="dxa"/>
            <w:tcBorders>
              <w:top w:val="single" w:sz="8" w:space="0" w:color="AEAEAE"/>
              <w:left w:val="single" w:sz="8" w:space="0" w:color="E0E0E0"/>
              <w:bottom w:val="single" w:sz="8" w:space="0" w:color="AEAEAE"/>
              <w:right w:val="single" w:sz="8" w:space="0" w:color="E0E0E0"/>
            </w:tcBorders>
            <w:shd w:val="clear" w:color="auto" w:fill="F9F9FB"/>
          </w:tcPr>
          <w:p w14:paraId="141B073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c>
          <w:tcPr>
            <w:tcW w:w="1369" w:type="dxa"/>
            <w:tcBorders>
              <w:top w:val="single" w:sz="8" w:space="0" w:color="AEAEAE"/>
              <w:left w:val="single" w:sz="8" w:space="0" w:color="E0E0E0"/>
              <w:bottom w:val="single" w:sz="8" w:space="0" w:color="AEAEAE"/>
              <w:right w:val="nil"/>
            </w:tcBorders>
            <w:shd w:val="clear" w:color="auto" w:fill="F9F9FB"/>
          </w:tcPr>
          <w:p w14:paraId="6BF1AFA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r>
      <w:tr w:rsidR="00520D2C" w14:paraId="4EF29D6A" w14:textId="77777777" w:rsidTr="00937F3B">
        <w:trPr>
          <w:cantSplit/>
        </w:trPr>
        <w:tc>
          <w:tcPr>
            <w:tcW w:w="2175" w:type="dxa"/>
            <w:tcBorders>
              <w:top w:val="single" w:sz="8" w:space="0" w:color="AEAEAE"/>
              <w:left w:val="nil"/>
              <w:bottom w:val="single" w:sz="8" w:space="0" w:color="152935"/>
              <w:right w:val="nil"/>
            </w:tcBorders>
            <w:shd w:val="clear" w:color="auto" w:fill="E0E0E0"/>
          </w:tcPr>
          <w:p w14:paraId="658B8D9B"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Normalized BIC</w:t>
            </w:r>
          </w:p>
        </w:tc>
        <w:tc>
          <w:tcPr>
            <w:tcW w:w="1369" w:type="dxa"/>
            <w:tcBorders>
              <w:top w:val="single" w:sz="8" w:space="0" w:color="AEAEAE"/>
              <w:left w:val="nil"/>
              <w:bottom w:val="single" w:sz="8" w:space="0" w:color="152935"/>
              <w:right w:val="single" w:sz="8" w:space="0" w:color="E0E0E0"/>
            </w:tcBorders>
            <w:shd w:val="clear" w:color="auto" w:fill="F9F9FB"/>
          </w:tcPr>
          <w:p w14:paraId="35C450F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69" w:type="dxa"/>
            <w:tcBorders>
              <w:top w:val="single" w:sz="8" w:space="0" w:color="AEAEAE"/>
              <w:left w:val="single" w:sz="8" w:space="0" w:color="E0E0E0"/>
              <w:bottom w:val="single" w:sz="8" w:space="0" w:color="152935"/>
              <w:right w:val="single" w:sz="8" w:space="0" w:color="E0E0E0"/>
            </w:tcBorders>
            <w:shd w:val="clear" w:color="auto" w:fill="F9F9FB"/>
          </w:tcPr>
          <w:p w14:paraId="476315E1"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69" w:type="dxa"/>
            <w:tcBorders>
              <w:top w:val="single" w:sz="8" w:space="0" w:color="AEAEAE"/>
              <w:left w:val="single" w:sz="8" w:space="0" w:color="E0E0E0"/>
              <w:bottom w:val="single" w:sz="8" w:space="0" w:color="152935"/>
              <w:right w:val="single" w:sz="8" w:space="0" w:color="E0E0E0"/>
            </w:tcBorders>
            <w:shd w:val="clear" w:color="auto" w:fill="F9F9FB"/>
          </w:tcPr>
          <w:p w14:paraId="3F4B462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69" w:type="dxa"/>
            <w:tcBorders>
              <w:top w:val="single" w:sz="8" w:space="0" w:color="AEAEAE"/>
              <w:left w:val="single" w:sz="8" w:space="0" w:color="E0E0E0"/>
              <w:bottom w:val="single" w:sz="8" w:space="0" w:color="152935"/>
              <w:right w:val="single" w:sz="8" w:space="0" w:color="E0E0E0"/>
            </w:tcBorders>
            <w:shd w:val="clear" w:color="auto" w:fill="F9F9FB"/>
          </w:tcPr>
          <w:p w14:paraId="45CE67A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c>
          <w:tcPr>
            <w:tcW w:w="1369" w:type="dxa"/>
            <w:tcBorders>
              <w:top w:val="single" w:sz="8" w:space="0" w:color="AEAEAE"/>
              <w:left w:val="single" w:sz="8" w:space="0" w:color="E0E0E0"/>
              <w:bottom w:val="single" w:sz="8" w:space="0" w:color="152935"/>
              <w:right w:val="nil"/>
            </w:tcBorders>
            <w:shd w:val="clear" w:color="auto" w:fill="F9F9FB"/>
          </w:tcPr>
          <w:p w14:paraId="1A6C7C8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r>
    </w:tbl>
    <w:p w14:paraId="4C8DB8D5" w14:textId="77777777" w:rsidR="00520D2C" w:rsidRDefault="00520D2C" w:rsidP="00C279E0">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39"/>
        <w:gridCol w:w="3486"/>
      </w:tblGrid>
      <w:tr w:rsidR="00520D2C" w14:paraId="264F2104" w14:textId="77777777" w:rsidTr="00937F3B">
        <w:trPr>
          <w:cantSplit/>
        </w:trPr>
        <w:tc>
          <w:tcPr>
            <w:tcW w:w="9024" w:type="dxa"/>
            <w:gridSpan w:val="2"/>
            <w:tcBorders>
              <w:top w:val="nil"/>
              <w:left w:val="nil"/>
              <w:bottom w:val="nil"/>
              <w:right w:val="nil"/>
            </w:tcBorders>
            <w:shd w:val="clear" w:color="auto" w:fill="FFFFFF"/>
            <w:vAlign w:val="center"/>
          </w:tcPr>
          <w:p w14:paraId="73F8AE99"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Model Fit</w:t>
            </w:r>
          </w:p>
        </w:tc>
      </w:tr>
      <w:tr w:rsidR="00520D2C" w14:paraId="36DE32CE" w14:textId="77777777" w:rsidTr="00937F3B">
        <w:trPr>
          <w:cantSplit/>
        </w:trPr>
        <w:tc>
          <w:tcPr>
            <w:tcW w:w="5538" w:type="dxa"/>
            <w:vMerge w:val="restart"/>
            <w:tcBorders>
              <w:top w:val="nil"/>
              <w:left w:val="nil"/>
              <w:bottom w:val="nil"/>
              <w:right w:val="nil"/>
            </w:tcBorders>
            <w:shd w:val="clear" w:color="auto" w:fill="FFFFFF"/>
            <w:vAlign w:val="bottom"/>
          </w:tcPr>
          <w:p w14:paraId="44B24CA0"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Fit Statistic</w:t>
            </w:r>
          </w:p>
        </w:tc>
        <w:tc>
          <w:tcPr>
            <w:tcW w:w="3486" w:type="dxa"/>
            <w:tcBorders>
              <w:top w:val="nil"/>
              <w:left w:val="nil"/>
              <w:bottom w:val="nil"/>
              <w:right w:val="nil"/>
            </w:tcBorders>
            <w:shd w:val="clear" w:color="auto" w:fill="FFFFFF"/>
            <w:vAlign w:val="bottom"/>
          </w:tcPr>
          <w:p w14:paraId="07327C7B"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Percentile</w:t>
            </w:r>
          </w:p>
        </w:tc>
      </w:tr>
      <w:tr w:rsidR="00520D2C" w14:paraId="40DA96F9" w14:textId="77777777" w:rsidTr="00937F3B">
        <w:trPr>
          <w:cantSplit/>
        </w:trPr>
        <w:tc>
          <w:tcPr>
            <w:tcW w:w="5538" w:type="dxa"/>
            <w:vMerge/>
            <w:tcBorders>
              <w:top w:val="nil"/>
              <w:left w:val="nil"/>
              <w:bottom w:val="nil"/>
              <w:right w:val="nil"/>
            </w:tcBorders>
            <w:shd w:val="clear" w:color="auto" w:fill="FFFFFF"/>
            <w:vAlign w:val="bottom"/>
          </w:tcPr>
          <w:p w14:paraId="054FE48D" w14:textId="77777777" w:rsidR="00520D2C" w:rsidRDefault="00520D2C" w:rsidP="00937F3B">
            <w:pPr>
              <w:rPr>
                <w:rFonts w:ascii="Arial" w:hAnsi="Arial" w:cs="Arial"/>
                <w:color w:val="264A60"/>
                <w:sz w:val="18"/>
                <w:szCs w:val="18"/>
              </w:rPr>
            </w:pPr>
          </w:p>
        </w:tc>
        <w:tc>
          <w:tcPr>
            <w:tcW w:w="3486" w:type="dxa"/>
            <w:tcBorders>
              <w:top w:val="nil"/>
              <w:left w:val="nil"/>
              <w:bottom w:val="single" w:sz="8" w:space="0" w:color="152935"/>
              <w:right w:val="nil"/>
            </w:tcBorders>
            <w:shd w:val="clear" w:color="auto" w:fill="FFFFFF"/>
            <w:vAlign w:val="bottom"/>
          </w:tcPr>
          <w:p w14:paraId="64FFB549"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95</w:t>
            </w:r>
          </w:p>
        </w:tc>
      </w:tr>
      <w:tr w:rsidR="00520D2C" w14:paraId="035A63D4" w14:textId="77777777" w:rsidTr="00937F3B">
        <w:trPr>
          <w:cantSplit/>
        </w:trPr>
        <w:tc>
          <w:tcPr>
            <w:tcW w:w="5538" w:type="dxa"/>
            <w:tcBorders>
              <w:top w:val="single" w:sz="8" w:space="0" w:color="152935"/>
              <w:left w:val="nil"/>
              <w:bottom w:val="single" w:sz="8" w:space="0" w:color="AEAEAE"/>
              <w:right w:val="nil"/>
            </w:tcBorders>
            <w:shd w:val="clear" w:color="auto" w:fill="E0E0E0"/>
          </w:tcPr>
          <w:p w14:paraId="1CDEA60D"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Stationary R-squared</w:t>
            </w:r>
          </w:p>
        </w:tc>
        <w:tc>
          <w:tcPr>
            <w:tcW w:w="3486" w:type="dxa"/>
            <w:tcBorders>
              <w:top w:val="single" w:sz="8" w:space="0" w:color="152935"/>
              <w:left w:val="nil"/>
              <w:bottom w:val="single" w:sz="8" w:space="0" w:color="AEAEAE"/>
              <w:right w:val="nil"/>
            </w:tcBorders>
            <w:shd w:val="clear" w:color="auto" w:fill="F9F9FB"/>
          </w:tcPr>
          <w:p w14:paraId="2495012A"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r>
      <w:tr w:rsidR="00520D2C" w14:paraId="4EC1BC2C"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3DB47F01"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R-squared</w:t>
            </w:r>
          </w:p>
        </w:tc>
        <w:tc>
          <w:tcPr>
            <w:tcW w:w="3486" w:type="dxa"/>
            <w:tcBorders>
              <w:top w:val="single" w:sz="8" w:space="0" w:color="AEAEAE"/>
              <w:left w:val="nil"/>
              <w:bottom w:val="single" w:sz="8" w:space="0" w:color="AEAEAE"/>
              <w:right w:val="nil"/>
            </w:tcBorders>
            <w:shd w:val="clear" w:color="auto" w:fill="F9F9FB"/>
          </w:tcPr>
          <w:p w14:paraId="50790BAD"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.839</w:t>
            </w:r>
          </w:p>
        </w:tc>
      </w:tr>
      <w:tr w:rsidR="00520D2C" w14:paraId="4F9BCE6F"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795CB308"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RMSE</w:t>
            </w:r>
          </w:p>
        </w:tc>
        <w:tc>
          <w:tcPr>
            <w:tcW w:w="3486" w:type="dxa"/>
            <w:tcBorders>
              <w:top w:val="single" w:sz="8" w:space="0" w:color="AEAEAE"/>
              <w:left w:val="nil"/>
              <w:bottom w:val="single" w:sz="8" w:space="0" w:color="AEAEAE"/>
              <w:right w:val="nil"/>
            </w:tcBorders>
            <w:shd w:val="clear" w:color="auto" w:fill="F9F9FB"/>
          </w:tcPr>
          <w:p w14:paraId="744D2BF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69950.432</w:t>
            </w:r>
          </w:p>
        </w:tc>
      </w:tr>
      <w:tr w:rsidR="00520D2C" w14:paraId="27620D1D"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274B6B57"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MAPE</w:t>
            </w:r>
          </w:p>
        </w:tc>
        <w:tc>
          <w:tcPr>
            <w:tcW w:w="3486" w:type="dxa"/>
            <w:tcBorders>
              <w:top w:val="single" w:sz="8" w:space="0" w:color="AEAEAE"/>
              <w:left w:val="nil"/>
              <w:bottom w:val="single" w:sz="8" w:space="0" w:color="AEAEAE"/>
              <w:right w:val="nil"/>
            </w:tcBorders>
            <w:shd w:val="clear" w:color="auto" w:fill="F9F9FB"/>
          </w:tcPr>
          <w:p w14:paraId="1361BB7B"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5.519</w:t>
            </w:r>
          </w:p>
        </w:tc>
      </w:tr>
      <w:tr w:rsidR="00520D2C" w14:paraId="1731AE87"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779DEA8C"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MaxAPE</w:t>
            </w:r>
          </w:p>
        </w:tc>
        <w:tc>
          <w:tcPr>
            <w:tcW w:w="3486" w:type="dxa"/>
            <w:tcBorders>
              <w:top w:val="single" w:sz="8" w:space="0" w:color="AEAEAE"/>
              <w:left w:val="nil"/>
              <w:bottom w:val="single" w:sz="8" w:space="0" w:color="AEAEAE"/>
              <w:right w:val="nil"/>
            </w:tcBorders>
            <w:shd w:val="clear" w:color="auto" w:fill="F9F9FB"/>
          </w:tcPr>
          <w:p w14:paraId="003BF4F9"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16.779</w:t>
            </w:r>
          </w:p>
        </w:tc>
      </w:tr>
      <w:tr w:rsidR="00520D2C" w14:paraId="57B7FC55"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6801421D"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MAE</w:t>
            </w:r>
          </w:p>
        </w:tc>
        <w:tc>
          <w:tcPr>
            <w:tcW w:w="3486" w:type="dxa"/>
            <w:tcBorders>
              <w:top w:val="single" w:sz="8" w:space="0" w:color="AEAEAE"/>
              <w:left w:val="nil"/>
              <w:bottom w:val="single" w:sz="8" w:space="0" w:color="AEAEAE"/>
              <w:right w:val="nil"/>
            </w:tcBorders>
            <w:shd w:val="clear" w:color="auto" w:fill="F9F9FB"/>
          </w:tcPr>
          <w:p w14:paraId="13524F46"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48639.625</w:t>
            </w:r>
          </w:p>
        </w:tc>
      </w:tr>
      <w:tr w:rsidR="00520D2C" w14:paraId="2238113C" w14:textId="77777777" w:rsidTr="00937F3B">
        <w:trPr>
          <w:cantSplit/>
        </w:trPr>
        <w:tc>
          <w:tcPr>
            <w:tcW w:w="5538" w:type="dxa"/>
            <w:tcBorders>
              <w:top w:val="single" w:sz="8" w:space="0" w:color="AEAEAE"/>
              <w:left w:val="nil"/>
              <w:bottom w:val="single" w:sz="8" w:space="0" w:color="AEAEAE"/>
              <w:right w:val="nil"/>
            </w:tcBorders>
            <w:shd w:val="clear" w:color="auto" w:fill="E0E0E0"/>
          </w:tcPr>
          <w:p w14:paraId="485822CB"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MaxAE</w:t>
            </w:r>
          </w:p>
        </w:tc>
        <w:tc>
          <w:tcPr>
            <w:tcW w:w="3486" w:type="dxa"/>
            <w:tcBorders>
              <w:top w:val="single" w:sz="8" w:space="0" w:color="AEAEAE"/>
              <w:left w:val="nil"/>
              <w:bottom w:val="single" w:sz="8" w:space="0" w:color="AEAEAE"/>
              <w:right w:val="nil"/>
            </w:tcBorders>
            <w:shd w:val="clear" w:color="auto" w:fill="F9F9FB"/>
          </w:tcPr>
          <w:p w14:paraId="783B9E62"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137567.528</w:t>
            </w:r>
          </w:p>
        </w:tc>
      </w:tr>
      <w:tr w:rsidR="00520D2C" w14:paraId="0676500A" w14:textId="77777777" w:rsidTr="00937F3B">
        <w:trPr>
          <w:cantSplit/>
        </w:trPr>
        <w:tc>
          <w:tcPr>
            <w:tcW w:w="5538" w:type="dxa"/>
            <w:tcBorders>
              <w:top w:val="single" w:sz="8" w:space="0" w:color="AEAEAE"/>
              <w:left w:val="nil"/>
              <w:bottom w:val="single" w:sz="8" w:space="0" w:color="152935"/>
              <w:right w:val="nil"/>
            </w:tcBorders>
            <w:shd w:val="clear" w:color="auto" w:fill="E0E0E0"/>
          </w:tcPr>
          <w:p w14:paraId="5BF9F98C"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Normalized BIC</w:t>
            </w:r>
          </w:p>
        </w:tc>
        <w:tc>
          <w:tcPr>
            <w:tcW w:w="3486" w:type="dxa"/>
            <w:tcBorders>
              <w:top w:val="single" w:sz="8" w:space="0" w:color="AEAEAE"/>
              <w:left w:val="nil"/>
              <w:bottom w:val="single" w:sz="8" w:space="0" w:color="152935"/>
              <w:right w:val="nil"/>
            </w:tcBorders>
            <w:shd w:val="clear" w:color="auto" w:fill="F9F9FB"/>
          </w:tcPr>
          <w:p w14:paraId="1FE74607"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22.529</w:t>
            </w:r>
          </w:p>
        </w:tc>
      </w:tr>
    </w:tbl>
    <w:p w14:paraId="28332A2A" w14:textId="77777777" w:rsidR="00520D2C" w:rsidRDefault="00520D2C" w:rsidP="00C279E0">
      <w:pPr>
        <w:spacing w:line="400" w:lineRule="atLeast"/>
        <w:rPr>
          <w:rFonts w:ascii="Times New Roman" w:hAnsi="Times New Roman" w:cs="Times New Roman"/>
        </w:rPr>
      </w:pPr>
    </w:p>
    <w:tbl>
      <w:tblPr>
        <w:tblW w:w="8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1"/>
        <w:gridCol w:w="1471"/>
        <w:gridCol w:w="1470"/>
        <w:gridCol w:w="1056"/>
        <w:gridCol w:w="1026"/>
        <w:gridCol w:w="1026"/>
        <w:gridCol w:w="1470"/>
      </w:tblGrid>
      <w:tr w:rsidR="00520D2C" w14:paraId="6FB1D54D" w14:textId="77777777" w:rsidTr="00937F3B">
        <w:trPr>
          <w:cantSplit/>
        </w:trPr>
        <w:tc>
          <w:tcPr>
            <w:tcW w:w="8988" w:type="dxa"/>
            <w:gridSpan w:val="7"/>
            <w:tcBorders>
              <w:top w:val="nil"/>
              <w:left w:val="nil"/>
              <w:bottom w:val="nil"/>
              <w:right w:val="nil"/>
            </w:tcBorders>
            <w:shd w:val="clear" w:color="auto" w:fill="FFFFFF"/>
            <w:vAlign w:val="center"/>
          </w:tcPr>
          <w:p w14:paraId="4DE545C1"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Model Statistics</w:t>
            </w:r>
          </w:p>
        </w:tc>
      </w:tr>
      <w:tr w:rsidR="00520D2C" w14:paraId="785F9674" w14:textId="77777777" w:rsidTr="00937F3B">
        <w:trPr>
          <w:cantSplit/>
        </w:trPr>
        <w:tc>
          <w:tcPr>
            <w:tcW w:w="1470" w:type="dxa"/>
            <w:vMerge w:val="restart"/>
            <w:tcBorders>
              <w:top w:val="nil"/>
              <w:left w:val="nil"/>
              <w:bottom w:val="nil"/>
              <w:right w:val="nil"/>
            </w:tcBorders>
            <w:shd w:val="clear" w:color="auto" w:fill="FFFFFF"/>
            <w:vAlign w:val="bottom"/>
          </w:tcPr>
          <w:p w14:paraId="1450E329"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70" w:type="dxa"/>
            <w:vMerge w:val="restart"/>
            <w:tcBorders>
              <w:top w:val="nil"/>
              <w:left w:val="nil"/>
              <w:bottom w:val="nil"/>
              <w:right w:val="single" w:sz="8" w:space="0" w:color="E0E0E0"/>
            </w:tcBorders>
            <w:shd w:val="clear" w:color="auto" w:fill="FFFFFF"/>
            <w:vAlign w:val="bottom"/>
          </w:tcPr>
          <w:p w14:paraId="7E275CDB"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Number of Predictors</w:t>
            </w:r>
          </w:p>
        </w:tc>
        <w:tc>
          <w:tcPr>
            <w:tcW w:w="1470" w:type="dxa"/>
            <w:tcBorders>
              <w:top w:val="nil"/>
              <w:left w:val="single" w:sz="8" w:space="0" w:color="E0E0E0"/>
              <w:bottom w:val="nil"/>
              <w:right w:val="single" w:sz="8" w:space="0" w:color="E0E0E0"/>
            </w:tcBorders>
            <w:shd w:val="clear" w:color="auto" w:fill="FFFFFF"/>
            <w:vAlign w:val="bottom"/>
          </w:tcPr>
          <w:p w14:paraId="472229E8"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Model Fit statistics</w:t>
            </w:r>
          </w:p>
        </w:tc>
        <w:tc>
          <w:tcPr>
            <w:tcW w:w="3108" w:type="dxa"/>
            <w:gridSpan w:val="3"/>
            <w:tcBorders>
              <w:top w:val="nil"/>
              <w:left w:val="single" w:sz="8" w:space="0" w:color="E0E0E0"/>
              <w:bottom w:val="nil"/>
              <w:right w:val="single" w:sz="8" w:space="0" w:color="E0E0E0"/>
            </w:tcBorders>
            <w:shd w:val="clear" w:color="auto" w:fill="FFFFFF"/>
            <w:vAlign w:val="bottom"/>
          </w:tcPr>
          <w:p w14:paraId="04AE75F0"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Ljung-Box Q(18)</w:t>
            </w:r>
          </w:p>
        </w:tc>
        <w:tc>
          <w:tcPr>
            <w:tcW w:w="1470" w:type="dxa"/>
            <w:vMerge w:val="restart"/>
            <w:tcBorders>
              <w:top w:val="nil"/>
              <w:left w:val="single" w:sz="8" w:space="0" w:color="E0E0E0"/>
              <w:bottom w:val="nil"/>
              <w:right w:val="nil"/>
            </w:tcBorders>
            <w:shd w:val="clear" w:color="auto" w:fill="FFFFFF"/>
            <w:vAlign w:val="bottom"/>
          </w:tcPr>
          <w:p w14:paraId="33EF24B2"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Number of Outliers</w:t>
            </w:r>
          </w:p>
        </w:tc>
      </w:tr>
      <w:tr w:rsidR="00520D2C" w14:paraId="0C0A1437" w14:textId="77777777" w:rsidTr="00937F3B">
        <w:trPr>
          <w:cantSplit/>
        </w:trPr>
        <w:tc>
          <w:tcPr>
            <w:tcW w:w="1470" w:type="dxa"/>
            <w:vMerge/>
            <w:tcBorders>
              <w:top w:val="nil"/>
              <w:left w:val="nil"/>
              <w:bottom w:val="nil"/>
              <w:right w:val="nil"/>
            </w:tcBorders>
            <w:shd w:val="clear" w:color="auto" w:fill="FFFFFF"/>
            <w:vAlign w:val="bottom"/>
          </w:tcPr>
          <w:p w14:paraId="061BDF86" w14:textId="77777777" w:rsidR="00520D2C" w:rsidRDefault="00520D2C" w:rsidP="00937F3B">
            <w:pPr>
              <w:rPr>
                <w:rFonts w:ascii="Arial" w:hAnsi="Arial" w:cs="Arial"/>
                <w:color w:val="264A60"/>
                <w:sz w:val="18"/>
                <w:szCs w:val="18"/>
              </w:rPr>
            </w:pPr>
          </w:p>
        </w:tc>
        <w:tc>
          <w:tcPr>
            <w:tcW w:w="1470" w:type="dxa"/>
            <w:vMerge/>
            <w:tcBorders>
              <w:top w:val="nil"/>
              <w:left w:val="nil"/>
              <w:bottom w:val="nil"/>
              <w:right w:val="single" w:sz="8" w:space="0" w:color="E0E0E0"/>
            </w:tcBorders>
            <w:shd w:val="clear" w:color="auto" w:fill="FFFFFF"/>
            <w:vAlign w:val="bottom"/>
          </w:tcPr>
          <w:p w14:paraId="765AC30F" w14:textId="77777777" w:rsidR="00520D2C" w:rsidRDefault="00520D2C" w:rsidP="00937F3B">
            <w:pPr>
              <w:rPr>
                <w:rFonts w:ascii="Arial" w:hAnsi="Arial" w:cs="Arial"/>
                <w:color w:val="264A60"/>
                <w:sz w:val="18"/>
                <w:szCs w:val="18"/>
              </w:rPr>
            </w:pP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12FA1D2C"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Stationary R-squared</w:t>
            </w:r>
          </w:p>
        </w:tc>
        <w:tc>
          <w:tcPr>
            <w:tcW w:w="1056" w:type="dxa"/>
            <w:tcBorders>
              <w:top w:val="nil"/>
              <w:left w:val="single" w:sz="8" w:space="0" w:color="E0E0E0"/>
              <w:bottom w:val="single" w:sz="8" w:space="0" w:color="152935"/>
              <w:right w:val="single" w:sz="8" w:space="0" w:color="E0E0E0"/>
            </w:tcBorders>
            <w:shd w:val="clear" w:color="auto" w:fill="FFFFFF"/>
            <w:vAlign w:val="bottom"/>
          </w:tcPr>
          <w:p w14:paraId="203DEB3E"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Statistics</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02765D3A"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DF</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11E33A49"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c>
          <w:tcPr>
            <w:tcW w:w="1470" w:type="dxa"/>
            <w:vMerge/>
            <w:tcBorders>
              <w:top w:val="nil"/>
              <w:left w:val="single" w:sz="8" w:space="0" w:color="E0E0E0"/>
              <w:bottom w:val="nil"/>
              <w:right w:val="nil"/>
            </w:tcBorders>
            <w:shd w:val="clear" w:color="auto" w:fill="FFFFFF"/>
            <w:vAlign w:val="bottom"/>
          </w:tcPr>
          <w:p w14:paraId="553FCF8C" w14:textId="77777777" w:rsidR="00520D2C" w:rsidRDefault="00520D2C" w:rsidP="00937F3B">
            <w:pPr>
              <w:rPr>
                <w:rFonts w:ascii="Arial" w:hAnsi="Arial" w:cs="Arial"/>
                <w:color w:val="264A60"/>
                <w:sz w:val="18"/>
                <w:szCs w:val="18"/>
              </w:rPr>
            </w:pPr>
          </w:p>
        </w:tc>
      </w:tr>
      <w:tr w:rsidR="00520D2C" w14:paraId="35AD8C50" w14:textId="77777777" w:rsidTr="00937F3B">
        <w:trPr>
          <w:cantSplit/>
        </w:trPr>
        <w:tc>
          <w:tcPr>
            <w:tcW w:w="1470" w:type="dxa"/>
            <w:tcBorders>
              <w:top w:val="single" w:sz="8" w:space="0" w:color="152935"/>
              <w:left w:val="nil"/>
              <w:bottom w:val="single" w:sz="8" w:space="0" w:color="152935"/>
              <w:right w:val="nil"/>
            </w:tcBorders>
            <w:shd w:val="clear" w:color="auto" w:fill="E0E0E0"/>
          </w:tcPr>
          <w:p w14:paraId="79B63A19"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GDP-Model_1</w:t>
            </w:r>
          </w:p>
        </w:tc>
        <w:tc>
          <w:tcPr>
            <w:tcW w:w="1470" w:type="dxa"/>
            <w:tcBorders>
              <w:top w:val="single" w:sz="8" w:space="0" w:color="152935"/>
              <w:left w:val="nil"/>
              <w:bottom w:val="single" w:sz="8" w:space="0" w:color="152935"/>
              <w:right w:val="single" w:sz="8" w:space="0" w:color="E0E0E0"/>
            </w:tcBorders>
            <w:shd w:val="clear" w:color="auto" w:fill="F9F9FB"/>
          </w:tcPr>
          <w:p w14:paraId="5EDFD32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0" w:type="dxa"/>
            <w:tcBorders>
              <w:top w:val="single" w:sz="8" w:space="0" w:color="152935"/>
              <w:left w:val="single" w:sz="8" w:space="0" w:color="E0E0E0"/>
              <w:bottom w:val="single" w:sz="8" w:space="0" w:color="152935"/>
              <w:right w:val="single" w:sz="8" w:space="0" w:color="E0E0E0"/>
            </w:tcBorders>
            <w:shd w:val="clear" w:color="auto" w:fill="F9F9FB"/>
          </w:tcPr>
          <w:p w14:paraId="4BB48BF5"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056" w:type="dxa"/>
            <w:tcBorders>
              <w:top w:val="single" w:sz="8" w:space="0" w:color="152935"/>
              <w:left w:val="single" w:sz="8" w:space="0" w:color="E0E0E0"/>
              <w:bottom w:val="single" w:sz="8" w:space="0" w:color="152935"/>
              <w:right w:val="single" w:sz="8" w:space="0" w:color="E0E0E0"/>
            </w:tcBorders>
            <w:shd w:val="clear" w:color="auto" w:fill="F9F9FB"/>
          </w:tcPr>
          <w:p w14:paraId="686A1B74"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49AC2F18"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6D979285"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w:t>
            </w:r>
          </w:p>
        </w:tc>
        <w:tc>
          <w:tcPr>
            <w:tcW w:w="1470" w:type="dxa"/>
            <w:tcBorders>
              <w:top w:val="single" w:sz="8" w:space="0" w:color="152935"/>
              <w:left w:val="single" w:sz="8" w:space="0" w:color="E0E0E0"/>
              <w:bottom w:val="single" w:sz="8" w:space="0" w:color="152935"/>
              <w:right w:val="nil"/>
            </w:tcBorders>
            <w:shd w:val="clear" w:color="auto" w:fill="F9F9FB"/>
          </w:tcPr>
          <w:p w14:paraId="6ADCDA3F"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5DECA26A" w14:textId="77777777" w:rsidR="00520D2C" w:rsidRDefault="00520D2C" w:rsidP="00C279E0">
      <w:pPr>
        <w:spacing w:line="400" w:lineRule="atLeast"/>
        <w:rPr>
          <w:rFonts w:ascii="Times New Roman" w:hAnsi="Times New Roman" w:cs="Times New Roman"/>
        </w:rPr>
      </w:pPr>
    </w:p>
    <w:p w14:paraId="5A1FB60A" w14:textId="77777777" w:rsidR="00520D2C" w:rsidRDefault="00520D2C" w:rsidP="00C279E0">
      <w:pPr>
        <w:spacing w:line="400" w:lineRule="atLeast"/>
        <w:rPr>
          <w:rFonts w:ascii="Times New Roman" w:hAnsi="Times New Roman" w:cs="Times New Roman"/>
        </w:rPr>
      </w:pPr>
    </w:p>
    <w:tbl>
      <w:tblPr>
        <w:tblW w:w="8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1"/>
        <w:gridCol w:w="1870"/>
        <w:gridCol w:w="2283"/>
        <w:gridCol w:w="1041"/>
        <w:gridCol w:w="1026"/>
        <w:gridCol w:w="1026"/>
      </w:tblGrid>
      <w:tr w:rsidR="00520D2C" w14:paraId="0A614582" w14:textId="77777777" w:rsidTr="00937F3B">
        <w:trPr>
          <w:cantSplit/>
        </w:trPr>
        <w:tc>
          <w:tcPr>
            <w:tcW w:w="8714" w:type="dxa"/>
            <w:gridSpan w:val="6"/>
            <w:tcBorders>
              <w:top w:val="nil"/>
              <w:left w:val="nil"/>
              <w:bottom w:val="nil"/>
              <w:right w:val="nil"/>
            </w:tcBorders>
            <w:shd w:val="clear" w:color="auto" w:fill="FFFFFF"/>
            <w:vAlign w:val="center"/>
          </w:tcPr>
          <w:p w14:paraId="0D978F4D"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Exponential Smoothing Model Parameters</w:t>
            </w:r>
          </w:p>
        </w:tc>
      </w:tr>
      <w:tr w:rsidR="00520D2C" w14:paraId="7253B42D" w14:textId="77777777" w:rsidTr="00937F3B">
        <w:trPr>
          <w:cantSplit/>
        </w:trPr>
        <w:tc>
          <w:tcPr>
            <w:tcW w:w="5621" w:type="dxa"/>
            <w:gridSpan w:val="3"/>
            <w:tcBorders>
              <w:top w:val="nil"/>
              <w:left w:val="nil"/>
              <w:bottom w:val="single" w:sz="8" w:space="0" w:color="152935"/>
              <w:right w:val="nil"/>
            </w:tcBorders>
            <w:shd w:val="clear" w:color="auto" w:fill="FFFFFF"/>
            <w:vAlign w:val="bottom"/>
          </w:tcPr>
          <w:p w14:paraId="50B4391C"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41" w:type="dxa"/>
            <w:tcBorders>
              <w:top w:val="nil"/>
              <w:left w:val="nil"/>
              <w:bottom w:val="single" w:sz="8" w:space="0" w:color="152935"/>
              <w:right w:val="single" w:sz="8" w:space="0" w:color="E0E0E0"/>
            </w:tcBorders>
            <w:shd w:val="clear" w:color="auto" w:fill="FFFFFF"/>
            <w:vAlign w:val="bottom"/>
          </w:tcPr>
          <w:p w14:paraId="2CFFB972"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Estimate</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697A0ED2"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SE</w:t>
            </w:r>
          </w:p>
        </w:tc>
        <w:tc>
          <w:tcPr>
            <w:tcW w:w="1026" w:type="dxa"/>
            <w:tcBorders>
              <w:top w:val="nil"/>
              <w:left w:val="single" w:sz="8" w:space="0" w:color="E0E0E0"/>
              <w:bottom w:val="single" w:sz="8" w:space="0" w:color="152935"/>
              <w:right w:val="nil"/>
            </w:tcBorders>
            <w:shd w:val="clear" w:color="auto" w:fill="FFFFFF"/>
            <w:vAlign w:val="bottom"/>
          </w:tcPr>
          <w:p w14:paraId="0A978847"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r>
      <w:tr w:rsidR="00520D2C" w14:paraId="5C582026" w14:textId="77777777" w:rsidTr="00937F3B">
        <w:trPr>
          <w:cantSplit/>
        </w:trPr>
        <w:tc>
          <w:tcPr>
            <w:tcW w:w="1470" w:type="dxa"/>
            <w:tcBorders>
              <w:top w:val="single" w:sz="8" w:space="0" w:color="152935"/>
              <w:left w:val="nil"/>
              <w:bottom w:val="single" w:sz="8" w:space="0" w:color="152935"/>
              <w:right w:val="nil"/>
            </w:tcBorders>
            <w:shd w:val="clear" w:color="auto" w:fill="E0E0E0"/>
          </w:tcPr>
          <w:p w14:paraId="10341EE2"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GDP-Model_1</w:t>
            </w:r>
          </w:p>
        </w:tc>
        <w:tc>
          <w:tcPr>
            <w:tcW w:w="1869" w:type="dxa"/>
            <w:tcBorders>
              <w:top w:val="single" w:sz="8" w:space="0" w:color="152935"/>
              <w:left w:val="nil"/>
              <w:bottom w:val="single" w:sz="8" w:space="0" w:color="152935"/>
              <w:right w:val="nil"/>
            </w:tcBorders>
            <w:shd w:val="clear" w:color="auto" w:fill="E0E0E0"/>
          </w:tcPr>
          <w:p w14:paraId="3A917362"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No Transformation</w:t>
            </w:r>
          </w:p>
        </w:tc>
        <w:tc>
          <w:tcPr>
            <w:tcW w:w="2282" w:type="dxa"/>
            <w:tcBorders>
              <w:top w:val="single" w:sz="8" w:space="0" w:color="152935"/>
              <w:left w:val="nil"/>
              <w:bottom w:val="single" w:sz="8" w:space="0" w:color="152935"/>
              <w:right w:val="nil"/>
            </w:tcBorders>
            <w:shd w:val="clear" w:color="auto" w:fill="E0E0E0"/>
          </w:tcPr>
          <w:p w14:paraId="790441AD"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Alpha (Level and Trend)</w:t>
            </w:r>
          </w:p>
        </w:tc>
        <w:tc>
          <w:tcPr>
            <w:tcW w:w="1041" w:type="dxa"/>
            <w:tcBorders>
              <w:top w:val="single" w:sz="8" w:space="0" w:color="152935"/>
              <w:left w:val="nil"/>
              <w:bottom w:val="single" w:sz="8" w:space="0" w:color="152935"/>
              <w:right w:val="single" w:sz="8" w:space="0" w:color="E0E0E0"/>
            </w:tcBorders>
            <w:shd w:val="clear" w:color="auto" w:fill="F9F9FB"/>
          </w:tcPr>
          <w:p w14:paraId="33588A33"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.918</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66BAA635"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.136</w:t>
            </w:r>
          </w:p>
        </w:tc>
        <w:tc>
          <w:tcPr>
            <w:tcW w:w="1026" w:type="dxa"/>
            <w:tcBorders>
              <w:top w:val="single" w:sz="8" w:space="0" w:color="152935"/>
              <w:left w:val="single" w:sz="8" w:space="0" w:color="E0E0E0"/>
              <w:bottom w:val="single" w:sz="8" w:space="0" w:color="152935"/>
              <w:right w:val="nil"/>
            </w:tcBorders>
            <w:shd w:val="clear" w:color="auto" w:fill="F9F9FB"/>
          </w:tcPr>
          <w:p w14:paraId="21873DBC"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6.767</w:t>
            </w:r>
          </w:p>
        </w:tc>
      </w:tr>
    </w:tbl>
    <w:p w14:paraId="3BD63D41" w14:textId="77777777" w:rsidR="00520D2C" w:rsidRDefault="00520D2C" w:rsidP="00C279E0">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6"/>
        <w:gridCol w:w="2537"/>
        <w:gridCol w:w="3099"/>
        <w:gridCol w:w="1393"/>
      </w:tblGrid>
      <w:tr w:rsidR="00520D2C" w14:paraId="72F3D6BA" w14:textId="77777777" w:rsidTr="00937F3B">
        <w:trPr>
          <w:cantSplit/>
        </w:trPr>
        <w:tc>
          <w:tcPr>
            <w:tcW w:w="9023" w:type="dxa"/>
            <w:gridSpan w:val="4"/>
            <w:tcBorders>
              <w:top w:val="nil"/>
              <w:left w:val="nil"/>
              <w:bottom w:val="nil"/>
              <w:right w:val="nil"/>
            </w:tcBorders>
            <w:shd w:val="clear" w:color="auto" w:fill="FFFFFF"/>
            <w:vAlign w:val="center"/>
          </w:tcPr>
          <w:p w14:paraId="24F8AC39" w14:textId="77777777" w:rsidR="00520D2C" w:rsidRDefault="00520D2C" w:rsidP="00937F3B">
            <w:pPr>
              <w:spacing w:line="320" w:lineRule="atLeast"/>
              <w:ind w:left="60" w:right="60"/>
              <w:jc w:val="center"/>
              <w:rPr>
                <w:rFonts w:ascii="Arial" w:hAnsi="Arial" w:cs="Arial"/>
                <w:color w:val="010205"/>
              </w:rPr>
            </w:pPr>
            <w:r>
              <w:rPr>
                <w:rFonts w:ascii="Arial" w:hAnsi="Arial" w:cs="Arial"/>
                <w:b/>
                <w:bCs/>
                <w:color w:val="010205"/>
              </w:rPr>
              <w:t>Exponential Smoothing Model Parameters</w:t>
            </w:r>
          </w:p>
        </w:tc>
      </w:tr>
      <w:tr w:rsidR="00520D2C" w14:paraId="0FB7D3A5" w14:textId="77777777" w:rsidTr="00937F3B">
        <w:trPr>
          <w:cantSplit/>
        </w:trPr>
        <w:tc>
          <w:tcPr>
            <w:tcW w:w="7630" w:type="dxa"/>
            <w:gridSpan w:val="3"/>
            <w:tcBorders>
              <w:top w:val="nil"/>
              <w:left w:val="nil"/>
              <w:bottom w:val="single" w:sz="8" w:space="0" w:color="152935"/>
              <w:right w:val="nil"/>
            </w:tcBorders>
            <w:shd w:val="clear" w:color="auto" w:fill="FFFFFF"/>
            <w:vAlign w:val="bottom"/>
          </w:tcPr>
          <w:p w14:paraId="0F819D7A"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393" w:type="dxa"/>
            <w:tcBorders>
              <w:top w:val="nil"/>
              <w:left w:val="nil"/>
              <w:bottom w:val="single" w:sz="8" w:space="0" w:color="152935"/>
              <w:right w:val="nil"/>
            </w:tcBorders>
            <w:shd w:val="clear" w:color="auto" w:fill="FFFFFF"/>
            <w:vAlign w:val="bottom"/>
          </w:tcPr>
          <w:p w14:paraId="7A830731" w14:textId="77777777" w:rsidR="00520D2C" w:rsidRDefault="00520D2C" w:rsidP="00937F3B">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520D2C" w14:paraId="1459F3DA" w14:textId="77777777" w:rsidTr="00937F3B">
        <w:trPr>
          <w:cantSplit/>
        </w:trPr>
        <w:tc>
          <w:tcPr>
            <w:tcW w:w="1996" w:type="dxa"/>
            <w:tcBorders>
              <w:top w:val="single" w:sz="8" w:space="0" w:color="152935"/>
              <w:left w:val="nil"/>
              <w:bottom w:val="single" w:sz="8" w:space="0" w:color="152935"/>
              <w:right w:val="nil"/>
            </w:tcBorders>
            <w:shd w:val="clear" w:color="auto" w:fill="E0E0E0"/>
          </w:tcPr>
          <w:p w14:paraId="1A3F29B3"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GDP-Model_1</w:t>
            </w:r>
          </w:p>
        </w:tc>
        <w:tc>
          <w:tcPr>
            <w:tcW w:w="2536" w:type="dxa"/>
            <w:tcBorders>
              <w:top w:val="single" w:sz="8" w:space="0" w:color="152935"/>
              <w:left w:val="nil"/>
              <w:bottom w:val="single" w:sz="8" w:space="0" w:color="152935"/>
              <w:right w:val="nil"/>
            </w:tcBorders>
            <w:shd w:val="clear" w:color="auto" w:fill="E0E0E0"/>
          </w:tcPr>
          <w:p w14:paraId="042F79D2"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No Transformation</w:t>
            </w:r>
          </w:p>
        </w:tc>
        <w:tc>
          <w:tcPr>
            <w:tcW w:w="3098" w:type="dxa"/>
            <w:tcBorders>
              <w:top w:val="single" w:sz="8" w:space="0" w:color="152935"/>
              <w:left w:val="nil"/>
              <w:bottom w:val="single" w:sz="8" w:space="0" w:color="152935"/>
              <w:right w:val="nil"/>
            </w:tcBorders>
            <w:shd w:val="clear" w:color="auto" w:fill="E0E0E0"/>
          </w:tcPr>
          <w:p w14:paraId="2C610CD6" w14:textId="77777777" w:rsidR="00520D2C" w:rsidRDefault="00520D2C" w:rsidP="00937F3B">
            <w:pPr>
              <w:spacing w:line="320" w:lineRule="atLeast"/>
              <w:ind w:left="60" w:right="60"/>
              <w:rPr>
                <w:rFonts w:ascii="Arial" w:hAnsi="Arial" w:cs="Arial"/>
                <w:color w:val="264A60"/>
                <w:sz w:val="18"/>
                <w:szCs w:val="18"/>
              </w:rPr>
            </w:pPr>
            <w:r>
              <w:rPr>
                <w:rFonts w:ascii="Arial" w:hAnsi="Arial" w:cs="Arial"/>
                <w:color w:val="264A60"/>
                <w:sz w:val="18"/>
                <w:szCs w:val="18"/>
              </w:rPr>
              <w:t>Alpha (Level and Trend)</w:t>
            </w:r>
          </w:p>
        </w:tc>
        <w:tc>
          <w:tcPr>
            <w:tcW w:w="1393" w:type="dxa"/>
            <w:tcBorders>
              <w:top w:val="single" w:sz="8" w:space="0" w:color="152935"/>
              <w:left w:val="nil"/>
              <w:bottom w:val="single" w:sz="8" w:space="0" w:color="152935"/>
              <w:right w:val="nil"/>
            </w:tcBorders>
            <w:shd w:val="clear" w:color="auto" w:fill="F9F9FB"/>
          </w:tcPr>
          <w:p w14:paraId="22363347" w14:textId="77777777" w:rsidR="00520D2C" w:rsidRDefault="00520D2C" w:rsidP="00937F3B">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r>
    </w:tbl>
    <w:p w14:paraId="59ECA97E" w14:textId="77777777" w:rsidR="00520D2C" w:rsidRDefault="00520D2C" w:rsidP="00C279E0">
      <w:pPr>
        <w:spacing w:line="400" w:lineRule="atLeast"/>
        <w:rPr>
          <w:rFonts w:ascii="Times New Roman" w:hAnsi="Times New Roman" w:cs="Times New Roman"/>
        </w:rPr>
      </w:pPr>
    </w:p>
    <w:p w14:paraId="672F228F" w14:textId="77777777" w:rsidR="00520D2C" w:rsidRPr="00C279E0" w:rsidRDefault="00520D2C" w:rsidP="00C279E0">
      <w:pPr>
        <w:rPr>
          <w:rFonts w:ascii="Arial" w:hAnsi="Arial" w:cs="Arial"/>
          <w:b/>
          <w:bCs/>
          <w:sz w:val="26"/>
          <w:szCs w:val="26"/>
          <w:lang w:val="en-US"/>
        </w:rPr>
      </w:pPr>
      <w:r>
        <w:rPr>
          <w:rFonts w:ascii="Times New Roman" w:hAnsi="Times New Roman" w:cs="Times New Roman"/>
          <w:noProof/>
        </w:rPr>
        <w:drawing>
          <wp:inline distT="0" distB="0" distL="0" distR="0" wp14:anchorId="3A785608" wp14:editId="35893F95">
            <wp:extent cx="5732145" cy="3091180"/>
            <wp:effectExtent l="0" t="0" r="190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32145" cy="3091180"/>
                    </a:xfrm>
                    <a:prstGeom prst="rect">
                      <a:avLst/>
                    </a:prstGeom>
                    <a:noFill/>
                    <a:ln>
                      <a:noFill/>
                    </a:ln>
                  </pic:spPr>
                </pic:pic>
              </a:graphicData>
            </a:graphic>
          </wp:inline>
        </w:drawing>
      </w:r>
    </w:p>
    <w:p w14:paraId="164DB559" w14:textId="77777777" w:rsidR="00520D2C" w:rsidRDefault="00520D2C">
      <w:pPr>
        <w:rPr>
          <w:rFonts w:ascii="Arial" w:hAnsi="Arial" w:cs="Arial"/>
          <w:b/>
          <w:bCs/>
          <w:sz w:val="26"/>
          <w:szCs w:val="26"/>
          <w:lang w:val="en-US"/>
        </w:rPr>
      </w:pPr>
    </w:p>
    <w:tbl>
      <w:tblPr>
        <w:tblW w:w="5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
        <w:gridCol w:w="1265"/>
        <w:gridCol w:w="1018"/>
        <w:gridCol w:w="1852"/>
      </w:tblGrid>
      <w:tr w:rsidR="00520D2C" w:rsidRPr="00C279E0" w14:paraId="3EBAABF0" w14:textId="77777777" w:rsidTr="00937F3B">
        <w:trPr>
          <w:cantSplit/>
        </w:trPr>
        <w:tc>
          <w:tcPr>
            <w:tcW w:w="5167" w:type="dxa"/>
            <w:gridSpan w:val="4"/>
            <w:tcBorders>
              <w:top w:val="nil"/>
              <w:left w:val="nil"/>
              <w:bottom w:val="nil"/>
              <w:right w:val="nil"/>
            </w:tcBorders>
            <w:shd w:val="clear" w:color="auto" w:fill="FFFFFF"/>
            <w:vAlign w:val="center"/>
          </w:tcPr>
          <w:p w14:paraId="3E32D24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Description</w:t>
            </w:r>
          </w:p>
        </w:tc>
      </w:tr>
      <w:tr w:rsidR="00520D2C" w:rsidRPr="00C279E0" w14:paraId="17994B99" w14:textId="77777777" w:rsidTr="00937F3B">
        <w:trPr>
          <w:cantSplit/>
        </w:trPr>
        <w:tc>
          <w:tcPr>
            <w:tcW w:w="3316" w:type="dxa"/>
            <w:gridSpan w:val="3"/>
            <w:tcBorders>
              <w:top w:val="nil"/>
              <w:left w:val="nil"/>
              <w:bottom w:val="single" w:sz="8" w:space="0" w:color="152935"/>
              <w:right w:val="nil"/>
            </w:tcBorders>
            <w:shd w:val="clear" w:color="auto" w:fill="FFFFFF"/>
            <w:vAlign w:val="bottom"/>
          </w:tcPr>
          <w:p w14:paraId="1A62F978"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851" w:type="dxa"/>
            <w:tcBorders>
              <w:top w:val="nil"/>
              <w:left w:val="nil"/>
              <w:bottom w:val="single" w:sz="8" w:space="0" w:color="152935"/>
              <w:right w:val="nil"/>
            </w:tcBorders>
            <w:shd w:val="clear" w:color="auto" w:fill="FFFFFF"/>
            <w:vAlign w:val="bottom"/>
          </w:tcPr>
          <w:p w14:paraId="62093DE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Type</w:t>
            </w:r>
          </w:p>
        </w:tc>
      </w:tr>
      <w:tr w:rsidR="00520D2C" w:rsidRPr="00C279E0" w14:paraId="0E9D8D30" w14:textId="77777777" w:rsidTr="00937F3B">
        <w:trPr>
          <w:cantSplit/>
        </w:trPr>
        <w:tc>
          <w:tcPr>
            <w:tcW w:w="1033" w:type="dxa"/>
            <w:tcBorders>
              <w:top w:val="single" w:sz="8" w:space="0" w:color="152935"/>
              <w:left w:val="nil"/>
              <w:bottom w:val="single" w:sz="8" w:space="0" w:color="152935"/>
              <w:right w:val="nil"/>
            </w:tcBorders>
            <w:shd w:val="clear" w:color="auto" w:fill="E0E0E0"/>
          </w:tcPr>
          <w:p w14:paraId="6EF5DD4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ID</w:t>
            </w:r>
          </w:p>
        </w:tc>
        <w:tc>
          <w:tcPr>
            <w:tcW w:w="1265" w:type="dxa"/>
            <w:tcBorders>
              <w:top w:val="single" w:sz="8" w:space="0" w:color="152935"/>
              <w:left w:val="nil"/>
              <w:bottom w:val="single" w:sz="8" w:space="0" w:color="152935"/>
              <w:right w:val="nil"/>
            </w:tcBorders>
            <w:shd w:val="clear" w:color="auto" w:fill="E0E0E0"/>
          </w:tcPr>
          <w:p w14:paraId="693715E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w:t>
            </w:r>
          </w:p>
        </w:tc>
        <w:tc>
          <w:tcPr>
            <w:tcW w:w="1018" w:type="dxa"/>
            <w:tcBorders>
              <w:top w:val="single" w:sz="8" w:space="0" w:color="152935"/>
              <w:left w:val="nil"/>
              <w:bottom w:val="single" w:sz="8" w:space="0" w:color="152935"/>
              <w:right w:val="nil"/>
            </w:tcBorders>
            <w:shd w:val="clear" w:color="auto" w:fill="E0E0E0"/>
          </w:tcPr>
          <w:p w14:paraId="01503DC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Model_1</w:t>
            </w:r>
          </w:p>
        </w:tc>
        <w:tc>
          <w:tcPr>
            <w:tcW w:w="1851" w:type="dxa"/>
            <w:tcBorders>
              <w:top w:val="single" w:sz="8" w:space="0" w:color="152935"/>
              <w:left w:val="nil"/>
              <w:bottom w:val="single" w:sz="8" w:space="0" w:color="152935"/>
              <w:right w:val="nil"/>
            </w:tcBorders>
            <w:shd w:val="clear" w:color="auto" w:fill="F9F9FB"/>
          </w:tcPr>
          <w:p w14:paraId="7E5E9C4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ARIMA(0,0,0)</w:t>
            </w:r>
          </w:p>
        </w:tc>
      </w:tr>
    </w:tbl>
    <w:p w14:paraId="4D3E172B"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p>
    <w:p w14:paraId="620BB75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r w:rsidRPr="00C279E0">
        <w:rPr>
          <w:rFonts w:ascii="Arial" w:eastAsia="Times New Roman" w:hAnsi="Arial" w:cs="Arial"/>
          <w:b/>
          <w:bCs/>
          <w:color w:val="000000"/>
          <w:sz w:val="26"/>
          <w:szCs w:val="26"/>
          <w:lang w:eastAsia="fr-FR"/>
        </w:rPr>
        <w:t>Model Summary</w:t>
      </w:r>
    </w:p>
    <w:tbl>
      <w:tblPr>
        <w:tblW w:w="8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8"/>
        <w:gridCol w:w="1164"/>
        <w:gridCol w:w="1026"/>
        <w:gridCol w:w="1164"/>
        <w:gridCol w:w="1164"/>
        <w:gridCol w:w="1164"/>
        <w:gridCol w:w="1164"/>
      </w:tblGrid>
      <w:tr w:rsidR="00520D2C" w:rsidRPr="00C279E0" w14:paraId="56CC6EEC" w14:textId="77777777" w:rsidTr="00937F3B">
        <w:trPr>
          <w:cantSplit/>
        </w:trPr>
        <w:tc>
          <w:tcPr>
            <w:tcW w:w="8913" w:type="dxa"/>
            <w:gridSpan w:val="7"/>
            <w:tcBorders>
              <w:top w:val="nil"/>
              <w:left w:val="nil"/>
              <w:bottom w:val="nil"/>
              <w:right w:val="nil"/>
            </w:tcBorders>
            <w:shd w:val="clear" w:color="auto" w:fill="FFFFFF"/>
            <w:vAlign w:val="center"/>
          </w:tcPr>
          <w:p w14:paraId="7684917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45D3722E" w14:textId="77777777" w:rsidTr="00937F3B">
        <w:trPr>
          <w:cantSplit/>
        </w:trPr>
        <w:tc>
          <w:tcPr>
            <w:tcW w:w="2067" w:type="dxa"/>
            <w:vMerge w:val="restart"/>
            <w:tcBorders>
              <w:top w:val="nil"/>
              <w:left w:val="nil"/>
              <w:bottom w:val="nil"/>
              <w:right w:val="nil"/>
            </w:tcBorders>
            <w:shd w:val="clear" w:color="auto" w:fill="FFFFFF"/>
            <w:vAlign w:val="bottom"/>
          </w:tcPr>
          <w:p w14:paraId="7BC829A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1164" w:type="dxa"/>
            <w:vMerge w:val="restart"/>
            <w:tcBorders>
              <w:top w:val="nil"/>
              <w:left w:val="nil"/>
              <w:bottom w:val="nil"/>
              <w:right w:val="single" w:sz="8" w:space="0" w:color="E0E0E0"/>
            </w:tcBorders>
            <w:shd w:val="clear" w:color="auto" w:fill="FFFFFF"/>
            <w:vAlign w:val="bottom"/>
          </w:tcPr>
          <w:p w14:paraId="48F3B8C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Mean</w:t>
            </w:r>
          </w:p>
        </w:tc>
        <w:tc>
          <w:tcPr>
            <w:tcW w:w="1026" w:type="dxa"/>
            <w:vMerge w:val="restart"/>
            <w:tcBorders>
              <w:top w:val="nil"/>
              <w:left w:val="single" w:sz="8" w:space="0" w:color="E0E0E0"/>
              <w:bottom w:val="nil"/>
              <w:right w:val="single" w:sz="8" w:space="0" w:color="E0E0E0"/>
            </w:tcBorders>
            <w:shd w:val="clear" w:color="auto" w:fill="FFFFFF"/>
            <w:vAlign w:val="bottom"/>
          </w:tcPr>
          <w:p w14:paraId="49055A2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164" w:type="dxa"/>
            <w:vMerge w:val="restart"/>
            <w:tcBorders>
              <w:top w:val="nil"/>
              <w:left w:val="single" w:sz="8" w:space="0" w:color="E0E0E0"/>
              <w:bottom w:val="nil"/>
              <w:right w:val="single" w:sz="8" w:space="0" w:color="E0E0E0"/>
            </w:tcBorders>
            <w:shd w:val="clear" w:color="auto" w:fill="FFFFFF"/>
            <w:vAlign w:val="bottom"/>
          </w:tcPr>
          <w:p w14:paraId="6D5F6CA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Minimum</w:t>
            </w:r>
          </w:p>
        </w:tc>
        <w:tc>
          <w:tcPr>
            <w:tcW w:w="1164" w:type="dxa"/>
            <w:vMerge w:val="restart"/>
            <w:tcBorders>
              <w:top w:val="nil"/>
              <w:left w:val="single" w:sz="8" w:space="0" w:color="E0E0E0"/>
              <w:bottom w:val="nil"/>
              <w:right w:val="single" w:sz="8" w:space="0" w:color="E0E0E0"/>
            </w:tcBorders>
            <w:shd w:val="clear" w:color="auto" w:fill="FFFFFF"/>
            <w:vAlign w:val="bottom"/>
          </w:tcPr>
          <w:p w14:paraId="00D8BD4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Maximum</w:t>
            </w:r>
          </w:p>
        </w:tc>
        <w:tc>
          <w:tcPr>
            <w:tcW w:w="2328" w:type="dxa"/>
            <w:gridSpan w:val="2"/>
            <w:tcBorders>
              <w:top w:val="nil"/>
              <w:left w:val="single" w:sz="8" w:space="0" w:color="E0E0E0"/>
              <w:bottom w:val="nil"/>
              <w:right w:val="nil"/>
            </w:tcBorders>
            <w:shd w:val="clear" w:color="auto" w:fill="FFFFFF"/>
            <w:vAlign w:val="bottom"/>
          </w:tcPr>
          <w:p w14:paraId="15E3237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7342DD95" w14:textId="77777777" w:rsidTr="00937F3B">
        <w:trPr>
          <w:cantSplit/>
        </w:trPr>
        <w:tc>
          <w:tcPr>
            <w:tcW w:w="2067" w:type="dxa"/>
            <w:vMerge/>
            <w:tcBorders>
              <w:top w:val="nil"/>
              <w:left w:val="nil"/>
              <w:bottom w:val="nil"/>
              <w:right w:val="nil"/>
            </w:tcBorders>
            <w:shd w:val="clear" w:color="auto" w:fill="FFFFFF"/>
            <w:vAlign w:val="bottom"/>
          </w:tcPr>
          <w:p w14:paraId="5BD022AB"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64" w:type="dxa"/>
            <w:vMerge/>
            <w:tcBorders>
              <w:top w:val="nil"/>
              <w:left w:val="nil"/>
              <w:bottom w:val="nil"/>
              <w:right w:val="single" w:sz="8" w:space="0" w:color="E0E0E0"/>
            </w:tcBorders>
            <w:shd w:val="clear" w:color="auto" w:fill="FFFFFF"/>
            <w:vAlign w:val="bottom"/>
          </w:tcPr>
          <w:p w14:paraId="5ACED515"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single" w:sz="8" w:space="0" w:color="E0E0E0"/>
              <w:bottom w:val="nil"/>
              <w:right w:val="single" w:sz="8" w:space="0" w:color="E0E0E0"/>
            </w:tcBorders>
            <w:shd w:val="clear" w:color="auto" w:fill="FFFFFF"/>
            <w:vAlign w:val="bottom"/>
          </w:tcPr>
          <w:p w14:paraId="4BD17419"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64" w:type="dxa"/>
            <w:vMerge/>
            <w:tcBorders>
              <w:top w:val="nil"/>
              <w:left w:val="single" w:sz="8" w:space="0" w:color="E0E0E0"/>
              <w:bottom w:val="nil"/>
              <w:right w:val="single" w:sz="8" w:space="0" w:color="E0E0E0"/>
            </w:tcBorders>
            <w:shd w:val="clear" w:color="auto" w:fill="FFFFFF"/>
            <w:vAlign w:val="bottom"/>
          </w:tcPr>
          <w:p w14:paraId="3D5FCB62"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64" w:type="dxa"/>
            <w:vMerge/>
            <w:tcBorders>
              <w:top w:val="nil"/>
              <w:left w:val="single" w:sz="8" w:space="0" w:color="E0E0E0"/>
              <w:bottom w:val="nil"/>
              <w:right w:val="single" w:sz="8" w:space="0" w:color="E0E0E0"/>
            </w:tcBorders>
            <w:shd w:val="clear" w:color="auto" w:fill="FFFFFF"/>
            <w:vAlign w:val="bottom"/>
          </w:tcPr>
          <w:p w14:paraId="1F0A4273"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64" w:type="dxa"/>
            <w:tcBorders>
              <w:top w:val="nil"/>
              <w:left w:val="single" w:sz="8" w:space="0" w:color="E0E0E0"/>
              <w:bottom w:val="single" w:sz="8" w:space="0" w:color="152935"/>
              <w:right w:val="single" w:sz="8" w:space="0" w:color="E0E0E0"/>
            </w:tcBorders>
            <w:shd w:val="clear" w:color="auto" w:fill="FFFFFF"/>
            <w:vAlign w:val="bottom"/>
          </w:tcPr>
          <w:p w14:paraId="67A3F31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w:t>
            </w:r>
          </w:p>
        </w:tc>
        <w:tc>
          <w:tcPr>
            <w:tcW w:w="1164" w:type="dxa"/>
            <w:tcBorders>
              <w:top w:val="nil"/>
              <w:left w:val="single" w:sz="8" w:space="0" w:color="E0E0E0"/>
              <w:bottom w:val="single" w:sz="8" w:space="0" w:color="152935"/>
              <w:right w:val="nil"/>
            </w:tcBorders>
            <w:shd w:val="clear" w:color="auto" w:fill="FFFFFF"/>
            <w:vAlign w:val="bottom"/>
          </w:tcPr>
          <w:p w14:paraId="17B0C35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10</w:t>
            </w:r>
          </w:p>
        </w:tc>
      </w:tr>
      <w:tr w:rsidR="00520D2C" w:rsidRPr="00C279E0" w14:paraId="027BA433" w14:textId="77777777" w:rsidTr="00937F3B">
        <w:trPr>
          <w:cantSplit/>
        </w:trPr>
        <w:tc>
          <w:tcPr>
            <w:tcW w:w="2067" w:type="dxa"/>
            <w:tcBorders>
              <w:top w:val="single" w:sz="8" w:space="0" w:color="152935"/>
              <w:left w:val="nil"/>
              <w:bottom w:val="single" w:sz="8" w:space="0" w:color="AEAEAE"/>
              <w:right w:val="nil"/>
            </w:tcBorders>
            <w:shd w:val="clear" w:color="auto" w:fill="E0E0E0"/>
          </w:tcPr>
          <w:p w14:paraId="673B9C6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164" w:type="dxa"/>
            <w:tcBorders>
              <w:top w:val="single" w:sz="8" w:space="0" w:color="152935"/>
              <w:left w:val="nil"/>
              <w:bottom w:val="single" w:sz="8" w:space="0" w:color="AEAEAE"/>
              <w:right w:val="single" w:sz="8" w:space="0" w:color="E0E0E0"/>
            </w:tcBorders>
            <w:shd w:val="clear" w:color="auto" w:fill="F9F9FB"/>
          </w:tcPr>
          <w:p w14:paraId="74ED192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46EBBEC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152935"/>
              <w:left w:val="single" w:sz="8" w:space="0" w:color="E0E0E0"/>
              <w:bottom w:val="single" w:sz="8" w:space="0" w:color="AEAEAE"/>
              <w:right w:val="single" w:sz="8" w:space="0" w:color="E0E0E0"/>
            </w:tcBorders>
            <w:shd w:val="clear" w:color="auto" w:fill="F9F9FB"/>
          </w:tcPr>
          <w:p w14:paraId="5D035DD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152935"/>
              <w:left w:val="single" w:sz="8" w:space="0" w:color="E0E0E0"/>
              <w:bottom w:val="single" w:sz="8" w:space="0" w:color="AEAEAE"/>
              <w:right w:val="single" w:sz="8" w:space="0" w:color="E0E0E0"/>
            </w:tcBorders>
            <w:shd w:val="clear" w:color="auto" w:fill="F9F9FB"/>
          </w:tcPr>
          <w:p w14:paraId="6534EB9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152935"/>
              <w:left w:val="single" w:sz="8" w:space="0" w:color="E0E0E0"/>
              <w:bottom w:val="single" w:sz="8" w:space="0" w:color="AEAEAE"/>
              <w:right w:val="single" w:sz="8" w:space="0" w:color="E0E0E0"/>
            </w:tcBorders>
            <w:shd w:val="clear" w:color="auto" w:fill="F9F9FB"/>
          </w:tcPr>
          <w:p w14:paraId="3A3F90F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152935"/>
              <w:left w:val="single" w:sz="8" w:space="0" w:color="E0E0E0"/>
              <w:bottom w:val="single" w:sz="8" w:space="0" w:color="AEAEAE"/>
              <w:right w:val="nil"/>
            </w:tcBorders>
            <w:shd w:val="clear" w:color="auto" w:fill="F9F9FB"/>
          </w:tcPr>
          <w:p w14:paraId="33A9570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r>
      <w:tr w:rsidR="00520D2C" w:rsidRPr="00C279E0" w14:paraId="47FD3425"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5C56DC0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164" w:type="dxa"/>
            <w:tcBorders>
              <w:top w:val="single" w:sz="8" w:space="0" w:color="AEAEAE"/>
              <w:left w:val="nil"/>
              <w:bottom w:val="single" w:sz="8" w:space="0" w:color="AEAEAE"/>
              <w:right w:val="single" w:sz="8" w:space="0" w:color="E0E0E0"/>
            </w:tcBorders>
            <w:shd w:val="clear" w:color="auto" w:fill="F9F9FB"/>
          </w:tcPr>
          <w:p w14:paraId="0B446F9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B7992F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62075CB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4F7D2D5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1041B11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164" w:type="dxa"/>
            <w:tcBorders>
              <w:top w:val="single" w:sz="8" w:space="0" w:color="AEAEAE"/>
              <w:left w:val="single" w:sz="8" w:space="0" w:color="E0E0E0"/>
              <w:bottom w:val="single" w:sz="8" w:space="0" w:color="AEAEAE"/>
              <w:right w:val="nil"/>
            </w:tcBorders>
            <w:shd w:val="clear" w:color="auto" w:fill="F9F9FB"/>
          </w:tcPr>
          <w:p w14:paraId="433449B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r>
      <w:tr w:rsidR="00520D2C" w:rsidRPr="00C279E0" w14:paraId="47627987"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57C6458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164" w:type="dxa"/>
            <w:tcBorders>
              <w:top w:val="single" w:sz="8" w:space="0" w:color="AEAEAE"/>
              <w:left w:val="nil"/>
              <w:bottom w:val="single" w:sz="8" w:space="0" w:color="AEAEAE"/>
              <w:right w:val="single" w:sz="8" w:space="0" w:color="E0E0E0"/>
            </w:tcBorders>
            <w:shd w:val="clear" w:color="auto" w:fill="F9F9FB"/>
          </w:tcPr>
          <w:p w14:paraId="6C66674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F958FE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17BD3FF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524AE9E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1EFC053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164" w:type="dxa"/>
            <w:tcBorders>
              <w:top w:val="single" w:sz="8" w:space="0" w:color="AEAEAE"/>
              <w:left w:val="single" w:sz="8" w:space="0" w:color="E0E0E0"/>
              <w:bottom w:val="single" w:sz="8" w:space="0" w:color="AEAEAE"/>
              <w:right w:val="nil"/>
            </w:tcBorders>
            <w:shd w:val="clear" w:color="auto" w:fill="F9F9FB"/>
          </w:tcPr>
          <w:p w14:paraId="456178C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r>
      <w:tr w:rsidR="00520D2C" w:rsidRPr="00C279E0" w14:paraId="0D8C107B"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27DCFBB9"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164" w:type="dxa"/>
            <w:tcBorders>
              <w:top w:val="single" w:sz="8" w:space="0" w:color="AEAEAE"/>
              <w:left w:val="nil"/>
              <w:bottom w:val="single" w:sz="8" w:space="0" w:color="AEAEAE"/>
              <w:right w:val="single" w:sz="8" w:space="0" w:color="E0E0E0"/>
            </w:tcBorders>
            <w:shd w:val="clear" w:color="auto" w:fill="F9F9FB"/>
          </w:tcPr>
          <w:p w14:paraId="63B1AD3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24EFBF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1B25C6B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13444D7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3E5CADE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164" w:type="dxa"/>
            <w:tcBorders>
              <w:top w:val="single" w:sz="8" w:space="0" w:color="AEAEAE"/>
              <w:left w:val="single" w:sz="8" w:space="0" w:color="E0E0E0"/>
              <w:bottom w:val="single" w:sz="8" w:space="0" w:color="AEAEAE"/>
              <w:right w:val="nil"/>
            </w:tcBorders>
            <w:shd w:val="clear" w:color="auto" w:fill="F9F9FB"/>
          </w:tcPr>
          <w:p w14:paraId="0488C22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r>
      <w:tr w:rsidR="00520D2C" w:rsidRPr="00C279E0" w14:paraId="3CF36B22"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516103C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164" w:type="dxa"/>
            <w:tcBorders>
              <w:top w:val="single" w:sz="8" w:space="0" w:color="AEAEAE"/>
              <w:left w:val="nil"/>
              <w:bottom w:val="single" w:sz="8" w:space="0" w:color="AEAEAE"/>
              <w:right w:val="single" w:sz="8" w:space="0" w:color="E0E0E0"/>
            </w:tcBorders>
            <w:shd w:val="clear" w:color="auto" w:fill="F9F9FB"/>
          </w:tcPr>
          <w:p w14:paraId="11DA622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1F5286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351A9E0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592E34E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5CAFC2F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164" w:type="dxa"/>
            <w:tcBorders>
              <w:top w:val="single" w:sz="8" w:space="0" w:color="AEAEAE"/>
              <w:left w:val="single" w:sz="8" w:space="0" w:color="E0E0E0"/>
              <w:bottom w:val="single" w:sz="8" w:space="0" w:color="AEAEAE"/>
              <w:right w:val="nil"/>
            </w:tcBorders>
            <w:shd w:val="clear" w:color="auto" w:fill="F9F9FB"/>
          </w:tcPr>
          <w:p w14:paraId="5DD7DAD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r>
      <w:tr w:rsidR="00520D2C" w:rsidRPr="00C279E0" w14:paraId="1A78B2E8"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6161C8F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164" w:type="dxa"/>
            <w:tcBorders>
              <w:top w:val="single" w:sz="8" w:space="0" w:color="AEAEAE"/>
              <w:left w:val="nil"/>
              <w:bottom w:val="single" w:sz="8" w:space="0" w:color="AEAEAE"/>
              <w:right w:val="single" w:sz="8" w:space="0" w:color="E0E0E0"/>
            </w:tcBorders>
            <w:shd w:val="clear" w:color="auto" w:fill="F9F9FB"/>
          </w:tcPr>
          <w:p w14:paraId="7F66E4B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960796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751D235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79E123F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4D2E45B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164" w:type="dxa"/>
            <w:tcBorders>
              <w:top w:val="single" w:sz="8" w:space="0" w:color="AEAEAE"/>
              <w:left w:val="single" w:sz="8" w:space="0" w:color="E0E0E0"/>
              <w:bottom w:val="single" w:sz="8" w:space="0" w:color="AEAEAE"/>
              <w:right w:val="nil"/>
            </w:tcBorders>
            <w:shd w:val="clear" w:color="auto" w:fill="F9F9FB"/>
          </w:tcPr>
          <w:p w14:paraId="0334C51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r>
      <w:tr w:rsidR="00520D2C" w:rsidRPr="00C279E0" w14:paraId="1C40476A" w14:textId="77777777" w:rsidTr="00937F3B">
        <w:trPr>
          <w:cantSplit/>
        </w:trPr>
        <w:tc>
          <w:tcPr>
            <w:tcW w:w="2067" w:type="dxa"/>
            <w:tcBorders>
              <w:top w:val="single" w:sz="8" w:space="0" w:color="AEAEAE"/>
              <w:left w:val="nil"/>
              <w:bottom w:val="single" w:sz="8" w:space="0" w:color="AEAEAE"/>
              <w:right w:val="nil"/>
            </w:tcBorders>
            <w:shd w:val="clear" w:color="auto" w:fill="E0E0E0"/>
          </w:tcPr>
          <w:p w14:paraId="23743BB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164" w:type="dxa"/>
            <w:tcBorders>
              <w:top w:val="single" w:sz="8" w:space="0" w:color="AEAEAE"/>
              <w:left w:val="nil"/>
              <w:bottom w:val="single" w:sz="8" w:space="0" w:color="AEAEAE"/>
              <w:right w:val="single" w:sz="8" w:space="0" w:color="E0E0E0"/>
            </w:tcBorders>
            <w:shd w:val="clear" w:color="auto" w:fill="F9F9FB"/>
          </w:tcPr>
          <w:p w14:paraId="3D228B6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714ADEA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604CD6F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7EE0301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164" w:type="dxa"/>
            <w:tcBorders>
              <w:top w:val="single" w:sz="8" w:space="0" w:color="AEAEAE"/>
              <w:left w:val="single" w:sz="8" w:space="0" w:color="E0E0E0"/>
              <w:bottom w:val="single" w:sz="8" w:space="0" w:color="AEAEAE"/>
              <w:right w:val="single" w:sz="8" w:space="0" w:color="E0E0E0"/>
            </w:tcBorders>
            <w:shd w:val="clear" w:color="auto" w:fill="F9F9FB"/>
          </w:tcPr>
          <w:p w14:paraId="79A1416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164" w:type="dxa"/>
            <w:tcBorders>
              <w:top w:val="single" w:sz="8" w:space="0" w:color="AEAEAE"/>
              <w:left w:val="single" w:sz="8" w:space="0" w:color="E0E0E0"/>
              <w:bottom w:val="single" w:sz="8" w:space="0" w:color="AEAEAE"/>
              <w:right w:val="nil"/>
            </w:tcBorders>
            <w:shd w:val="clear" w:color="auto" w:fill="F9F9FB"/>
          </w:tcPr>
          <w:p w14:paraId="3A564FC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r>
      <w:tr w:rsidR="00520D2C" w:rsidRPr="00C279E0" w14:paraId="5FEAFE13" w14:textId="77777777" w:rsidTr="00937F3B">
        <w:trPr>
          <w:cantSplit/>
        </w:trPr>
        <w:tc>
          <w:tcPr>
            <w:tcW w:w="2067" w:type="dxa"/>
            <w:tcBorders>
              <w:top w:val="single" w:sz="8" w:space="0" w:color="AEAEAE"/>
              <w:left w:val="nil"/>
              <w:bottom w:val="single" w:sz="8" w:space="0" w:color="152935"/>
              <w:right w:val="nil"/>
            </w:tcBorders>
            <w:shd w:val="clear" w:color="auto" w:fill="E0E0E0"/>
          </w:tcPr>
          <w:p w14:paraId="69005C1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164" w:type="dxa"/>
            <w:tcBorders>
              <w:top w:val="single" w:sz="8" w:space="0" w:color="AEAEAE"/>
              <w:left w:val="nil"/>
              <w:bottom w:val="single" w:sz="8" w:space="0" w:color="152935"/>
              <w:right w:val="single" w:sz="8" w:space="0" w:color="E0E0E0"/>
            </w:tcBorders>
            <w:shd w:val="clear" w:color="auto" w:fill="F9F9FB"/>
          </w:tcPr>
          <w:p w14:paraId="4DDA9DA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56DDDBD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164" w:type="dxa"/>
            <w:tcBorders>
              <w:top w:val="single" w:sz="8" w:space="0" w:color="AEAEAE"/>
              <w:left w:val="single" w:sz="8" w:space="0" w:color="E0E0E0"/>
              <w:bottom w:val="single" w:sz="8" w:space="0" w:color="152935"/>
              <w:right w:val="single" w:sz="8" w:space="0" w:color="E0E0E0"/>
            </w:tcBorders>
            <w:shd w:val="clear" w:color="auto" w:fill="F9F9FB"/>
          </w:tcPr>
          <w:p w14:paraId="1847A35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164" w:type="dxa"/>
            <w:tcBorders>
              <w:top w:val="single" w:sz="8" w:space="0" w:color="AEAEAE"/>
              <w:left w:val="single" w:sz="8" w:space="0" w:color="E0E0E0"/>
              <w:bottom w:val="single" w:sz="8" w:space="0" w:color="152935"/>
              <w:right w:val="single" w:sz="8" w:space="0" w:color="E0E0E0"/>
            </w:tcBorders>
            <w:shd w:val="clear" w:color="auto" w:fill="F9F9FB"/>
          </w:tcPr>
          <w:p w14:paraId="0F52317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164" w:type="dxa"/>
            <w:tcBorders>
              <w:top w:val="single" w:sz="8" w:space="0" w:color="AEAEAE"/>
              <w:left w:val="single" w:sz="8" w:space="0" w:color="E0E0E0"/>
              <w:bottom w:val="single" w:sz="8" w:space="0" w:color="152935"/>
              <w:right w:val="single" w:sz="8" w:space="0" w:color="E0E0E0"/>
            </w:tcBorders>
            <w:shd w:val="clear" w:color="auto" w:fill="F9F9FB"/>
          </w:tcPr>
          <w:p w14:paraId="5F3FD16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164" w:type="dxa"/>
            <w:tcBorders>
              <w:top w:val="single" w:sz="8" w:space="0" w:color="AEAEAE"/>
              <w:left w:val="single" w:sz="8" w:space="0" w:color="E0E0E0"/>
              <w:bottom w:val="single" w:sz="8" w:space="0" w:color="152935"/>
              <w:right w:val="nil"/>
            </w:tcBorders>
            <w:shd w:val="clear" w:color="auto" w:fill="F9F9FB"/>
          </w:tcPr>
          <w:p w14:paraId="2E5076D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r>
    </w:tbl>
    <w:p w14:paraId="55220A0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65"/>
        <w:gridCol w:w="1332"/>
        <w:gridCol w:w="1332"/>
        <w:gridCol w:w="1332"/>
        <w:gridCol w:w="1332"/>
        <w:gridCol w:w="1332"/>
      </w:tblGrid>
      <w:tr w:rsidR="00520D2C" w:rsidRPr="00C279E0" w14:paraId="0F70ACCD" w14:textId="77777777" w:rsidTr="00937F3B">
        <w:trPr>
          <w:cantSplit/>
        </w:trPr>
        <w:tc>
          <w:tcPr>
            <w:tcW w:w="9020" w:type="dxa"/>
            <w:gridSpan w:val="6"/>
            <w:tcBorders>
              <w:top w:val="nil"/>
              <w:left w:val="nil"/>
              <w:bottom w:val="nil"/>
              <w:right w:val="nil"/>
            </w:tcBorders>
            <w:shd w:val="clear" w:color="auto" w:fill="FFFFFF"/>
            <w:vAlign w:val="center"/>
          </w:tcPr>
          <w:p w14:paraId="15E864D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43E52471" w14:textId="77777777" w:rsidTr="00937F3B">
        <w:trPr>
          <w:cantSplit/>
        </w:trPr>
        <w:tc>
          <w:tcPr>
            <w:tcW w:w="2365" w:type="dxa"/>
            <w:vMerge w:val="restart"/>
            <w:tcBorders>
              <w:top w:val="nil"/>
              <w:left w:val="nil"/>
              <w:bottom w:val="nil"/>
              <w:right w:val="nil"/>
            </w:tcBorders>
            <w:shd w:val="clear" w:color="auto" w:fill="FFFFFF"/>
            <w:vAlign w:val="bottom"/>
          </w:tcPr>
          <w:p w14:paraId="70A1E62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6655" w:type="dxa"/>
            <w:gridSpan w:val="5"/>
            <w:tcBorders>
              <w:top w:val="nil"/>
              <w:left w:val="nil"/>
              <w:bottom w:val="nil"/>
              <w:right w:val="nil"/>
            </w:tcBorders>
            <w:shd w:val="clear" w:color="auto" w:fill="FFFFFF"/>
            <w:vAlign w:val="bottom"/>
          </w:tcPr>
          <w:p w14:paraId="0E072A0E"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111A0CD8" w14:textId="77777777" w:rsidTr="00937F3B">
        <w:trPr>
          <w:cantSplit/>
        </w:trPr>
        <w:tc>
          <w:tcPr>
            <w:tcW w:w="2365" w:type="dxa"/>
            <w:vMerge/>
            <w:tcBorders>
              <w:top w:val="nil"/>
              <w:left w:val="nil"/>
              <w:bottom w:val="nil"/>
              <w:right w:val="nil"/>
            </w:tcBorders>
            <w:shd w:val="clear" w:color="auto" w:fill="FFFFFF"/>
            <w:vAlign w:val="bottom"/>
          </w:tcPr>
          <w:p w14:paraId="48B3D639"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331" w:type="dxa"/>
            <w:tcBorders>
              <w:top w:val="nil"/>
              <w:left w:val="nil"/>
              <w:bottom w:val="single" w:sz="8" w:space="0" w:color="152935"/>
              <w:right w:val="single" w:sz="8" w:space="0" w:color="E0E0E0"/>
            </w:tcBorders>
            <w:shd w:val="clear" w:color="auto" w:fill="FFFFFF"/>
            <w:vAlign w:val="bottom"/>
          </w:tcPr>
          <w:p w14:paraId="362E140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25</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20C27F9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50</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60A6CA0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75</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79A080F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90</w:t>
            </w:r>
          </w:p>
        </w:tc>
        <w:tc>
          <w:tcPr>
            <w:tcW w:w="1331" w:type="dxa"/>
            <w:tcBorders>
              <w:top w:val="nil"/>
              <w:left w:val="single" w:sz="8" w:space="0" w:color="E0E0E0"/>
              <w:bottom w:val="single" w:sz="8" w:space="0" w:color="152935"/>
              <w:right w:val="nil"/>
            </w:tcBorders>
            <w:shd w:val="clear" w:color="auto" w:fill="FFFFFF"/>
            <w:vAlign w:val="bottom"/>
          </w:tcPr>
          <w:p w14:paraId="1D81A16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95</w:t>
            </w:r>
          </w:p>
        </w:tc>
      </w:tr>
      <w:tr w:rsidR="00520D2C" w:rsidRPr="00C279E0" w14:paraId="0A336626" w14:textId="77777777" w:rsidTr="00937F3B">
        <w:trPr>
          <w:cantSplit/>
        </w:trPr>
        <w:tc>
          <w:tcPr>
            <w:tcW w:w="2365" w:type="dxa"/>
            <w:tcBorders>
              <w:top w:val="single" w:sz="8" w:space="0" w:color="152935"/>
              <w:left w:val="nil"/>
              <w:bottom w:val="single" w:sz="8" w:space="0" w:color="AEAEAE"/>
              <w:right w:val="nil"/>
            </w:tcBorders>
            <w:shd w:val="clear" w:color="auto" w:fill="E0E0E0"/>
          </w:tcPr>
          <w:p w14:paraId="2F6B69D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331" w:type="dxa"/>
            <w:tcBorders>
              <w:top w:val="single" w:sz="8" w:space="0" w:color="152935"/>
              <w:left w:val="nil"/>
              <w:bottom w:val="single" w:sz="8" w:space="0" w:color="AEAEAE"/>
              <w:right w:val="single" w:sz="8" w:space="0" w:color="E0E0E0"/>
            </w:tcBorders>
            <w:shd w:val="clear" w:color="auto" w:fill="F9F9FB"/>
          </w:tcPr>
          <w:p w14:paraId="46C795B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152935"/>
              <w:left w:val="single" w:sz="8" w:space="0" w:color="E0E0E0"/>
              <w:bottom w:val="single" w:sz="8" w:space="0" w:color="AEAEAE"/>
              <w:right w:val="single" w:sz="8" w:space="0" w:color="E0E0E0"/>
            </w:tcBorders>
            <w:shd w:val="clear" w:color="auto" w:fill="F9F9FB"/>
          </w:tcPr>
          <w:p w14:paraId="71C6C9E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152935"/>
              <w:left w:val="single" w:sz="8" w:space="0" w:color="E0E0E0"/>
              <w:bottom w:val="single" w:sz="8" w:space="0" w:color="AEAEAE"/>
              <w:right w:val="single" w:sz="8" w:space="0" w:color="E0E0E0"/>
            </w:tcBorders>
            <w:shd w:val="clear" w:color="auto" w:fill="F9F9FB"/>
          </w:tcPr>
          <w:p w14:paraId="723C362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152935"/>
              <w:left w:val="single" w:sz="8" w:space="0" w:color="E0E0E0"/>
              <w:bottom w:val="single" w:sz="8" w:space="0" w:color="AEAEAE"/>
              <w:right w:val="single" w:sz="8" w:space="0" w:color="E0E0E0"/>
            </w:tcBorders>
            <w:shd w:val="clear" w:color="auto" w:fill="F9F9FB"/>
          </w:tcPr>
          <w:p w14:paraId="0AF72A0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152935"/>
              <w:left w:val="single" w:sz="8" w:space="0" w:color="E0E0E0"/>
              <w:bottom w:val="single" w:sz="8" w:space="0" w:color="AEAEAE"/>
              <w:right w:val="nil"/>
            </w:tcBorders>
            <w:shd w:val="clear" w:color="auto" w:fill="F9F9FB"/>
          </w:tcPr>
          <w:p w14:paraId="4714F62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r>
      <w:tr w:rsidR="00520D2C" w:rsidRPr="00C279E0" w14:paraId="6D9779A1"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70E2739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331" w:type="dxa"/>
            <w:tcBorders>
              <w:top w:val="single" w:sz="8" w:space="0" w:color="AEAEAE"/>
              <w:left w:val="nil"/>
              <w:bottom w:val="single" w:sz="8" w:space="0" w:color="AEAEAE"/>
              <w:right w:val="single" w:sz="8" w:space="0" w:color="E0E0E0"/>
            </w:tcBorders>
            <w:shd w:val="clear" w:color="auto" w:fill="F9F9FB"/>
          </w:tcPr>
          <w:p w14:paraId="3A78E25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A8EE01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6638BC8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29A695B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331" w:type="dxa"/>
            <w:tcBorders>
              <w:top w:val="single" w:sz="8" w:space="0" w:color="AEAEAE"/>
              <w:left w:val="single" w:sz="8" w:space="0" w:color="E0E0E0"/>
              <w:bottom w:val="single" w:sz="8" w:space="0" w:color="AEAEAE"/>
              <w:right w:val="nil"/>
            </w:tcBorders>
            <w:shd w:val="clear" w:color="auto" w:fill="F9F9FB"/>
          </w:tcPr>
          <w:p w14:paraId="76CB3AB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r>
      <w:tr w:rsidR="00520D2C" w:rsidRPr="00C279E0" w14:paraId="7F3035BA"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672213E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331" w:type="dxa"/>
            <w:tcBorders>
              <w:top w:val="single" w:sz="8" w:space="0" w:color="AEAEAE"/>
              <w:left w:val="nil"/>
              <w:bottom w:val="single" w:sz="8" w:space="0" w:color="AEAEAE"/>
              <w:right w:val="single" w:sz="8" w:space="0" w:color="E0E0E0"/>
            </w:tcBorders>
            <w:shd w:val="clear" w:color="auto" w:fill="F9F9FB"/>
          </w:tcPr>
          <w:p w14:paraId="2161FC2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713345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6CBD51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14BA5A8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c>
          <w:tcPr>
            <w:tcW w:w="1331" w:type="dxa"/>
            <w:tcBorders>
              <w:top w:val="single" w:sz="8" w:space="0" w:color="AEAEAE"/>
              <w:left w:val="single" w:sz="8" w:space="0" w:color="E0E0E0"/>
              <w:bottom w:val="single" w:sz="8" w:space="0" w:color="AEAEAE"/>
              <w:right w:val="nil"/>
            </w:tcBorders>
            <w:shd w:val="clear" w:color="auto" w:fill="F9F9FB"/>
          </w:tcPr>
          <w:p w14:paraId="4C30977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2.926</w:t>
            </w:r>
          </w:p>
        </w:tc>
      </w:tr>
      <w:tr w:rsidR="00520D2C" w:rsidRPr="00C279E0" w14:paraId="6BC1AFFC"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778A1DE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331" w:type="dxa"/>
            <w:tcBorders>
              <w:top w:val="single" w:sz="8" w:space="0" w:color="AEAEAE"/>
              <w:left w:val="nil"/>
              <w:bottom w:val="single" w:sz="8" w:space="0" w:color="AEAEAE"/>
              <w:right w:val="single" w:sz="8" w:space="0" w:color="E0E0E0"/>
            </w:tcBorders>
            <w:shd w:val="clear" w:color="auto" w:fill="F9F9FB"/>
          </w:tcPr>
          <w:p w14:paraId="08AAE29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1EC39E7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51A1F18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CBB7C6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c>
          <w:tcPr>
            <w:tcW w:w="1331" w:type="dxa"/>
            <w:tcBorders>
              <w:top w:val="single" w:sz="8" w:space="0" w:color="AEAEAE"/>
              <w:left w:val="single" w:sz="8" w:space="0" w:color="E0E0E0"/>
              <w:bottom w:val="single" w:sz="8" w:space="0" w:color="AEAEAE"/>
              <w:right w:val="nil"/>
            </w:tcBorders>
            <w:shd w:val="clear" w:color="auto" w:fill="F9F9FB"/>
          </w:tcPr>
          <w:p w14:paraId="4FA0ED7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85.668</w:t>
            </w:r>
          </w:p>
        </w:tc>
      </w:tr>
      <w:tr w:rsidR="00520D2C" w:rsidRPr="00C279E0" w14:paraId="6F08B961"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00894FA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331" w:type="dxa"/>
            <w:tcBorders>
              <w:top w:val="single" w:sz="8" w:space="0" w:color="AEAEAE"/>
              <w:left w:val="nil"/>
              <w:bottom w:val="single" w:sz="8" w:space="0" w:color="AEAEAE"/>
              <w:right w:val="single" w:sz="8" w:space="0" w:color="E0E0E0"/>
            </w:tcBorders>
            <w:shd w:val="clear" w:color="auto" w:fill="F9F9FB"/>
          </w:tcPr>
          <w:p w14:paraId="2EC0C1B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33D41E0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6B90359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1664B18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c>
          <w:tcPr>
            <w:tcW w:w="1331" w:type="dxa"/>
            <w:tcBorders>
              <w:top w:val="single" w:sz="8" w:space="0" w:color="AEAEAE"/>
              <w:left w:val="single" w:sz="8" w:space="0" w:color="E0E0E0"/>
              <w:bottom w:val="single" w:sz="8" w:space="0" w:color="AEAEAE"/>
              <w:right w:val="nil"/>
            </w:tcBorders>
            <w:shd w:val="clear" w:color="auto" w:fill="F9F9FB"/>
          </w:tcPr>
          <w:p w14:paraId="2FFBEEE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498.864</w:t>
            </w:r>
          </w:p>
        </w:tc>
      </w:tr>
      <w:tr w:rsidR="00520D2C" w:rsidRPr="00C279E0" w14:paraId="7EA3A5F9"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3CBCB78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331" w:type="dxa"/>
            <w:tcBorders>
              <w:top w:val="single" w:sz="8" w:space="0" w:color="AEAEAE"/>
              <w:left w:val="nil"/>
              <w:bottom w:val="single" w:sz="8" w:space="0" w:color="AEAEAE"/>
              <w:right w:val="single" w:sz="8" w:space="0" w:color="E0E0E0"/>
            </w:tcBorders>
            <w:shd w:val="clear" w:color="auto" w:fill="F9F9FB"/>
          </w:tcPr>
          <w:p w14:paraId="2EDA52B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08A3528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7CA1D30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672A2A3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c>
          <w:tcPr>
            <w:tcW w:w="1331" w:type="dxa"/>
            <w:tcBorders>
              <w:top w:val="single" w:sz="8" w:space="0" w:color="AEAEAE"/>
              <w:left w:val="single" w:sz="8" w:space="0" w:color="E0E0E0"/>
              <w:bottom w:val="single" w:sz="8" w:space="0" w:color="AEAEAE"/>
              <w:right w:val="nil"/>
            </w:tcBorders>
            <w:shd w:val="clear" w:color="auto" w:fill="F9F9FB"/>
          </w:tcPr>
          <w:p w14:paraId="57A20B9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2.137</w:t>
            </w:r>
          </w:p>
        </w:tc>
      </w:tr>
      <w:tr w:rsidR="00520D2C" w:rsidRPr="00C279E0" w14:paraId="1C7D8F78" w14:textId="77777777" w:rsidTr="00937F3B">
        <w:trPr>
          <w:cantSplit/>
        </w:trPr>
        <w:tc>
          <w:tcPr>
            <w:tcW w:w="2365" w:type="dxa"/>
            <w:tcBorders>
              <w:top w:val="single" w:sz="8" w:space="0" w:color="AEAEAE"/>
              <w:left w:val="nil"/>
              <w:bottom w:val="single" w:sz="8" w:space="0" w:color="AEAEAE"/>
              <w:right w:val="nil"/>
            </w:tcBorders>
            <w:shd w:val="clear" w:color="auto" w:fill="E0E0E0"/>
          </w:tcPr>
          <w:p w14:paraId="672346E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331" w:type="dxa"/>
            <w:tcBorders>
              <w:top w:val="single" w:sz="8" w:space="0" w:color="AEAEAE"/>
              <w:left w:val="nil"/>
              <w:bottom w:val="single" w:sz="8" w:space="0" w:color="AEAEAE"/>
              <w:right w:val="single" w:sz="8" w:space="0" w:color="E0E0E0"/>
            </w:tcBorders>
            <w:shd w:val="clear" w:color="auto" w:fill="F9F9FB"/>
          </w:tcPr>
          <w:p w14:paraId="4F63F91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957B3C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4498E3F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386F1CB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c>
          <w:tcPr>
            <w:tcW w:w="1331" w:type="dxa"/>
            <w:tcBorders>
              <w:top w:val="single" w:sz="8" w:space="0" w:color="AEAEAE"/>
              <w:left w:val="single" w:sz="8" w:space="0" w:color="E0E0E0"/>
              <w:bottom w:val="single" w:sz="8" w:space="0" w:color="AEAEAE"/>
              <w:right w:val="nil"/>
            </w:tcBorders>
            <w:shd w:val="clear" w:color="auto" w:fill="F9F9FB"/>
          </w:tcPr>
          <w:p w14:paraId="19ACFD4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6.609</w:t>
            </w:r>
          </w:p>
        </w:tc>
      </w:tr>
      <w:tr w:rsidR="00520D2C" w:rsidRPr="00C279E0" w14:paraId="7244B9C9" w14:textId="77777777" w:rsidTr="00937F3B">
        <w:trPr>
          <w:cantSplit/>
        </w:trPr>
        <w:tc>
          <w:tcPr>
            <w:tcW w:w="2365" w:type="dxa"/>
            <w:tcBorders>
              <w:top w:val="single" w:sz="8" w:space="0" w:color="AEAEAE"/>
              <w:left w:val="nil"/>
              <w:bottom w:val="single" w:sz="8" w:space="0" w:color="152935"/>
              <w:right w:val="nil"/>
            </w:tcBorders>
            <w:shd w:val="clear" w:color="auto" w:fill="E0E0E0"/>
          </w:tcPr>
          <w:p w14:paraId="17F5C00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331" w:type="dxa"/>
            <w:tcBorders>
              <w:top w:val="single" w:sz="8" w:space="0" w:color="AEAEAE"/>
              <w:left w:val="nil"/>
              <w:bottom w:val="single" w:sz="8" w:space="0" w:color="152935"/>
              <w:right w:val="single" w:sz="8" w:space="0" w:color="E0E0E0"/>
            </w:tcBorders>
            <w:shd w:val="clear" w:color="auto" w:fill="F9F9FB"/>
          </w:tcPr>
          <w:p w14:paraId="49D52A7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331" w:type="dxa"/>
            <w:tcBorders>
              <w:top w:val="single" w:sz="8" w:space="0" w:color="AEAEAE"/>
              <w:left w:val="single" w:sz="8" w:space="0" w:color="E0E0E0"/>
              <w:bottom w:val="single" w:sz="8" w:space="0" w:color="152935"/>
              <w:right w:val="single" w:sz="8" w:space="0" w:color="E0E0E0"/>
            </w:tcBorders>
            <w:shd w:val="clear" w:color="auto" w:fill="F9F9FB"/>
          </w:tcPr>
          <w:p w14:paraId="11CB8B4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331" w:type="dxa"/>
            <w:tcBorders>
              <w:top w:val="single" w:sz="8" w:space="0" w:color="AEAEAE"/>
              <w:left w:val="single" w:sz="8" w:space="0" w:color="E0E0E0"/>
              <w:bottom w:val="single" w:sz="8" w:space="0" w:color="152935"/>
              <w:right w:val="single" w:sz="8" w:space="0" w:color="E0E0E0"/>
            </w:tcBorders>
            <w:shd w:val="clear" w:color="auto" w:fill="F9F9FB"/>
          </w:tcPr>
          <w:p w14:paraId="48AAC70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331" w:type="dxa"/>
            <w:tcBorders>
              <w:top w:val="single" w:sz="8" w:space="0" w:color="AEAEAE"/>
              <w:left w:val="single" w:sz="8" w:space="0" w:color="E0E0E0"/>
              <w:bottom w:val="single" w:sz="8" w:space="0" w:color="152935"/>
              <w:right w:val="single" w:sz="8" w:space="0" w:color="E0E0E0"/>
            </w:tcBorders>
            <w:shd w:val="clear" w:color="auto" w:fill="F9F9FB"/>
          </w:tcPr>
          <w:p w14:paraId="5AA360F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c>
          <w:tcPr>
            <w:tcW w:w="1331" w:type="dxa"/>
            <w:tcBorders>
              <w:top w:val="single" w:sz="8" w:space="0" w:color="AEAEAE"/>
              <w:left w:val="single" w:sz="8" w:space="0" w:color="E0E0E0"/>
              <w:bottom w:val="single" w:sz="8" w:space="0" w:color="152935"/>
              <w:right w:val="nil"/>
            </w:tcBorders>
            <w:shd w:val="clear" w:color="auto" w:fill="F9F9FB"/>
          </w:tcPr>
          <w:p w14:paraId="48CCC23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2.365</w:t>
            </w:r>
          </w:p>
        </w:tc>
      </w:tr>
    </w:tbl>
    <w:p w14:paraId="5198381F"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57ADF0E0"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40"/>
        <w:gridCol w:w="1472"/>
        <w:gridCol w:w="1472"/>
        <w:gridCol w:w="1057"/>
        <w:gridCol w:w="1027"/>
        <w:gridCol w:w="1027"/>
      </w:tblGrid>
      <w:tr w:rsidR="00520D2C" w:rsidRPr="00C279E0" w14:paraId="3224ECAD" w14:textId="77777777" w:rsidTr="00937F3B">
        <w:trPr>
          <w:cantSplit/>
        </w:trPr>
        <w:tc>
          <w:tcPr>
            <w:tcW w:w="8092" w:type="dxa"/>
            <w:gridSpan w:val="6"/>
            <w:tcBorders>
              <w:top w:val="nil"/>
              <w:left w:val="nil"/>
              <w:bottom w:val="nil"/>
              <w:right w:val="nil"/>
            </w:tcBorders>
            <w:shd w:val="clear" w:color="auto" w:fill="FFFFFF"/>
            <w:vAlign w:val="center"/>
          </w:tcPr>
          <w:p w14:paraId="46FEA5A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44A9F5D4" w14:textId="77777777" w:rsidTr="00937F3B">
        <w:trPr>
          <w:cantSplit/>
        </w:trPr>
        <w:tc>
          <w:tcPr>
            <w:tcW w:w="2039" w:type="dxa"/>
            <w:vMerge w:val="restart"/>
            <w:tcBorders>
              <w:top w:val="nil"/>
              <w:left w:val="nil"/>
              <w:bottom w:val="nil"/>
              <w:right w:val="nil"/>
            </w:tcBorders>
            <w:shd w:val="clear" w:color="auto" w:fill="FFFFFF"/>
            <w:vAlign w:val="bottom"/>
          </w:tcPr>
          <w:p w14:paraId="4D9884D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471" w:type="dxa"/>
            <w:vMerge w:val="restart"/>
            <w:tcBorders>
              <w:top w:val="nil"/>
              <w:left w:val="nil"/>
              <w:bottom w:val="nil"/>
              <w:right w:val="single" w:sz="8" w:space="0" w:color="E0E0E0"/>
            </w:tcBorders>
            <w:shd w:val="clear" w:color="auto" w:fill="FFFFFF"/>
            <w:vAlign w:val="bottom"/>
          </w:tcPr>
          <w:p w14:paraId="6F2DC7D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Predictors</w:t>
            </w:r>
          </w:p>
        </w:tc>
        <w:tc>
          <w:tcPr>
            <w:tcW w:w="1471" w:type="dxa"/>
            <w:tcBorders>
              <w:top w:val="nil"/>
              <w:left w:val="single" w:sz="8" w:space="0" w:color="E0E0E0"/>
              <w:bottom w:val="nil"/>
              <w:right w:val="single" w:sz="8" w:space="0" w:color="E0E0E0"/>
            </w:tcBorders>
            <w:shd w:val="clear" w:color="auto" w:fill="FFFFFF"/>
            <w:vAlign w:val="bottom"/>
          </w:tcPr>
          <w:p w14:paraId="4A5917E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Fit statistics</w:t>
            </w:r>
          </w:p>
        </w:tc>
        <w:tc>
          <w:tcPr>
            <w:tcW w:w="3111" w:type="dxa"/>
            <w:gridSpan w:val="3"/>
            <w:tcBorders>
              <w:top w:val="nil"/>
              <w:left w:val="single" w:sz="8" w:space="0" w:color="E0E0E0"/>
              <w:bottom w:val="nil"/>
              <w:right w:val="nil"/>
            </w:tcBorders>
            <w:shd w:val="clear" w:color="auto" w:fill="FFFFFF"/>
            <w:vAlign w:val="bottom"/>
          </w:tcPr>
          <w:p w14:paraId="56F65F1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Ljung-Box Q(18)</w:t>
            </w:r>
          </w:p>
        </w:tc>
      </w:tr>
      <w:tr w:rsidR="00520D2C" w:rsidRPr="00C279E0" w14:paraId="3443E888" w14:textId="77777777" w:rsidTr="00937F3B">
        <w:trPr>
          <w:cantSplit/>
        </w:trPr>
        <w:tc>
          <w:tcPr>
            <w:tcW w:w="2039" w:type="dxa"/>
            <w:vMerge/>
            <w:tcBorders>
              <w:top w:val="nil"/>
              <w:left w:val="nil"/>
              <w:bottom w:val="nil"/>
              <w:right w:val="nil"/>
            </w:tcBorders>
            <w:shd w:val="clear" w:color="auto" w:fill="FFFFFF"/>
            <w:vAlign w:val="bottom"/>
          </w:tcPr>
          <w:p w14:paraId="47489A03"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vMerge/>
            <w:tcBorders>
              <w:top w:val="nil"/>
              <w:left w:val="nil"/>
              <w:bottom w:val="nil"/>
              <w:right w:val="single" w:sz="8" w:space="0" w:color="E0E0E0"/>
            </w:tcBorders>
            <w:shd w:val="clear" w:color="auto" w:fill="FFFFFF"/>
            <w:vAlign w:val="bottom"/>
          </w:tcPr>
          <w:p w14:paraId="4749305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5DCF7B5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57" w:type="dxa"/>
            <w:tcBorders>
              <w:top w:val="nil"/>
              <w:left w:val="single" w:sz="8" w:space="0" w:color="E0E0E0"/>
              <w:bottom w:val="single" w:sz="8" w:space="0" w:color="152935"/>
              <w:right w:val="single" w:sz="8" w:space="0" w:color="E0E0E0"/>
            </w:tcBorders>
            <w:shd w:val="clear" w:color="auto" w:fill="FFFFFF"/>
            <w:vAlign w:val="bottom"/>
          </w:tcPr>
          <w:p w14:paraId="7BBC030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Statistics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76CE4EB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DF</w:t>
            </w:r>
          </w:p>
        </w:tc>
        <w:tc>
          <w:tcPr>
            <w:tcW w:w="1027" w:type="dxa"/>
            <w:tcBorders>
              <w:top w:val="nil"/>
              <w:left w:val="single" w:sz="8" w:space="0" w:color="E0E0E0"/>
              <w:bottom w:val="single" w:sz="8" w:space="0" w:color="152935"/>
              <w:right w:val="nil"/>
            </w:tcBorders>
            <w:shd w:val="clear" w:color="auto" w:fill="FFFFFF"/>
            <w:vAlign w:val="bottom"/>
          </w:tcPr>
          <w:p w14:paraId="63AE641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2428B48C" w14:textId="77777777" w:rsidTr="00937F3B">
        <w:trPr>
          <w:cantSplit/>
        </w:trPr>
        <w:tc>
          <w:tcPr>
            <w:tcW w:w="2039" w:type="dxa"/>
            <w:tcBorders>
              <w:top w:val="single" w:sz="8" w:space="0" w:color="152935"/>
              <w:left w:val="nil"/>
              <w:bottom w:val="single" w:sz="8" w:space="0" w:color="152935"/>
              <w:right w:val="nil"/>
            </w:tcBorders>
            <w:shd w:val="clear" w:color="auto" w:fill="E0E0E0"/>
          </w:tcPr>
          <w:p w14:paraId="2C3C792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GDPgrowth-Model_1</w:t>
            </w:r>
          </w:p>
        </w:tc>
        <w:tc>
          <w:tcPr>
            <w:tcW w:w="1471" w:type="dxa"/>
            <w:tcBorders>
              <w:top w:val="single" w:sz="8" w:space="0" w:color="152935"/>
              <w:left w:val="nil"/>
              <w:bottom w:val="single" w:sz="8" w:space="0" w:color="152935"/>
              <w:right w:val="single" w:sz="8" w:space="0" w:color="E0E0E0"/>
            </w:tcBorders>
            <w:shd w:val="clear" w:color="auto" w:fill="F9F9FB"/>
          </w:tcPr>
          <w:p w14:paraId="26FFCB0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471" w:type="dxa"/>
            <w:tcBorders>
              <w:top w:val="single" w:sz="8" w:space="0" w:color="152935"/>
              <w:left w:val="single" w:sz="8" w:space="0" w:color="E0E0E0"/>
              <w:bottom w:val="single" w:sz="8" w:space="0" w:color="152935"/>
              <w:right w:val="single" w:sz="8" w:space="0" w:color="E0E0E0"/>
            </w:tcBorders>
            <w:shd w:val="clear" w:color="auto" w:fill="F9F9FB"/>
          </w:tcPr>
          <w:p w14:paraId="3E1C451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1.110E-16</w:t>
            </w:r>
          </w:p>
        </w:tc>
        <w:tc>
          <w:tcPr>
            <w:tcW w:w="1057" w:type="dxa"/>
            <w:tcBorders>
              <w:top w:val="single" w:sz="8" w:space="0" w:color="152935"/>
              <w:left w:val="single" w:sz="8" w:space="0" w:color="E0E0E0"/>
              <w:bottom w:val="single" w:sz="8" w:space="0" w:color="152935"/>
              <w:right w:val="single" w:sz="8" w:space="0" w:color="E0E0E0"/>
            </w:tcBorders>
            <w:shd w:val="clear" w:color="auto" w:fill="F9F9FB"/>
          </w:tcPr>
          <w:p w14:paraId="5D93B87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27" w:type="dxa"/>
            <w:tcBorders>
              <w:top w:val="single" w:sz="8" w:space="0" w:color="152935"/>
              <w:left w:val="single" w:sz="8" w:space="0" w:color="E0E0E0"/>
              <w:bottom w:val="single" w:sz="8" w:space="0" w:color="152935"/>
              <w:right w:val="single" w:sz="8" w:space="0" w:color="E0E0E0"/>
            </w:tcBorders>
            <w:shd w:val="clear" w:color="auto" w:fill="F9F9FB"/>
          </w:tcPr>
          <w:p w14:paraId="07183B5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027" w:type="dxa"/>
            <w:tcBorders>
              <w:top w:val="single" w:sz="8" w:space="0" w:color="152935"/>
              <w:left w:val="single" w:sz="8" w:space="0" w:color="E0E0E0"/>
              <w:bottom w:val="single" w:sz="8" w:space="0" w:color="152935"/>
              <w:right w:val="nil"/>
            </w:tcBorders>
            <w:shd w:val="clear" w:color="auto" w:fill="F9F9FB"/>
          </w:tcPr>
          <w:p w14:paraId="47A871F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r>
    </w:tbl>
    <w:p w14:paraId="48A331F4"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242"/>
        <w:gridCol w:w="3783"/>
      </w:tblGrid>
      <w:tr w:rsidR="00520D2C" w:rsidRPr="00C279E0" w14:paraId="66A3FE41" w14:textId="77777777" w:rsidTr="00937F3B">
        <w:trPr>
          <w:cantSplit/>
        </w:trPr>
        <w:tc>
          <w:tcPr>
            <w:tcW w:w="9024" w:type="dxa"/>
            <w:gridSpan w:val="2"/>
            <w:tcBorders>
              <w:top w:val="nil"/>
              <w:left w:val="nil"/>
              <w:bottom w:val="nil"/>
              <w:right w:val="nil"/>
            </w:tcBorders>
            <w:shd w:val="clear" w:color="auto" w:fill="FFFFFF"/>
            <w:vAlign w:val="center"/>
          </w:tcPr>
          <w:p w14:paraId="37C0485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02D16125" w14:textId="77777777" w:rsidTr="00937F3B">
        <w:trPr>
          <w:cantSplit/>
          <w:trHeight w:val="320"/>
        </w:trPr>
        <w:tc>
          <w:tcPr>
            <w:tcW w:w="5241" w:type="dxa"/>
            <w:vMerge w:val="restart"/>
            <w:tcBorders>
              <w:top w:val="nil"/>
              <w:left w:val="nil"/>
              <w:bottom w:val="nil"/>
              <w:right w:val="nil"/>
            </w:tcBorders>
            <w:shd w:val="clear" w:color="auto" w:fill="FFFFFF"/>
            <w:vAlign w:val="bottom"/>
          </w:tcPr>
          <w:p w14:paraId="3C5DFCD9"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3783" w:type="dxa"/>
            <w:vMerge w:val="restart"/>
            <w:tcBorders>
              <w:top w:val="nil"/>
              <w:left w:val="nil"/>
              <w:bottom w:val="nil"/>
              <w:right w:val="nil"/>
            </w:tcBorders>
            <w:shd w:val="clear" w:color="auto" w:fill="FFFFFF"/>
            <w:vAlign w:val="bottom"/>
          </w:tcPr>
          <w:p w14:paraId="7CB9E69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Outliers</w:t>
            </w:r>
          </w:p>
        </w:tc>
      </w:tr>
      <w:tr w:rsidR="00520D2C" w:rsidRPr="00C279E0" w14:paraId="271AC233" w14:textId="77777777" w:rsidTr="00937F3B">
        <w:trPr>
          <w:cantSplit/>
          <w:trHeight w:val="207"/>
        </w:trPr>
        <w:tc>
          <w:tcPr>
            <w:tcW w:w="5241" w:type="dxa"/>
            <w:vMerge/>
            <w:tcBorders>
              <w:top w:val="nil"/>
              <w:left w:val="nil"/>
              <w:bottom w:val="nil"/>
              <w:right w:val="nil"/>
            </w:tcBorders>
            <w:shd w:val="clear" w:color="auto" w:fill="FFFFFF"/>
            <w:vAlign w:val="bottom"/>
          </w:tcPr>
          <w:p w14:paraId="358873D3"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3783" w:type="dxa"/>
            <w:vMerge/>
            <w:tcBorders>
              <w:top w:val="nil"/>
              <w:left w:val="nil"/>
              <w:bottom w:val="nil"/>
              <w:right w:val="nil"/>
            </w:tcBorders>
            <w:shd w:val="clear" w:color="auto" w:fill="FFFFFF"/>
            <w:vAlign w:val="bottom"/>
          </w:tcPr>
          <w:p w14:paraId="4ED04603"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r>
      <w:tr w:rsidR="00520D2C" w:rsidRPr="00C279E0" w14:paraId="75D135EA" w14:textId="77777777" w:rsidTr="00937F3B">
        <w:trPr>
          <w:cantSplit/>
        </w:trPr>
        <w:tc>
          <w:tcPr>
            <w:tcW w:w="5241" w:type="dxa"/>
            <w:tcBorders>
              <w:top w:val="single" w:sz="8" w:space="0" w:color="152935"/>
              <w:left w:val="nil"/>
              <w:bottom w:val="single" w:sz="8" w:space="0" w:color="152935"/>
              <w:right w:val="nil"/>
            </w:tcBorders>
            <w:shd w:val="clear" w:color="auto" w:fill="E0E0E0"/>
          </w:tcPr>
          <w:p w14:paraId="4898E19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GDPgrowth-Model_1</w:t>
            </w:r>
          </w:p>
        </w:tc>
        <w:tc>
          <w:tcPr>
            <w:tcW w:w="3783" w:type="dxa"/>
            <w:tcBorders>
              <w:top w:val="single" w:sz="8" w:space="0" w:color="152935"/>
              <w:left w:val="nil"/>
              <w:bottom w:val="single" w:sz="8" w:space="0" w:color="152935"/>
              <w:right w:val="nil"/>
            </w:tcBorders>
            <w:shd w:val="clear" w:color="auto" w:fill="F9F9FB"/>
          </w:tcPr>
          <w:p w14:paraId="2C13272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r>
    </w:tbl>
    <w:p w14:paraId="760E47CB"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1CE52545"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38"/>
        <w:gridCol w:w="1257"/>
        <w:gridCol w:w="1870"/>
        <w:gridCol w:w="1058"/>
        <w:gridCol w:w="1043"/>
        <w:gridCol w:w="1026"/>
      </w:tblGrid>
      <w:tr w:rsidR="00520D2C" w:rsidRPr="00C279E0" w14:paraId="54C45A57" w14:textId="77777777" w:rsidTr="00937F3B">
        <w:trPr>
          <w:cantSplit/>
        </w:trPr>
        <w:tc>
          <w:tcPr>
            <w:tcW w:w="8288" w:type="dxa"/>
            <w:gridSpan w:val="6"/>
            <w:tcBorders>
              <w:top w:val="nil"/>
              <w:left w:val="nil"/>
              <w:bottom w:val="nil"/>
              <w:right w:val="nil"/>
            </w:tcBorders>
            <w:shd w:val="clear" w:color="auto" w:fill="FFFFFF"/>
            <w:vAlign w:val="center"/>
          </w:tcPr>
          <w:p w14:paraId="1DD3788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ARIMA Model Parameters</w:t>
            </w:r>
          </w:p>
        </w:tc>
      </w:tr>
      <w:tr w:rsidR="00520D2C" w:rsidRPr="00C279E0" w14:paraId="3C5EF482" w14:textId="77777777" w:rsidTr="00937F3B">
        <w:trPr>
          <w:cantSplit/>
        </w:trPr>
        <w:tc>
          <w:tcPr>
            <w:tcW w:w="6220" w:type="dxa"/>
            <w:gridSpan w:val="4"/>
            <w:tcBorders>
              <w:top w:val="nil"/>
              <w:left w:val="nil"/>
              <w:bottom w:val="single" w:sz="8" w:space="0" w:color="152935"/>
              <w:right w:val="nil"/>
            </w:tcBorders>
            <w:shd w:val="clear" w:color="auto" w:fill="FFFFFF"/>
            <w:vAlign w:val="bottom"/>
          </w:tcPr>
          <w:p w14:paraId="0BCAA063"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042" w:type="dxa"/>
            <w:tcBorders>
              <w:top w:val="nil"/>
              <w:left w:val="nil"/>
              <w:bottom w:val="single" w:sz="8" w:space="0" w:color="152935"/>
              <w:right w:val="single" w:sz="8" w:space="0" w:color="E0E0E0"/>
            </w:tcBorders>
            <w:shd w:val="clear" w:color="auto" w:fill="FFFFFF"/>
            <w:vAlign w:val="bottom"/>
          </w:tcPr>
          <w:p w14:paraId="7777B53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Estimate</w:t>
            </w:r>
          </w:p>
        </w:tc>
        <w:tc>
          <w:tcPr>
            <w:tcW w:w="1026" w:type="dxa"/>
            <w:tcBorders>
              <w:top w:val="nil"/>
              <w:left w:val="single" w:sz="8" w:space="0" w:color="E0E0E0"/>
              <w:bottom w:val="single" w:sz="8" w:space="0" w:color="152935"/>
              <w:right w:val="nil"/>
            </w:tcBorders>
            <w:shd w:val="clear" w:color="auto" w:fill="FFFFFF"/>
            <w:vAlign w:val="bottom"/>
          </w:tcPr>
          <w:p w14:paraId="466F716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r>
      <w:tr w:rsidR="00520D2C" w:rsidRPr="00C279E0" w14:paraId="5E9E3C6A" w14:textId="77777777" w:rsidTr="00937F3B">
        <w:trPr>
          <w:cantSplit/>
        </w:trPr>
        <w:tc>
          <w:tcPr>
            <w:tcW w:w="2038" w:type="dxa"/>
            <w:tcBorders>
              <w:top w:val="single" w:sz="8" w:space="0" w:color="152935"/>
              <w:left w:val="nil"/>
              <w:bottom w:val="single" w:sz="8" w:space="0" w:color="152935"/>
              <w:right w:val="nil"/>
            </w:tcBorders>
            <w:shd w:val="clear" w:color="auto" w:fill="E0E0E0"/>
          </w:tcPr>
          <w:p w14:paraId="21D6E28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GDPgrowth-Model_1</w:t>
            </w:r>
          </w:p>
        </w:tc>
        <w:tc>
          <w:tcPr>
            <w:tcW w:w="1256" w:type="dxa"/>
            <w:tcBorders>
              <w:top w:val="single" w:sz="8" w:space="0" w:color="152935"/>
              <w:left w:val="nil"/>
              <w:bottom w:val="single" w:sz="8" w:space="0" w:color="152935"/>
              <w:right w:val="nil"/>
            </w:tcBorders>
            <w:shd w:val="clear" w:color="auto" w:fill="E0E0E0"/>
          </w:tcPr>
          <w:p w14:paraId="4BBC99C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w:t>
            </w:r>
          </w:p>
        </w:tc>
        <w:tc>
          <w:tcPr>
            <w:tcW w:w="1869" w:type="dxa"/>
            <w:tcBorders>
              <w:top w:val="single" w:sz="8" w:space="0" w:color="152935"/>
              <w:left w:val="nil"/>
              <w:bottom w:val="single" w:sz="8" w:space="0" w:color="152935"/>
              <w:right w:val="nil"/>
            </w:tcBorders>
            <w:shd w:val="clear" w:color="auto" w:fill="E0E0E0"/>
          </w:tcPr>
          <w:p w14:paraId="1D64272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1057" w:type="dxa"/>
            <w:tcBorders>
              <w:top w:val="single" w:sz="8" w:space="0" w:color="152935"/>
              <w:left w:val="nil"/>
              <w:bottom w:val="single" w:sz="8" w:space="0" w:color="152935"/>
              <w:right w:val="nil"/>
            </w:tcBorders>
            <w:shd w:val="clear" w:color="auto" w:fill="E0E0E0"/>
          </w:tcPr>
          <w:p w14:paraId="263E13E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Constant</w:t>
            </w:r>
          </w:p>
        </w:tc>
        <w:tc>
          <w:tcPr>
            <w:tcW w:w="1042" w:type="dxa"/>
            <w:tcBorders>
              <w:top w:val="single" w:sz="8" w:space="0" w:color="152935"/>
              <w:left w:val="nil"/>
              <w:bottom w:val="single" w:sz="8" w:space="0" w:color="152935"/>
              <w:right w:val="single" w:sz="8" w:space="0" w:color="E0E0E0"/>
            </w:tcBorders>
            <w:shd w:val="clear" w:color="auto" w:fill="F9F9FB"/>
          </w:tcPr>
          <w:p w14:paraId="368E428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4.791</w:t>
            </w:r>
          </w:p>
        </w:tc>
        <w:tc>
          <w:tcPr>
            <w:tcW w:w="1026" w:type="dxa"/>
            <w:tcBorders>
              <w:top w:val="single" w:sz="8" w:space="0" w:color="152935"/>
              <w:left w:val="single" w:sz="8" w:space="0" w:color="E0E0E0"/>
              <w:bottom w:val="single" w:sz="8" w:space="0" w:color="152935"/>
              <w:right w:val="nil"/>
            </w:tcBorders>
            <w:shd w:val="clear" w:color="auto" w:fill="F9F9FB"/>
          </w:tcPr>
          <w:p w14:paraId="0A9A5AE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.882</w:t>
            </w:r>
          </w:p>
        </w:tc>
      </w:tr>
    </w:tbl>
    <w:p w14:paraId="778088F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23"/>
        <w:gridCol w:w="1371"/>
        <w:gridCol w:w="2039"/>
        <w:gridCol w:w="1154"/>
        <w:gridCol w:w="1119"/>
        <w:gridCol w:w="1119"/>
      </w:tblGrid>
      <w:tr w:rsidR="00520D2C" w:rsidRPr="00C279E0" w14:paraId="78039F06" w14:textId="77777777" w:rsidTr="00937F3B">
        <w:trPr>
          <w:cantSplit/>
        </w:trPr>
        <w:tc>
          <w:tcPr>
            <w:tcW w:w="9021" w:type="dxa"/>
            <w:gridSpan w:val="6"/>
            <w:tcBorders>
              <w:top w:val="nil"/>
              <w:left w:val="nil"/>
              <w:bottom w:val="nil"/>
              <w:right w:val="nil"/>
            </w:tcBorders>
            <w:shd w:val="clear" w:color="auto" w:fill="FFFFFF"/>
            <w:vAlign w:val="center"/>
          </w:tcPr>
          <w:p w14:paraId="19128EF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ARIMA Model Parameters</w:t>
            </w:r>
          </w:p>
        </w:tc>
      </w:tr>
      <w:tr w:rsidR="00520D2C" w:rsidRPr="00C279E0" w14:paraId="4ADA2CB1" w14:textId="77777777" w:rsidTr="00937F3B">
        <w:trPr>
          <w:cantSplit/>
        </w:trPr>
        <w:tc>
          <w:tcPr>
            <w:tcW w:w="6783" w:type="dxa"/>
            <w:gridSpan w:val="4"/>
            <w:tcBorders>
              <w:top w:val="nil"/>
              <w:left w:val="nil"/>
              <w:bottom w:val="single" w:sz="8" w:space="0" w:color="152935"/>
              <w:right w:val="nil"/>
            </w:tcBorders>
            <w:shd w:val="clear" w:color="auto" w:fill="FFFFFF"/>
            <w:vAlign w:val="bottom"/>
          </w:tcPr>
          <w:p w14:paraId="3DF8AEB4"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119" w:type="dxa"/>
            <w:tcBorders>
              <w:top w:val="nil"/>
              <w:left w:val="nil"/>
              <w:bottom w:val="single" w:sz="8" w:space="0" w:color="152935"/>
              <w:right w:val="single" w:sz="8" w:space="0" w:color="E0E0E0"/>
            </w:tcBorders>
            <w:shd w:val="clear" w:color="auto" w:fill="FFFFFF"/>
            <w:vAlign w:val="bottom"/>
          </w:tcPr>
          <w:p w14:paraId="0852FD3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t</w:t>
            </w:r>
          </w:p>
        </w:tc>
        <w:tc>
          <w:tcPr>
            <w:tcW w:w="1119" w:type="dxa"/>
            <w:tcBorders>
              <w:top w:val="nil"/>
              <w:left w:val="single" w:sz="8" w:space="0" w:color="E0E0E0"/>
              <w:bottom w:val="single" w:sz="8" w:space="0" w:color="152935"/>
              <w:right w:val="nil"/>
            </w:tcBorders>
            <w:shd w:val="clear" w:color="auto" w:fill="FFFFFF"/>
            <w:vAlign w:val="bottom"/>
          </w:tcPr>
          <w:p w14:paraId="72CA02C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04358CAC" w14:textId="77777777" w:rsidTr="00937F3B">
        <w:trPr>
          <w:cantSplit/>
        </w:trPr>
        <w:tc>
          <w:tcPr>
            <w:tcW w:w="2222" w:type="dxa"/>
            <w:tcBorders>
              <w:top w:val="single" w:sz="8" w:space="0" w:color="152935"/>
              <w:left w:val="nil"/>
              <w:bottom w:val="single" w:sz="8" w:space="0" w:color="152935"/>
              <w:right w:val="nil"/>
            </w:tcBorders>
            <w:shd w:val="clear" w:color="auto" w:fill="E0E0E0"/>
          </w:tcPr>
          <w:p w14:paraId="2EF1616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GDPgrowth-Model_1</w:t>
            </w:r>
          </w:p>
        </w:tc>
        <w:tc>
          <w:tcPr>
            <w:tcW w:w="1370" w:type="dxa"/>
            <w:tcBorders>
              <w:top w:val="single" w:sz="8" w:space="0" w:color="152935"/>
              <w:left w:val="nil"/>
              <w:bottom w:val="single" w:sz="8" w:space="0" w:color="152935"/>
              <w:right w:val="nil"/>
            </w:tcBorders>
            <w:shd w:val="clear" w:color="auto" w:fill="E0E0E0"/>
          </w:tcPr>
          <w:p w14:paraId="7D31D9B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GDPgrowth</w:t>
            </w:r>
          </w:p>
        </w:tc>
        <w:tc>
          <w:tcPr>
            <w:tcW w:w="2038" w:type="dxa"/>
            <w:tcBorders>
              <w:top w:val="single" w:sz="8" w:space="0" w:color="152935"/>
              <w:left w:val="nil"/>
              <w:bottom w:val="single" w:sz="8" w:space="0" w:color="152935"/>
              <w:right w:val="nil"/>
            </w:tcBorders>
            <w:shd w:val="clear" w:color="auto" w:fill="E0E0E0"/>
          </w:tcPr>
          <w:p w14:paraId="7C796D7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1153" w:type="dxa"/>
            <w:tcBorders>
              <w:top w:val="single" w:sz="8" w:space="0" w:color="152935"/>
              <w:left w:val="nil"/>
              <w:bottom w:val="single" w:sz="8" w:space="0" w:color="152935"/>
              <w:right w:val="nil"/>
            </w:tcBorders>
            <w:shd w:val="clear" w:color="auto" w:fill="E0E0E0"/>
          </w:tcPr>
          <w:p w14:paraId="596A169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Constant</w:t>
            </w:r>
          </w:p>
        </w:tc>
        <w:tc>
          <w:tcPr>
            <w:tcW w:w="1119" w:type="dxa"/>
            <w:tcBorders>
              <w:top w:val="single" w:sz="8" w:space="0" w:color="152935"/>
              <w:left w:val="nil"/>
              <w:bottom w:val="single" w:sz="8" w:space="0" w:color="152935"/>
              <w:right w:val="single" w:sz="8" w:space="0" w:color="E0E0E0"/>
            </w:tcBorders>
            <w:shd w:val="clear" w:color="auto" w:fill="F9F9FB"/>
          </w:tcPr>
          <w:p w14:paraId="55F0C7D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5.431</w:t>
            </w:r>
          </w:p>
        </w:tc>
        <w:tc>
          <w:tcPr>
            <w:tcW w:w="1119" w:type="dxa"/>
            <w:tcBorders>
              <w:top w:val="single" w:sz="8" w:space="0" w:color="152935"/>
              <w:left w:val="single" w:sz="8" w:space="0" w:color="E0E0E0"/>
              <w:bottom w:val="single" w:sz="8" w:space="0" w:color="152935"/>
              <w:right w:val="nil"/>
            </w:tcBorders>
            <w:shd w:val="clear" w:color="auto" w:fill="F9F9FB"/>
          </w:tcPr>
          <w:p w14:paraId="1130478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.000</w:t>
            </w:r>
          </w:p>
        </w:tc>
      </w:tr>
    </w:tbl>
    <w:p w14:paraId="1562488D"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7686072F" w14:textId="77777777" w:rsidR="00520D2C" w:rsidRPr="00C279E0" w:rsidRDefault="00520D2C" w:rsidP="00C279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fr-FR"/>
        </w:rPr>
      </w:pPr>
      <w:r w:rsidRPr="00C279E0">
        <w:rPr>
          <w:rFonts w:ascii="Times New Roman" w:eastAsia="Times New Roman" w:hAnsi="Times New Roman" w:cs="Times New Roman"/>
          <w:noProof/>
          <w:sz w:val="24"/>
          <w:szCs w:val="24"/>
          <w:lang w:eastAsia="fr-FR"/>
        </w:rPr>
        <w:drawing>
          <wp:inline distT="0" distB="0" distL="0" distR="0" wp14:anchorId="6D590653" wp14:editId="0B549E22">
            <wp:extent cx="4940490" cy="2663793"/>
            <wp:effectExtent l="0" t="0" r="0" b="381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56275" cy="2672304"/>
                    </a:xfrm>
                    <a:prstGeom prst="rect">
                      <a:avLst/>
                    </a:prstGeom>
                    <a:noFill/>
                    <a:ln>
                      <a:noFill/>
                    </a:ln>
                  </pic:spPr>
                </pic:pic>
              </a:graphicData>
            </a:graphic>
          </wp:inline>
        </w:drawing>
      </w:r>
    </w:p>
    <w:p w14:paraId="0ECE9E99" w14:textId="1E059029" w:rsidR="00520D2C"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p w14:paraId="567831A9" w14:textId="5C160625" w:rsidR="00137994" w:rsidRDefault="00137994"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p w14:paraId="53F6ACE8" w14:textId="77777777" w:rsidR="00137994" w:rsidRPr="00C279E0" w:rsidRDefault="00137994"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bl>
      <w:tblPr>
        <w:tblW w:w="48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
        <w:gridCol w:w="958"/>
        <w:gridCol w:w="1020"/>
        <w:gridCol w:w="1854"/>
      </w:tblGrid>
      <w:tr w:rsidR="00520D2C" w:rsidRPr="00C279E0" w14:paraId="4D819F39" w14:textId="77777777" w:rsidTr="00937F3B">
        <w:trPr>
          <w:cantSplit/>
        </w:trPr>
        <w:tc>
          <w:tcPr>
            <w:tcW w:w="4863" w:type="dxa"/>
            <w:gridSpan w:val="4"/>
            <w:tcBorders>
              <w:top w:val="nil"/>
              <w:left w:val="nil"/>
              <w:bottom w:val="nil"/>
              <w:right w:val="nil"/>
            </w:tcBorders>
            <w:shd w:val="clear" w:color="auto" w:fill="FFFFFF"/>
            <w:vAlign w:val="center"/>
          </w:tcPr>
          <w:p w14:paraId="27A7054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Description</w:t>
            </w:r>
          </w:p>
        </w:tc>
      </w:tr>
      <w:tr w:rsidR="00520D2C" w:rsidRPr="00C279E0" w14:paraId="65D3EA16" w14:textId="77777777" w:rsidTr="00937F3B">
        <w:trPr>
          <w:cantSplit/>
        </w:trPr>
        <w:tc>
          <w:tcPr>
            <w:tcW w:w="3010" w:type="dxa"/>
            <w:gridSpan w:val="3"/>
            <w:tcBorders>
              <w:top w:val="nil"/>
              <w:left w:val="nil"/>
              <w:bottom w:val="single" w:sz="8" w:space="0" w:color="152935"/>
              <w:right w:val="nil"/>
            </w:tcBorders>
            <w:shd w:val="clear" w:color="auto" w:fill="FFFFFF"/>
            <w:vAlign w:val="bottom"/>
          </w:tcPr>
          <w:p w14:paraId="00C63D48"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853" w:type="dxa"/>
            <w:tcBorders>
              <w:top w:val="nil"/>
              <w:left w:val="nil"/>
              <w:bottom w:val="single" w:sz="8" w:space="0" w:color="152935"/>
              <w:right w:val="nil"/>
            </w:tcBorders>
            <w:shd w:val="clear" w:color="auto" w:fill="FFFFFF"/>
            <w:vAlign w:val="bottom"/>
          </w:tcPr>
          <w:p w14:paraId="5029920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Type</w:t>
            </w:r>
          </w:p>
        </w:tc>
      </w:tr>
      <w:tr w:rsidR="00520D2C" w:rsidRPr="00C279E0" w14:paraId="40483B0C" w14:textId="77777777" w:rsidTr="00937F3B">
        <w:trPr>
          <w:cantSplit/>
        </w:trPr>
        <w:tc>
          <w:tcPr>
            <w:tcW w:w="1034" w:type="dxa"/>
            <w:tcBorders>
              <w:top w:val="single" w:sz="8" w:space="0" w:color="152935"/>
              <w:left w:val="nil"/>
              <w:bottom w:val="single" w:sz="8" w:space="0" w:color="152935"/>
              <w:right w:val="nil"/>
            </w:tcBorders>
            <w:shd w:val="clear" w:color="auto" w:fill="E0E0E0"/>
          </w:tcPr>
          <w:p w14:paraId="0DC8479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ID</w:t>
            </w:r>
          </w:p>
        </w:tc>
        <w:tc>
          <w:tcPr>
            <w:tcW w:w="957" w:type="dxa"/>
            <w:tcBorders>
              <w:top w:val="single" w:sz="8" w:space="0" w:color="152935"/>
              <w:left w:val="nil"/>
              <w:bottom w:val="single" w:sz="8" w:space="0" w:color="152935"/>
              <w:right w:val="nil"/>
            </w:tcBorders>
            <w:shd w:val="clear" w:color="auto" w:fill="E0E0E0"/>
          </w:tcPr>
          <w:p w14:paraId="576FB13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Inflation</w:t>
            </w:r>
          </w:p>
        </w:tc>
        <w:tc>
          <w:tcPr>
            <w:tcW w:w="1019" w:type="dxa"/>
            <w:tcBorders>
              <w:top w:val="single" w:sz="8" w:space="0" w:color="152935"/>
              <w:left w:val="nil"/>
              <w:bottom w:val="single" w:sz="8" w:space="0" w:color="152935"/>
              <w:right w:val="nil"/>
            </w:tcBorders>
            <w:shd w:val="clear" w:color="auto" w:fill="E0E0E0"/>
          </w:tcPr>
          <w:p w14:paraId="72EE75C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Model_1</w:t>
            </w:r>
          </w:p>
        </w:tc>
        <w:tc>
          <w:tcPr>
            <w:tcW w:w="1853" w:type="dxa"/>
            <w:tcBorders>
              <w:top w:val="single" w:sz="8" w:space="0" w:color="152935"/>
              <w:left w:val="nil"/>
              <w:bottom w:val="single" w:sz="8" w:space="0" w:color="152935"/>
              <w:right w:val="nil"/>
            </w:tcBorders>
            <w:shd w:val="clear" w:color="auto" w:fill="F9F9FB"/>
          </w:tcPr>
          <w:p w14:paraId="412840B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Holt</w:t>
            </w:r>
          </w:p>
        </w:tc>
      </w:tr>
    </w:tbl>
    <w:p w14:paraId="2E0E1187"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6CC33D89"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p>
    <w:p w14:paraId="191C944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r w:rsidRPr="00C279E0">
        <w:rPr>
          <w:rFonts w:ascii="Arial" w:eastAsia="Times New Roman" w:hAnsi="Arial" w:cs="Arial"/>
          <w:b/>
          <w:bCs/>
          <w:color w:val="000000"/>
          <w:sz w:val="26"/>
          <w:szCs w:val="26"/>
          <w:lang w:eastAsia="fr-FR"/>
        </w:rPr>
        <w:t>Model Summary</w:t>
      </w:r>
    </w:p>
    <w:tbl>
      <w:tblPr>
        <w:tblW w:w="83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9"/>
        <w:gridCol w:w="1026"/>
        <w:gridCol w:w="1027"/>
        <w:gridCol w:w="1073"/>
        <w:gridCol w:w="1104"/>
        <w:gridCol w:w="1027"/>
        <w:gridCol w:w="1027"/>
      </w:tblGrid>
      <w:tr w:rsidR="00520D2C" w:rsidRPr="00C279E0" w14:paraId="2771E941" w14:textId="77777777" w:rsidTr="00937F3B">
        <w:trPr>
          <w:cantSplit/>
        </w:trPr>
        <w:tc>
          <w:tcPr>
            <w:tcW w:w="8348" w:type="dxa"/>
            <w:gridSpan w:val="7"/>
            <w:tcBorders>
              <w:top w:val="nil"/>
              <w:left w:val="nil"/>
              <w:bottom w:val="nil"/>
              <w:right w:val="nil"/>
            </w:tcBorders>
            <w:shd w:val="clear" w:color="auto" w:fill="FFFFFF"/>
            <w:vAlign w:val="center"/>
          </w:tcPr>
          <w:p w14:paraId="787123A8"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10FA2C7D" w14:textId="77777777" w:rsidTr="00937F3B">
        <w:trPr>
          <w:cantSplit/>
        </w:trPr>
        <w:tc>
          <w:tcPr>
            <w:tcW w:w="2069" w:type="dxa"/>
            <w:vMerge w:val="restart"/>
            <w:tcBorders>
              <w:top w:val="nil"/>
              <w:left w:val="nil"/>
              <w:bottom w:val="nil"/>
              <w:right w:val="nil"/>
            </w:tcBorders>
            <w:shd w:val="clear" w:color="auto" w:fill="FFFFFF"/>
            <w:vAlign w:val="bottom"/>
          </w:tcPr>
          <w:p w14:paraId="580E3AF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1026" w:type="dxa"/>
            <w:vMerge w:val="restart"/>
            <w:tcBorders>
              <w:top w:val="nil"/>
              <w:left w:val="nil"/>
              <w:bottom w:val="nil"/>
              <w:right w:val="single" w:sz="8" w:space="0" w:color="E0E0E0"/>
            </w:tcBorders>
            <w:shd w:val="clear" w:color="auto" w:fill="FFFFFF"/>
            <w:vAlign w:val="bottom"/>
          </w:tcPr>
          <w:p w14:paraId="34F8826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Mean</w:t>
            </w:r>
          </w:p>
        </w:tc>
        <w:tc>
          <w:tcPr>
            <w:tcW w:w="1026" w:type="dxa"/>
            <w:vMerge w:val="restart"/>
            <w:tcBorders>
              <w:top w:val="nil"/>
              <w:left w:val="single" w:sz="8" w:space="0" w:color="E0E0E0"/>
              <w:bottom w:val="nil"/>
              <w:right w:val="single" w:sz="8" w:space="0" w:color="E0E0E0"/>
            </w:tcBorders>
            <w:shd w:val="clear" w:color="auto" w:fill="FFFFFF"/>
            <w:vAlign w:val="bottom"/>
          </w:tcPr>
          <w:p w14:paraId="3CAF622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072" w:type="dxa"/>
            <w:vMerge w:val="restart"/>
            <w:tcBorders>
              <w:top w:val="nil"/>
              <w:left w:val="single" w:sz="8" w:space="0" w:color="E0E0E0"/>
              <w:bottom w:val="nil"/>
              <w:right w:val="single" w:sz="8" w:space="0" w:color="E0E0E0"/>
            </w:tcBorders>
            <w:shd w:val="clear" w:color="auto" w:fill="FFFFFF"/>
            <w:vAlign w:val="bottom"/>
          </w:tcPr>
          <w:p w14:paraId="2F54C5D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Minimum</w:t>
            </w:r>
          </w:p>
        </w:tc>
        <w:tc>
          <w:tcPr>
            <w:tcW w:w="1103" w:type="dxa"/>
            <w:vMerge w:val="restart"/>
            <w:tcBorders>
              <w:top w:val="nil"/>
              <w:left w:val="single" w:sz="8" w:space="0" w:color="E0E0E0"/>
              <w:bottom w:val="nil"/>
              <w:right w:val="single" w:sz="8" w:space="0" w:color="E0E0E0"/>
            </w:tcBorders>
            <w:shd w:val="clear" w:color="auto" w:fill="FFFFFF"/>
            <w:vAlign w:val="bottom"/>
          </w:tcPr>
          <w:p w14:paraId="6235820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Maximum</w:t>
            </w:r>
          </w:p>
        </w:tc>
        <w:tc>
          <w:tcPr>
            <w:tcW w:w="2052" w:type="dxa"/>
            <w:gridSpan w:val="2"/>
            <w:tcBorders>
              <w:top w:val="nil"/>
              <w:left w:val="single" w:sz="8" w:space="0" w:color="E0E0E0"/>
              <w:bottom w:val="nil"/>
              <w:right w:val="nil"/>
            </w:tcBorders>
            <w:shd w:val="clear" w:color="auto" w:fill="FFFFFF"/>
            <w:vAlign w:val="bottom"/>
          </w:tcPr>
          <w:p w14:paraId="39C9E24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573CDD26" w14:textId="77777777" w:rsidTr="00937F3B">
        <w:trPr>
          <w:cantSplit/>
        </w:trPr>
        <w:tc>
          <w:tcPr>
            <w:tcW w:w="2069" w:type="dxa"/>
            <w:vMerge/>
            <w:tcBorders>
              <w:top w:val="nil"/>
              <w:left w:val="nil"/>
              <w:bottom w:val="nil"/>
              <w:right w:val="nil"/>
            </w:tcBorders>
            <w:shd w:val="clear" w:color="auto" w:fill="FFFFFF"/>
            <w:vAlign w:val="bottom"/>
          </w:tcPr>
          <w:p w14:paraId="68896C75"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nil"/>
              <w:bottom w:val="nil"/>
              <w:right w:val="single" w:sz="8" w:space="0" w:color="E0E0E0"/>
            </w:tcBorders>
            <w:shd w:val="clear" w:color="auto" w:fill="FFFFFF"/>
            <w:vAlign w:val="bottom"/>
          </w:tcPr>
          <w:p w14:paraId="7B12B56B"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single" w:sz="8" w:space="0" w:color="E0E0E0"/>
              <w:bottom w:val="nil"/>
              <w:right w:val="single" w:sz="8" w:space="0" w:color="E0E0E0"/>
            </w:tcBorders>
            <w:shd w:val="clear" w:color="auto" w:fill="FFFFFF"/>
            <w:vAlign w:val="bottom"/>
          </w:tcPr>
          <w:p w14:paraId="17C6BFD0"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72" w:type="dxa"/>
            <w:vMerge/>
            <w:tcBorders>
              <w:top w:val="nil"/>
              <w:left w:val="single" w:sz="8" w:space="0" w:color="E0E0E0"/>
              <w:bottom w:val="nil"/>
              <w:right w:val="single" w:sz="8" w:space="0" w:color="E0E0E0"/>
            </w:tcBorders>
            <w:shd w:val="clear" w:color="auto" w:fill="FFFFFF"/>
            <w:vAlign w:val="bottom"/>
          </w:tcPr>
          <w:p w14:paraId="3EB93E7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03" w:type="dxa"/>
            <w:vMerge/>
            <w:tcBorders>
              <w:top w:val="nil"/>
              <w:left w:val="single" w:sz="8" w:space="0" w:color="E0E0E0"/>
              <w:bottom w:val="nil"/>
              <w:right w:val="single" w:sz="8" w:space="0" w:color="E0E0E0"/>
            </w:tcBorders>
            <w:shd w:val="clear" w:color="auto" w:fill="FFFFFF"/>
            <w:vAlign w:val="bottom"/>
          </w:tcPr>
          <w:p w14:paraId="639D5183"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254CEDF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w:t>
            </w:r>
          </w:p>
        </w:tc>
        <w:tc>
          <w:tcPr>
            <w:tcW w:w="1026" w:type="dxa"/>
            <w:tcBorders>
              <w:top w:val="nil"/>
              <w:left w:val="single" w:sz="8" w:space="0" w:color="E0E0E0"/>
              <w:bottom w:val="single" w:sz="8" w:space="0" w:color="152935"/>
              <w:right w:val="nil"/>
            </w:tcBorders>
            <w:shd w:val="clear" w:color="auto" w:fill="FFFFFF"/>
            <w:vAlign w:val="bottom"/>
          </w:tcPr>
          <w:p w14:paraId="13524C1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10</w:t>
            </w:r>
          </w:p>
        </w:tc>
      </w:tr>
      <w:tr w:rsidR="00520D2C" w:rsidRPr="00C279E0" w14:paraId="21F6C469" w14:textId="77777777" w:rsidTr="00937F3B">
        <w:trPr>
          <w:cantSplit/>
        </w:trPr>
        <w:tc>
          <w:tcPr>
            <w:tcW w:w="2069" w:type="dxa"/>
            <w:tcBorders>
              <w:top w:val="single" w:sz="8" w:space="0" w:color="152935"/>
              <w:left w:val="nil"/>
              <w:bottom w:val="single" w:sz="8" w:space="0" w:color="AEAEAE"/>
              <w:right w:val="nil"/>
            </w:tcBorders>
            <w:shd w:val="clear" w:color="auto" w:fill="E0E0E0"/>
          </w:tcPr>
          <w:p w14:paraId="54FCE4C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26" w:type="dxa"/>
            <w:tcBorders>
              <w:top w:val="single" w:sz="8" w:space="0" w:color="152935"/>
              <w:left w:val="nil"/>
              <w:bottom w:val="single" w:sz="8" w:space="0" w:color="AEAEAE"/>
              <w:right w:val="single" w:sz="8" w:space="0" w:color="E0E0E0"/>
            </w:tcBorders>
            <w:shd w:val="clear" w:color="auto" w:fill="F9F9FB"/>
          </w:tcPr>
          <w:p w14:paraId="04E093D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369341E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152935"/>
              <w:left w:val="single" w:sz="8" w:space="0" w:color="E0E0E0"/>
              <w:bottom w:val="single" w:sz="8" w:space="0" w:color="AEAEAE"/>
              <w:right w:val="single" w:sz="8" w:space="0" w:color="E0E0E0"/>
            </w:tcBorders>
            <w:shd w:val="clear" w:color="auto" w:fill="F9F9FB"/>
          </w:tcPr>
          <w:p w14:paraId="4A54A66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103" w:type="dxa"/>
            <w:tcBorders>
              <w:top w:val="single" w:sz="8" w:space="0" w:color="152935"/>
              <w:left w:val="single" w:sz="8" w:space="0" w:color="E0E0E0"/>
              <w:bottom w:val="single" w:sz="8" w:space="0" w:color="AEAEAE"/>
              <w:right w:val="single" w:sz="8" w:space="0" w:color="E0E0E0"/>
            </w:tcBorders>
            <w:shd w:val="clear" w:color="auto" w:fill="F9F9FB"/>
          </w:tcPr>
          <w:p w14:paraId="2C812CB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729E2EA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026" w:type="dxa"/>
            <w:tcBorders>
              <w:top w:val="single" w:sz="8" w:space="0" w:color="152935"/>
              <w:left w:val="single" w:sz="8" w:space="0" w:color="E0E0E0"/>
              <w:bottom w:val="single" w:sz="8" w:space="0" w:color="AEAEAE"/>
              <w:right w:val="nil"/>
            </w:tcBorders>
            <w:shd w:val="clear" w:color="auto" w:fill="F9F9FB"/>
          </w:tcPr>
          <w:p w14:paraId="39703D9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r>
      <w:tr w:rsidR="00520D2C" w:rsidRPr="00C279E0" w14:paraId="1A65E9D8"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12D9B6B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026" w:type="dxa"/>
            <w:tcBorders>
              <w:top w:val="single" w:sz="8" w:space="0" w:color="AEAEAE"/>
              <w:left w:val="nil"/>
              <w:bottom w:val="single" w:sz="8" w:space="0" w:color="AEAEAE"/>
              <w:right w:val="single" w:sz="8" w:space="0" w:color="E0E0E0"/>
            </w:tcBorders>
            <w:shd w:val="clear" w:color="auto" w:fill="F9F9FB"/>
          </w:tcPr>
          <w:p w14:paraId="4543DB7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746E1D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5552896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5A6E639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7EFD85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026" w:type="dxa"/>
            <w:tcBorders>
              <w:top w:val="single" w:sz="8" w:space="0" w:color="AEAEAE"/>
              <w:left w:val="single" w:sz="8" w:space="0" w:color="E0E0E0"/>
              <w:bottom w:val="single" w:sz="8" w:space="0" w:color="AEAEAE"/>
              <w:right w:val="nil"/>
            </w:tcBorders>
            <w:shd w:val="clear" w:color="auto" w:fill="F9F9FB"/>
          </w:tcPr>
          <w:p w14:paraId="274B9A2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r>
      <w:tr w:rsidR="00520D2C" w:rsidRPr="00C279E0" w14:paraId="3F3F40B9"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52C8B9D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026" w:type="dxa"/>
            <w:tcBorders>
              <w:top w:val="single" w:sz="8" w:space="0" w:color="AEAEAE"/>
              <w:left w:val="nil"/>
              <w:bottom w:val="single" w:sz="8" w:space="0" w:color="AEAEAE"/>
              <w:right w:val="single" w:sz="8" w:space="0" w:color="E0E0E0"/>
            </w:tcBorders>
            <w:shd w:val="clear" w:color="auto" w:fill="F9F9FB"/>
          </w:tcPr>
          <w:p w14:paraId="798F4E8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9C4FC9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651C163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018DD7A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9973C6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026" w:type="dxa"/>
            <w:tcBorders>
              <w:top w:val="single" w:sz="8" w:space="0" w:color="AEAEAE"/>
              <w:left w:val="single" w:sz="8" w:space="0" w:color="E0E0E0"/>
              <w:bottom w:val="single" w:sz="8" w:space="0" w:color="AEAEAE"/>
              <w:right w:val="nil"/>
            </w:tcBorders>
            <w:shd w:val="clear" w:color="auto" w:fill="F9F9FB"/>
          </w:tcPr>
          <w:p w14:paraId="79F4CBE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r>
      <w:tr w:rsidR="00520D2C" w:rsidRPr="00C279E0" w14:paraId="4B81CD5B"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78A2D0F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026" w:type="dxa"/>
            <w:tcBorders>
              <w:top w:val="single" w:sz="8" w:space="0" w:color="AEAEAE"/>
              <w:left w:val="nil"/>
              <w:bottom w:val="single" w:sz="8" w:space="0" w:color="AEAEAE"/>
              <w:right w:val="single" w:sz="8" w:space="0" w:color="E0E0E0"/>
            </w:tcBorders>
            <w:shd w:val="clear" w:color="auto" w:fill="F9F9FB"/>
          </w:tcPr>
          <w:p w14:paraId="1936C8A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5BC888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0CCDB4E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4AA1B4F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8A7762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026" w:type="dxa"/>
            <w:tcBorders>
              <w:top w:val="single" w:sz="8" w:space="0" w:color="AEAEAE"/>
              <w:left w:val="single" w:sz="8" w:space="0" w:color="E0E0E0"/>
              <w:bottom w:val="single" w:sz="8" w:space="0" w:color="AEAEAE"/>
              <w:right w:val="nil"/>
            </w:tcBorders>
            <w:shd w:val="clear" w:color="auto" w:fill="F9F9FB"/>
          </w:tcPr>
          <w:p w14:paraId="0B6C0ED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r>
      <w:tr w:rsidR="00520D2C" w:rsidRPr="00C279E0" w14:paraId="42307D32"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4DAFFCF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026" w:type="dxa"/>
            <w:tcBorders>
              <w:top w:val="single" w:sz="8" w:space="0" w:color="AEAEAE"/>
              <w:left w:val="nil"/>
              <w:bottom w:val="single" w:sz="8" w:space="0" w:color="AEAEAE"/>
              <w:right w:val="single" w:sz="8" w:space="0" w:color="E0E0E0"/>
            </w:tcBorders>
            <w:shd w:val="clear" w:color="auto" w:fill="F9F9FB"/>
          </w:tcPr>
          <w:p w14:paraId="73877E1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FFC4E2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7D502C3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07BD8E0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DFE7E2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026" w:type="dxa"/>
            <w:tcBorders>
              <w:top w:val="single" w:sz="8" w:space="0" w:color="AEAEAE"/>
              <w:left w:val="single" w:sz="8" w:space="0" w:color="E0E0E0"/>
              <w:bottom w:val="single" w:sz="8" w:space="0" w:color="AEAEAE"/>
              <w:right w:val="nil"/>
            </w:tcBorders>
            <w:shd w:val="clear" w:color="auto" w:fill="F9F9FB"/>
          </w:tcPr>
          <w:p w14:paraId="773B8A2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r>
      <w:tr w:rsidR="00520D2C" w:rsidRPr="00C279E0" w14:paraId="10C91158"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593FBE7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026" w:type="dxa"/>
            <w:tcBorders>
              <w:top w:val="single" w:sz="8" w:space="0" w:color="AEAEAE"/>
              <w:left w:val="nil"/>
              <w:bottom w:val="single" w:sz="8" w:space="0" w:color="AEAEAE"/>
              <w:right w:val="single" w:sz="8" w:space="0" w:color="E0E0E0"/>
            </w:tcBorders>
            <w:shd w:val="clear" w:color="auto" w:fill="F9F9FB"/>
          </w:tcPr>
          <w:p w14:paraId="7D7A596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9C5C36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12E521C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7B4E8CD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F7DE60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026" w:type="dxa"/>
            <w:tcBorders>
              <w:top w:val="single" w:sz="8" w:space="0" w:color="AEAEAE"/>
              <w:left w:val="single" w:sz="8" w:space="0" w:color="E0E0E0"/>
              <w:bottom w:val="single" w:sz="8" w:space="0" w:color="AEAEAE"/>
              <w:right w:val="nil"/>
            </w:tcBorders>
            <w:shd w:val="clear" w:color="auto" w:fill="F9F9FB"/>
          </w:tcPr>
          <w:p w14:paraId="6BED7C5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r>
      <w:tr w:rsidR="00520D2C" w:rsidRPr="00C279E0" w14:paraId="6E6F8AEB"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0CAB25BA"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026" w:type="dxa"/>
            <w:tcBorders>
              <w:top w:val="single" w:sz="8" w:space="0" w:color="AEAEAE"/>
              <w:left w:val="nil"/>
              <w:bottom w:val="single" w:sz="8" w:space="0" w:color="AEAEAE"/>
              <w:right w:val="single" w:sz="8" w:space="0" w:color="E0E0E0"/>
            </w:tcBorders>
            <w:shd w:val="clear" w:color="auto" w:fill="F9F9FB"/>
          </w:tcPr>
          <w:p w14:paraId="1CD3125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874195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48FC976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1D49869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8BC1FF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026" w:type="dxa"/>
            <w:tcBorders>
              <w:top w:val="single" w:sz="8" w:space="0" w:color="AEAEAE"/>
              <w:left w:val="single" w:sz="8" w:space="0" w:color="E0E0E0"/>
              <w:bottom w:val="single" w:sz="8" w:space="0" w:color="AEAEAE"/>
              <w:right w:val="nil"/>
            </w:tcBorders>
            <w:shd w:val="clear" w:color="auto" w:fill="F9F9FB"/>
          </w:tcPr>
          <w:p w14:paraId="54236F3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r>
      <w:tr w:rsidR="00520D2C" w:rsidRPr="00C279E0" w14:paraId="02FB574E" w14:textId="77777777" w:rsidTr="00937F3B">
        <w:trPr>
          <w:cantSplit/>
        </w:trPr>
        <w:tc>
          <w:tcPr>
            <w:tcW w:w="2069" w:type="dxa"/>
            <w:tcBorders>
              <w:top w:val="single" w:sz="8" w:space="0" w:color="AEAEAE"/>
              <w:left w:val="nil"/>
              <w:bottom w:val="single" w:sz="8" w:space="0" w:color="152935"/>
              <w:right w:val="nil"/>
            </w:tcBorders>
            <w:shd w:val="clear" w:color="auto" w:fill="E0E0E0"/>
          </w:tcPr>
          <w:p w14:paraId="48313AB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026" w:type="dxa"/>
            <w:tcBorders>
              <w:top w:val="single" w:sz="8" w:space="0" w:color="AEAEAE"/>
              <w:left w:val="nil"/>
              <w:bottom w:val="single" w:sz="8" w:space="0" w:color="152935"/>
              <w:right w:val="single" w:sz="8" w:space="0" w:color="E0E0E0"/>
            </w:tcBorders>
            <w:shd w:val="clear" w:color="auto" w:fill="F9F9FB"/>
          </w:tcPr>
          <w:p w14:paraId="23A5E36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2E12DD3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152935"/>
              <w:right w:val="single" w:sz="8" w:space="0" w:color="E0E0E0"/>
            </w:tcBorders>
            <w:shd w:val="clear" w:color="auto" w:fill="F9F9FB"/>
          </w:tcPr>
          <w:p w14:paraId="24BD29D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103" w:type="dxa"/>
            <w:tcBorders>
              <w:top w:val="single" w:sz="8" w:space="0" w:color="AEAEAE"/>
              <w:left w:val="single" w:sz="8" w:space="0" w:color="E0E0E0"/>
              <w:bottom w:val="single" w:sz="8" w:space="0" w:color="152935"/>
              <w:right w:val="single" w:sz="8" w:space="0" w:color="E0E0E0"/>
            </w:tcBorders>
            <w:shd w:val="clear" w:color="auto" w:fill="F9F9FB"/>
          </w:tcPr>
          <w:p w14:paraId="07FA48E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27CB000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026" w:type="dxa"/>
            <w:tcBorders>
              <w:top w:val="single" w:sz="8" w:space="0" w:color="AEAEAE"/>
              <w:left w:val="single" w:sz="8" w:space="0" w:color="E0E0E0"/>
              <w:bottom w:val="single" w:sz="8" w:space="0" w:color="152935"/>
              <w:right w:val="nil"/>
            </w:tcBorders>
            <w:shd w:val="clear" w:color="auto" w:fill="F9F9FB"/>
          </w:tcPr>
          <w:p w14:paraId="31CC3AD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r>
    </w:tbl>
    <w:p w14:paraId="7F50FA16"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94"/>
        <w:gridCol w:w="1287"/>
        <w:gridCol w:w="1286"/>
        <w:gridCol w:w="1286"/>
        <w:gridCol w:w="1286"/>
        <w:gridCol w:w="1286"/>
      </w:tblGrid>
      <w:tr w:rsidR="00520D2C" w:rsidRPr="00C279E0" w14:paraId="22683614" w14:textId="77777777" w:rsidTr="00937F3B">
        <w:trPr>
          <w:cantSplit/>
        </w:trPr>
        <w:tc>
          <w:tcPr>
            <w:tcW w:w="9022" w:type="dxa"/>
            <w:gridSpan w:val="6"/>
            <w:tcBorders>
              <w:top w:val="nil"/>
              <w:left w:val="nil"/>
              <w:bottom w:val="nil"/>
              <w:right w:val="nil"/>
            </w:tcBorders>
            <w:shd w:val="clear" w:color="auto" w:fill="FFFFFF"/>
            <w:vAlign w:val="center"/>
          </w:tcPr>
          <w:p w14:paraId="60972B62"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5B3252B6" w14:textId="77777777" w:rsidTr="00937F3B">
        <w:trPr>
          <w:cantSplit/>
        </w:trPr>
        <w:tc>
          <w:tcPr>
            <w:tcW w:w="2592" w:type="dxa"/>
            <w:vMerge w:val="restart"/>
            <w:tcBorders>
              <w:top w:val="nil"/>
              <w:left w:val="nil"/>
              <w:bottom w:val="nil"/>
              <w:right w:val="nil"/>
            </w:tcBorders>
            <w:shd w:val="clear" w:color="auto" w:fill="FFFFFF"/>
            <w:vAlign w:val="bottom"/>
          </w:tcPr>
          <w:p w14:paraId="12EF713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6430" w:type="dxa"/>
            <w:gridSpan w:val="5"/>
            <w:tcBorders>
              <w:top w:val="nil"/>
              <w:left w:val="nil"/>
              <w:bottom w:val="nil"/>
              <w:right w:val="nil"/>
            </w:tcBorders>
            <w:shd w:val="clear" w:color="auto" w:fill="FFFFFF"/>
            <w:vAlign w:val="bottom"/>
          </w:tcPr>
          <w:p w14:paraId="06D602B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005B4B2D" w14:textId="77777777" w:rsidTr="00937F3B">
        <w:trPr>
          <w:cantSplit/>
        </w:trPr>
        <w:tc>
          <w:tcPr>
            <w:tcW w:w="2592" w:type="dxa"/>
            <w:vMerge/>
            <w:tcBorders>
              <w:top w:val="nil"/>
              <w:left w:val="nil"/>
              <w:bottom w:val="nil"/>
              <w:right w:val="nil"/>
            </w:tcBorders>
            <w:shd w:val="clear" w:color="auto" w:fill="FFFFFF"/>
            <w:vAlign w:val="bottom"/>
          </w:tcPr>
          <w:p w14:paraId="349BE71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286" w:type="dxa"/>
            <w:tcBorders>
              <w:top w:val="nil"/>
              <w:left w:val="nil"/>
              <w:bottom w:val="single" w:sz="8" w:space="0" w:color="152935"/>
              <w:right w:val="single" w:sz="8" w:space="0" w:color="E0E0E0"/>
            </w:tcBorders>
            <w:shd w:val="clear" w:color="auto" w:fill="FFFFFF"/>
            <w:vAlign w:val="bottom"/>
          </w:tcPr>
          <w:p w14:paraId="5BFDF29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25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3850676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50</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7F9B4DA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75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03FFEAB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90</w:t>
            </w:r>
          </w:p>
        </w:tc>
        <w:tc>
          <w:tcPr>
            <w:tcW w:w="1286" w:type="dxa"/>
            <w:tcBorders>
              <w:top w:val="nil"/>
              <w:left w:val="single" w:sz="8" w:space="0" w:color="E0E0E0"/>
              <w:bottom w:val="single" w:sz="8" w:space="0" w:color="152935"/>
              <w:right w:val="nil"/>
            </w:tcBorders>
            <w:shd w:val="clear" w:color="auto" w:fill="FFFFFF"/>
            <w:vAlign w:val="bottom"/>
          </w:tcPr>
          <w:p w14:paraId="0BDB8A7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95</w:t>
            </w:r>
          </w:p>
        </w:tc>
      </w:tr>
      <w:tr w:rsidR="00520D2C" w:rsidRPr="00C279E0" w14:paraId="277EA359" w14:textId="77777777" w:rsidTr="00937F3B">
        <w:trPr>
          <w:cantSplit/>
        </w:trPr>
        <w:tc>
          <w:tcPr>
            <w:tcW w:w="2592" w:type="dxa"/>
            <w:tcBorders>
              <w:top w:val="single" w:sz="8" w:space="0" w:color="152935"/>
              <w:left w:val="nil"/>
              <w:bottom w:val="single" w:sz="8" w:space="0" w:color="AEAEAE"/>
              <w:right w:val="nil"/>
            </w:tcBorders>
            <w:shd w:val="clear" w:color="auto" w:fill="E0E0E0"/>
          </w:tcPr>
          <w:p w14:paraId="495FB85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286" w:type="dxa"/>
            <w:tcBorders>
              <w:top w:val="single" w:sz="8" w:space="0" w:color="152935"/>
              <w:left w:val="nil"/>
              <w:bottom w:val="single" w:sz="8" w:space="0" w:color="AEAEAE"/>
              <w:right w:val="single" w:sz="8" w:space="0" w:color="E0E0E0"/>
            </w:tcBorders>
            <w:shd w:val="clear" w:color="auto" w:fill="F9F9FB"/>
          </w:tcPr>
          <w:p w14:paraId="782ED36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377094F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7510C33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1F1EFBB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286" w:type="dxa"/>
            <w:tcBorders>
              <w:top w:val="single" w:sz="8" w:space="0" w:color="152935"/>
              <w:left w:val="single" w:sz="8" w:space="0" w:color="E0E0E0"/>
              <w:bottom w:val="single" w:sz="8" w:space="0" w:color="AEAEAE"/>
              <w:right w:val="nil"/>
            </w:tcBorders>
            <w:shd w:val="clear" w:color="auto" w:fill="F9F9FB"/>
          </w:tcPr>
          <w:p w14:paraId="02AC4FD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r>
      <w:tr w:rsidR="00520D2C" w:rsidRPr="00C279E0" w14:paraId="59C32438"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404D5D6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286" w:type="dxa"/>
            <w:tcBorders>
              <w:top w:val="single" w:sz="8" w:space="0" w:color="AEAEAE"/>
              <w:left w:val="nil"/>
              <w:bottom w:val="single" w:sz="8" w:space="0" w:color="AEAEAE"/>
              <w:right w:val="single" w:sz="8" w:space="0" w:color="E0E0E0"/>
            </w:tcBorders>
            <w:shd w:val="clear" w:color="auto" w:fill="F9F9FB"/>
          </w:tcPr>
          <w:p w14:paraId="73063C7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14ABCE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B3EE1A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664CDA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c>
          <w:tcPr>
            <w:tcW w:w="1286" w:type="dxa"/>
            <w:tcBorders>
              <w:top w:val="single" w:sz="8" w:space="0" w:color="AEAEAE"/>
              <w:left w:val="single" w:sz="8" w:space="0" w:color="E0E0E0"/>
              <w:bottom w:val="single" w:sz="8" w:space="0" w:color="AEAEAE"/>
              <w:right w:val="nil"/>
            </w:tcBorders>
            <w:shd w:val="clear" w:color="auto" w:fill="F9F9FB"/>
          </w:tcPr>
          <w:p w14:paraId="1431E8F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.655</w:t>
            </w:r>
          </w:p>
        </w:tc>
      </w:tr>
      <w:tr w:rsidR="00520D2C" w:rsidRPr="00C279E0" w14:paraId="537027C4"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2E51660A"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286" w:type="dxa"/>
            <w:tcBorders>
              <w:top w:val="single" w:sz="8" w:space="0" w:color="AEAEAE"/>
              <w:left w:val="nil"/>
              <w:bottom w:val="single" w:sz="8" w:space="0" w:color="AEAEAE"/>
              <w:right w:val="single" w:sz="8" w:space="0" w:color="E0E0E0"/>
            </w:tcBorders>
            <w:shd w:val="clear" w:color="auto" w:fill="F9F9FB"/>
          </w:tcPr>
          <w:p w14:paraId="03C4647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04F63C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0B4944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4AA840D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c>
          <w:tcPr>
            <w:tcW w:w="1286" w:type="dxa"/>
            <w:tcBorders>
              <w:top w:val="single" w:sz="8" w:space="0" w:color="AEAEAE"/>
              <w:left w:val="single" w:sz="8" w:space="0" w:color="E0E0E0"/>
              <w:bottom w:val="single" w:sz="8" w:space="0" w:color="AEAEAE"/>
              <w:right w:val="nil"/>
            </w:tcBorders>
            <w:shd w:val="clear" w:color="auto" w:fill="F9F9FB"/>
          </w:tcPr>
          <w:p w14:paraId="33CCD0B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14.657</w:t>
            </w:r>
          </w:p>
        </w:tc>
      </w:tr>
      <w:tr w:rsidR="00520D2C" w:rsidRPr="00C279E0" w14:paraId="37CF4F8C"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10B26CE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286" w:type="dxa"/>
            <w:tcBorders>
              <w:top w:val="single" w:sz="8" w:space="0" w:color="AEAEAE"/>
              <w:left w:val="nil"/>
              <w:bottom w:val="single" w:sz="8" w:space="0" w:color="AEAEAE"/>
              <w:right w:val="single" w:sz="8" w:space="0" w:color="E0E0E0"/>
            </w:tcBorders>
            <w:shd w:val="clear" w:color="auto" w:fill="F9F9FB"/>
          </w:tcPr>
          <w:p w14:paraId="2807FC6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56B079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60FBFB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53BAE3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c>
          <w:tcPr>
            <w:tcW w:w="1286" w:type="dxa"/>
            <w:tcBorders>
              <w:top w:val="single" w:sz="8" w:space="0" w:color="AEAEAE"/>
              <w:left w:val="single" w:sz="8" w:space="0" w:color="E0E0E0"/>
              <w:bottom w:val="single" w:sz="8" w:space="0" w:color="AEAEAE"/>
              <w:right w:val="nil"/>
            </w:tcBorders>
            <w:shd w:val="clear" w:color="auto" w:fill="F9F9FB"/>
          </w:tcPr>
          <w:p w14:paraId="7D977E2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57.714</w:t>
            </w:r>
          </w:p>
        </w:tc>
      </w:tr>
      <w:tr w:rsidR="00520D2C" w:rsidRPr="00C279E0" w14:paraId="6D01A13F"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272B7C5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286" w:type="dxa"/>
            <w:tcBorders>
              <w:top w:val="single" w:sz="8" w:space="0" w:color="AEAEAE"/>
              <w:left w:val="nil"/>
              <w:bottom w:val="single" w:sz="8" w:space="0" w:color="AEAEAE"/>
              <w:right w:val="single" w:sz="8" w:space="0" w:color="E0E0E0"/>
            </w:tcBorders>
            <w:shd w:val="clear" w:color="auto" w:fill="F9F9FB"/>
          </w:tcPr>
          <w:p w14:paraId="4A4CC35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DEF600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3441B4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46D73CB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c>
          <w:tcPr>
            <w:tcW w:w="1286" w:type="dxa"/>
            <w:tcBorders>
              <w:top w:val="single" w:sz="8" w:space="0" w:color="AEAEAE"/>
              <w:left w:val="single" w:sz="8" w:space="0" w:color="E0E0E0"/>
              <w:bottom w:val="single" w:sz="8" w:space="0" w:color="AEAEAE"/>
              <w:right w:val="nil"/>
            </w:tcBorders>
            <w:shd w:val="clear" w:color="auto" w:fill="F9F9FB"/>
          </w:tcPr>
          <w:p w14:paraId="4A424FF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160.746</w:t>
            </w:r>
          </w:p>
        </w:tc>
      </w:tr>
      <w:tr w:rsidR="00520D2C" w:rsidRPr="00C279E0" w14:paraId="45D080BF"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7293DFC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286" w:type="dxa"/>
            <w:tcBorders>
              <w:top w:val="single" w:sz="8" w:space="0" w:color="AEAEAE"/>
              <w:left w:val="nil"/>
              <w:bottom w:val="single" w:sz="8" w:space="0" w:color="AEAEAE"/>
              <w:right w:val="single" w:sz="8" w:space="0" w:color="E0E0E0"/>
            </w:tcBorders>
            <w:shd w:val="clear" w:color="auto" w:fill="F9F9FB"/>
          </w:tcPr>
          <w:p w14:paraId="2DFCB2B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26176E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01AE33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28AAAE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c>
          <w:tcPr>
            <w:tcW w:w="1286" w:type="dxa"/>
            <w:tcBorders>
              <w:top w:val="single" w:sz="8" w:space="0" w:color="AEAEAE"/>
              <w:left w:val="single" w:sz="8" w:space="0" w:color="E0E0E0"/>
              <w:bottom w:val="single" w:sz="8" w:space="0" w:color="AEAEAE"/>
              <w:right w:val="nil"/>
            </w:tcBorders>
            <w:shd w:val="clear" w:color="auto" w:fill="F9F9FB"/>
          </w:tcPr>
          <w:p w14:paraId="3CCAA95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10.089</w:t>
            </w:r>
          </w:p>
        </w:tc>
      </w:tr>
      <w:tr w:rsidR="00520D2C" w:rsidRPr="00C279E0" w14:paraId="24248BA0"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6AE7F40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286" w:type="dxa"/>
            <w:tcBorders>
              <w:top w:val="single" w:sz="8" w:space="0" w:color="AEAEAE"/>
              <w:left w:val="nil"/>
              <w:bottom w:val="single" w:sz="8" w:space="0" w:color="AEAEAE"/>
              <w:right w:val="single" w:sz="8" w:space="0" w:color="E0E0E0"/>
            </w:tcBorders>
            <w:shd w:val="clear" w:color="auto" w:fill="F9F9FB"/>
          </w:tcPr>
          <w:p w14:paraId="5F8AA0A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442830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6A9AB9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16297A7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c>
          <w:tcPr>
            <w:tcW w:w="1286" w:type="dxa"/>
            <w:tcBorders>
              <w:top w:val="single" w:sz="8" w:space="0" w:color="AEAEAE"/>
              <w:left w:val="single" w:sz="8" w:space="0" w:color="E0E0E0"/>
              <w:bottom w:val="single" w:sz="8" w:space="0" w:color="AEAEAE"/>
              <w:right w:val="nil"/>
            </w:tcBorders>
            <w:shd w:val="clear" w:color="auto" w:fill="F9F9FB"/>
          </w:tcPr>
          <w:p w14:paraId="504C8F5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31.233</w:t>
            </w:r>
          </w:p>
        </w:tc>
      </w:tr>
      <w:tr w:rsidR="00520D2C" w:rsidRPr="00C279E0" w14:paraId="5BB5E33A" w14:textId="77777777" w:rsidTr="00937F3B">
        <w:trPr>
          <w:cantSplit/>
        </w:trPr>
        <w:tc>
          <w:tcPr>
            <w:tcW w:w="2592" w:type="dxa"/>
            <w:tcBorders>
              <w:top w:val="single" w:sz="8" w:space="0" w:color="AEAEAE"/>
              <w:left w:val="nil"/>
              <w:bottom w:val="single" w:sz="8" w:space="0" w:color="152935"/>
              <w:right w:val="nil"/>
            </w:tcBorders>
            <w:shd w:val="clear" w:color="auto" w:fill="E0E0E0"/>
          </w:tcPr>
          <w:p w14:paraId="290D2C6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286" w:type="dxa"/>
            <w:tcBorders>
              <w:top w:val="single" w:sz="8" w:space="0" w:color="AEAEAE"/>
              <w:left w:val="nil"/>
              <w:bottom w:val="single" w:sz="8" w:space="0" w:color="152935"/>
              <w:right w:val="single" w:sz="8" w:space="0" w:color="E0E0E0"/>
            </w:tcBorders>
            <w:shd w:val="clear" w:color="auto" w:fill="F9F9FB"/>
          </w:tcPr>
          <w:p w14:paraId="796C420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492D061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5F507A2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2D6AE80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c>
          <w:tcPr>
            <w:tcW w:w="1286" w:type="dxa"/>
            <w:tcBorders>
              <w:top w:val="single" w:sz="8" w:space="0" w:color="AEAEAE"/>
              <w:left w:val="single" w:sz="8" w:space="0" w:color="E0E0E0"/>
              <w:bottom w:val="single" w:sz="8" w:space="0" w:color="152935"/>
              <w:right w:val="nil"/>
            </w:tcBorders>
            <w:shd w:val="clear" w:color="auto" w:fill="F9F9FB"/>
          </w:tcPr>
          <w:p w14:paraId="795562A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5.806</w:t>
            </w:r>
          </w:p>
        </w:tc>
      </w:tr>
    </w:tbl>
    <w:p w14:paraId="6BDB0401"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4C3595B2"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7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4"/>
        <w:gridCol w:w="1473"/>
        <w:gridCol w:w="1473"/>
        <w:gridCol w:w="1058"/>
        <w:gridCol w:w="1027"/>
        <w:gridCol w:w="1027"/>
      </w:tblGrid>
      <w:tr w:rsidR="00520D2C" w:rsidRPr="00C279E0" w14:paraId="665BD291" w14:textId="77777777" w:rsidTr="00937F3B">
        <w:trPr>
          <w:cantSplit/>
        </w:trPr>
        <w:tc>
          <w:tcPr>
            <w:tcW w:w="7789" w:type="dxa"/>
            <w:gridSpan w:val="6"/>
            <w:tcBorders>
              <w:top w:val="nil"/>
              <w:left w:val="nil"/>
              <w:bottom w:val="nil"/>
              <w:right w:val="nil"/>
            </w:tcBorders>
            <w:shd w:val="clear" w:color="auto" w:fill="FFFFFF"/>
            <w:vAlign w:val="center"/>
          </w:tcPr>
          <w:p w14:paraId="3EBCA6E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0DBA127B" w14:textId="77777777" w:rsidTr="00937F3B">
        <w:trPr>
          <w:cantSplit/>
        </w:trPr>
        <w:tc>
          <w:tcPr>
            <w:tcW w:w="1733" w:type="dxa"/>
            <w:vMerge w:val="restart"/>
            <w:tcBorders>
              <w:top w:val="nil"/>
              <w:left w:val="nil"/>
              <w:bottom w:val="nil"/>
              <w:right w:val="nil"/>
            </w:tcBorders>
            <w:shd w:val="clear" w:color="auto" w:fill="FFFFFF"/>
            <w:vAlign w:val="bottom"/>
          </w:tcPr>
          <w:p w14:paraId="6BA9FF0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472" w:type="dxa"/>
            <w:vMerge w:val="restart"/>
            <w:tcBorders>
              <w:top w:val="nil"/>
              <w:left w:val="nil"/>
              <w:bottom w:val="nil"/>
              <w:right w:val="single" w:sz="8" w:space="0" w:color="E0E0E0"/>
            </w:tcBorders>
            <w:shd w:val="clear" w:color="auto" w:fill="FFFFFF"/>
            <w:vAlign w:val="bottom"/>
          </w:tcPr>
          <w:p w14:paraId="73A9C77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Predictors</w:t>
            </w:r>
          </w:p>
        </w:tc>
        <w:tc>
          <w:tcPr>
            <w:tcW w:w="1472" w:type="dxa"/>
            <w:tcBorders>
              <w:top w:val="nil"/>
              <w:left w:val="single" w:sz="8" w:space="0" w:color="E0E0E0"/>
              <w:bottom w:val="nil"/>
              <w:right w:val="single" w:sz="8" w:space="0" w:color="E0E0E0"/>
            </w:tcBorders>
            <w:shd w:val="clear" w:color="auto" w:fill="FFFFFF"/>
            <w:vAlign w:val="bottom"/>
          </w:tcPr>
          <w:p w14:paraId="53573B1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Fit statistics</w:t>
            </w:r>
          </w:p>
        </w:tc>
        <w:tc>
          <w:tcPr>
            <w:tcW w:w="3112" w:type="dxa"/>
            <w:gridSpan w:val="3"/>
            <w:tcBorders>
              <w:top w:val="nil"/>
              <w:left w:val="single" w:sz="8" w:space="0" w:color="E0E0E0"/>
              <w:bottom w:val="nil"/>
              <w:right w:val="nil"/>
            </w:tcBorders>
            <w:shd w:val="clear" w:color="auto" w:fill="FFFFFF"/>
            <w:vAlign w:val="bottom"/>
          </w:tcPr>
          <w:p w14:paraId="5481AC4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Ljung-Box Q(18)</w:t>
            </w:r>
          </w:p>
        </w:tc>
      </w:tr>
      <w:tr w:rsidR="00520D2C" w:rsidRPr="00C279E0" w14:paraId="6468C9EB" w14:textId="77777777" w:rsidTr="00937F3B">
        <w:trPr>
          <w:cantSplit/>
        </w:trPr>
        <w:tc>
          <w:tcPr>
            <w:tcW w:w="1733" w:type="dxa"/>
            <w:vMerge/>
            <w:tcBorders>
              <w:top w:val="nil"/>
              <w:left w:val="nil"/>
              <w:bottom w:val="nil"/>
              <w:right w:val="nil"/>
            </w:tcBorders>
            <w:shd w:val="clear" w:color="auto" w:fill="FFFFFF"/>
            <w:vAlign w:val="bottom"/>
          </w:tcPr>
          <w:p w14:paraId="3663BC7F"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2" w:type="dxa"/>
            <w:vMerge/>
            <w:tcBorders>
              <w:top w:val="nil"/>
              <w:left w:val="nil"/>
              <w:bottom w:val="nil"/>
              <w:right w:val="single" w:sz="8" w:space="0" w:color="E0E0E0"/>
            </w:tcBorders>
            <w:shd w:val="clear" w:color="auto" w:fill="FFFFFF"/>
            <w:vAlign w:val="bottom"/>
          </w:tcPr>
          <w:p w14:paraId="2B431660"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47BE2A3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58" w:type="dxa"/>
            <w:tcBorders>
              <w:top w:val="nil"/>
              <w:left w:val="single" w:sz="8" w:space="0" w:color="E0E0E0"/>
              <w:bottom w:val="single" w:sz="8" w:space="0" w:color="152935"/>
              <w:right w:val="single" w:sz="8" w:space="0" w:color="E0E0E0"/>
            </w:tcBorders>
            <w:shd w:val="clear" w:color="auto" w:fill="FFFFFF"/>
            <w:vAlign w:val="bottom"/>
          </w:tcPr>
          <w:p w14:paraId="6566EC9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Statistics</w:t>
            </w:r>
          </w:p>
        </w:tc>
        <w:tc>
          <w:tcPr>
            <w:tcW w:w="1027" w:type="dxa"/>
            <w:tcBorders>
              <w:top w:val="nil"/>
              <w:left w:val="single" w:sz="8" w:space="0" w:color="E0E0E0"/>
              <w:bottom w:val="single" w:sz="8" w:space="0" w:color="152935"/>
              <w:right w:val="single" w:sz="8" w:space="0" w:color="E0E0E0"/>
            </w:tcBorders>
            <w:shd w:val="clear" w:color="auto" w:fill="FFFFFF"/>
            <w:vAlign w:val="bottom"/>
          </w:tcPr>
          <w:p w14:paraId="388FC19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DF</w:t>
            </w:r>
          </w:p>
        </w:tc>
        <w:tc>
          <w:tcPr>
            <w:tcW w:w="1027" w:type="dxa"/>
            <w:tcBorders>
              <w:top w:val="nil"/>
              <w:left w:val="single" w:sz="8" w:space="0" w:color="E0E0E0"/>
              <w:bottom w:val="single" w:sz="8" w:space="0" w:color="152935"/>
              <w:right w:val="nil"/>
            </w:tcBorders>
            <w:shd w:val="clear" w:color="auto" w:fill="FFFFFF"/>
            <w:vAlign w:val="bottom"/>
          </w:tcPr>
          <w:p w14:paraId="7E036C9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02935329" w14:textId="77777777" w:rsidTr="00937F3B">
        <w:trPr>
          <w:cantSplit/>
        </w:trPr>
        <w:tc>
          <w:tcPr>
            <w:tcW w:w="1733" w:type="dxa"/>
            <w:tcBorders>
              <w:top w:val="single" w:sz="8" w:space="0" w:color="152935"/>
              <w:left w:val="nil"/>
              <w:bottom w:val="single" w:sz="8" w:space="0" w:color="152935"/>
              <w:right w:val="nil"/>
            </w:tcBorders>
            <w:shd w:val="clear" w:color="auto" w:fill="E0E0E0"/>
          </w:tcPr>
          <w:p w14:paraId="2317351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Inflation-Model_1</w:t>
            </w:r>
          </w:p>
        </w:tc>
        <w:tc>
          <w:tcPr>
            <w:tcW w:w="1472" w:type="dxa"/>
            <w:tcBorders>
              <w:top w:val="single" w:sz="8" w:space="0" w:color="152935"/>
              <w:left w:val="nil"/>
              <w:bottom w:val="single" w:sz="8" w:space="0" w:color="152935"/>
              <w:right w:val="single" w:sz="8" w:space="0" w:color="E0E0E0"/>
            </w:tcBorders>
            <w:shd w:val="clear" w:color="auto" w:fill="F9F9FB"/>
          </w:tcPr>
          <w:p w14:paraId="4C5C320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472" w:type="dxa"/>
            <w:tcBorders>
              <w:top w:val="single" w:sz="8" w:space="0" w:color="152935"/>
              <w:left w:val="single" w:sz="8" w:space="0" w:color="E0E0E0"/>
              <w:bottom w:val="single" w:sz="8" w:space="0" w:color="152935"/>
              <w:right w:val="single" w:sz="8" w:space="0" w:color="E0E0E0"/>
            </w:tcBorders>
            <w:shd w:val="clear" w:color="auto" w:fill="F9F9FB"/>
          </w:tcPr>
          <w:p w14:paraId="07F7463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.785</w:t>
            </w:r>
          </w:p>
        </w:tc>
        <w:tc>
          <w:tcPr>
            <w:tcW w:w="1058" w:type="dxa"/>
            <w:tcBorders>
              <w:top w:val="single" w:sz="8" w:space="0" w:color="152935"/>
              <w:left w:val="single" w:sz="8" w:space="0" w:color="E0E0E0"/>
              <w:bottom w:val="single" w:sz="8" w:space="0" w:color="152935"/>
              <w:right w:val="single" w:sz="8" w:space="0" w:color="E0E0E0"/>
            </w:tcBorders>
            <w:shd w:val="clear" w:color="auto" w:fill="F9F9FB"/>
          </w:tcPr>
          <w:p w14:paraId="344DEE3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27" w:type="dxa"/>
            <w:tcBorders>
              <w:top w:val="single" w:sz="8" w:space="0" w:color="152935"/>
              <w:left w:val="single" w:sz="8" w:space="0" w:color="E0E0E0"/>
              <w:bottom w:val="single" w:sz="8" w:space="0" w:color="152935"/>
              <w:right w:val="single" w:sz="8" w:space="0" w:color="E0E0E0"/>
            </w:tcBorders>
            <w:shd w:val="clear" w:color="auto" w:fill="F9F9FB"/>
          </w:tcPr>
          <w:p w14:paraId="2CB7C6D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027" w:type="dxa"/>
            <w:tcBorders>
              <w:top w:val="single" w:sz="8" w:space="0" w:color="152935"/>
              <w:left w:val="single" w:sz="8" w:space="0" w:color="E0E0E0"/>
              <w:bottom w:val="single" w:sz="8" w:space="0" w:color="152935"/>
              <w:right w:val="nil"/>
            </w:tcBorders>
            <w:shd w:val="clear" w:color="auto" w:fill="F9F9FB"/>
          </w:tcPr>
          <w:p w14:paraId="2152DA7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r>
    </w:tbl>
    <w:p w14:paraId="68E9F62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80"/>
        <w:gridCol w:w="4145"/>
      </w:tblGrid>
      <w:tr w:rsidR="00520D2C" w:rsidRPr="00C279E0" w14:paraId="5E2367EA" w14:textId="77777777" w:rsidTr="00937F3B">
        <w:trPr>
          <w:cantSplit/>
        </w:trPr>
        <w:tc>
          <w:tcPr>
            <w:tcW w:w="9024" w:type="dxa"/>
            <w:gridSpan w:val="2"/>
            <w:tcBorders>
              <w:top w:val="nil"/>
              <w:left w:val="nil"/>
              <w:bottom w:val="nil"/>
              <w:right w:val="nil"/>
            </w:tcBorders>
            <w:shd w:val="clear" w:color="auto" w:fill="FFFFFF"/>
            <w:vAlign w:val="center"/>
          </w:tcPr>
          <w:p w14:paraId="7295211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20C1969B" w14:textId="77777777" w:rsidTr="00937F3B">
        <w:trPr>
          <w:cantSplit/>
          <w:trHeight w:val="320"/>
        </w:trPr>
        <w:tc>
          <w:tcPr>
            <w:tcW w:w="4879" w:type="dxa"/>
            <w:vMerge w:val="restart"/>
            <w:tcBorders>
              <w:top w:val="nil"/>
              <w:left w:val="nil"/>
              <w:bottom w:val="nil"/>
              <w:right w:val="nil"/>
            </w:tcBorders>
            <w:shd w:val="clear" w:color="auto" w:fill="FFFFFF"/>
            <w:vAlign w:val="bottom"/>
          </w:tcPr>
          <w:p w14:paraId="0F565FE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4145" w:type="dxa"/>
            <w:vMerge w:val="restart"/>
            <w:tcBorders>
              <w:top w:val="nil"/>
              <w:left w:val="nil"/>
              <w:bottom w:val="nil"/>
              <w:right w:val="nil"/>
            </w:tcBorders>
            <w:shd w:val="clear" w:color="auto" w:fill="FFFFFF"/>
            <w:vAlign w:val="bottom"/>
          </w:tcPr>
          <w:p w14:paraId="7FA9662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Outliers</w:t>
            </w:r>
          </w:p>
        </w:tc>
      </w:tr>
      <w:tr w:rsidR="00520D2C" w:rsidRPr="00C279E0" w14:paraId="3DA03A41" w14:textId="77777777" w:rsidTr="00937F3B">
        <w:trPr>
          <w:cantSplit/>
          <w:trHeight w:val="207"/>
        </w:trPr>
        <w:tc>
          <w:tcPr>
            <w:tcW w:w="4879" w:type="dxa"/>
            <w:vMerge/>
            <w:tcBorders>
              <w:top w:val="nil"/>
              <w:left w:val="nil"/>
              <w:bottom w:val="nil"/>
              <w:right w:val="nil"/>
            </w:tcBorders>
            <w:shd w:val="clear" w:color="auto" w:fill="FFFFFF"/>
            <w:vAlign w:val="bottom"/>
          </w:tcPr>
          <w:p w14:paraId="3DBB6C16"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4145" w:type="dxa"/>
            <w:vMerge/>
            <w:tcBorders>
              <w:top w:val="nil"/>
              <w:left w:val="nil"/>
              <w:bottom w:val="nil"/>
              <w:right w:val="nil"/>
            </w:tcBorders>
            <w:shd w:val="clear" w:color="auto" w:fill="FFFFFF"/>
            <w:vAlign w:val="bottom"/>
          </w:tcPr>
          <w:p w14:paraId="5A2E4F2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r>
      <w:tr w:rsidR="00520D2C" w:rsidRPr="00C279E0" w14:paraId="143D65B7" w14:textId="77777777" w:rsidTr="00937F3B">
        <w:trPr>
          <w:cantSplit/>
        </w:trPr>
        <w:tc>
          <w:tcPr>
            <w:tcW w:w="4879" w:type="dxa"/>
            <w:tcBorders>
              <w:top w:val="single" w:sz="8" w:space="0" w:color="152935"/>
              <w:left w:val="nil"/>
              <w:bottom w:val="single" w:sz="8" w:space="0" w:color="152935"/>
              <w:right w:val="nil"/>
            </w:tcBorders>
            <w:shd w:val="clear" w:color="auto" w:fill="E0E0E0"/>
          </w:tcPr>
          <w:p w14:paraId="46E79F5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Inflation-Model_1</w:t>
            </w:r>
          </w:p>
        </w:tc>
        <w:tc>
          <w:tcPr>
            <w:tcW w:w="4145" w:type="dxa"/>
            <w:tcBorders>
              <w:top w:val="single" w:sz="8" w:space="0" w:color="152935"/>
              <w:left w:val="nil"/>
              <w:bottom w:val="single" w:sz="8" w:space="0" w:color="152935"/>
              <w:right w:val="nil"/>
            </w:tcBorders>
            <w:shd w:val="clear" w:color="auto" w:fill="F9F9FB"/>
          </w:tcPr>
          <w:p w14:paraId="3ED88A4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r>
    </w:tbl>
    <w:p w14:paraId="1273DF7F"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0251BF97"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2"/>
        <w:gridCol w:w="1870"/>
        <w:gridCol w:w="1640"/>
        <w:gridCol w:w="1042"/>
        <w:gridCol w:w="1026"/>
        <w:gridCol w:w="1058"/>
      </w:tblGrid>
      <w:tr w:rsidR="00520D2C" w:rsidRPr="00C279E0" w14:paraId="63737FB9" w14:textId="77777777" w:rsidTr="00937F3B">
        <w:trPr>
          <w:cantSplit/>
        </w:trPr>
        <w:tc>
          <w:tcPr>
            <w:tcW w:w="8364" w:type="dxa"/>
            <w:gridSpan w:val="6"/>
            <w:tcBorders>
              <w:top w:val="nil"/>
              <w:left w:val="nil"/>
              <w:bottom w:val="nil"/>
              <w:right w:val="nil"/>
            </w:tcBorders>
            <w:shd w:val="clear" w:color="auto" w:fill="FFFFFF"/>
            <w:vAlign w:val="center"/>
          </w:tcPr>
          <w:p w14:paraId="152FBD0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7AA55190" w14:textId="77777777" w:rsidTr="00937F3B">
        <w:trPr>
          <w:cantSplit/>
        </w:trPr>
        <w:tc>
          <w:tcPr>
            <w:tcW w:w="5239" w:type="dxa"/>
            <w:gridSpan w:val="3"/>
            <w:tcBorders>
              <w:top w:val="nil"/>
              <w:left w:val="nil"/>
              <w:bottom w:val="single" w:sz="8" w:space="0" w:color="152935"/>
              <w:right w:val="nil"/>
            </w:tcBorders>
            <w:shd w:val="clear" w:color="auto" w:fill="FFFFFF"/>
            <w:vAlign w:val="bottom"/>
          </w:tcPr>
          <w:p w14:paraId="60F7C64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042" w:type="dxa"/>
            <w:tcBorders>
              <w:top w:val="nil"/>
              <w:left w:val="nil"/>
              <w:bottom w:val="single" w:sz="8" w:space="0" w:color="152935"/>
              <w:right w:val="single" w:sz="8" w:space="0" w:color="E0E0E0"/>
            </w:tcBorders>
            <w:shd w:val="clear" w:color="auto" w:fill="FFFFFF"/>
            <w:vAlign w:val="bottom"/>
          </w:tcPr>
          <w:p w14:paraId="1C7F7FF8"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Estimate</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625D1A9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057" w:type="dxa"/>
            <w:tcBorders>
              <w:top w:val="nil"/>
              <w:left w:val="single" w:sz="8" w:space="0" w:color="E0E0E0"/>
              <w:bottom w:val="single" w:sz="8" w:space="0" w:color="152935"/>
              <w:right w:val="nil"/>
            </w:tcBorders>
            <w:shd w:val="clear" w:color="auto" w:fill="FFFFFF"/>
            <w:vAlign w:val="bottom"/>
          </w:tcPr>
          <w:p w14:paraId="28D125D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t</w:t>
            </w:r>
          </w:p>
        </w:tc>
      </w:tr>
      <w:tr w:rsidR="00520D2C" w:rsidRPr="00C279E0" w14:paraId="46F8B7D7" w14:textId="77777777" w:rsidTr="00937F3B">
        <w:trPr>
          <w:cantSplit/>
        </w:trPr>
        <w:tc>
          <w:tcPr>
            <w:tcW w:w="1731" w:type="dxa"/>
            <w:vMerge w:val="restart"/>
            <w:tcBorders>
              <w:top w:val="single" w:sz="8" w:space="0" w:color="152935"/>
              <w:left w:val="nil"/>
              <w:bottom w:val="single" w:sz="8" w:space="0" w:color="152935"/>
              <w:right w:val="nil"/>
            </w:tcBorders>
            <w:shd w:val="clear" w:color="auto" w:fill="E0E0E0"/>
          </w:tcPr>
          <w:p w14:paraId="333704D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Inflation-Model_1</w:t>
            </w:r>
          </w:p>
        </w:tc>
        <w:tc>
          <w:tcPr>
            <w:tcW w:w="1869" w:type="dxa"/>
            <w:vMerge w:val="restart"/>
            <w:tcBorders>
              <w:top w:val="single" w:sz="8" w:space="0" w:color="152935"/>
              <w:left w:val="nil"/>
              <w:bottom w:val="single" w:sz="8" w:space="0" w:color="152935"/>
              <w:right w:val="nil"/>
            </w:tcBorders>
            <w:shd w:val="clear" w:color="auto" w:fill="E0E0E0"/>
          </w:tcPr>
          <w:p w14:paraId="60C0710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1639" w:type="dxa"/>
            <w:tcBorders>
              <w:top w:val="single" w:sz="8" w:space="0" w:color="152935"/>
              <w:left w:val="nil"/>
              <w:bottom w:val="single" w:sz="8" w:space="0" w:color="AEAEAE"/>
              <w:right w:val="nil"/>
            </w:tcBorders>
            <w:shd w:val="clear" w:color="auto" w:fill="E0E0E0"/>
          </w:tcPr>
          <w:p w14:paraId="51BC449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w:t>
            </w:r>
          </w:p>
        </w:tc>
        <w:tc>
          <w:tcPr>
            <w:tcW w:w="1042" w:type="dxa"/>
            <w:tcBorders>
              <w:top w:val="single" w:sz="8" w:space="0" w:color="152935"/>
              <w:left w:val="nil"/>
              <w:bottom w:val="single" w:sz="8" w:space="0" w:color="AEAEAE"/>
              <w:right w:val="single" w:sz="8" w:space="0" w:color="E0E0E0"/>
            </w:tcBorders>
            <w:shd w:val="clear" w:color="auto" w:fill="F9F9FB"/>
          </w:tcPr>
          <w:p w14:paraId="3E9F95F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.001</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0B49FBE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.250</w:t>
            </w:r>
          </w:p>
        </w:tc>
        <w:tc>
          <w:tcPr>
            <w:tcW w:w="1057" w:type="dxa"/>
            <w:tcBorders>
              <w:top w:val="single" w:sz="8" w:space="0" w:color="152935"/>
              <w:left w:val="single" w:sz="8" w:space="0" w:color="E0E0E0"/>
              <w:bottom w:val="single" w:sz="8" w:space="0" w:color="AEAEAE"/>
              <w:right w:val="nil"/>
            </w:tcBorders>
            <w:shd w:val="clear" w:color="auto" w:fill="F9F9FB"/>
          </w:tcPr>
          <w:p w14:paraId="3051A37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.004</w:t>
            </w:r>
          </w:p>
        </w:tc>
      </w:tr>
      <w:tr w:rsidR="00520D2C" w:rsidRPr="00C279E0" w14:paraId="7D92D553" w14:textId="77777777" w:rsidTr="00937F3B">
        <w:trPr>
          <w:cantSplit/>
        </w:trPr>
        <w:tc>
          <w:tcPr>
            <w:tcW w:w="1731" w:type="dxa"/>
            <w:vMerge/>
            <w:tcBorders>
              <w:top w:val="single" w:sz="8" w:space="0" w:color="152935"/>
              <w:left w:val="nil"/>
              <w:bottom w:val="single" w:sz="8" w:space="0" w:color="152935"/>
              <w:right w:val="nil"/>
            </w:tcBorders>
            <w:shd w:val="clear" w:color="auto" w:fill="E0E0E0"/>
          </w:tcPr>
          <w:p w14:paraId="4EB1820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c>
        <w:tc>
          <w:tcPr>
            <w:tcW w:w="1869" w:type="dxa"/>
            <w:vMerge/>
            <w:tcBorders>
              <w:top w:val="single" w:sz="8" w:space="0" w:color="152935"/>
              <w:left w:val="nil"/>
              <w:bottom w:val="single" w:sz="8" w:space="0" w:color="152935"/>
              <w:right w:val="nil"/>
            </w:tcBorders>
            <w:shd w:val="clear" w:color="auto" w:fill="E0E0E0"/>
          </w:tcPr>
          <w:p w14:paraId="0AD54479"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c>
        <w:tc>
          <w:tcPr>
            <w:tcW w:w="1639" w:type="dxa"/>
            <w:tcBorders>
              <w:top w:val="single" w:sz="8" w:space="0" w:color="AEAEAE"/>
              <w:left w:val="nil"/>
              <w:bottom w:val="single" w:sz="8" w:space="0" w:color="152935"/>
              <w:right w:val="nil"/>
            </w:tcBorders>
            <w:shd w:val="clear" w:color="auto" w:fill="E0E0E0"/>
          </w:tcPr>
          <w:p w14:paraId="32B07CD9"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Gamma (Trend)</w:t>
            </w:r>
          </w:p>
        </w:tc>
        <w:tc>
          <w:tcPr>
            <w:tcW w:w="1042" w:type="dxa"/>
            <w:tcBorders>
              <w:top w:val="single" w:sz="8" w:space="0" w:color="AEAEAE"/>
              <w:left w:val="nil"/>
              <w:bottom w:val="single" w:sz="8" w:space="0" w:color="152935"/>
              <w:right w:val="single" w:sz="8" w:space="0" w:color="E0E0E0"/>
            </w:tcBorders>
            <w:shd w:val="clear" w:color="auto" w:fill="F9F9FB"/>
          </w:tcPr>
          <w:p w14:paraId="37B24EB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.000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4E82EA6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106.786</w:t>
            </w:r>
          </w:p>
        </w:tc>
        <w:tc>
          <w:tcPr>
            <w:tcW w:w="1057" w:type="dxa"/>
            <w:tcBorders>
              <w:top w:val="single" w:sz="8" w:space="0" w:color="AEAEAE"/>
              <w:left w:val="single" w:sz="8" w:space="0" w:color="E0E0E0"/>
              <w:bottom w:val="single" w:sz="8" w:space="0" w:color="152935"/>
              <w:right w:val="nil"/>
            </w:tcBorders>
            <w:shd w:val="clear" w:color="auto" w:fill="F9F9FB"/>
          </w:tcPr>
          <w:p w14:paraId="0F6700B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2.565E-6</w:t>
            </w:r>
          </w:p>
        </w:tc>
      </w:tr>
    </w:tbl>
    <w:p w14:paraId="050ECC7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4"/>
        <w:gridCol w:w="2692"/>
        <w:gridCol w:w="2361"/>
        <w:gridCol w:w="1478"/>
      </w:tblGrid>
      <w:tr w:rsidR="00520D2C" w:rsidRPr="00C279E0" w14:paraId="3910F92C" w14:textId="77777777" w:rsidTr="00937F3B">
        <w:trPr>
          <w:cantSplit/>
        </w:trPr>
        <w:tc>
          <w:tcPr>
            <w:tcW w:w="9024" w:type="dxa"/>
            <w:gridSpan w:val="4"/>
            <w:tcBorders>
              <w:top w:val="nil"/>
              <w:left w:val="nil"/>
              <w:bottom w:val="nil"/>
              <w:right w:val="nil"/>
            </w:tcBorders>
            <w:shd w:val="clear" w:color="auto" w:fill="FFFFFF"/>
            <w:vAlign w:val="center"/>
          </w:tcPr>
          <w:p w14:paraId="23C78A4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7FF74C11" w14:textId="77777777" w:rsidTr="00937F3B">
        <w:trPr>
          <w:cantSplit/>
        </w:trPr>
        <w:tc>
          <w:tcPr>
            <w:tcW w:w="7546" w:type="dxa"/>
            <w:gridSpan w:val="3"/>
            <w:tcBorders>
              <w:top w:val="nil"/>
              <w:left w:val="nil"/>
              <w:bottom w:val="single" w:sz="8" w:space="0" w:color="152935"/>
              <w:right w:val="nil"/>
            </w:tcBorders>
            <w:shd w:val="clear" w:color="auto" w:fill="FFFFFF"/>
            <w:vAlign w:val="bottom"/>
          </w:tcPr>
          <w:p w14:paraId="5B33E0FA"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478" w:type="dxa"/>
            <w:tcBorders>
              <w:top w:val="nil"/>
              <w:left w:val="nil"/>
              <w:bottom w:val="single" w:sz="8" w:space="0" w:color="152935"/>
              <w:right w:val="nil"/>
            </w:tcBorders>
            <w:shd w:val="clear" w:color="auto" w:fill="FFFFFF"/>
            <w:vAlign w:val="bottom"/>
          </w:tcPr>
          <w:p w14:paraId="704AC86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39197107" w14:textId="77777777" w:rsidTr="00937F3B">
        <w:trPr>
          <w:cantSplit/>
        </w:trPr>
        <w:tc>
          <w:tcPr>
            <w:tcW w:w="2493" w:type="dxa"/>
            <w:vMerge w:val="restart"/>
            <w:tcBorders>
              <w:top w:val="single" w:sz="8" w:space="0" w:color="152935"/>
              <w:left w:val="nil"/>
              <w:bottom w:val="single" w:sz="8" w:space="0" w:color="152935"/>
              <w:right w:val="nil"/>
            </w:tcBorders>
            <w:shd w:val="clear" w:color="auto" w:fill="E0E0E0"/>
          </w:tcPr>
          <w:p w14:paraId="4D2E25F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Inflation-Model_1</w:t>
            </w:r>
          </w:p>
        </w:tc>
        <w:tc>
          <w:tcPr>
            <w:tcW w:w="2692" w:type="dxa"/>
            <w:vMerge w:val="restart"/>
            <w:tcBorders>
              <w:top w:val="single" w:sz="8" w:space="0" w:color="152935"/>
              <w:left w:val="nil"/>
              <w:bottom w:val="single" w:sz="8" w:space="0" w:color="152935"/>
              <w:right w:val="nil"/>
            </w:tcBorders>
            <w:shd w:val="clear" w:color="auto" w:fill="E0E0E0"/>
          </w:tcPr>
          <w:p w14:paraId="7E73E71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2361" w:type="dxa"/>
            <w:tcBorders>
              <w:top w:val="single" w:sz="8" w:space="0" w:color="152935"/>
              <w:left w:val="nil"/>
              <w:bottom w:val="single" w:sz="8" w:space="0" w:color="AEAEAE"/>
              <w:right w:val="nil"/>
            </w:tcBorders>
            <w:shd w:val="clear" w:color="auto" w:fill="E0E0E0"/>
          </w:tcPr>
          <w:p w14:paraId="3F76816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w:t>
            </w:r>
          </w:p>
        </w:tc>
        <w:tc>
          <w:tcPr>
            <w:tcW w:w="1478" w:type="dxa"/>
            <w:tcBorders>
              <w:top w:val="single" w:sz="8" w:space="0" w:color="152935"/>
              <w:left w:val="nil"/>
              <w:bottom w:val="single" w:sz="8" w:space="0" w:color="AEAEAE"/>
              <w:right w:val="nil"/>
            </w:tcBorders>
            <w:shd w:val="clear" w:color="auto" w:fill="F9F9FB"/>
          </w:tcPr>
          <w:p w14:paraId="404F310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.997</w:t>
            </w:r>
          </w:p>
        </w:tc>
      </w:tr>
      <w:tr w:rsidR="00520D2C" w:rsidRPr="00C279E0" w14:paraId="76997AEE" w14:textId="77777777" w:rsidTr="00937F3B">
        <w:trPr>
          <w:cantSplit/>
        </w:trPr>
        <w:tc>
          <w:tcPr>
            <w:tcW w:w="2493" w:type="dxa"/>
            <w:vMerge/>
            <w:tcBorders>
              <w:top w:val="single" w:sz="8" w:space="0" w:color="152935"/>
              <w:left w:val="nil"/>
              <w:bottom w:val="single" w:sz="8" w:space="0" w:color="152935"/>
              <w:right w:val="nil"/>
            </w:tcBorders>
            <w:shd w:val="clear" w:color="auto" w:fill="E0E0E0"/>
          </w:tcPr>
          <w:p w14:paraId="2011E0F4"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c>
        <w:tc>
          <w:tcPr>
            <w:tcW w:w="2692" w:type="dxa"/>
            <w:vMerge/>
            <w:tcBorders>
              <w:top w:val="single" w:sz="8" w:space="0" w:color="152935"/>
              <w:left w:val="nil"/>
              <w:bottom w:val="single" w:sz="8" w:space="0" w:color="152935"/>
              <w:right w:val="nil"/>
            </w:tcBorders>
            <w:shd w:val="clear" w:color="auto" w:fill="E0E0E0"/>
          </w:tcPr>
          <w:p w14:paraId="68EFA816"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c>
        <w:tc>
          <w:tcPr>
            <w:tcW w:w="2361" w:type="dxa"/>
            <w:tcBorders>
              <w:top w:val="single" w:sz="8" w:space="0" w:color="AEAEAE"/>
              <w:left w:val="nil"/>
              <w:bottom w:val="single" w:sz="8" w:space="0" w:color="152935"/>
              <w:right w:val="nil"/>
            </w:tcBorders>
            <w:shd w:val="clear" w:color="auto" w:fill="E0E0E0"/>
          </w:tcPr>
          <w:p w14:paraId="4D103DB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Gamma (Trend)</w:t>
            </w:r>
          </w:p>
        </w:tc>
        <w:tc>
          <w:tcPr>
            <w:tcW w:w="1478" w:type="dxa"/>
            <w:tcBorders>
              <w:top w:val="single" w:sz="8" w:space="0" w:color="AEAEAE"/>
              <w:left w:val="nil"/>
              <w:bottom w:val="single" w:sz="8" w:space="0" w:color="152935"/>
              <w:right w:val="nil"/>
            </w:tcBorders>
            <w:shd w:val="clear" w:color="auto" w:fill="F9F9FB"/>
          </w:tcPr>
          <w:p w14:paraId="031C7AA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1.000</w:t>
            </w:r>
          </w:p>
        </w:tc>
      </w:tr>
    </w:tbl>
    <w:p w14:paraId="790DF3BF"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274CDDE6"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bookmarkStart w:id="514" w:name="_Hlk196828043"/>
      <w:r w:rsidRPr="00C279E0">
        <w:rPr>
          <w:rFonts w:ascii="Times New Roman" w:eastAsia="Times New Roman" w:hAnsi="Times New Roman" w:cs="Times New Roman"/>
          <w:noProof/>
          <w:sz w:val="24"/>
          <w:szCs w:val="24"/>
          <w:lang w:eastAsia="fr-FR"/>
        </w:rPr>
        <w:drawing>
          <wp:inline distT="0" distB="0" distL="0" distR="0" wp14:anchorId="48433B1E" wp14:editId="563FD3A6">
            <wp:extent cx="4346812" cy="2344027"/>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63127" cy="2352825"/>
                    </a:xfrm>
                    <a:prstGeom prst="rect">
                      <a:avLst/>
                    </a:prstGeom>
                    <a:noFill/>
                    <a:ln>
                      <a:noFill/>
                    </a:ln>
                  </pic:spPr>
                </pic:pic>
              </a:graphicData>
            </a:graphic>
          </wp:inline>
        </w:drawing>
      </w:r>
      <w:bookmarkEnd w:id="514"/>
    </w:p>
    <w:p w14:paraId="4AE98F9B" w14:textId="77777777" w:rsidR="00520D2C" w:rsidRPr="00C279E0" w:rsidRDefault="00520D2C">
      <w:pPr>
        <w:rPr>
          <w:rFonts w:ascii="Arial" w:hAnsi="Arial" w:cs="Arial"/>
          <w:sz w:val="26"/>
          <w:szCs w:val="26"/>
          <w:lang w:val="en-US"/>
        </w:rPr>
      </w:pPr>
    </w:p>
    <w:tbl>
      <w:tblPr>
        <w:tblW w:w="5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2"/>
        <w:gridCol w:w="1588"/>
        <w:gridCol w:w="1018"/>
        <w:gridCol w:w="1850"/>
      </w:tblGrid>
      <w:tr w:rsidR="00520D2C" w:rsidRPr="00C279E0" w14:paraId="40FAC6EB" w14:textId="77777777" w:rsidTr="00937F3B">
        <w:trPr>
          <w:cantSplit/>
        </w:trPr>
        <w:tc>
          <w:tcPr>
            <w:tcW w:w="5485" w:type="dxa"/>
            <w:gridSpan w:val="4"/>
            <w:tcBorders>
              <w:top w:val="nil"/>
              <w:left w:val="nil"/>
              <w:bottom w:val="nil"/>
              <w:right w:val="nil"/>
            </w:tcBorders>
            <w:shd w:val="clear" w:color="auto" w:fill="FFFFFF"/>
            <w:vAlign w:val="center"/>
          </w:tcPr>
          <w:p w14:paraId="7D36F8F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Description</w:t>
            </w:r>
          </w:p>
        </w:tc>
      </w:tr>
      <w:tr w:rsidR="00520D2C" w:rsidRPr="00C279E0" w14:paraId="0F68D7E0" w14:textId="77777777" w:rsidTr="00937F3B">
        <w:trPr>
          <w:cantSplit/>
        </w:trPr>
        <w:tc>
          <w:tcPr>
            <w:tcW w:w="3636" w:type="dxa"/>
            <w:gridSpan w:val="3"/>
            <w:tcBorders>
              <w:top w:val="nil"/>
              <w:left w:val="nil"/>
              <w:bottom w:val="single" w:sz="8" w:space="0" w:color="152935"/>
              <w:right w:val="nil"/>
            </w:tcBorders>
            <w:shd w:val="clear" w:color="auto" w:fill="FFFFFF"/>
            <w:vAlign w:val="bottom"/>
          </w:tcPr>
          <w:p w14:paraId="6FAE0A72"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849" w:type="dxa"/>
            <w:tcBorders>
              <w:top w:val="nil"/>
              <w:left w:val="nil"/>
              <w:bottom w:val="single" w:sz="8" w:space="0" w:color="152935"/>
              <w:right w:val="nil"/>
            </w:tcBorders>
            <w:shd w:val="clear" w:color="auto" w:fill="FFFFFF"/>
            <w:vAlign w:val="bottom"/>
          </w:tcPr>
          <w:p w14:paraId="02D3B8E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Type</w:t>
            </w:r>
          </w:p>
        </w:tc>
      </w:tr>
      <w:tr w:rsidR="00520D2C" w:rsidRPr="00C279E0" w14:paraId="65AB478C" w14:textId="77777777" w:rsidTr="00937F3B">
        <w:trPr>
          <w:cantSplit/>
        </w:trPr>
        <w:tc>
          <w:tcPr>
            <w:tcW w:w="1032" w:type="dxa"/>
            <w:tcBorders>
              <w:top w:val="single" w:sz="8" w:space="0" w:color="152935"/>
              <w:left w:val="nil"/>
              <w:bottom w:val="single" w:sz="8" w:space="0" w:color="152935"/>
              <w:right w:val="nil"/>
            </w:tcBorders>
            <w:shd w:val="clear" w:color="auto" w:fill="E0E0E0"/>
          </w:tcPr>
          <w:p w14:paraId="442E661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ID</w:t>
            </w:r>
          </w:p>
        </w:tc>
        <w:tc>
          <w:tcPr>
            <w:tcW w:w="1587" w:type="dxa"/>
            <w:tcBorders>
              <w:top w:val="single" w:sz="8" w:space="0" w:color="152935"/>
              <w:left w:val="nil"/>
              <w:bottom w:val="single" w:sz="8" w:space="0" w:color="152935"/>
              <w:right w:val="nil"/>
            </w:tcBorders>
            <w:shd w:val="clear" w:color="auto" w:fill="E0E0E0"/>
          </w:tcPr>
          <w:p w14:paraId="430EAC2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Unemployment</w:t>
            </w:r>
          </w:p>
        </w:tc>
        <w:tc>
          <w:tcPr>
            <w:tcW w:w="1017" w:type="dxa"/>
            <w:tcBorders>
              <w:top w:val="single" w:sz="8" w:space="0" w:color="152935"/>
              <w:left w:val="nil"/>
              <w:bottom w:val="single" w:sz="8" w:space="0" w:color="152935"/>
              <w:right w:val="nil"/>
            </w:tcBorders>
            <w:shd w:val="clear" w:color="auto" w:fill="E0E0E0"/>
          </w:tcPr>
          <w:p w14:paraId="24EE8E4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Model_1</w:t>
            </w:r>
          </w:p>
        </w:tc>
        <w:tc>
          <w:tcPr>
            <w:tcW w:w="1849" w:type="dxa"/>
            <w:tcBorders>
              <w:top w:val="single" w:sz="8" w:space="0" w:color="152935"/>
              <w:left w:val="nil"/>
              <w:bottom w:val="single" w:sz="8" w:space="0" w:color="152935"/>
              <w:right w:val="nil"/>
            </w:tcBorders>
            <w:shd w:val="clear" w:color="auto" w:fill="F9F9FB"/>
          </w:tcPr>
          <w:p w14:paraId="6ED4681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Simple</w:t>
            </w:r>
          </w:p>
        </w:tc>
      </w:tr>
    </w:tbl>
    <w:p w14:paraId="76E4C16A"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r w:rsidRPr="00C279E0">
        <w:rPr>
          <w:rFonts w:ascii="Arial" w:eastAsia="Times New Roman" w:hAnsi="Arial" w:cs="Arial"/>
          <w:b/>
          <w:bCs/>
          <w:color w:val="000000"/>
          <w:sz w:val="26"/>
          <w:szCs w:val="26"/>
          <w:lang w:eastAsia="fr-FR"/>
        </w:rPr>
        <w:t>Model Summary</w:t>
      </w:r>
    </w:p>
    <w:p w14:paraId="40DCED81"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3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9"/>
        <w:gridCol w:w="1026"/>
        <w:gridCol w:w="1027"/>
        <w:gridCol w:w="1073"/>
        <w:gridCol w:w="1104"/>
        <w:gridCol w:w="1027"/>
        <w:gridCol w:w="1027"/>
      </w:tblGrid>
      <w:tr w:rsidR="00520D2C" w:rsidRPr="00C279E0" w14:paraId="16162D58" w14:textId="77777777" w:rsidTr="00937F3B">
        <w:trPr>
          <w:cantSplit/>
        </w:trPr>
        <w:tc>
          <w:tcPr>
            <w:tcW w:w="8348" w:type="dxa"/>
            <w:gridSpan w:val="7"/>
            <w:tcBorders>
              <w:top w:val="nil"/>
              <w:left w:val="nil"/>
              <w:bottom w:val="nil"/>
              <w:right w:val="nil"/>
            </w:tcBorders>
            <w:shd w:val="clear" w:color="auto" w:fill="FFFFFF"/>
            <w:vAlign w:val="center"/>
          </w:tcPr>
          <w:p w14:paraId="76903A3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56F55810" w14:textId="77777777" w:rsidTr="00937F3B">
        <w:trPr>
          <w:cantSplit/>
        </w:trPr>
        <w:tc>
          <w:tcPr>
            <w:tcW w:w="2069" w:type="dxa"/>
            <w:vMerge w:val="restart"/>
            <w:tcBorders>
              <w:top w:val="nil"/>
              <w:left w:val="nil"/>
              <w:bottom w:val="nil"/>
              <w:right w:val="nil"/>
            </w:tcBorders>
            <w:shd w:val="clear" w:color="auto" w:fill="FFFFFF"/>
            <w:vAlign w:val="bottom"/>
          </w:tcPr>
          <w:p w14:paraId="6BD6490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1026" w:type="dxa"/>
            <w:vMerge w:val="restart"/>
            <w:tcBorders>
              <w:top w:val="nil"/>
              <w:left w:val="nil"/>
              <w:bottom w:val="nil"/>
              <w:right w:val="single" w:sz="8" w:space="0" w:color="E0E0E0"/>
            </w:tcBorders>
            <w:shd w:val="clear" w:color="auto" w:fill="FFFFFF"/>
            <w:vAlign w:val="bottom"/>
          </w:tcPr>
          <w:p w14:paraId="16BC9D5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Mean</w:t>
            </w:r>
          </w:p>
        </w:tc>
        <w:tc>
          <w:tcPr>
            <w:tcW w:w="1026" w:type="dxa"/>
            <w:vMerge w:val="restart"/>
            <w:tcBorders>
              <w:top w:val="nil"/>
              <w:left w:val="single" w:sz="8" w:space="0" w:color="E0E0E0"/>
              <w:bottom w:val="nil"/>
              <w:right w:val="single" w:sz="8" w:space="0" w:color="E0E0E0"/>
            </w:tcBorders>
            <w:shd w:val="clear" w:color="auto" w:fill="FFFFFF"/>
            <w:vAlign w:val="bottom"/>
          </w:tcPr>
          <w:p w14:paraId="5CEDAA2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072" w:type="dxa"/>
            <w:vMerge w:val="restart"/>
            <w:tcBorders>
              <w:top w:val="nil"/>
              <w:left w:val="single" w:sz="8" w:space="0" w:color="E0E0E0"/>
              <w:bottom w:val="nil"/>
              <w:right w:val="single" w:sz="8" w:space="0" w:color="E0E0E0"/>
            </w:tcBorders>
            <w:shd w:val="clear" w:color="auto" w:fill="FFFFFF"/>
            <w:vAlign w:val="bottom"/>
          </w:tcPr>
          <w:p w14:paraId="24A5DBA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Minimum</w:t>
            </w:r>
          </w:p>
        </w:tc>
        <w:tc>
          <w:tcPr>
            <w:tcW w:w="1103" w:type="dxa"/>
            <w:vMerge w:val="restart"/>
            <w:tcBorders>
              <w:top w:val="nil"/>
              <w:left w:val="single" w:sz="8" w:space="0" w:color="E0E0E0"/>
              <w:bottom w:val="nil"/>
              <w:right w:val="single" w:sz="8" w:space="0" w:color="E0E0E0"/>
            </w:tcBorders>
            <w:shd w:val="clear" w:color="auto" w:fill="FFFFFF"/>
            <w:vAlign w:val="bottom"/>
          </w:tcPr>
          <w:p w14:paraId="09E7AF8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Maximum</w:t>
            </w:r>
          </w:p>
        </w:tc>
        <w:tc>
          <w:tcPr>
            <w:tcW w:w="2052" w:type="dxa"/>
            <w:gridSpan w:val="2"/>
            <w:tcBorders>
              <w:top w:val="nil"/>
              <w:left w:val="single" w:sz="8" w:space="0" w:color="E0E0E0"/>
              <w:bottom w:val="nil"/>
              <w:right w:val="nil"/>
            </w:tcBorders>
            <w:shd w:val="clear" w:color="auto" w:fill="FFFFFF"/>
            <w:vAlign w:val="bottom"/>
          </w:tcPr>
          <w:p w14:paraId="18462B3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656CFBB3" w14:textId="77777777" w:rsidTr="00937F3B">
        <w:trPr>
          <w:cantSplit/>
        </w:trPr>
        <w:tc>
          <w:tcPr>
            <w:tcW w:w="2069" w:type="dxa"/>
            <w:vMerge/>
            <w:tcBorders>
              <w:top w:val="nil"/>
              <w:left w:val="nil"/>
              <w:bottom w:val="nil"/>
              <w:right w:val="nil"/>
            </w:tcBorders>
            <w:shd w:val="clear" w:color="auto" w:fill="FFFFFF"/>
            <w:vAlign w:val="bottom"/>
          </w:tcPr>
          <w:p w14:paraId="1D4051A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nil"/>
              <w:bottom w:val="nil"/>
              <w:right w:val="single" w:sz="8" w:space="0" w:color="E0E0E0"/>
            </w:tcBorders>
            <w:shd w:val="clear" w:color="auto" w:fill="FFFFFF"/>
            <w:vAlign w:val="bottom"/>
          </w:tcPr>
          <w:p w14:paraId="4789467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single" w:sz="8" w:space="0" w:color="E0E0E0"/>
              <w:bottom w:val="nil"/>
              <w:right w:val="single" w:sz="8" w:space="0" w:color="E0E0E0"/>
            </w:tcBorders>
            <w:shd w:val="clear" w:color="auto" w:fill="FFFFFF"/>
            <w:vAlign w:val="bottom"/>
          </w:tcPr>
          <w:p w14:paraId="7861120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72" w:type="dxa"/>
            <w:vMerge/>
            <w:tcBorders>
              <w:top w:val="nil"/>
              <w:left w:val="single" w:sz="8" w:space="0" w:color="E0E0E0"/>
              <w:bottom w:val="nil"/>
              <w:right w:val="single" w:sz="8" w:space="0" w:color="E0E0E0"/>
            </w:tcBorders>
            <w:shd w:val="clear" w:color="auto" w:fill="FFFFFF"/>
            <w:vAlign w:val="bottom"/>
          </w:tcPr>
          <w:p w14:paraId="3EFE8039"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03" w:type="dxa"/>
            <w:vMerge/>
            <w:tcBorders>
              <w:top w:val="nil"/>
              <w:left w:val="single" w:sz="8" w:space="0" w:color="E0E0E0"/>
              <w:bottom w:val="nil"/>
              <w:right w:val="single" w:sz="8" w:space="0" w:color="E0E0E0"/>
            </w:tcBorders>
            <w:shd w:val="clear" w:color="auto" w:fill="FFFFFF"/>
            <w:vAlign w:val="bottom"/>
          </w:tcPr>
          <w:p w14:paraId="4489DC2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77CFAF0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w:t>
            </w:r>
          </w:p>
        </w:tc>
        <w:tc>
          <w:tcPr>
            <w:tcW w:w="1026" w:type="dxa"/>
            <w:tcBorders>
              <w:top w:val="nil"/>
              <w:left w:val="single" w:sz="8" w:space="0" w:color="E0E0E0"/>
              <w:bottom w:val="single" w:sz="8" w:space="0" w:color="152935"/>
              <w:right w:val="nil"/>
            </w:tcBorders>
            <w:shd w:val="clear" w:color="auto" w:fill="FFFFFF"/>
            <w:vAlign w:val="bottom"/>
          </w:tcPr>
          <w:p w14:paraId="757A070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10</w:t>
            </w:r>
          </w:p>
        </w:tc>
      </w:tr>
      <w:tr w:rsidR="00520D2C" w:rsidRPr="00C279E0" w14:paraId="6734C89B" w14:textId="77777777" w:rsidTr="00937F3B">
        <w:trPr>
          <w:cantSplit/>
        </w:trPr>
        <w:tc>
          <w:tcPr>
            <w:tcW w:w="2069" w:type="dxa"/>
            <w:tcBorders>
              <w:top w:val="single" w:sz="8" w:space="0" w:color="152935"/>
              <w:left w:val="nil"/>
              <w:bottom w:val="single" w:sz="8" w:space="0" w:color="AEAEAE"/>
              <w:right w:val="nil"/>
            </w:tcBorders>
            <w:shd w:val="clear" w:color="auto" w:fill="E0E0E0"/>
          </w:tcPr>
          <w:p w14:paraId="2100DF9D"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26" w:type="dxa"/>
            <w:tcBorders>
              <w:top w:val="single" w:sz="8" w:space="0" w:color="152935"/>
              <w:left w:val="nil"/>
              <w:bottom w:val="single" w:sz="8" w:space="0" w:color="AEAEAE"/>
              <w:right w:val="single" w:sz="8" w:space="0" w:color="E0E0E0"/>
            </w:tcBorders>
            <w:shd w:val="clear" w:color="auto" w:fill="F9F9FB"/>
          </w:tcPr>
          <w:p w14:paraId="398F5ED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4C36C2B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152935"/>
              <w:left w:val="single" w:sz="8" w:space="0" w:color="E0E0E0"/>
              <w:bottom w:val="single" w:sz="8" w:space="0" w:color="AEAEAE"/>
              <w:right w:val="single" w:sz="8" w:space="0" w:color="E0E0E0"/>
            </w:tcBorders>
            <w:shd w:val="clear" w:color="auto" w:fill="F9F9FB"/>
          </w:tcPr>
          <w:p w14:paraId="6BD8A11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103" w:type="dxa"/>
            <w:tcBorders>
              <w:top w:val="single" w:sz="8" w:space="0" w:color="152935"/>
              <w:left w:val="single" w:sz="8" w:space="0" w:color="E0E0E0"/>
              <w:bottom w:val="single" w:sz="8" w:space="0" w:color="AEAEAE"/>
              <w:right w:val="single" w:sz="8" w:space="0" w:color="E0E0E0"/>
            </w:tcBorders>
            <w:shd w:val="clear" w:color="auto" w:fill="F9F9FB"/>
          </w:tcPr>
          <w:p w14:paraId="70A8316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7F7B9AE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026" w:type="dxa"/>
            <w:tcBorders>
              <w:top w:val="single" w:sz="8" w:space="0" w:color="152935"/>
              <w:left w:val="single" w:sz="8" w:space="0" w:color="E0E0E0"/>
              <w:bottom w:val="single" w:sz="8" w:space="0" w:color="AEAEAE"/>
              <w:right w:val="nil"/>
            </w:tcBorders>
            <w:shd w:val="clear" w:color="auto" w:fill="F9F9FB"/>
          </w:tcPr>
          <w:p w14:paraId="43F3489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r>
      <w:tr w:rsidR="00520D2C" w:rsidRPr="00C279E0" w14:paraId="53EA5F62"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6F00D6E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026" w:type="dxa"/>
            <w:tcBorders>
              <w:top w:val="single" w:sz="8" w:space="0" w:color="AEAEAE"/>
              <w:left w:val="nil"/>
              <w:bottom w:val="single" w:sz="8" w:space="0" w:color="AEAEAE"/>
              <w:right w:val="single" w:sz="8" w:space="0" w:color="E0E0E0"/>
            </w:tcBorders>
            <w:shd w:val="clear" w:color="auto" w:fill="F9F9FB"/>
          </w:tcPr>
          <w:p w14:paraId="0E41015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EDBFFC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08EF509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5FF3F47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CF769B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026" w:type="dxa"/>
            <w:tcBorders>
              <w:top w:val="single" w:sz="8" w:space="0" w:color="AEAEAE"/>
              <w:left w:val="single" w:sz="8" w:space="0" w:color="E0E0E0"/>
              <w:bottom w:val="single" w:sz="8" w:space="0" w:color="AEAEAE"/>
              <w:right w:val="nil"/>
            </w:tcBorders>
            <w:shd w:val="clear" w:color="auto" w:fill="F9F9FB"/>
          </w:tcPr>
          <w:p w14:paraId="2A9FEA4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r>
      <w:tr w:rsidR="00520D2C" w:rsidRPr="00C279E0" w14:paraId="4A27790F"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615A0D0A"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026" w:type="dxa"/>
            <w:tcBorders>
              <w:top w:val="single" w:sz="8" w:space="0" w:color="AEAEAE"/>
              <w:left w:val="nil"/>
              <w:bottom w:val="single" w:sz="8" w:space="0" w:color="AEAEAE"/>
              <w:right w:val="single" w:sz="8" w:space="0" w:color="E0E0E0"/>
            </w:tcBorders>
            <w:shd w:val="clear" w:color="auto" w:fill="F9F9FB"/>
          </w:tcPr>
          <w:p w14:paraId="56B31BB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303A0DB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3E2D436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6980A8E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7DC8CE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026" w:type="dxa"/>
            <w:tcBorders>
              <w:top w:val="single" w:sz="8" w:space="0" w:color="AEAEAE"/>
              <w:left w:val="single" w:sz="8" w:space="0" w:color="E0E0E0"/>
              <w:bottom w:val="single" w:sz="8" w:space="0" w:color="AEAEAE"/>
              <w:right w:val="nil"/>
            </w:tcBorders>
            <w:shd w:val="clear" w:color="auto" w:fill="F9F9FB"/>
          </w:tcPr>
          <w:p w14:paraId="3315108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r>
      <w:tr w:rsidR="00520D2C" w:rsidRPr="00C279E0" w14:paraId="38A2AF8F"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675C1DD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026" w:type="dxa"/>
            <w:tcBorders>
              <w:top w:val="single" w:sz="8" w:space="0" w:color="AEAEAE"/>
              <w:left w:val="nil"/>
              <w:bottom w:val="single" w:sz="8" w:space="0" w:color="AEAEAE"/>
              <w:right w:val="single" w:sz="8" w:space="0" w:color="E0E0E0"/>
            </w:tcBorders>
            <w:shd w:val="clear" w:color="auto" w:fill="F9F9FB"/>
          </w:tcPr>
          <w:p w14:paraId="53F2E3A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814703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33227D3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4D2ABBD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7B75E40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026" w:type="dxa"/>
            <w:tcBorders>
              <w:top w:val="single" w:sz="8" w:space="0" w:color="AEAEAE"/>
              <w:left w:val="single" w:sz="8" w:space="0" w:color="E0E0E0"/>
              <w:bottom w:val="single" w:sz="8" w:space="0" w:color="AEAEAE"/>
              <w:right w:val="nil"/>
            </w:tcBorders>
            <w:shd w:val="clear" w:color="auto" w:fill="F9F9FB"/>
          </w:tcPr>
          <w:p w14:paraId="74BAAD9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r>
      <w:tr w:rsidR="00520D2C" w:rsidRPr="00C279E0" w14:paraId="0FDC3253"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5435C6D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026" w:type="dxa"/>
            <w:tcBorders>
              <w:top w:val="single" w:sz="8" w:space="0" w:color="AEAEAE"/>
              <w:left w:val="nil"/>
              <w:bottom w:val="single" w:sz="8" w:space="0" w:color="AEAEAE"/>
              <w:right w:val="single" w:sz="8" w:space="0" w:color="E0E0E0"/>
            </w:tcBorders>
            <w:shd w:val="clear" w:color="auto" w:fill="F9F9FB"/>
          </w:tcPr>
          <w:p w14:paraId="2E1AAB7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030708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6D5AFB9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56736B7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4EE54F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026" w:type="dxa"/>
            <w:tcBorders>
              <w:top w:val="single" w:sz="8" w:space="0" w:color="AEAEAE"/>
              <w:left w:val="single" w:sz="8" w:space="0" w:color="E0E0E0"/>
              <w:bottom w:val="single" w:sz="8" w:space="0" w:color="AEAEAE"/>
              <w:right w:val="nil"/>
            </w:tcBorders>
            <w:shd w:val="clear" w:color="auto" w:fill="F9F9FB"/>
          </w:tcPr>
          <w:p w14:paraId="663EBCC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r>
      <w:tr w:rsidR="00520D2C" w:rsidRPr="00C279E0" w14:paraId="71B3E5CA"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0D83577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026" w:type="dxa"/>
            <w:tcBorders>
              <w:top w:val="single" w:sz="8" w:space="0" w:color="AEAEAE"/>
              <w:left w:val="nil"/>
              <w:bottom w:val="single" w:sz="8" w:space="0" w:color="AEAEAE"/>
              <w:right w:val="single" w:sz="8" w:space="0" w:color="E0E0E0"/>
            </w:tcBorders>
            <w:shd w:val="clear" w:color="auto" w:fill="F9F9FB"/>
          </w:tcPr>
          <w:p w14:paraId="02BE7A3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0638CF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6623924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7DB0C27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121C41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026" w:type="dxa"/>
            <w:tcBorders>
              <w:top w:val="single" w:sz="8" w:space="0" w:color="AEAEAE"/>
              <w:left w:val="single" w:sz="8" w:space="0" w:color="E0E0E0"/>
              <w:bottom w:val="single" w:sz="8" w:space="0" w:color="AEAEAE"/>
              <w:right w:val="nil"/>
            </w:tcBorders>
            <w:shd w:val="clear" w:color="auto" w:fill="F9F9FB"/>
          </w:tcPr>
          <w:p w14:paraId="076CBDA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r>
      <w:tr w:rsidR="00520D2C" w:rsidRPr="00C279E0" w14:paraId="72C4C05B"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1D8357F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026" w:type="dxa"/>
            <w:tcBorders>
              <w:top w:val="single" w:sz="8" w:space="0" w:color="AEAEAE"/>
              <w:left w:val="nil"/>
              <w:bottom w:val="single" w:sz="8" w:space="0" w:color="AEAEAE"/>
              <w:right w:val="single" w:sz="8" w:space="0" w:color="E0E0E0"/>
            </w:tcBorders>
            <w:shd w:val="clear" w:color="auto" w:fill="F9F9FB"/>
          </w:tcPr>
          <w:p w14:paraId="52D2EF1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12BBE1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0629608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7C69473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DDE712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026" w:type="dxa"/>
            <w:tcBorders>
              <w:top w:val="single" w:sz="8" w:space="0" w:color="AEAEAE"/>
              <w:left w:val="single" w:sz="8" w:space="0" w:color="E0E0E0"/>
              <w:bottom w:val="single" w:sz="8" w:space="0" w:color="AEAEAE"/>
              <w:right w:val="nil"/>
            </w:tcBorders>
            <w:shd w:val="clear" w:color="auto" w:fill="F9F9FB"/>
          </w:tcPr>
          <w:p w14:paraId="09A7506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r>
      <w:tr w:rsidR="00520D2C" w:rsidRPr="00C279E0" w14:paraId="08542FCD" w14:textId="77777777" w:rsidTr="00937F3B">
        <w:trPr>
          <w:cantSplit/>
        </w:trPr>
        <w:tc>
          <w:tcPr>
            <w:tcW w:w="2069" w:type="dxa"/>
            <w:tcBorders>
              <w:top w:val="single" w:sz="8" w:space="0" w:color="AEAEAE"/>
              <w:left w:val="nil"/>
              <w:bottom w:val="single" w:sz="8" w:space="0" w:color="152935"/>
              <w:right w:val="nil"/>
            </w:tcBorders>
            <w:shd w:val="clear" w:color="auto" w:fill="E0E0E0"/>
          </w:tcPr>
          <w:p w14:paraId="011458B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026" w:type="dxa"/>
            <w:tcBorders>
              <w:top w:val="single" w:sz="8" w:space="0" w:color="AEAEAE"/>
              <w:left w:val="nil"/>
              <w:bottom w:val="single" w:sz="8" w:space="0" w:color="152935"/>
              <w:right w:val="single" w:sz="8" w:space="0" w:color="E0E0E0"/>
            </w:tcBorders>
            <w:shd w:val="clear" w:color="auto" w:fill="F9F9FB"/>
          </w:tcPr>
          <w:p w14:paraId="049B856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5D5960A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152935"/>
              <w:right w:val="single" w:sz="8" w:space="0" w:color="E0E0E0"/>
            </w:tcBorders>
            <w:shd w:val="clear" w:color="auto" w:fill="F9F9FB"/>
          </w:tcPr>
          <w:p w14:paraId="48DD369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103" w:type="dxa"/>
            <w:tcBorders>
              <w:top w:val="single" w:sz="8" w:space="0" w:color="AEAEAE"/>
              <w:left w:val="single" w:sz="8" w:space="0" w:color="E0E0E0"/>
              <w:bottom w:val="single" w:sz="8" w:space="0" w:color="152935"/>
              <w:right w:val="single" w:sz="8" w:space="0" w:color="E0E0E0"/>
            </w:tcBorders>
            <w:shd w:val="clear" w:color="auto" w:fill="F9F9FB"/>
          </w:tcPr>
          <w:p w14:paraId="69845CF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15EEE08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026" w:type="dxa"/>
            <w:tcBorders>
              <w:top w:val="single" w:sz="8" w:space="0" w:color="AEAEAE"/>
              <w:left w:val="single" w:sz="8" w:space="0" w:color="E0E0E0"/>
              <w:bottom w:val="single" w:sz="8" w:space="0" w:color="152935"/>
              <w:right w:val="nil"/>
            </w:tcBorders>
            <w:shd w:val="clear" w:color="auto" w:fill="F9F9FB"/>
          </w:tcPr>
          <w:p w14:paraId="08282D0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r>
    </w:tbl>
    <w:p w14:paraId="20BA7F2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94"/>
        <w:gridCol w:w="1287"/>
        <w:gridCol w:w="1286"/>
        <w:gridCol w:w="1286"/>
        <w:gridCol w:w="1286"/>
        <w:gridCol w:w="1286"/>
      </w:tblGrid>
      <w:tr w:rsidR="00520D2C" w:rsidRPr="00C279E0" w14:paraId="791BDE56" w14:textId="77777777" w:rsidTr="00937F3B">
        <w:trPr>
          <w:cantSplit/>
        </w:trPr>
        <w:tc>
          <w:tcPr>
            <w:tcW w:w="9022" w:type="dxa"/>
            <w:gridSpan w:val="6"/>
            <w:tcBorders>
              <w:top w:val="nil"/>
              <w:left w:val="nil"/>
              <w:bottom w:val="nil"/>
              <w:right w:val="nil"/>
            </w:tcBorders>
            <w:shd w:val="clear" w:color="auto" w:fill="FFFFFF"/>
            <w:vAlign w:val="center"/>
          </w:tcPr>
          <w:p w14:paraId="2DADA19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749D988E" w14:textId="77777777" w:rsidTr="00937F3B">
        <w:trPr>
          <w:cantSplit/>
        </w:trPr>
        <w:tc>
          <w:tcPr>
            <w:tcW w:w="2592" w:type="dxa"/>
            <w:vMerge w:val="restart"/>
            <w:tcBorders>
              <w:top w:val="nil"/>
              <w:left w:val="nil"/>
              <w:bottom w:val="nil"/>
              <w:right w:val="nil"/>
            </w:tcBorders>
            <w:shd w:val="clear" w:color="auto" w:fill="FFFFFF"/>
            <w:vAlign w:val="bottom"/>
          </w:tcPr>
          <w:p w14:paraId="3D2D7EF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6430" w:type="dxa"/>
            <w:gridSpan w:val="5"/>
            <w:tcBorders>
              <w:top w:val="nil"/>
              <w:left w:val="nil"/>
              <w:bottom w:val="nil"/>
              <w:right w:val="nil"/>
            </w:tcBorders>
            <w:shd w:val="clear" w:color="auto" w:fill="FFFFFF"/>
            <w:vAlign w:val="bottom"/>
          </w:tcPr>
          <w:p w14:paraId="156C3E4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3AEB777D" w14:textId="77777777" w:rsidTr="00937F3B">
        <w:trPr>
          <w:cantSplit/>
        </w:trPr>
        <w:tc>
          <w:tcPr>
            <w:tcW w:w="2592" w:type="dxa"/>
            <w:vMerge/>
            <w:tcBorders>
              <w:top w:val="nil"/>
              <w:left w:val="nil"/>
              <w:bottom w:val="nil"/>
              <w:right w:val="nil"/>
            </w:tcBorders>
            <w:shd w:val="clear" w:color="auto" w:fill="FFFFFF"/>
            <w:vAlign w:val="bottom"/>
          </w:tcPr>
          <w:p w14:paraId="5CF28854"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286" w:type="dxa"/>
            <w:tcBorders>
              <w:top w:val="nil"/>
              <w:left w:val="nil"/>
              <w:bottom w:val="single" w:sz="8" w:space="0" w:color="152935"/>
              <w:right w:val="single" w:sz="8" w:space="0" w:color="E0E0E0"/>
            </w:tcBorders>
            <w:shd w:val="clear" w:color="auto" w:fill="FFFFFF"/>
            <w:vAlign w:val="bottom"/>
          </w:tcPr>
          <w:p w14:paraId="5F64EB6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25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3DA70BE2"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50</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4C7FAB8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75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58E520E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90</w:t>
            </w:r>
          </w:p>
        </w:tc>
        <w:tc>
          <w:tcPr>
            <w:tcW w:w="1286" w:type="dxa"/>
            <w:tcBorders>
              <w:top w:val="nil"/>
              <w:left w:val="single" w:sz="8" w:space="0" w:color="E0E0E0"/>
              <w:bottom w:val="single" w:sz="8" w:space="0" w:color="152935"/>
              <w:right w:val="nil"/>
            </w:tcBorders>
            <w:shd w:val="clear" w:color="auto" w:fill="FFFFFF"/>
            <w:vAlign w:val="bottom"/>
          </w:tcPr>
          <w:p w14:paraId="692B3DB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95</w:t>
            </w:r>
          </w:p>
        </w:tc>
      </w:tr>
      <w:tr w:rsidR="00520D2C" w:rsidRPr="00C279E0" w14:paraId="0115C06D" w14:textId="77777777" w:rsidTr="00937F3B">
        <w:trPr>
          <w:cantSplit/>
        </w:trPr>
        <w:tc>
          <w:tcPr>
            <w:tcW w:w="2592" w:type="dxa"/>
            <w:tcBorders>
              <w:top w:val="single" w:sz="8" w:space="0" w:color="152935"/>
              <w:left w:val="nil"/>
              <w:bottom w:val="single" w:sz="8" w:space="0" w:color="AEAEAE"/>
              <w:right w:val="nil"/>
            </w:tcBorders>
            <w:shd w:val="clear" w:color="auto" w:fill="E0E0E0"/>
          </w:tcPr>
          <w:p w14:paraId="7653C05D"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286" w:type="dxa"/>
            <w:tcBorders>
              <w:top w:val="single" w:sz="8" w:space="0" w:color="152935"/>
              <w:left w:val="nil"/>
              <w:bottom w:val="single" w:sz="8" w:space="0" w:color="AEAEAE"/>
              <w:right w:val="single" w:sz="8" w:space="0" w:color="E0E0E0"/>
            </w:tcBorders>
            <w:shd w:val="clear" w:color="auto" w:fill="F9F9FB"/>
          </w:tcPr>
          <w:p w14:paraId="0607945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6BD29E7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0A15A19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7AE58CA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286" w:type="dxa"/>
            <w:tcBorders>
              <w:top w:val="single" w:sz="8" w:space="0" w:color="152935"/>
              <w:left w:val="single" w:sz="8" w:space="0" w:color="E0E0E0"/>
              <w:bottom w:val="single" w:sz="8" w:space="0" w:color="AEAEAE"/>
              <w:right w:val="nil"/>
            </w:tcBorders>
            <w:shd w:val="clear" w:color="auto" w:fill="F9F9FB"/>
          </w:tcPr>
          <w:p w14:paraId="5351B83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r>
      <w:tr w:rsidR="00520D2C" w:rsidRPr="00C279E0" w14:paraId="3242E902"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3A83B4E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286" w:type="dxa"/>
            <w:tcBorders>
              <w:top w:val="single" w:sz="8" w:space="0" w:color="AEAEAE"/>
              <w:left w:val="nil"/>
              <w:bottom w:val="single" w:sz="8" w:space="0" w:color="AEAEAE"/>
              <w:right w:val="single" w:sz="8" w:space="0" w:color="E0E0E0"/>
            </w:tcBorders>
            <w:shd w:val="clear" w:color="auto" w:fill="F9F9FB"/>
          </w:tcPr>
          <w:p w14:paraId="69C0725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16F03AA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190786A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0C5173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c>
          <w:tcPr>
            <w:tcW w:w="1286" w:type="dxa"/>
            <w:tcBorders>
              <w:top w:val="single" w:sz="8" w:space="0" w:color="AEAEAE"/>
              <w:left w:val="single" w:sz="8" w:space="0" w:color="E0E0E0"/>
              <w:bottom w:val="single" w:sz="8" w:space="0" w:color="AEAEAE"/>
              <w:right w:val="nil"/>
            </w:tcBorders>
            <w:shd w:val="clear" w:color="auto" w:fill="F9F9FB"/>
          </w:tcPr>
          <w:p w14:paraId="3418B0C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.383</w:t>
            </w:r>
          </w:p>
        </w:tc>
      </w:tr>
      <w:tr w:rsidR="00520D2C" w:rsidRPr="00C279E0" w14:paraId="5F68854C"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4BF1D15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286" w:type="dxa"/>
            <w:tcBorders>
              <w:top w:val="single" w:sz="8" w:space="0" w:color="AEAEAE"/>
              <w:left w:val="nil"/>
              <w:bottom w:val="single" w:sz="8" w:space="0" w:color="AEAEAE"/>
              <w:right w:val="single" w:sz="8" w:space="0" w:color="E0E0E0"/>
            </w:tcBorders>
            <w:shd w:val="clear" w:color="auto" w:fill="F9F9FB"/>
          </w:tcPr>
          <w:p w14:paraId="16F8A16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B54484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4B669D0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AA39E7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c>
          <w:tcPr>
            <w:tcW w:w="1286" w:type="dxa"/>
            <w:tcBorders>
              <w:top w:val="single" w:sz="8" w:space="0" w:color="AEAEAE"/>
              <w:left w:val="single" w:sz="8" w:space="0" w:color="E0E0E0"/>
              <w:bottom w:val="single" w:sz="8" w:space="0" w:color="AEAEAE"/>
              <w:right w:val="nil"/>
            </w:tcBorders>
            <w:shd w:val="clear" w:color="auto" w:fill="F9F9FB"/>
          </w:tcPr>
          <w:p w14:paraId="3204060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1.178</w:t>
            </w:r>
          </w:p>
        </w:tc>
      </w:tr>
      <w:tr w:rsidR="00520D2C" w:rsidRPr="00C279E0" w14:paraId="0C0B0A91"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47CEA26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286" w:type="dxa"/>
            <w:tcBorders>
              <w:top w:val="single" w:sz="8" w:space="0" w:color="AEAEAE"/>
              <w:left w:val="nil"/>
              <w:bottom w:val="single" w:sz="8" w:space="0" w:color="AEAEAE"/>
              <w:right w:val="single" w:sz="8" w:space="0" w:color="E0E0E0"/>
            </w:tcBorders>
            <w:shd w:val="clear" w:color="auto" w:fill="F9F9FB"/>
          </w:tcPr>
          <w:p w14:paraId="5D38410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224531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69431C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E46A7B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c>
          <w:tcPr>
            <w:tcW w:w="1286" w:type="dxa"/>
            <w:tcBorders>
              <w:top w:val="single" w:sz="8" w:space="0" w:color="AEAEAE"/>
              <w:left w:val="single" w:sz="8" w:space="0" w:color="E0E0E0"/>
              <w:bottom w:val="single" w:sz="8" w:space="0" w:color="AEAEAE"/>
              <w:right w:val="nil"/>
            </w:tcBorders>
            <w:shd w:val="clear" w:color="auto" w:fill="F9F9FB"/>
          </w:tcPr>
          <w:p w14:paraId="479DCE9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7.055</w:t>
            </w:r>
          </w:p>
        </w:tc>
      </w:tr>
      <w:tr w:rsidR="00520D2C" w:rsidRPr="00C279E0" w14:paraId="3E7479FC"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1EA1076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286" w:type="dxa"/>
            <w:tcBorders>
              <w:top w:val="single" w:sz="8" w:space="0" w:color="AEAEAE"/>
              <w:left w:val="nil"/>
              <w:bottom w:val="single" w:sz="8" w:space="0" w:color="AEAEAE"/>
              <w:right w:val="single" w:sz="8" w:space="0" w:color="E0E0E0"/>
            </w:tcBorders>
            <w:shd w:val="clear" w:color="auto" w:fill="F9F9FB"/>
          </w:tcPr>
          <w:p w14:paraId="22A528F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521A14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6355CA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82FC15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c>
          <w:tcPr>
            <w:tcW w:w="1286" w:type="dxa"/>
            <w:tcBorders>
              <w:top w:val="single" w:sz="8" w:space="0" w:color="AEAEAE"/>
              <w:left w:val="single" w:sz="8" w:space="0" w:color="E0E0E0"/>
              <w:bottom w:val="single" w:sz="8" w:space="0" w:color="AEAEAE"/>
              <w:right w:val="nil"/>
            </w:tcBorders>
            <w:shd w:val="clear" w:color="auto" w:fill="F9F9FB"/>
          </w:tcPr>
          <w:p w14:paraId="4B19F90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20.438</w:t>
            </w:r>
          </w:p>
        </w:tc>
      </w:tr>
      <w:tr w:rsidR="00520D2C" w:rsidRPr="00C279E0" w14:paraId="7AD0A150"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1578819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286" w:type="dxa"/>
            <w:tcBorders>
              <w:top w:val="single" w:sz="8" w:space="0" w:color="AEAEAE"/>
              <w:left w:val="nil"/>
              <w:bottom w:val="single" w:sz="8" w:space="0" w:color="AEAEAE"/>
              <w:right w:val="single" w:sz="8" w:space="0" w:color="E0E0E0"/>
            </w:tcBorders>
            <w:shd w:val="clear" w:color="auto" w:fill="F9F9FB"/>
          </w:tcPr>
          <w:p w14:paraId="4B10CE9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ED2EC1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CB8421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23CD33D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c>
          <w:tcPr>
            <w:tcW w:w="1286" w:type="dxa"/>
            <w:tcBorders>
              <w:top w:val="single" w:sz="8" w:space="0" w:color="AEAEAE"/>
              <w:left w:val="single" w:sz="8" w:space="0" w:color="E0E0E0"/>
              <w:bottom w:val="single" w:sz="8" w:space="0" w:color="AEAEAE"/>
              <w:right w:val="nil"/>
            </w:tcBorders>
            <w:shd w:val="clear" w:color="auto" w:fill="F9F9FB"/>
          </w:tcPr>
          <w:p w14:paraId="124BA39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.800</w:t>
            </w:r>
          </w:p>
        </w:tc>
      </w:tr>
      <w:tr w:rsidR="00520D2C" w:rsidRPr="00C279E0" w14:paraId="0FADB41E"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30C96DC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286" w:type="dxa"/>
            <w:tcBorders>
              <w:top w:val="single" w:sz="8" w:space="0" w:color="AEAEAE"/>
              <w:left w:val="nil"/>
              <w:bottom w:val="single" w:sz="8" w:space="0" w:color="AEAEAE"/>
              <w:right w:val="single" w:sz="8" w:space="0" w:color="E0E0E0"/>
            </w:tcBorders>
            <w:shd w:val="clear" w:color="auto" w:fill="F9F9FB"/>
          </w:tcPr>
          <w:p w14:paraId="3A8449F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016AC8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0E56D1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C95FD9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c>
          <w:tcPr>
            <w:tcW w:w="1286" w:type="dxa"/>
            <w:tcBorders>
              <w:top w:val="single" w:sz="8" w:space="0" w:color="AEAEAE"/>
              <w:left w:val="single" w:sz="8" w:space="0" w:color="E0E0E0"/>
              <w:bottom w:val="single" w:sz="8" w:space="0" w:color="AEAEAE"/>
              <w:right w:val="nil"/>
            </w:tcBorders>
            <w:shd w:val="clear" w:color="auto" w:fill="F9F9FB"/>
          </w:tcPr>
          <w:p w14:paraId="212E7E3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2.800</w:t>
            </w:r>
          </w:p>
        </w:tc>
      </w:tr>
      <w:tr w:rsidR="00520D2C" w:rsidRPr="00C279E0" w14:paraId="19B20DB6" w14:textId="77777777" w:rsidTr="00937F3B">
        <w:trPr>
          <w:cantSplit/>
        </w:trPr>
        <w:tc>
          <w:tcPr>
            <w:tcW w:w="2592" w:type="dxa"/>
            <w:tcBorders>
              <w:top w:val="single" w:sz="8" w:space="0" w:color="AEAEAE"/>
              <w:left w:val="nil"/>
              <w:bottom w:val="single" w:sz="8" w:space="0" w:color="152935"/>
              <w:right w:val="nil"/>
            </w:tcBorders>
            <w:shd w:val="clear" w:color="auto" w:fill="E0E0E0"/>
          </w:tcPr>
          <w:p w14:paraId="15E3A11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286" w:type="dxa"/>
            <w:tcBorders>
              <w:top w:val="single" w:sz="8" w:space="0" w:color="AEAEAE"/>
              <w:left w:val="nil"/>
              <w:bottom w:val="single" w:sz="8" w:space="0" w:color="152935"/>
              <w:right w:val="single" w:sz="8" w:space="0" w:color="E0E0E0"/>
            </w:tcBorders>
            <w:shd w:val="clear" w:color="auto" w:fill="F9F9FB"/>
          </w:tcPr>
          <w:p w14:paraId="58A7C00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367FA49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59DAF87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407B00D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c>
          <w:tcPr>
            <w:tcW w:w="1286" w:type="dxa"/>
            <w:tcBorders>
              <w:top w:val="single" w:sz="8" w:space="0" w:color="AEAEAE"/>
              <w:left w:val="single" w:sz="8" w:space="0" w:color="E0E0E0"/>
              <w:bottom w:val="single" w:sz="8" w:space="0" w:color="152935"/>
              <w:right w:val="nil"/>
            </w:tcBorders>
            <w:shd w:val="clear" w:color="auto" w:fill="F9F9FB"/>
          </w:tcPr>
          <w:p w14:paraId="49DC0B8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.546</w:t>
            </w:r>
          </w:p>
        </w:tc>
      </w:tr>
    </w:tbl>
    <w:p w14:paraId="5EC4BB48"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3C51B3E4"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4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61"/>
        <w:gridCol w:w="1472"/>
        <w:gridCol w:w="1472"/>
        <w:gridCol w:w="1057"/>
        <w:gridCol w:w="1026"/>
        <w:gridCol w:w="1026"/>
      </w:tblGrid>
      <w:tr w:rsidR="00520D2C" w:rsidRPr="00C279E0" w14:paraId="2D67D017" w14:textId="77777777" w:rsidTr="00937F3B">
        <w:trPr>
          <w:cantSplit/>
        </w:trPr>
        <w:tc>
          <w:tcPr>
            <w:tcW w:w="8411" w:type="dxa"/>
            <w:gridSpan w:val="6"/>
            <w:tcBorders>
              <w:top w:val="nil"/>
              <w:left w:val="nil"/>
              <w:bottom w:val="nil"/>
              <w:right w:val="nil"/>
            </w:tcBorders>
            <w:shd w:val="clear" w:color="auto" w:fill="FFFFFF"/>
            <w:vAlign w:val="center"/>
          </w:tcPr>
          <w:p w14:paraId="256EF98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0AD1EEF1" w14:textId="77777777" w:rsidTr="00937F3B">
        <w:trPr>
          <w:cantSplit/>
        </w:trPr>
        <w:tc>
          <w:tcPr>
            <w:tcW w:w="2360" w:type="dxa"/>
            <w:vMerge w:val="restart"/>
            <w:tcBorders>
              <w:top w:val="nil"/>
              <w:left w:val="nil"/>
              <w:bottom w:val="nil"/>
              <w:right w:val="nil"/>
            </w:tcBorders>
            <w:shd w:val="clear" w:color="auto" w:fill="FFFFFF"/>
            <w:vAlign w:val="bottom"/>
          </w:tcPr>
          <w:p w14:paraId="02A6DB99"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471" w:type="dxa"/>
            <w:vMerge w:val="restart"/>
            <w:tcBorders>
              <w:top w:val="nil"/>
              <w:left w:val="nil"/>
              <w:bottom w:val="nil"/>
              <w:right w:val="single" w:sz="8" w:space="0" w:color="E0E0E0"/>
            </w:tcBorders>
            <w:shd w:val="clear" w:color="auto" w:fill="FFFFFF"/>
            <w:vAlign w:val="bottom"/>
          </w:tcPr>
          <w:p w14:paraId="56433CD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Predictors</w:t>
            </w:r>
          </w:p>
        </w:tc>
        <w:tc>
          <w:tcPr>
            <w:tcW w:w="1471" w:type="dxa"/>
            <w:tcBorders>
              <w:top w:val="nil"/>
              <w:left w:val="single" w:sz="8" w:space="0" w:color="E0E0E0"/>
              <w:bottom w:val="nil"/>
              <w:right w:val="single" w:sz="8" w:space="0" w:color="E0E0E0"/>
            </w:tcBorders>
            <w:shd w:val="clear" w:color="auto" w:fill="FFFFFF"/>
            <w:vAlign w:val="bottom"/>
          </w:tcPr>
          <w:p w14:paraId="6C830B02"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Fit statistics</w:t>
            </w:r>
          </w:p>
        </w:tc>
        <w:tc>
          <w:tcPr>
            <w:tcW w:w="3109" w:type="dxa"/>
            <w:gridSpan w:val="3"/>
            <w:tcBorders>
              <w:top w:val="nil"/>
              <w:left w:val="single" w:sz="8" w:space="0" w:color="E0E0E0"/>
              <w:bottom w:val="nil"/>
              <w:right w:val="nil"/>
            </w:tcBorders>
            <w:shd w:val="clear" w:color="auto" w:fill="FFFFFF"/>
            <w:vAlign w:val="bottom"/>
          </w:tcPr>
          <w:p w14:paraId="7A4A2DF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Ljung-Box Q(18)</w:t>
            </w:r>
          </w:p>
        </w:tc>
      </w:tr>
      <w:tr w:rsidR="00520D2C" w:rsidRPr="00C279E0" w14:paraId="7390B30C" w14:textId="77777777" w:rsidTr="00937F3B">
        <w:trPr>
          <w:cantSplit/>
        </w:trPr>
        <w:tc>
          <w:tcPr>
            <w:tcW w:w="2360" w:type="dxa"/>
            <w:vMerge/>
            <w:tcBorders>
              <w:top w:val="nil"/>
              <w:left w:val="nil"/>
              <w:bottom w:val="nil"/>
              <w:right w:val="nil"/>
            </w:tcBorders>
            <w:shd w:val="clear" w:color="auto" w:fill="FFFFFF"/>
            <w:vAlign w:val="bottom"/>
          </w:tcPr>
          <w:p w14:paraId="32C84C6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vMerge/>
            <w:tcBorders>
              <w:top w:val="nil"/>
              <w:left w:val="nil"/>
              <w:bottom w:val="nil"/>
              <w:right w:val="single" w:sz="8" w:space="0" w:color="E0E0E0"/>
            </w:tcBorders>
            <w:shd w:val="clear" w:color="auto" w:fill="FFFFFF"/>
            <w:vAlign w:val="bottom"/>
          </w:tcPr>
          <w:p w14:paraId="49289FE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368B448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57" w:type="dxa"/>
            <w:tcBorders>
              <w:top w:val="nil"/>
              <w:left w:val="single" w:sz="8" w:space="0" w:color="E0E0E0"/>
              <w:bottom w:val="single" w:sz="8" w:space="0" w:color="152935"/>
              <w:right w:val="single" w:sz="8" w:space="0" w:color="E0E0E0"/>
            </w:tcBorders>
            <w:shd w:val="clear" w:color="auto" w:fill="FFFFFF"/>
            <w:vAlign w:val="bottom"/>
          </w:tcPr>
          <w:p w14:paraId="17CFA55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Statistics</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1406AEF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DF</w:t>
            </w:r>
          </w:p>
        </w:tc>
        <w:tc>
          <w:tcPr>
            <w:tcW w:w="1026" w:type="dxa"/>
            <w:tcBorders>
              <w:top w:val="nil"/>
              <w:left w:val="single" w:sz="8" w:space="0" w:color="E0E0E0"/>
              <w:bottom w:val="single" w:sz="8" w:space="0" w:color="152935"/>
              <w:right w:val="nil"/>
            </w:tcBorders>
            <w:shd w:val="clear" w:color="auto" w:fill="FFFFFF"/>
            <w:vAlign w:val="bottom"/>
          </w:tcPr>
          <w:p w14:paraId="5F73ABB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52B262B5" w14:textId="77777777" w:rsidTr="00937F3B">
        <w:trPr>
          <w:cantSplit/>
        </w:trPr>
        <w:tc>
          <w:tcPr>
            <w:tcW w:w="2360" w:type="dxa"/>
            <w:tcBorders>
              <w:top w:val="single" w:sz="8" w:space="0" w:color="152935"/>
              <w:left w:val="nil"/>
              <w:bottom w:val="single" w:sz="8" w:space="0" w:color="152935"/>
              <w:right w:val="nil"/>
            </w:tcBorders>
            <w:shd w:val="clear" w:color="auto" w:fill="E0E0E0"/>
          </w:tcPr>
          <w:p w14:paraId="1131CC7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Unemployment-Model_1</w:t>
            </w:r>
          </w:p>
        </w:tc>
        <w:tc>
          <w:tcPr>
            <w:tcW w:w="1471" w:type="dxa"/>
            <w:tcBorders>
              <w:top w:val="single" w:sz="8" w:space="0" w:color="152935"/>
              <w:left w:val="nil"/>
              <w:bottom w:val="single" w:sz="8" w:space="0" w:color="152935"/>
              <w:right w:val="single" w:sz="8" w:space="0" w:color="E0E0E0"/>
            </w:tcBorders>
            <w:shd w:val="clear" w:color="auto" w:fill="F9F9FB"/>
          </w:tcPr>
          <w:p w14:paraId="3E7CF94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471" w:type="dxa"/>
            <w:tcBorders>
              <w:top w:val="single" w:sz="8" w:space="0" w:color="152935"/>
              <w:left w:val="single" w:sz="8" w:space="0" w:color="E0E0E0"/>
              <w:bottom w:val="single" w:sz="8" w:space="0" w:color="152935"/>
              <w:right w:val="single" w:sz="8" w:space="0" w:color="E0E0E0"/>
            </w:tcBorders>
            <w:shd w:val="clear" w:color="auto" w:fill="F9F9FB"/>
          </w:tcPr>
          <w:p w14:paraId="5B73AD5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-.010</w:t>
            </w:r>
          </w:p>
        </w:tc>
        <w:tc>
          <w:tcPr>
            <w:tcW w:w="1057" w:type="dxa"/>
            <w:tcBorders>
              <w:top w:val="single" w:sz="8" w:space="0" w:color="152935"/>
              <w:left w:val="single" w:sz="8" w:space="0" w:color="E0E0E0"/>
              <w:bottom w:val="single" w:sz="8" w:space="0" w:color="152935"/>
              <w:right w:val="single" w:sz="8" w:space="0" w:color="E0E0E0"/>
            </w:tcBorders>
            <w:shd w:val="clear" w:color="auto" w:fill="F9F9FB"/>
          </w:tcPr>
          <w:p w14:paraId="7FCD1A2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7A710B3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026" w:type="dxa"/>
            <w:tcBorders>
              <w:top w:val="single" w:sz="8" w:space="0" w:color="152935"/>
              <w:left w:val="single" w:sz="8" w:space="0" w:color="E0E0E0"/>
              <w:bottom w:val="single" w:sz="8" w:space="0" w:color="152935"/>
              <w:right w:val="nil"/>
            </w:tcBorders>
            <w:shd w:val="clear" w:color="auto" w:fill="F9F9FB"/>
          </w:tcPr>
          <w:p w14:paraId="5DC7BD3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r>
    </w:tbl>
    <w:p w14:paraId="2081AC65"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60"/>
        <w:gridCol w:w="3465"/>
      </w:tblGrid>
      <w:tr w:rsidR="00520D2C" w:rsidRPr="00C279E0" w14:paraId="30FB9107" w14:textId="77777777" w:rsidTr="00937F3B">
        <w:trPr>
          <w:cantSplit/>
        </w:trPr>
        <w:tc>
          <w:tcPr>
            <w:tcW w:w="9024" w:type="dxa"/>
            <w:gridSpan w:val="2"/>
            <w:tcBorders>
              <w:top w:val="nil"/>
              <w:left w:val="nil"/>
              <w:bottom w:val="nil"/>
              <w:right w:val="nil"/>
            </w:tcBorders>
            <w:shd w:val="clear" w:color="auto" w:fill="FFFFFF"/>
            <w:vAlign w:val="center"/>
          </w:tcPr>
          <w:p w14:paraId="29BF751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233DBAC2" w14:textId="77777777" w:rsidTr="00937F3B">
        <w:trPr>
          <w:cantSplit/>
          <w:trHeight w:val="320"/>
        </w:trPr>
        <w:tc>
          <w:tcPr>
            <w:tcW w:w="5559" w:type="dxa"/>
            <w:vMerge w:val="restart"/>
            <w:tcBorders>
              <w:top w:val="nil"/>
              <w:left w:val="nil"/>
              <w:bottom w:val="nil"/>
              <w:right w:val="nil"/>
            </w:tcBorders>
            <w:shd w:val="clear" w:color="auto" w:fill="FFFFFF"/>
            <w:vAlign w:val="bottom"/>
          </w:tcPr>
          <w:p w14:paraId="3DF790A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3465" w:type="dxa"/>
            <w:vMerge w:val="restart"/>
            <w:tcBorders>
              <w:top w:val="nil"/>
              <w:left w:val="nil"/>
              <w:bottom w:val="nil"/>
              <w:right w:val="nil"/>
            </w:tcBorders>
            <w:shd w:val="clear" w:color="auto" w:fill="FFFFFF"/>
            <w:vAlign w:val="bottom"/>
          </w:tcPr>
          <w:p w14:paraId="5D766CE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Outliers</w:t>
            </w:r>
          </w:p>
        </w:tc>
      </w:tr>
      <w:tr w:rsidR="00520D2C" w:rsidRPr="00C279E0" w14:paraId="6C05F619" w14:textId="77777777" w:rsidTr="00937F3B">
        <w:trPr>
          <w:cantSplit/>
          <w:trHeight w:val="207"/>
        </w:trPr>
        <w:tc>
          <w:tcPr>
            <w:tcW w:w="5559" w:type="dxa"/>
            <w:vMerge/>
            <w:tcBorders>
              <w:top w:val="nil"/>
              <w:left w:val="nil"/>
              <w:bottom w:val="nil"/>
              <w:right w:val="nil"/>
            </w:tcBorders>
            <w:shd w:val="clear" w:color="auto" w:fill="FFFFFF"/>
            <w:vAlign w:val="bottom"/>
          </w:tcPr>
          <w:p w14:paraId="12326538"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3465" w:type="dxa"/>
            <w:vMerge/>
            <w:tcBorders>
              <w:top w:val="nil"/>
              <w:left w:val="nil"/>
              <w:bottom w:val="nil"/>
              <w:right w:val="nil"/>
            </w:tcBorders>
            <w:shd w:val="clear" w:color="auto" w:fill="FFFFFF"/>
            <w:vAlign w:val="bottom"/>
          </w:tcPr>
          <w:p w14:paraId="3261C66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r>
      <w:tr w:rsidR="00520D2C" w:rsidRPr="00C279E0" w14:paraId="791DB434" w14:textId="77777777" w:rsidTr="00937F3B">
        <w:trPr>
          <w:cantSplit/>
        </w:trPr>
        <w:tc>
          <w:tcPr>
            <w:tcW w:w="5559" w:type="dxa"/>
            <w:tcBorders>
              <w:top w:val="single" w:sz="8" w:space="0" w:color="152935"/>
              <w:left w:val="nil"/>
              <w:bottom w:val="single" w:sz="8" w:space="0" w:color="152935"/>
              <w:right w:val="nil"/>
            </w:tcBorders>
            <w:shd w:val="clear" w:color="auto" w:fill="E0E0E0"/>
          </w:tcPr>
          <w:p w14:paraId="3BBF074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Unemployment-Model_1</w:t>
            </w:r>
          </w:p>
        </w:tc>
        <w:tc>
          <w:tcPr>
            <w:tcW w:w="3465" w:type="dxa"/>
            <w:tcBorders>
              <w:top w:val="single" w:sz="8" w:space="0" w:color="152935"/>
              <w:left w:val="nil"/>
              <w:bottom w:val="single" w:sz="8" w:space="0" w:color="152935"/>
              <w:right w:val="nil"/>
            </w:tcBorders>
            <w:shd w:val="clear" w:color="auto" w:fill="F9F9FB"/>
          </w:tcPr>
          <w:p w14:paraId="2A86314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r>
    </w:tbl>
    <w:p w14:paraId="0397244F"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58589016"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61"/>
        <w:gridCol w:w="1870"/>
        <w:gridCol w:w="1378"/>
        <w:gridCol w:w="1041"/>
        <w:gridCol w:w="1026"/>
        <w:gridCol w:w="1026"/>
      </w:tblGrid>
      <w:tr w:rsidR="00520D2C" w:rsidRPr="00C279E0" w14:paraId="090D33C4" w14:textId="77777777" w:rsidTr="00937F3B">
        <w:trPr>
          <w:cantSplit/>
        </w:trPr>
        <w:tc>
          <w:tcPr>
            <w:tcW w:w="8699" w:type="dxa"/>
            <w:gridSpan w:val="6"/>
            <w:tcBorders>
              <w:top w:val="nil"/>
              <w:left w:val="nil"/>
              <w:bottom w:val="nil"/>
              <w:right w:val="nil"/>
            </w:tcBorders>
            <w:shd w:val="clear" w:color="auto" w:fill="FFFFFF"/>
            <w:vAlign w:val="center"/>
          </w:tcPr>
          <w:p w14:paraId="589C8E5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1E020C8F" w14:textId="77777777" w:rsidTr="00937F3B">
        <w:trPr>
          <w:cantSplit/>
        </w:trPr>
        <w:tc>
          <w:tcPr>
            <w:tcW w:w="5606" w:type="dxa"/>
            <w:gridSpan w:val="3"/>
            <w:tcBorders>
              <w:top w:val="nil"/>
              <w:left w:val="nil"/>
              <w:bottom w:val="single" w:sz="8" w:space="0" w:color="152935"/>
              <w:right w:val="nil"/>
            </w:tcBorders>
            <w:shd w:val="clear" w:color="auto" w:fill="FFFFFF"/>
            <w:vAlign w:val="bottom"/>
          </w:tcPr>
          <w:p w14:paraId="5A87945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041" w:type="dxa"/>
            <w:tcBorders>
              <w:top w:val="nil"/>
              <w:left w:val="nil"/>
              <w:bottom w:val="single" w:sz="8" w:space="0" w:color="152935"/>
              <w:right w:val="single" w:sz="8" w:space="0" w:color="E0E0E0"/>
            </w:tcBorders>
            <w:shd w:val="clear" w:color="auto" w:fill="FFFFFF"/>
            <w:vAlign w:val="bottom"/>
          </w:tcPr>
          <w:p w14:paraId="1E53631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Estimate</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000C4E42"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026" w:type="dxa"/>
            <w:tcBorders>
              <w:top w:val="nil"/>
              <w:left w:val="single" w:sz="8" w:space="0" w:color="E0E0E0"/>
              <w:bottom w:val="single" w:sz="8" w:space="0" w:color="152935"/>
              <w:right w:val="nil"/>
            </w:tcBorders>
            <w:shd w:val="clear" w:color="auto" w:fill="FFFFFF"/>
            <w:vAlign w:val="bottom"/>
          </w:tcPr>
          <w:p w14:paraId="7322ED9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t</w:t>
            </w:r>
          </w:p>
        </w:tc>
      </w:tr>
      <w:tr w:rsidR="00520D2C" w:rsidRPr="00C279E0" w14:paraId="1053E265" w14:textId="77777777" w:rsidTr="00937F3B">
        <w:trPr>
          <w:cantSplit/>
        </w:trPr>
        <w:tc>
          <w:tcPr>
            <w:tcW w:w="2359" w:type="dxa"/>
            <w:tcBorders>
              <w:top w:val="single" w:sz="8" w:space="0" w:color="152935"/>
              <w:left w:val="nil"/>
              <w:bottom w:val="single" w:sz="8" w:space="0" w:color="152935"/>
              <w:right w:val="nil"/>
            </w:tcBorders>
            <w:shd w:val="clear" w:color="auto" w:fill="E0E0E0"/>
          </w:tcPr>
          <w:p w14:paraId="4FA8828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Unemployment-Model_1</w:t>
            </w:r>
          </w:p>
        </w:tc>
        <w:tc>
          <w:tcPr>
            <w:tcW w:w="1869" w:type="dxa"/>
            <w:tcBorders>
              <w:top w:val="single" w:sz="8" w:space="0" w:color="152935"/>
              <w:left w:val="nil"/>
              <w:bottom w:val="single" w:sz="8" w:space="0" w:color="152935"/>
              <w:right w:val="nil"/>
            </w:tcBorders>
            <w:shd w:val="clear" w:color="auto" w:fill="E0E0E0"/>
          </w:tcPr>
          <w:p w14:paraId="0EA4077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1378" w:type="dxa"/>
            <w:tcBorders>
              <w:top w:val="single" w:sz="8" w:space="0" w:color="152935"/>
              <w:left w:val="nil"/>
              <w:bottom w:val="single" w:sz="8" w:space="0" w:color="152935"/>
              <w:right w:val="nil"/>
            </w:tcBorders>
            <w:shd w:val="clear" w:color="auto" w:fill="E0E0E0"/>
          </w:tcPr>
          <w:p w14:paraId="45BFA10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w:t>
            </w:r>
          </w:p>
        </w:tc>
        <w:tc>
          <w:tcPr>
            <w:tcW w:w="1041" w:type="dxa"/>
            <w:tcBorders>
              <w:top w:val="single" w:sz="8" w:space="0" w:color="152935"/>
              <w:left w:val="nil"/>
              <w:bottom w:val="single" w:sz="8" w:space="0" w:color="152935"/>
              <w:right w:val="single" w:sz="8" w:space="0" w:color="E0E0E0"/>
            </w:tcBorders>
            <w:shd w:val="clear" w:color="auto" w:fill="F9F9FB"/>
          </w:tcPr>
          <w:p w14:paraId="6391248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1.000</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5232C4C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.320</w:t>
            </w:r>
          </w:p>
        </w:tc>
        <w:tc>
          <w:tcPr>
            <w:tcW w:w="1026" w:type="dxa"/>
            <w:tcBorders>
              <w:top w:val="single" w:sz="8" w:space="0" w:color="152935"/>
              <w:left w:val="single" w:sz="8" w:space="0" w:color="E0E0E0"/>
              <w:bottom w:val="single" w:sz="8" w:space="0" w:color="152935"/>
              <w:right w:val="nil"/>
            </w:tcBorders>
            <w:shd w:val="clear" w:color="auto" w:fill="F9F9FB"/>
          </w:tcPr>
          <w:p w14:paraId="00B3E48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3.125</w:t>
            </w:r>
          </w:p>
        </w:tc>
      </w:tr>
    </w:tbl>
    <w:p w14:paraId="7D21091E"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10"/>
        <w:gridCol w:w="2543"/>
        <w:gridCol w:w="1876"/>
        <w:gridCol w:w="1396"/>
      </w:tblGrid>
      <w:tr w:rsidR="00520D2C" w:rsidRPr="00C279E0" w14:paraId="6066D77C" w14:textId="77777777" w:rsidTr="00937F3B">
        <w:trPr>
          <w:cantSplit/>
        </w:trPr>
        <w:tc>
          <w:tcPr>
            <w:tcW w:w="9022" w:type="dxa"/>
            <w:gridSpan w:val="4"/>
            <w:tcBorders>
              <w:top w:val="nil"/>
              <w:left w:val="nil"/>
              <w:bottom w:val="nil"/>
              <w:right w:val="nil"/>
            </w:tcBorders>
            <w:shd w:val="clear" w:color="auto" w:fill="FFFFFF"/>
            <w:vAlign w:val="center"/>
          </w:tcPr>
          <w:p w14:paraId="7767B3B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6722EDFE" w14:textId="77777777" w:rsidTr="00937F3B">
        <w:trPr>
          <w:cantSplit/>
        </w:trPr>
        <w:tc>
          <w:tcPr>
            <w:tcW w:w="7626" w:type="dxa"/>
            <w:gridSpan w:val="3"/>
            <w:tcBorders>
              <w:top w:val="nil"/>
              <w:left w:val="nil"/>
              <w:bottom w:val="single" w:sz="8" w:space="0" w:color="152935"/>
              <w:right w:val="nil"/>
            </w:tcBorders>
            <w:shd w:val="clear" w:color="auto" w:fill="FFFFFF"/>
            <w:vAlign w:val="bottom"/>
          </w:tcPr>
          <w:p w14:paraId="6465A60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396" w:type="dxa"/>
            <w:tcBorders>
              <w:top w:val="nil"/>
              <w:left w:val="nil"/>
              <w:bottom w:val="single" w:sz="8" w:space="0" w:color="152935"/>
              <w:right w:val="nil"/>
            </w:tcBorders>
            <w:shd w:val="clear" w:color="auto" w:fill="FFFFFF"/>
            <w:vAlign w:val="bottom"/>
          </w:tcPr>
          <w:p w14:paraId="2AA06A8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7757851C" w14:textId="77777777" w:rsidTr="00937F3B">
        <w:trPr>
          <w:cantSplit/>
        </w:trPr>
        <w:tc>
          <w:tcPr>
            <w:tcW w:w="3209" w:type="dxa"/>
            <w:tcBorders>
              <w:top w:val="single" w:sz="8" w:space="0" w:color="152935"/>
              <w:left w:val="nil"/>
              <w:bottom w:val="single" w:sz="8" w:space="0" w:color="152935"/>
              <w:right w:val="nil"/>
            </w:tcBorders>
            <w:shd w:val="clear" w:color="auto" w:fill="E0E0E0"/>
          </w:tcPr>
          <w:p w14:paraId="4211114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Unemployment-Model_1</w:t>
            </w:r>
          </w:p>
        </w:tc>
        <w:tc>
          <w:tcPr>
            <w:tcW w:w="2542" w:type="dxa"/>
            <w:tcBorders>
              <w:top w:val="single" w:sz="8" w:space="0" w:color="152935"/>
              <w:left w:val="nil"/>
              <w:bottom w:val="single" w:sz="8" w:space="0" w:color="152935"/>
              <w:right w:val="nil"/>
            </w:tcBorders>
            <w:shd w:val="clear" w:color="auto" w:fill="E0E0E0"/>
          </w:tcPr>
          <w:p w14:paraId="23D088C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1875" w:type="dxa"/>
            <w:tcBorders>
              <w:top w:val="single" w:sz="8" w:space="0" w:color="152935"/>
              <w:left w:val="nil"/>
              <w:bottom w:val="single" w:sz="8" w:space="0" w:color="152935"/>
              <w:right w:val="nil"/>
            </w:tcBorders>
            <w:shd w:val="clear" w:color="auto" w:fill="E0E0E0"/>
          </w:tcPr>
          <w:p w14:paraId="121B94F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w:t>
            </w:r>
          </w:p>
        </w:tc>
        <w:tc>
          <w:tcPr>
            <w:tcW w:w="1396" w:type="dxa"/>
            <w:tcBorders>
              <w:top w:val="single" w:sz="8" w:space="0" w:color="152935"/>
              <w:left w:val="nil"/>
              <w:bottom w:val="single" w:sz="8" w:space="0" w:color="152935"/>
              <w:right w:val="nil"/>
            </w:tcBorders>
            <w:shd w:val="clear" w:color="auto" w:fill="F9F9FB"/>
          </w:tcPr>
          <w:p w14:paraId="472F297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.011</w:t>
            </w:r>
          </w:p>
        </w:tc>
      </w:tr>
    </w:tbl>
    <w:p w14:paraId="739A882B"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0A66C359"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p w14:paraId="2360EC33" w14:textId="77777777" w:rsidR="00520D2C" w:rsidRPr="00C279E0" w:rsidRDefault="00520D2C">
      <w:pPr>
        <w:rPr>
          <w:rFonts w:ascii="Arial" w:hAnsi="Arial" w:cs="Arial"/>
          <w:sz w:val="26"/>
          <w:szCs w:val="26"/>
          <w:lang w:val="en-US"/>
        </w:rPr>
      </w:pPr>
      <w:r w:rsidRPr="00C279E0">
        <w:rPr>
          <w:rFonts w:ascii="Times New Roman" w:eastAsia="Times New Roman" w:hAnsi="Times New Roman" w:cs="Times New Roman"/>
          <w:noProof/>
          <w:sz w:val="24"/>
          <w:szCs w:val="24"/>
          <w:lang w:eastAsia="fr-FR"/>
        </w:rPr>
        <w:drawing>
          <wp:inline distT="0" distB="0" distL="0" distR="0" wp14:anchorId="69A77AC4" wp14:editId="591DADE2">
            <wp:extent cx="5049672" cy="2723584"/>
            <wp:effectExtent l="0" t="0" r="0" b="63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059790" cy="2729041"/>
                    </a:xfrm>
                    <a:prstGeom prst="rect">
                      <a:avLst/>
                    </a:prstGeom>
                    <a:noFill/>
                    <a:ln>
                      <a:noFill/>
                    </a:ln>
                  </pic:spPr>
                </pic:pic>
              </a:graphicData>
            </a:graphic>
          </wp:inline>
        </w:drawing>
      </w:r>
    </w:p>
    <w:tbl>
      <w:tblPr>
        <w:tblW w:w="53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3"/>
        <w:gridCol w:w="1496"/>
        <w:gridCol w:w="1017"/>
        <w:gridCol w:w="1851"/>
      </w:tblGrid>
      <w:tr w:rsidR="00520D2C" w:rsidRPr="00C279E0" w14:paraId="621DC1C8" w14:textId="77777777" w:rsidTr="00937F3B">
        <w:trPr>
          <w:cantSplit/>
        </w:trPr>
        <w:tc>
          <w:tcPr>
            <w:tcW w:w="5395" w:type="dxa"/>
            <w:gridSpan w:val="4"/>
            <w:tcBorders>
              <w:top w:val="nil"/>
              <w:left w:val="nil"/>
              <w:bottom w:val="nil"/>
              <w:right w:val="nil"/>
            </w:tcBorders>
            <w:shd w:val="clear" w:color="auto" w:fill="FFFFFF"/>
            <w:vAlign w:val="center"/>
          </w:tcPr>
          <w:p w14:paraId="5852233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Description</w:t>
            </w:r>
          </w:p>
        </w:tc>
      </w:tr>
      <w:tr w:rsidR="00520D2C" w:rsidRPr="00C279E0" w14:paraId="1B8DD26C" w14:textId="77777777" w:rsidTr="00937F3B">
        <w:trPr>
          <w:cantSplit/>
        </w:trPr>
        <w:tc>
          <w:tcPr>
            <w:tcW w:w="3545" w:type="dxa"/>
            <w:gridSpan w:val="3"/>
            <w:tcBorders>
              <w:top w:val="nil"/>
              <w:left w:val="nil"/>
              <w:bottom w:val="single" w:sz="8" w:space="0" w:color="152935"/>
              <w:right w:val="nil"/>
            </w:tcBorders>
            <w:shd w:val="clear" w:color="auto" w:fill="FFFFFF"/>
            <w:vAlign w:val="bottom"/>
          </w:tcPr>
          <w:p w14:paraId="2A9FF677"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p>
        </w:tc>
        <w:tc>
          <w:tcPr>
            <w:tcW w:w="1850" w:type="dxa"/>
            <w:tcBorders>
              <w:top w:val="nil"/>
              <w:left w:val="nil"/>
              <w:bottom w:val="single" w:sz="8" w:space="0" w:color="152935"/>
              <w:right w:val="nil"/>
            </w:tcBorders>
            <w:shd w:val="clear" w:color="auto" w:fill="FFFFFF"/>
            <w:vAlign w:val="bottom"/>
          </w:tcPr>
          <w:p w14:paraId="55BF00C8"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Type</w:t>
            </w:r>
          </w:p>
        </w:tc>
      </w:tr>
      <w:tr w:rsidR="00520D2C" w:rsidRPr="00C279E0" w14:paraId="0F28D5AD" w14:textId="77777777" w:rsidTr="00937F3B">
        <w:trPr>
          <w:cantSplit/>
        </w:trPr>
        <w:tc>
          <w:tcPr>
            <w:tcW w:w="1033" w:type="dxa"/>
            <w:tcBorders>
              <w:top w:val="single" w:sz="8" w:space="0" w:color="152935"/>
              <w:left w:val="nil"/>
              <w:bottom w:val="single" w:sz="8" w:space="0" w:color="152935"/>
              <w:right w:val="nil"/>
            </w:tcBorders>
            <w:shd w:val="clear" w:color="auto" w:fill="E0E0E0"/>
          </w:tcPr>
          <w:p w14:paraId="2ACE43F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ID</w:t>
            </w:r>
          </w:p>
        </w:tc>
        <w:tc>
          <w:tcPr>
            <w:tcW w:w="1495" w:type="dxa"/>
            <w:tcBorders>
              <w:top w:val="single" w:sz="8" w:space="0" w:color="152935"/>
              <w:left w:val="nil"/>
              <w:bottom w:val="single" w:sz="8" w:space="0" w:color="152935"/>
              <w:right w:val="nil"/>
            </w:tcBorders>
            <w:shd w:val="clear" w:color="auto" w:fill="E0E0E0"/>
          </w:tcPr>
          <w:p w14:paraId="46112BB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Exchange.rate</w:t>
            </w:r>
          </w:p>
        </w:tc>
        <w:tc>
          <w:tcPr>
            <w:tcW w:w="1017" w:type="dxa"/>
            <w:tcBorders>
              <w:top w:val="single" w:sz="8" w:space="0" w:color="152935"/>
              <w:left w:val="nil"/>
              <w:bottom w:val="single" w:sz="8" w:space="0" w:color="152935"/>
              <w:right w:val="nil"/>
            </w:tcBorders>
            <w:shd w:val="clear" w:color="auto" w:fill="E0E0E0"/>
          </w:tcPr>
          <w:p w14:paraId="1BC63FE1"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Model_1</w:t>
            </w:r>
          </w:p>
        </w:tc>
        <w:tc>
          <w:tcPr>
            <w:tcW w:w="1850" w:type="dxa"/>
            <w:tcBorders>
              <w:top w:val="single" w:sz="8" w:space="0" w:color="152935"/>
              <w:left w:val="nil"/>
              <w:bottom w:val="single" w:sz="8" w:space="0" w:color="152935"/>
              <w:right w:val="nil"/>
            </w:tcBorders>
            <w:shd w:val="clear" w:color="auto" w:fill="F9F9FB"/>
          </w:tcPr>
          <w:p w14:paraId="1F8D6A0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Brown</w:t>
            </w:r>
          </w:p>
        </w:tc>
      </w:tr>
    </w:tbl>
    <w:p w14:paraId="2C9A067F"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p>
    <w:p w14:paraId="2BF7F5E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b/>
          <w:bCs/>
          <w:color w:val="000000"/>
          <w:sz w:val="26"/>
          <w:szCs w:val="26"/>
          <w:lang w:eastAsia="fr-FR"/>
        </w:rPr>
      </w:pPr>
      <w:r w:rsidRPr="00C279E0">
        <w:rPr>
          <w:rFonts w:ascii="Arial" w:eastAsia="Times New Roman" w:hAnsi="Arial" w:cs="Arial"/>
          <w:b/>
          <w:bCs/>
          <w:color w:val="000000"/>
          <w:sz w:val="26"/>
          <w:szCs w:val="26"/>
          <w:lang w:eastAsia="fr-FR"/>
        </w:rPr>
        <w:t>Model Summary</w:t>
      </w:r>
    </w:p>
    <w:tbl>
      <w:tblPr>
        <w:tblW w:w="83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9"/>
        <w:gridCol w:w="1026"/>
        <w:gridCol w:w="1027"/>
        <w:gridCol w:w="1073"/>
        <w:gridCol w:w="1104"/>
        <w:gridCol w:w="1027"/>
        <w:gridCol w:w="1027"/>
      </w:tblGrid>
      <w:tr w:rsidR="00520D2C" w:rsidRPr="00C279E0" w14:paraId="6532B836" w14:textId="77777777" w:rsidTr="00937F3B">
        <w:trPr>
          <w:cantSplit/>
        </w:trPr>
        <w:tc>
          <w:tcPr>
            <w:tcW w:w="8348" w:type="dxa"/>
            <w:gridSpan w:val="7"/>
            <w:tcBorders>
              <w:top w:val="nil"/>
              <w:left w:val="nil"/>
              <w:bottom w:val="nil"/>
              <w:right w:val="nil"/>
            </w:tcBorders>
            <w:shd w:val="clear" w:color="auto" w:fill="FFFFFF"/>
            <w:vAlign w:val="center"/>
          </w:tcPr>
          <w:p w14:paraId="62A1687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062E9C62" w14:textId="77777777" w:rsidTr="00937F3B">
        <w:trPr>
          <w:cantSplit/>
        </w:trPr>
        <w:tc>
          <w:tcPr>
            <w:tcW w:w="2069" w:type="dxa"/>
            <w:vMerge w:val="restart"/>
            <w:tcBorders>
              <w:top w:val="nil"/>
              <w:left w:val="nil"/>
              <w:bottom w:val="nil"/>
              <w:right w:val="nil"/>
            </w:tcBorders>
            <w:shd w:val="clear" w:color="auto" w:fill="FFFFFF"/>
            <w:vAlign w:val="bottom"/>
          </w:tcPr>
          <w:p w14:paraId="65D1D4E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1026" w:type="dxa"/>
            <w:vMerge w:val="restart"/>
            <w:tcBorders>
              <w:top w:val="nil"/>
              <w:left w:val="nil"/>
              <w:bottom w:val="nil"/>
              <w:right w:val="single" w:sz="8" w:space="0" w:color="E0E0E0"/>
            </w:tcBorders>
            <w:shd w:val="clear" w:color="auto" w:fill="FFFFFF"/>
            <w:vAlign w:val="bottom"/>
          </w:tcPr>
          <w:p w14:paraId="3DE22B6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Mean</w:t>
            </w:r>
          </w:p>
        </w:tc>
        <w:tc>
          <w:tcPr>
            <w:tcW w:w="1026" w:type="dxa"/>
            <w:vMerge w:val="restart"/>
            <w:tcBorders>
              <w:top w:val="nil"/>
              <w:left w:val="single" w:sz="8" w:space="0" w:color="E0E0E0"/>
              <w:bottom w:val="nil"/>
              <w:right w:val="single" w:sz="8" w:space="0" w:color="E0E0E0"/>
            </w:tcBorders>
            <w:shd w:val="clear" w:color="auto" w:fill="FFFFFF"/>
            <w:vAlign w:val="bottom"/>
          </w:tcPr>
          <w:p w14:paraId="28A7640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c>
          <w:tcPr>
            <w:tcW w:w="1072" w:type="dxa"/>
            <w:vMerge w:val="restart"/>
            <w:tcBorders>
              <w:top w:val="nil"/>
              <w:left w:val="single" w:sz="8" w:space="0" w:color="E0E0E0"/>
              <w:bottom w:val="nil"/>
              <w:right w:val="single" w:sz="8" w:space="0" w:color="E0E0E0"/>
            </w:tcBorders>
            <w:shd w:val="clear" w:color="auto" w:fill="FFFFFF"/>
            <w:vAlign w:val="bottom"/>
          </w:tcPr>
          <w:p w14:paraId="38B481E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Minimum</w:t>
            </w:r>
          </w:p>
        </w:tc>
        <w:tc>
          <w:tcPr>
            <w:tcW w:w="1103" w:type="dxa"/>
            <w:vMerge w:val="restart"/>
            <w:tcBorders>
              <w:top w:val="nil"/>
              <w:left w:val="single" w:sz="8" w:space="0" w:color="E0E0E0"/>
              <w:bottom w:val="nil"/>
              <w:right w:val="single" w:sz="8" w:space="0" w:color="E0E0E0"/>
            </w:tcBorders>
            <w:shd w:val="clear" w:color="auto" w:fill="FFFFFF"/>
            <w:vAlign w:val="bottom"/>
          </w:tcPr>
          <w:p w14:paraId="7FE891A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Maximum</w:t>
            </w:r>
          </w:p>
        </w:tc>
        <w:tc>
          <w:tcPr>
            <w:tcW w:w="2052" w:type="dxa"/>
            <w:gridSpan w:val="2"/>
            <w:tcBorders>
              <w:top w:val="nil"/>
              <w:left w:val="single" w:sz="8" w:space="0" w:color="E0E0E0"/>
              <w:bottom w:val="nil"/>
              <w:right w:val="nil"/>
            </w:tcBorders>
            <w:shd w:val="clear" w:color="auto" w:fill="FFFFFF"/>
            <w:vAlign w:val="bottom"/>
          </w:tcPr>
          <w:p w14:paraId="18295F02"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4F8D97FB" w14:textId="77777777" w:rsidTr="00937F3B">
        <w:trPr>
          <w:cantSplit/>
        </w:trPr>
        <w:tc>
          <w:tcPr>
            <w:tcW w:w="2069" w:type="dxa"/>
            <w:vMerge/>
            <w:tcBorders>
              <w:top w:val="nil"/>
              <w:left w:val="nil"/>
              <w:bottom w:val="nil"/>
              <w:right w:val="nil"/>
            </w:tcBorders>
            <w:shd w:val="clear" w:color="auto" w:fill="FFFFFF"/>
            <w:vAlign w:val="bottom"/>
          </w:tcPr>
          <w:p w14:paraId="4532081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nil"/>
              <w:bottom w:val="nil"/>
              <w:right w:val="single" w:sz="8" w:space="0" w:color="E0E0E0"/>
            </w:tcBorders>
            <w:shd w:val="clear" w:color="auto" w:fill="FFFFFF"/>
            <w:vAlign w:val="bottom"/>
          </w:tcPr>
          <w:p w14:paraId="2B6DEFF7"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vMerge/>
            <w:tcBorders>
              <w:top w:val="nil"/>
              <w:left w:val="single" w:sz="8" w:space="0" w:color="E0E0E0"/>
              <w:bottom w:val="nil"/>
              <w:right w:val="single" w:sz="8" w:space="0" w:color="E0E0E0"/>
            </w:tcBorders>
            <w:shd w:val="clear" w:color="auto" w:fill="FFFFFF"/>
            <w:vAlign w:val="bottom"/>
          </w:tcPr>
          <w:p w14:paraId="339BAFBF"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72" w:type="dxa"/>
            <w:vMerge/>
            <w:tcBorders>
              <w:top w:val="nil"/>
              <w:left w:val="single" w:sz="8" w:space="0" w:color="E0E0E0"/>
              <w:bottom w:val="nil"/>
              <w:right w:val="single" w:sz="8" w:space="0" w:color="E0E0E0"/>
            </w:tcBorders>
            <w:shd w:val="clear" w:color="auto" w:fill="FFFFFF"/>
            <w:vAlign w:val="bottom"/>
          </w:tcPr>
          <w:p w14:paraId="76B20421"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103" w:type="dxa"/>
            <w:vMerge/>
            <w:tcBorders>
              <w:top w:val="nil"/>
              <w:left w:val="single" w:sz="8" w:space="0" w:color="E0E0E0"/>
              <w:bottom w:val="nil"/>
              <w:right w:val="single" w:sz="8" w:space="0" w:color="E0E0E0"/>
            </w:tcBorders>
            <w:shd w:val="clear" w:color="auto" w:fill="FFFFFF"/>
            <w:vAlign w:val="bottom"/>
          </w:tcPr>
          <w:p w14:paraId="26556CB6"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36384C5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w:t>
            </w:r>
          </w:p>
        </w:tc>
        <w:tc>
          <w:tcPr>
            <w:tcW w:w="1026" w:type="dxa"/>
            <w:tcBorders>
              <w:top w:val="nil"/>
              <w:left w:val="single" w:sz="8" w:space="0" w:color="E0E0E0"/>
              <w:bottom w:val="single" w:sz="8" w:space="0" w:color="152935"/>
              <w:right w:val="nil"/>
            </w:tcBorders>
            <w:shd w:val="clear" w:color="auto" w:fill="FFFFFF"/>
            <w:vAlign w:val="bottom"/>
          </w:tcPr>
          <w:p w14:paraId="28D6B29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10</w:t>
            </w:r>
          </w:p>
        </w:tc>
      </w:tr>
      <w:tr w:rsidR="00520D2C" w:rsidRPr="00C279E0" w14:paraId="7BCD1FFD" w14:textId="77777777" w:rsidTr="00937F3B">
        <w:trPr>
          <w:cantSplit/>
        </w:trPr>
        <w:tc>
          <w:tcPr>
            <w:tcW w:w="2069" w:type="dxa"/>
            <w:tcBorders>
              <w:top w:val="single" w:sz="8" w:space="0" w:color="152935"/>
              <w:left w:val="nil"/>
              <w:bottom w:val="single" w:sz="8" w:space="0" w:color="AEAEAE"/>
              <w:right w:val="nil"/>
            </w:tcBorders>
            <w:shd w:val="clear" w:color="auto" w:fill="E0E0E0"/>
          </w:tcPr>
          <w:p w14:paraId="060C4537"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26" w:type="dxa"/>
            <w:tcBorders>
              <w:top w:val="single" w:sz="8" w:space="0" w:color="152935"/>
              <w:left w:val="nil"/>
              <w:bottom w:val="single" w:sz="8" w:space="0" w:color="AEAEAE"/>
              <w:right w:val="single" w:sz="8" w:space="0" w:color="E0E0E0"/>
            </w:tcBorders>
            <w:shd w:val="clear" w:color="auto" w:fill="F9F9FB"/>
          </w:tcPr>
          <w:p w14:paraId="1FC7F7F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5580A64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152935"/>
              <w:left w:val="single" w:sz="8" w:space="0" w:color="E0E0E0"/>
              <w:bottom w:val="single" w:sz="8" w:space="0" w:color="AEAEAE"/>
              <w:right w:val="single" w:sz="8" w:space="0" w:color="E0E0E0"/>
            </w:tcBorders>
            <w:shd w:val="clear" w:color="auto" w:fill="F9F9FB"/>
          </w:tcPr>
          <w:p w14:paraId="4377F30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103" w:type="dxa"/>
            <w:tcBorders>
              <w:top w:val="single" w:sz="8" w:space="0" w:color="152935"/>
              <w:left w:val="single" w:sz="8" w:space="0" w:color="E0E0E0"/>
              <w:bottom w:val="single" w:sz="8" w:space="0" w:color="AEAEAE"/>
              <w:right w:val="single" w:sz="8" w:space="0" w:color="E0E0E0"/>
            </w:tcBorders>
            <w:shd w:val="clear" w:color="auto" w:fill="F9F9FB"/>
          </w:tcPr>
          <w:p w14:paraId="6BB3D37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6CC59B8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026" w:type="dxa"/>
            <w:tcBorders>
              <w:top w:val="single" w:sz="8" w:space="0" w:color="152935"/>
              <w:left w:val="single" w:sz="8" w:space="0" w:color="E0E0E0"/>
              <w:bottom w:val="single" w:sz="8" w:space="0" w:color="AEAEAE"/>
              <w:right w:val="nil"/>
            </w:tcBorders>
            <w:shd w:val="clear" w:color="auto" w:fill="F9F9FB"/>
          </w:tcPr>
          <w:p w14:paraId="73ED907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r>
      <w:tr w:rsidR="00520D2C" w:rsidRPr="00C279E0" w14:paraId="01392041"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0751349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026" w:type="dxa"/>
            <w:tcBorders>
              <w:top w:val="single" w:sz="8" w:space="0" w:color="AEAEAE"/>
              <w:left w:val="nil"/>
              <w:bottom w:val="single" w:sz="8" w:space="0" w:color="AEAEAE"/>
              <w:right w:val="single" w:sz="8" w:space="0" w:color="E0E0E0"/>
            </w:tcBorders>
            <w:shd w:val="clear" w:color="auto" w:fill="F9F9FB"/>
          </w:tcPr>
          <w:p w14:paraId="515BF65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50069E9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28FE835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47013F7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5ECFED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026" w:type="dxa"/>
            <w:tcBorders>
              <w:top w:val="single" w:sz="8" w:space="0" w:color="AEAEAE"/>
              <w:left w:val="single" w:sz="8" w:space="0" w:color="E0E0E0"/>
              <w:bottom w:val="single" w:sz="8" w:space="0" w:color="AEAEAE"/>
              <w:right w:val="nil"/>
            </w:tcBorders>
            <w:shd w:val="clear" w:color="auto" w:fill="F9F9FB"/>
          </w:tcPr>
          <w:p w14:paraId="3FFA526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r>
      <w:tr w:rsidR="00520D2C" w:rsidRPr="00C279E0" w14:paraId="3F459168"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07970C5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026" w:type="dxa"/>
            <w:tcBorders>
              <w:top w:val="single" w:sz="8" w:space="0" w:color="AEAEAE"/>
              <w:left w:val="nil"/>
              <w:bottom w:val="single" w:sz="8" w:space="0" w:color="AEAEAE"/>
              <w:right w:val="single" w:sz="8" w:space="0" w:color="E0E0E0"/>
            </w:tcBorders>
            <w:shd w:val="clear" w:color="auto" w:fill="F9F9FB"/>
          </w:tcPr>
          <w:p w14:paraId="48C2592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62E3EF5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5D61086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6E8B918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7B5A165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026" w:type="dxa"/>
            <w:tcBorders>
              <w:top w:val="single" w:sz="8" w:space="0" w:color="AEAEAE"/>
              <w:left w:val="single" w:sz="8" w:space="0" w:color="E0E0E0"/>
              <w:bottom w:val="single" w:sz="8" w:space="0" w:color="AEAEAE"/>
              <w:right w:val="nil"/>
            </w:tcBorders>
            <w:shd w:val="clear" w:color="auto" w:fill="F9F9FB"/>
          </w:tcPr>
          <w:p w14:paraId="4A1914F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r>
      <w:tr w:rsidR="00520D2C" w:rsidRPr="00C279E0" w14:paraId="6D724120"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6AE8288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026" w:type="dxa"/>
            <w:tcBorders>
              <w:top w:val="single" w:sz="8" w:space="0" w:color="AEAEAE"/>
              <w:left w:val="nil"/>
              <w:bottom w:val="single" w:sz="8" w:space="0" w:color="AEAEAE"/>
              <w:right w:val="single" w:sz="8" w:space="0" w:color="E0E0E0"/>
            </w:tcBorders>
            <w:shd w:val="clear" w:color="auto" w:fill="F9F9FB"/>
          </w:tcPr>
          <w:p w14:paraId="6767DCD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6912D6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5A87B2D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22E3D31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1925168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026" w:type="dxa"/>
            <w:tcBorders>
              <w:top w:val="single" w:sz="8" w:space="0" w:color="AEAEAE"/>
              <w:left w:val="single" w:sz="8" w:space="0" w:color="E0E0E0"/>
              <w:bottom w:val="single" w:sz="8" w:space="0" w:color="AEAEAE"/>
              <w:right w:val="nil"/>
            </w:tcBorders>
            <w:shd w:val="clear" w:color="auto" w:fill="F9F9FB"/>
          </w:tcPr>
          <w:p w14:paraId="3EDE33B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r>
      <w:tr w:rsidR="00520D2C" w:rsidRPr="00C279E0" w14:paraId="5C1E5569"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5339666E"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026" w:type="dxa"/>
            <w:tcBorders>
              <w:top w:val="single" w:sz="8" w:space="0" w:color="AEAEAE"/>
              <w:left w:val="nil"/>
              <w:bottom w:val="single" w:sz="8" w:space="0" w:color="AEAEAE"/>
              <w:right w:val="single" w:sz="8" w:space="0" w:color="E0E0E0"/>
            </w:tcBorders>
            <w:shd w:val="clear" w:color="auto" w:fill="F9F9FB"/>
          </w:tcPr>
          <w:p w14:paraId="5C1B62E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1AE02B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2BAA4B2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3F11942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06E2BA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026" w:type="dxa"/>
            <w:tcBorders>
              <w:top w:val="single" w:sz="8" w:space="0" w:color="AEAEAE"/>
              <w:left w:val="single" w:sz="8" w:space="0" w:color="E0E0E0"/>
              <w:bottom w:val="single" w:sz="8" w:space="0" w:color="AEAEAE"/>
              <w:right w:val="nil"/>
            </w:tcBorders>
            <w:shd w:val="clear" w:color="auto" w:fill="F9F9FB"/>
          </w:tcPr>
          <w:p w14:paraId="3D8CC2E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r>
      <w:tr w:rsidR="00520D2C" w:rsidRPr="00C279E0" w14:paraId="3DEF5E8B"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12BF852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026" w:type="dxa"/>
            <w:tcBorders>
              <w:top w:val="single" w:sz="8" w:space="0" w:color="AEAEAE"/>
              <w:left w:val="nil"/>
              <w:bottom w:val="single" w:sz="8" w:space="0" w:color="AEAEAE"/>
              <w:right w:val="single" w:sz="8" w:space="0" w:color="E0E0E0"/>
            </w:tcBorders>
            <w:shd w:val="clear" w:color="auto" w:fill="F9F9FB"/>
          </w:tcPr>
          <w:p w14:paraId="5863BAC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501321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19EAA4D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59C2D72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22C5919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026" w:type="dxa"/>
            <w:tcBorders>
              <w:top w:val="single" w:sz="8" w:space="0" w:color="AEAEAE"/>
              <w:left w:val="single" w:sz="8" w:space="0" w:color="E0E0E0"/>
              <w:bottom w:val="single" w:sz="8" w:space="0" w:color="AEAEAE"/>
              <w:right w:val="nil"/>
            </w:tcBorders>
            <w:shd w:val="clear" w:color="auto" w:fill="F9F9FB"/>
          </w:tcPr>
          <w:p w14:paraId="1070440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r>
      <w:tr w:rsidR="00520D2C" w:rsidRPr="00C279E0" w14:paraId="70B64582" w14:textId="77777777" w:rsidTr="00937F3B">
        <w:trPr>
          <w:cantSplit/>
        </w:trPr>
        <w:tc>
          <w:tcPr>
            <w:tcW w:w="2069" w:type="dxa"/>
            <w:tcBorders>
              <w:top w:val="single" w:sz="8" w:space="0" w:color="AEAEAE"/>
              <w:left w:val="nil"/>
              <w:bottom w:val="single" w:sz="8" w:space="0" w:color="AEAEAE"/>
              <w:right w:val="nil"/>
            </w:tcBorders>
            <w:shd w:val="clear" w:color="auto" w:fill="E0E0E0"/>
          </w:tcPr>
          <w:p w14:paraId="230AE0B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026" w:type="dxa"/>
            <w:tcBorders>
              <w:top w:val="single" w:sz="8" w:space="0" w:color="AEAEAE"/>
              <w:left w:val="nil"/>
              <w:bottom w:val="single" w:sz="8" w:space="0" w:color="AEAEAE"/>
              <w:right w:val="single" w:sz="8" w:space="0" w:color="E0E0E0"/>
            </w:tcBorders>
            <w:shd w:val="clear" w:color="auto" w:fill="F9F9FB"/>
          </w:tcPr>
          <w:p w14:paraId="735B039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05A5025C"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AEAEAE"/>
              <w:right w:val="single" w:sz="8" w:space="0" w:color="E0E0E0"/>
            </w:tcBorders>
            <w:shd w:val="clear" w:color="auto" w:fill="F9F9FB"/>
          </w:tcPr>
          <w:p w14:paraId="265842E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103" w:type="dxa"/>
            <w:tcBorders>
              <w:top w:val="single" w:sz="8" w:space="0" w:color="AEAEAE"/>
              <w:left w:val="single" w:sz="8" w:space="0" w:color="E0E0E0"/>
              <w:bottom w:val="single" w:sz="8" w:space="0" w:color="AEAEAE"/>
              <w:right w:val="single" w:sz="8" w:space="0" w:color="E0E0E0"/>
            </w:tcBorders>
            <w:shd w:val="clear" w:color="auto" w:fill="F9F9FB"/>
          </w:tcPr>
          <w:p w14:paraId="230AD28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026" w:type="dxa"/>
            <w:tcBorders>
              <w:top w:val="single" w:sz="8" w:space="0" w:color="AEAEAE"/>
              <w:left w:val="single" w:sz="8" w:space="0" w:color="E0E0E0"/>
              <w:bottom w:val="single" w:sz="8" w:space="0" w:color="AEAEAE"/>
              <w:right w:val="single" w:sz="8" w:space="0" w:color="E0E0E0"/>
            </w:tcBorders>
            <w:shd w:val="clear" w:color="auto" w:fill="F9F9FB"/>
          </w:tcPr>
          <w:p w14:paraId="713BA3F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026" w:type="dxa"/>
            <w:tcBorders>
              <w:top w:val="single" w:sz="8" w:space="0" w:color="AEAEAE"/>
              <w:left w:val="single" w:sz="8" w:space="0" w:color="E0E0E0"/>
              <w:bottom w:val="single" w:sz="8" w:space="0" w:color="AEAEAE"/>
              <w:right w:val="nil"/>
            </w:tcBorders>
            <w:shd w:val="clear" w:color="auto" w:fill="F9F9FB"/>
          </w:tcPr>
          <w:p w14:paraId="180E1E8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r>
      <w:tr w:rsidR="00520D2C" w:rsidRPr="00C279E0" w14:paraId="37CA02E0" w14:textId="77777777" w:rsidTr="00937F3B">
        <w:trPr>
          <w:cantSplit/>
        </w:trPr>
        <w:tc>
          <w:tcPr>
            <w:tcW w:w="2069" w:type="dxa"/>
            <w:tcBorders>
              <w:top w:val="single" w:sz="8" w:space="0" w:color="AEAEAE"/>
              <w:left w:val="nil"/>
              <w:bottom w:val="single" w:sz="8" w:space="0" w:color="152935"/>
              <w:right w:val="nil"/>
            </w:tcBorders>
            <w:shd w:val="clear" w:color="auto" w:fill="E0E0E0"/>
          </w:tcPr>
          <w:p w14:paraId="1B9580F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026" w:type="dxa"/>
            <w:tcBorders>
              <w:top w:val="single" w:sz="8" w:space="0" w:color="AEAEAE"/>
              <w:left w:val="nil"/>
              <w:bottom w:val="single" w:sz="8" w:space="0" w:color="152935"/>
              <w:right w:val="single" w:sz="8" w:space="0" w:color="E0E0E0"/>
            </w:tcBorders>
            <w:shd w:val="clear" w:color="auto" w:fill="F9F9FB"/>
          </w:tcPr>
          <w:p w14:paraId="51815D9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AEF7BB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72" w:type="dxa"/>
            <w:tcBorders>
              <w:top w:val="single" w:sz="8" w:space="0" w:color="AEAEAE"/>
              <w:left w:val="single" w:sz="8" w:space="0" w:color="E0E0E0"/>
              <w:bottom w:val="single" w:sz="8" w:space="0" w:color="152935"/>
              <w:right w:val="single" w:sz="8" w:space="0" w:color="E0E0E0"/>
            </w:tcBorders>
            <w:shd w:val="clear" w:color="auto" w:fill="F9F9FB"/>
          </w:tcPr>
          <w:p w14:paraId="0069CE8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103" w:type="dxa"/>
            <w:tcBorders>
              <w:top w:val="single" w:sz="8" w:space="0" w:color="AEAEAE"/>
              <w:left w:val="single" w:sz="8" w:space="0" w:color="E0E0E0"/>
              <w:bottom w:val="single" w:sz="8" w:space="0" w:color="152935"/>
              <w:right w:val="single" w:sz="8" w:space="0" w:color="E0E0E0"/>
            </w:tcBorders>
            <w:shd w:val="clear" w:color="auto" w:fill="F9F9FB"/>
          </w:tcPr>
          <w:p w14:paraId="76241F8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62DA50C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026" w:type="dxa"/>
            <w:tcBorders>
              <w:top w:val="single" w:sz="8" w:space="0" w:color="AEAEAE"/>
              <w:left w:val="single" w:sz="8" w:space="0" w:color="E0E0E0"/>
              <w:bottom w:val="single" w:sz="8" w:space="0" w:color="152935"/>
              <w:right w:val="nil"/>
            </w:tcBorders>
            <w:shd w:val="clear" w:color="auto" w:fill="F9F9FB"/>
          </w:tcPr>
          <w:p w14:paraId="6C59457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r>
    </w:tbl>
    <w:p w14:paraId="5BDD2AE8"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94"/>
        <w:gridCol w:w="1287"/>
        <w:gridCol w:w="1286"/>
        <w:gridCol w:w="1286"/>
        <w:gridCol w:w="1286"/>
        <w:gridCol w:w="1286"/>
      </w:tblGrid>
      <w:tr w:rsidR="00520D2C" w:rsidRPr="00C279E0" w14:paraId="4EE0CFBF" w14:textId="77777777" w:rsidTr="00937F3B">
        <w:trPr>
          <w:cantSplit/>
        </w:trPr>
        <w:tc>
          <w:tcPr>
            <w:tcW w:w="9022" w:type="dxa"/>
            <w:gridSpan w:val="6"/>
            <w:tcBorders>
              <w:top w:val="nil"/>
              <w:left w:val="nil"/>
              <w:bottom w:val="nil"/>
              <w:right w:val="nil"/>
            </w:tcBorders>
            <w:shd w:val="clear" w:color="auto" w:fill="FFFFFF"/>
            <w:vAlign w:val="center"/>
          </w:tcPr>
          <w:p w14:paraId="4EC3F6D3"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Fit</w:t>
            </w:r>
          </w:p>
        </w:tc>
      </w:tr>
      <w:tr w:rsidR="00520D2C" w:rsidRPr="00C279E0" w14:paraId="1129A9D1" w14:textId="77777777" w:rsidTr="00937F3B">
        <w:trPr>
          <w:cantSplit/>
        </w:trPr>
        <w:tc>
          <w:tcPr>
            <w:tcW w:w="2592" w:type="dxa"/>
            <w:vMerge w:val="restart"/>
            <w:tcBorders>
              <w:top w:val="nil"/>
              <w:left w:val="nil"/>
              <w:bottom w:val="nil"/>
              <w:right w:val="nil"/>
            </w:tcBorders>
            <w:shd w:val="clear" w:color="auto" w:fill="FFFFFF"/>
            <w:vAlign w:val="bottom"/>
          </w:tcPr>
          <w:p w14:paraId="218EBD1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Fit Statistic</w:t>
            </w:r>
          </w:p>
        </w:tc>
        <w:tc>
          <w:tcPr>
            <w:tcW w:w="6430" w:type="dxa"/>
            <w:gridSpan w:val="5"/>
            <w:tcBorders>
              <w:top w:val="nil"/>
              <w:left w:val="nil"/>
              <w:bottom w:val="nil"/>
              <w:right w:val="nil"/>
            </w:tcBorders>
            <w:shd w:val="clear" w:color="auto" w:fill="FFFFFF"/>
            <w:vAlign w:val="bottom"/>
          </w:tcPr>
          <w:p w14:paraId="7BF8C1A4"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Percentile</w:t>
            </w:r>
          </w:p>
        </w:tc>
      </w:tr>
      <w:tr w:rsidR="00520D2C" w:rsidRPr="00C279E0" w14:paraId="3D611446" w14:textId="77777777" w:rsidTr="00937F3B">
        <w:trPr>
          <w:cantSplit/>
        </w:trPr>
        <w:tc>
          <w:tcPr>
            <w:tcW w:w="2592" w:type="dxa"/>
            <w:vMerge/>
            <w:tcBorders>
              <w:top w:val="nil"/>
              <w:left w:val="nil"/>
              <w:bottom w:val="nil"/>
              <w:right w:val="nil"/>
            </w:tcBorders>
            <w:shd w:val="clear" w:color="auto" w:fill="FFFFFF"/>
            <w:vAlign w:val="bottom"/>
          </w:tcPr>
          <w:p w14:paraId="06646682"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286" w:type="dxa"/>
            <w:tcBorders>
              <w:top w:val="nil"/>
              <w:left w:val="nil"/>
              <w:bottom w:val="single" w:sz="8" w:space="0" w:color="152935"/>
              <w:right w:val="single" w:sz="8" w:space="0" w:color="E0E0E0"/>
            </w:tcBorders>
            <w:shd w:val="clear" w:color="auto" w:fill="FFFFFF"/>
            <w:vAlign w:val="bottom"/>
          </w:tcPr>
          <w:p w14:paraId="54BD49D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25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7CC5A06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50</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44A87D1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75</w:t>
            </w:r>
          </w:p>
        </w:tc>
        <w:tc>
          <w:tcPr>
            <w:tcW w:w="1286" w:type="dxa"/>
            <w:tcBorders>
              <w:top w:val="nil"/>
              <w:left w:val="single" w:sz="8" w:space="0" w:color="E0E0E0"/>
              <w:bottom w:val="single" w:sz="8" w:space="0" w:color="152935"/>
              <w:right w:val="single" w:sz="8" w:space="0" w:color="E0E0E0"/>
            </w:tcBorders>
            <w:shd w:val="clear" w:color="auto" w:fill="FFFFFF"/>
            <w:vAlign w:val="bottom"/>
          </w:tcPr>
          <w:p w14:paraId="0ED2DE9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90</w:t>
            </w:r>
          </w:p>
        </w:tc>
        <w:tc>
          <w:tcPr>
            <w:tcW w:w="1286" w:type="dxa"/>
            <w:tcBorders>
              <w:top w:val="nil"/>
              <w:left w:val="single" w:sz="8" w:space="0" w:color="E0E0E0"/>
              <w:bottom w:val="single" w:sz="8" w:space="0" w:color="152935"/>
              <w:right w:val="nil"/>
            </w:tcBorders>
            <w:shd w:val="clear" w:color="auto" w:fill="FFFFFF"/>
            <w:vAlign w:val="bottom"/>
          </w:tcPr>
          <w:p w14:paraId="4AB2833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95</w:t>
            </w:r>
          </w:p>
        </w:tc>
      </w:tr>
      <w:tr w:rsidR="00520D2C" w:rsidRPr="00C279E0" w14:paraId="33005668" w14:textId="77777777" w:rsidTr="00937F3B">
        <w:trPr>
          <w:cantSplit/>
        </w:trPr>
        <w:tc>
          <w:tcPr>
            <w:tcW w:w="2592" w:type="dxa"/>
            <w:tcBorders>
              <w:top w:val="single" w:sz="8" w:space="0" w:color="152935"/>
              <w:left w:val="nil"/>
              <w:bottom w:val="single" w:sz="8" w:space="0" w:color="AEAEAE"/>
              <w:right w:val="nil"/>
            </w:tcBorders>
            <w:shd w:val="clear" w:color="auto" w:fill="E0E0E0"/>
          </w:tcPr>
          <w:p w14:paraId="505390DA"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286" w:type="dxa"/>
            <w:tcBorders>
              <w:top w:val="single" w:sz="8" w:space="0" w:color="152935"/>
              <w:left w:val="nil"/>
              <w:bottom w:val="single" w:sz="8" w:space="0" w:color="AEAEAE"/>
              <w:right w:val="single" w:sz="8" w:space="0" w:color="E0E0E0"/>
            </w:tcBorders>
            <w:shd w:val="clear" w:color="auto" w:fill="F9F9FB"/>
          </w:tcPr>
          <w:p w14:paraId="30E8E9B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725AE83F"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248C9FC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286" w:type="dxa"/>
            <w:tcBorders>
              <w:top w:val="single" w:sz="8" w:space="0" w:color="152935"/>
              <w:left w:val="single" w:sz="8" w:space="0" w:color="E0E0E0"/>
              <w:bottom w:val="single" w:sz="8" w:space="0" w:color="AEAEAE"/>
              <w:right w:val="single" w:sz="8" w:space="0" w:color="E0E0E0"/>
            </w:tcBorders>
            <w:shd w:val="clear" w:color="auto" w:fill="F9F9FB"/>
          </w:tcPr>
          <w:p w14:paraId="41D9E4D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286" w:type="dxa"/>
            <w:tcBorders>
              <w:top w:val="single" w:sz="8" w:space="0" w:color="152935"/>
              <w:left w:val="single" w:sz="8" w:space="0" w:color="E0E0E0"/>
              <w:bottom w:val="single" w:sz="8" w:space="0" w:color="AEAEAE"/>
              <w:right w:val="nil"/>
            </w:tcBorders>
            <w:shd w:val="clear" w:color="auto" w:fill="F9F9FB"/>
          </w:tcPr>
          <w:p w14:paraId="5F2BEBC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r>
      <w:tr w:rsidR="00520D2C" w:rsidRPr="00C279E0" w14:paraId="26C452AC"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2EFFA0F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R-squared</w:t>
            </w:r>
          </w:p>
        </w:tc>
        <w:tc>
          <w:tcPr>
            <w:tcW w:w="1286" w:type="dxa"/>
            <w:tcBorders>
              <w:top w:val="single" w:sz="8" w:space="0" w:color="AEAEAE"/>
              <w:left w:val="nil"/>
              <w:bottom w:val="single" w:sz="8" w:space="0" w:color="AEAEAE"/>
              <w:right w:val="single" w:sz="8" w:space="0" w:color="E0E0E0"/>
            </w:tcBorders>
            <w:shd w:val="clear" w:color="auto" w:fill="F9F9FB"/>
          </w:tcPr>
          <w:p w14:paraId="1FCEB44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7E75A3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17BE57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91DD92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c>
          <w:tcPr>
            <w:tcW w:w="1286" w:type="dxa"/>
            <w:tcBorders>
              <w:top w:val="single" w:sz="8" w:space="0" w:color="AEAEAE"/>
              <w:left w:val="single" w:sz="8" w:space="0" w:color="E0E0E0"/>
              <w:bottom w:val="single" w:sz="8" w:space="0" w:color="AEAEAE"/>
              <w:right w:val="nil"/>
            </w:tcBorders>
            <w:shd w:val="clear" w:color="auto" w:fill="F9F9FB"/>
          </w:tcPr>
          <w:p w14:paraId="39204A0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.950</w:t>
            </w:r>
          </w:p>
        </w:tc>
      </w:tr>
      <w:tr w:rsidR="00520D2C" w:rsidRPr="00C279E0" w14:paraId="03B8AD41"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54A45472"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RMSE</w:t>
            </w:r>
          </w:p>
        </w:tc>
        <w:tc>
          <w:tcPr>
            <w:tcW w:w="1286" w:type="dxa"/>
            <w:tcBorders>
              <w:top w:val="single" w:sz="8" w:space="0" w:color="AEAEAE"/>
              <w:left w:val="nil"/>
              <w:bottom w:val="single" w:sz="8" w:space="0" w:color="AEAEAE"/>
              <w:right w:val="single" w:sz="8" w:space="0" w:color="E0E0E0"/>
            </w:tcBorders>
            <w:shd w:val="clear" w:color="auto" w:fill="F9F9FB"/>
          </w:tcPr>
          <w:p w14:paraId="3F48699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80786F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3D1AC0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DC0D9B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c>
          <w:tcPr>
            <w:tcW w:w="1286" w:type="dxa"/>
            <w:tcBorders>
              <w:top w:val="single" w:sz="8" w:space="0" w:color="AEAEAE"/>
              <w:left w:val="single" w:sz="8" w:space="0" w:color="E0E0E0"/>
              <w:bottom w:val="single" w:sz="8" w:space="0" w:color="AEAEAE"/>
              <w:right w:val="nil"/>
            </w:tcBorders>
            <w:shd w:val="clear" w:color="auto" w:fill="F9F9FB"/>
          </w:tcPr>
          <w:p w14:paraId="3A6D072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2.567</w:t>
            </w:r>
          </w:p>
        </w:tc>
      </w:tr>
      <w:tr w:rsidR="00520D2C" w:rsidRPr="00C279E0" w14:paraId="0F9AAB62"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5EDB45A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MAPE</w:t>
            </w:r>
          </w:p>
        </w:tc>
        <w:tc>
          <w:tcPr>
            <w:tcW w:w="1286" w:type="dxa"/>
            <w:tcBorders>
              <w:top w:val="single" w:sz="8" w:space="0" w:color="AEAEAE"/>
              <w:left w:val="nil"/>
              <w:bottom w:val="single" w:sz="8" w:space="0" w:color="AEAEAE"/>
              <w:right w:val="single" w:sz="8" w:space="0" w:color="E0E0E0"/>
            </w:tcBorders>
            <w:shd w:val="clear" w:color="auto" w:fill="F9F9FB"/>
          </w:tcPr>
          <w:p w14:paraId="1D0C8DA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5A34C63"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64B62A1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B7969B4"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c>
          <w:tcPr>
            <w:tcW w:w="1286" w:type="dxa"/>
            <w:tcBorders>
              <w:top w:val="single" w:sz="8" w:space="0" w:color="AEAEAE"/>
              <w:left w:val="single" w:sz="8" w:space="0" w:color="E0E0E0"/>
              <w:bottom w:val="single" w:sz="8" w:space="0" w:color="AEAEAE"/>
              <w:right w:val="nil"/>
            </w:tcBorders>
            <w:shd w:val="clear" w:color="auto" w:fill="F9F9FB"/>
          </w:tcPr>
          <w:p w14:paraId="3BD904D1"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12.121</w:t>
            </w:r>
          </w:p>
        </w:tc>
      </w:tr>
      <w:tr w:rsidR="00520D2C" w:rsidRPr="00C279E0" w14:paraId="116A7791"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3BAD7FD4"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MaxAPE</w:t>
            </w:r>
          </w:p>
        </w:tc>
        <w:tc>
          <w:tcPr>
            <w:tcW w:w="1286" w:type="dxa"/>
            <w:tcBorders>
              <w:top w:val="single" w:sz="8" w:space="0" w:color="AEAEAE"/>
              <w:left w:val="nil"/>
              <w:bottom w:val="single" w:sz="8" w:space="0" w:color="AEAEAE"/>
              <w:right w:val="single" w:sz="8" w:space="0" w:color="E0E0E0"/>
            </w:tcBorders>
            <w:shd w:val="clear" w:color="auto" w:fill="F9F9FB"/>
          </w:tcPr>
          <w:p w14:paraId="0A0DCED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4EC409D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51BAFFE8"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DF84FF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c>
          <w:tcPr>
            <w:tcW w:w="1286" w:type="dxa"/>
            <w:tcBorders>
              <w:top w:val="single" w:sz="8" w:space="0" w:color="AEAEAE"/>
              <w:left w:val="single" w:sz="8" w:space="0" w:color="E0E0E0"/>
              <w:bottom w:val="single" w:sz="8" w:space="0" w:color="AEAEAE"/>
              <w:right w:val="nil"/>
            </w:tcBorders>
            <w:shd w:val="clear" w:color="auto" w:fill="F9F9FB"/>
          </w:tcPr>
          <w:p w14:paraId="0A203A5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34.684</w:t>
            </w:r>
          </w:p>
        </w:tc>
      </w:tr>
      <w:tr w:rsidR="00520D2C" w:rsidRPr="00C279E0" w14:paraId="2D9B6EB0"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3C79C15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MAE</w:t>
            </w:r>
          </w:p>
        </w:tc>
        <w:tc>
          <w:tcPr>
            <w:tcW w:w="1286" w:type="dxa"/>
            <w:tcBorders>
              <w:top w:val="single" w:sz="8" w:space="0" w:color="AEAEAE"/>
              <w:left w:val="nil"/>
              <w:bottom w:val="single" w:sz="8" w:space="0" w:color="AEAEAE"/>
              <w:right w:val="single" w:sz="8" w:space="0" w:color="E0E0E0"/>
            </w:tcBorders>
            <w:shd w:val="clear" w:color="auto" w:fill="F9F9FB"/>
          </w:tcPr>
          <w:p w14:paraId="25FB851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D2CC22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92232D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3005D4B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c>
          <w:tcPr>
            <w:tcW w:w="1286" w:type="dxa"/>
            <w:tcBorders>
              <w:top w:val="single" w:sz="8" w:space="0" w:color="AEAEAE"/>
              <w:left w:val="single" w:sz="8" w:space="0" w:color="E0E0E0"/>
              <w:bottom w:val="single" w:sz="8" w:space="0" w:color="AEAEAE"/>
              <w:right w:val="nil"/>
            </w:tcBorders>
            <w:shd w:val="clear" w:color="auto" w:fill="F9F9FB"/>
          </w:tcPr>
          <w:p w14:paraId="6ABE9D0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1.595</w:t>
            </w:r>
          </w:p>
        </w:tc>
      </w:tr>
      <w:tr w:rsidR="00520D2C" w:rsidRPr="00C279E0" w14:paraId="739092BE" w14:textId="77777777" w:rsidTr="00937F3B">
        <w:trPr>
          <w:cantSplit/>
        </w:trPr>
        <w:tc>
          <w:tcPr>
            <w:tcW w:w="2592" w:type="dxa"/>
            <w:tcBorders>
              <w:top w:val="single" w:sz="8" w:space="0" w:color="AEAEAE"/>
              <w:left w:val="nil"/>
              <w:bottom w:val="single" w:sz="8" w:space="0" w:color="AEAEAE"/>
              <w:right w:val="nil"/>
            </w:tcBorders>
            <w:shd w:val="clear" w:color="auto" w:fill="E0E0E0"/>
          </w:tcPr>
          <w:p w14:paraId="3EF2188D"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MaxAE</w:t>
            </w:r>
          </w:p>
        </w:tc>
        <w:tc>
          <w:tcPr>
            <w:tcW w:w="1286" w:type="dxa"/>
            <w:tcBorders>
              <w:top w:val="single" w:sz="8" w:space="0" w:color="AEAEAE"/>
              <w:left w:val="nil"/>
              <w:bottom w:val="single" w:sz="8" w:space="0" w:color="AEAEAE"/>
              <w:right w:val="single" w:sz="8" w:space="0" w:color="E0E0E0"/>
            </w:tcBorders>
            <w:shd w:val="clear" w:color="auto" w:fill="F9F9FB"/>
          </w:tcPr>
          <w:p w14:paraId="68A49F0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0E76C10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CD783A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286" w:type="dxa"/>
            <w:tcBorders>
              <w:top w:val="single" w:sz="8" w:space="0" w:color="AEAEAE"/>
              <w:left w:val="single" w:sz="8" w:space="0" w:color="E0E0E0"/>
              <w:bottom w:val="single" w:sz="8" w:space="0" w:color="AEAEAE"/>
              <w:right w:val="single" w:sz="8" w:space="0" w:color="E0E0E0"/>
            </w:tcBorders>
            <w:shd w:val="clear" w:color="auto" w:fill="F9F9FB"/>
          </w:tcPr>
          <w:p w14:paraId="72E194C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c>
          <w:tcPr>
            <w:tcW w:w="1286" w:type="dxa"/>
            <w:tcBorders>
              <w:top w:val="single" w:sz="8" w:space="0" w:color="AEAEAE"/>
              <w:left w:val="single" w:sz="8" w:space="0" w:color="E0E0E0"/>
              <w:bottom w:val="single" w:sz="8" w:space="0" w:color="AEAEAE"/>
              <w:right w:val="nil"/>
            </w:tcBorders>
            <w:shd w:val="clear" w:color="auto" w:fill="F9F9FB"/>
          </w:tcPr>
          <w:p w14:paraId="53154F5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5.629</w:t>
            </w:r>
          </w:p>
        </w:tc>
      </w:tr>
      <w:tr w:rsidR="00520D2C" w:rsidRPr="00C279E0" w14:paraId="2BBBAA7D" w14:textId="77777777" w:rsidTr="00937F3B">
        <w:trPr>
          <w:cantSplit/>
        </w:trPr>
        <w:tc>
          <w:tcPr>
            <w:tcW w:w="2592" w:type="dxa"/>
            <w:tcBorders>
              <w:top w:val="single" w:sz="8" w:space="0" w:color="AEAEAE"/>
              <w:left w:val="nil"/>
              <w:bottom w:val="single" w:sz="8" w:space="0" w:color="152935"/>
              <w:right w:val="nil"/>
            </w:tcBorders>
            <w:shd w:val="clear" w:color="auto" w:fill="E0E0E0"/>
          </w:tcPr>
          <w:p w14:paraId="0C5A6555"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Normalized BIC</w:t>
            </w:r>
          </w:p>
        </w:tc>
        <w:tc>
          <w:tcPr>
            <w:tcW w:w="1286" w:type="dxa"/>
            <w:tcBorders>
              <w:top w:val="single" w:sz="8" w:space="0" w:color="AEAEAE"/>
              <w:left w:val="nil"/>
              <w:bottom w:val="single" w:sz="8" w:space="0" w:color="152935"/>
              <w:right w:val="single" w:sz="8" w:space="0" w:color="E0E0E0"/>
            </w:tcBorders>
            <w:shd w:val="clear" w:color="auto" w:fill="F9F9FB"/>
          </w:tcPr>
          <w:p w14:paraId="02EE2D59"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064E5D0B"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07541AD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286" w:type="dxa"/>
            <w:tcBorders>
              <w:top w:val="single" w:sz="8" w:space="0" w:color="AEAEAE"/>
              <w:left w:val="single" w:sz="8" w:space="0" w:color="E0E0E0"/>
              <w:bottom w:val="single" w:sz="8" w:space="0" w:color="152935"/>
              <w:right w:val="single" w:sz="8" w:space="0" w:color="E0E0E0"/>
            </w:tcBorders>
            <w:shd w:val="clear" w:color="auto" w:fill="F9F9FB"/>
          </w:tcPr>
          <w:p w14:paraId="409631D0"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c>
          <w:tcPr>
            <w:tcW w:w="1286" w:type="dxa"/>
            <w:tcBorders>
              <w:top w:val="single" w:sz="8" w:space="0" w:color="AEAEAE"/>
              <w:left w:val="single" w:sz="8" w:space="0" w:color="E0E0E0"/>
              <w:bottom w:val="single" w:sz="8" w:space="0" w:color="152935"/>
              <w:right w:val="nil"/>
            </w:tcBorders>
            <w:shd w:val="clear" w:color="auto" w:fill="F9F9FB"/>
          </w:tcPr>
          <w:p w14:paraId="5D01DE5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2.104</w:t>
            </w:r>
          </w:p>
        </w:tc>
      </w:tr>
    </w:tbl>
    <w:p w14:paraId="5988530D"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5DE70B2A"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69"/>
        <w:gridCol w:w="1472"/>
        <w:gridCol w:w="1472"/>
        <w:gridCol w:w="1058"/>
        <w:gridCol w:w="1026"/>
        <w:gridCol w:w="1026"/>
      </w:tblGrid>
      <w:tr w:rsidR="00520D2C" w:rsidRPr="00C279E0" w14:paraId="4B0F647F" w14:textId="77777777" w:rsidTr="00937F3B">
        <w:trPr>
          <w:cantSplit/>
        </w:trPr>
        <w:tc>
          <w:tcPr>
            <w:tcW w:w="8319" w:type="dxa"/>
            <w:gridSpan w:val="6"/>
            <w:tcBorders>
              <w:top w:val="nil"/>
              <w:left w:val="nil"/>
              <w:bottom w:val="nil"/>
              <w:right w:val="nil"/>
            </w:tcBorders>
            <w:shd w:val="clear" w:color="auto" w:fill="FFFFFF"/>
            <w:vAlign w:val="center"/>
          </w:tcPr>
          <w:p w14:paraId="03A42440"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07555F00" w14:textId="77777777" w:rsidTr="00937F3B">
        <w:trPr>
          <w:cantSplit/>
        </w:trPr>
        <w:tc>
          <w:tcPr>
            <w:tcW w:w="2268" w:type="dxa"/>
            <w:vMerge w:val="restart"/>
            <w:tcBorders>
              <w:top w:val="nil"/>
              <w:left w:val="nil"/>
              <w:bottom w:val="nil"/>
              <w:right w:val="nil"/>
            </w:tcBorders>
            <w:shd w:val="clear" w:color="auto" w:fill="FFFFFF"/>
            <w:vAlign w:val="bottom"/>
          </w:tcPr>
          <w:p w14:paraId="288F2D49"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471" w:type="dxa"/>
            <w:vMerge w:val="restart"/>
            <w:tcBorders>
              <w:top w:val="nil"/>
              <w:left w:val="nil"/>
              <w:bottom w:val="nil"/>
              <w:right w:val="single" w:sz="8" w:space="0" w:color="E0E0E0"/>
            </w:tcBorders>
            <w:shd w:val="clear" w:color="auto" w:fill="FFFFFF"/>
            <w:vAlign w:val="bottom"/>
          </w:tcPr>
          <w:p w14:paraId="17C9187F"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Predictors</w:t>
            </w:r>
          </w:p>
        </w:tc>
        <w:tc>
          <w:tcPr>
            <w:tcW w:w="1471" w:type="dxa"/>
            <w:tcBorders>
              <w:top w:val="nil"/>
              <w:left w:val="single" w:sz="8" w:space="0" w:color="E0E0E0"/>
              <w:bottom w:val="nil"/>
              <w:right w:val="single" w:sz="8" w:space="0" w:color="E0E0E0"/>
            </w:tcBorders>
            <w:shd w:val="clear" w:color="auto" w:fill="FFFFFF"/>
            <w:vAlign w:val="bottom"/>
          </w:tcPr>
          <w:p w14:paraId="18BD84D9"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 Fit statistics</w:t>
            </w:r>
          </w:p>
        </w:tc>
        <w:tc>
          <w:tcPr>
            <w:tcW w:w="3109" w:type="dxa"/>
            <w:gridSpan w:val="3"/>
            <w:tcBorders>
              <w:top w:val="nil"/>
              <w:left w:val="single" w:sz="8" w:space="0" w:color="E0E0E0"/>
              <w:bottom w:val="nil"/>
              <w:right w:val="nil"/>
            </w:tcBorders>
            <w:shd w:val="clear" w:color="auto" w:fill="FFFFFF"/>
            <w:vAlign w:val="bottom"/>
          </w:tcPr>
          <w:p w14:paraId="399E41F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Ljung-Box Q(18)</w:t>
            </w:r>
          </w:p>
        </w:tc>
      </w:tr>
      <w:tr w:rsidR="00520D2C" w:rsidRPr="00C279E0" w14:paraId="232ADD41" w14:textId="77777777" w:rsidTr="00937F3B">
        <w:trPr>
          <w:cantSplit/>
        </w:trPr>
        <w:tc>
          <w:tcPr>
            <w:tcW w:w="2268" w:type="dxa"/>
            <w:vMerge/>
            <w:tcBorders>
              <w:top w:val="nil"/>
              <w:left w:val="nil"/>
              <w:bottom w:val="nil"/>
              <w:right w:val="nil"/>
            </w:tcBorders>
            <w:shd w:val="clear" w:color="auto" w:fill="FFFFFF"/>
            <w:vAlign w:val="bottom"/>
          </w:tcPr>
          <w:p w14:paraId="712A344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vMerge/>
            <w:tcBorders>
              <w:top w:val="nil"/>
              <w:left w:val="nil"/>
              <w:bottom w:val="nil"/>
              <w:right w:val="single" w:sz="8" w:space="0" w:color="E0E0E0"/>
            </w:tcBorders>
            <w:shd w:val="clear" w:color="auto" w:fill="FFFFFF"/>
            <w:vAlign w:val="bottom"/>
          </w:tcPr>
          <w:p w14:paraId="7B255BB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633D65E8"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Stationary R-squared</w:t>
            </w:r>
          </w:p>
        </w:tc>
        <w:tc>
          <w:tcPr>
            <w:tcW w:w="1057" w:type="dxa"/>
            <w:tcBorders>
              <w:top w:val="nil"/>
              <w:left w:val="single" w:sz="8" w:space="0" w:color="E0E0E0"/>
              <w:bottom w:val="single" w:sz="8" w:space="0" w:color="152935"/>
              <w:right w:val="single" w:sz="8" w:space="0" w:color="E0E0E0"/>
            </w:tcBorders>
            <w:shd w:val="clear" w:color="auto" w:fill="FFFFFF"/>
            <w:vAlign w:val="bottom"/>
          </w:tcPr>
          <w:p w14:paraId="457B660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Statistics</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2A06C25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DF</w:t>
            </w:r>
          </w:p>
        </w:tc>
        <w:tc>
          <w:tcPr>
            <w:tcW w:w="1026" w:type="dxa"/>
            <w:tcBorders>
              <w:top w:val="nil"/>
              <w:left w:val="single" w:sz="8" w:space="0" w:color="E0E0E0"/>
              <w:bottom w:val="single" w:sz="8" w:space="0" w:color="152935"/>
              <w:right w:val="nil"/>
            </w:tcBorders>
            <w:shd w:val="clear" w:color="auto" w:fill="FFFFFF"/>
            <w:vAlign w:val="bottom"/>
          </w:tcPr>
          <w:p w14:paraId="605B21C1"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6A65DFA2" w14:textId="77777777" w:rsidTr="00937F3B">
        <w:trPr>
          <w:cantSplit/>
        </w:trPr>
        <w:tc>
          <w:tcPr>
            <w:tcW w:w="2268" w:type="dxa"/>
            <w:tcBorders>
              <w:top w:val="single" w:sz="8" w:space="0" w:color="152935"/>
              <w:left w:val="nil"/>
              <w:bottom w:val="single" w:sz="8" w:space="0" w:color="152935"/>
              <w:right w:val="nil"/>
            </w:tcBorders>
            <w:shd w:val="clear" w:color="auto" w:fill="E0E0E0"/>
          </w:tcPr>
          <w:p w14:paraId="3E76CEEB"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Exchange.rate-Model_1</w:t>
            </w:r>
          </w:p>
        </w:tc>
        <w:tc>
          <w:tcPr>
            <w:tcW w:w="1471" w:type="dxa"/>
            <w:tcBorders>
              <w:top w:val="single" w:sz="8" w:space="0" w:color="152935"/>
              <w:left w:val="nil"/>
              <w:bottom w:val="single" w:sz="8" w:space="0" w:color="152935"/>
              <w:right w:val="single" w:sz="8" w:space="0" w:color="E0E0E0"/>
            </w:tcBorders>
            <w:shd w:val="clear" w:color="auto" w:fill="F9F9FB"/>
          </w:tcPr>
          <w:p w14:paraId="6EECF212"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471" w:type="dxa"/>
            <w:tcBorders>
              <w:top w:val="single" w:sz="8" w:space="0" w:color="152935"/>
              <w:left w:val="single" w:sz="8" w:space="0" w:color="E0E0E0"/>
              <w:bottom w:val="single" w:sz="8" w:space="0" w:color="152935"/>
              <w:right w:val="single" w:sz="8" w:space="0" w:color="E0E0E0"/>
            </w:tcBorders>
            <w:shd w:val="clear" w:color="auto" w:fill="F9F9FB"/>
          </w:tcPr>
          <w:p w14:paraId="130FA18A"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.099</w:t>
            </w:r>
          </w:p>
        </w:tc>
        <w:tc>
          <w:tcPr>
            <w:tcW w:w="1057" w:type="dxa"/>
            <w:tcBorders>
              <w:top w:val="single" w:sz="8" w:space="0" w:color="152935"/>
              <w:left w:val="single" w:sz="8" w:space="0" w:color="E0E0E0"/>
              <w:bottom w:val="single" w:sz="8" w:space="0" w:color="152935"/>
              <w:right w:val="single" w:sz="8" w:space="0" w:color="E0E0E0"/>
            </w:tcBorders>
            <w:shd w:val="clear" w:color="auto" w:fill="F9F9FB"/>
          </w:tcPr>
          <w:p w14:paraId="59B4EE7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c>
          <w:tcPr>
            <w:tcW w:w="1026" w:type="dxa"/>
            <w:tcBorders>
              <w:top w:val="single" w:sz="8" w:space="0" w:color="152935"/>
              <w:left w:val="single" w:sz="8" w:space="0" w:color="E0E0E0"/>
              <w:bottom w:val="single" w:sz="8" w:space="0" w:color="152935"/>
              <w:right w:val="single" w:sz="8" w:space="0" w:color="E0E0E0"/>
            </w:tcBorders>
            <w:shd w:val="clear" w:color="auto" w:fill="F9F9FB"/>
          </w:tcPr>
          <w:p w14:paraId="0D2E3CE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c>
          <w:tcPr>
            <w:tcW w:w="1026" w:type="dxa"/>
            <w:tcBorders>
              <w:top w:val="single" w:sz="8" w:space="0" w:color="152935"/>
              <w:left w:val="single" w:sz="8" w:space="0" w:color="E0E0E0"/>
              <w:bottom w:val="single" w:sz="8" w:space="0" w:color="152935"/>
              <w:right w:val="nil"/>
            </w:tcBorders>
            <w:shd w:val="clear" w:color="auto" w:fill="F9F9FB"/>
          </w:tcPr>
          <w:p w14:paraId="41E4322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w:t>
            </w:r>
          </w:p>
        </w:tc>
      </w:tr>
    </w:tbl>
    <w:p w14:paraId="61412A48"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75"/>
        <w:gridCol w:w="3550"/>
      </w:tblGrid>
      <w:tr w:rsidR="00520D2C" w:rsidRPr="00C279E0" w14:paraId="4796A63A" w14:textId="77777777" w:rsidTr="00937F3B">
        <w:trPr>
          <w:cantSplit/>
        </w:trPr>
        <w:tc>
          <w:tcPr>
            <w:tcW w:w="9024" w:type="dxa"/>
            <w:gridSpan w:val="2"/>
            <w:tcBorders>
              <w:top w:val="nil"/>
              <w:left w:val="nil"/>
              <w:bottom w:val="nil"/>
              <w:right w:val="nil"/>
            </w:tcBorders>
            <w:shd w:val="clear" w:color="auto" w:fill="FFFFFF"/>
            <w:vAlign w:val="center"/>
          </w:tcPr>
          <w:p w14:paraId="1C000398"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Model Statistics</w:t>
            </w:r>
          </w:p>
        </w:tc>
      </w:tr>
      <w:tr w:rsidR="00520D2C" w:rsidRPr="00C279E0" w14:paraId="5354FBB5" w14:textId="77777777" w:rsidTr="00937F3B">
        <w:trPr>
          <w:cantSplit/>
          <w:trHeight w:val="320"/>
        </w:trPr>
        <w:tc>
          <w:tcPr>
            <w:tcW w:w="5474" w:type="dxa"/>
            <w:vMerge w:val="restart"/>
            <w:tcBorders>
              <w:top w:val="nil"/>
              <w:left w:val="nil"/>
              <w:bottom w:val="nil"/>
              <w:right w:val="nil"/>
            </w:tcBorders>
            <w:shd w:val="clear" w:color="auto" w:fill="FFFFFF"/>
            <w:vAlign w:val="bottom"/>
          </w:tcPr>
          <w:p w14:paraId="7973C7E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3550" w:type="dxa"/>
            <w:vMerge w:val="restart"/>
            <w:tcBorders>
              <w:top w:val="nil"/>
              <w:left w:val="nil"/>
              <w:bottom w:val="nil"/>
              <w:right w:val="nil"/>
            </w:tcBorders>
            <w:shd w:val="clear" w:color="auto" w:fill="FFFFFF"/>
            <w:vAlign w:val="bottom"/>
          </w:tcPr>
          <w:p w14:paraId="69C8B1AC"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Number of Outliers</w:t>
            </w:r>
          </w:p>
        </w:tc>
      </w:tr>
      <w:tr w:rsidR="00520D2C" w:rsidRPr="00C279E0" w14:paraId="48E3DD3A" w14:textId="77777777" w:rsidTr="00937F3B">
        <w:trPr>
          <w:cantSplit/>
          <w:trHeight w:val="207"/>
        </w:trPr>
        <w:tc>
          <w:tcPr>
            <w:tcW w:w="5474" w:type="dxa"/>
            <w:vMerge/>
            <w:tcBorders>
              <w:top w:val="nil"/>
              <w:left w:val="nil"/>
              <w:bottom w:val="nil"/>
              <w:right w:val="nil"/>
            </w:tcBorders>
            <w:shd w:val="clear" w:color="auto" w:fill="FFFFFF"/>
            <w:vAlign w:val="bottom"/>
          </w:tcPr>
          <w:p w14:paraId="7E4941FD"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c>
          <w:tcPr>
            <w:tcW w:w="3550" w:type="dxa"/>
            <w:vMerge/>
            <w:tcBorders>
              <w:top w:val="nil"/>
              <w:left w:val="nil"/>
              <w:bottom w:val="nil"/>
              <w:right w:val="nil"/>
            </w:tcBorders>
            <w:shd w:val="clear" w:color="auto" w:fill="FFFFFF"/>
            <w:vAlign w:val="bottom"/>
          </w:tcPr>
          <w:p w14:paraId="5B75950C"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264A60"/>
                <w:sz w:val="18"/>
                <w:szCs w:val="18"/>
                <w:lang w:eastAsia="fr-FR"/>
              </w:rPr>
            </w:pPr>
          </w:p>
        </w:tc>
      </w:tr>
      <w:tr w:rsidR="00520D2C" w:rsidRPr="00C279E0" w14:paraId="12ED1336" w14:textId="77777777" w:rsidTr="00937F3B">
        <w:trPr>
          <w:cantSplit/>
        </w:trPr>
        <w:tc>
          <w:tcPr>
            <w:tcW w:w="5474" w:type="dxa"/>
            <w:tcBorders>
              <w:top w:val="single" w:sz="8" w:space="0" w:color="152935"/>
              <w:left w:val="nil"/>
              <w:bottom w:val="single" w:sz="8" w:space="0" w:color="152935"/>
              <w:right w:val="nil"/>
            </w:tcBorders>
            <w:shd w:val="clear" w:color="auto" w:fill="E0E0E0"/>
          </w:tcPr>
          <w:p w14:paraId="68AADB2D"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Exchange.rate-Model_1</w:t>
            </w:r>
          </w:p>
        </w:tc>
        <w:tc>
          <w:tcPr>
            <w:tcW w:w="3550" w:type="dxa"/>
            <w:tcBorders>
              <w:top w:val="single" w:sz="8" w:space="0" w:color="152935"/>
              <w:left w:val="nil"/>
              <w:bottom w:val="single" w:sz="8" w:space="0" w:color="152935"/>
              <w:right w:val="nil"/>
            </w:tcBorders>
            <w:shd w:val="clear" w:color="auto" w:fill="F9F9FB"/>
          </w:tcPr>
          <w:p w14:paraId="7DA736C5"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w:t>
            </w:r>
          </w:p>
        </w:tc>
      </w:tr>
    </w:tbl>
    <w:p w14:paraId="2C06CAF8"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1BA56975"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tbl>
      <w:tblPr>
        <w:tblW w:w="84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68"/>
        <w:gridCol w:w="1870"/>
        <w:gridCol w:w="2284"/>
        <w:gridCol w:w="1041"/>
        <w:gridCol w:w="1026"/>
      </w:tblGrid>
      <w:tr w:rsidR="00520D2C" w:rsidRPr="00C279E0" w14:paraId="1E317964" w14:textId="77777777" w:rsidTr="00937F3B">
        <w:trPr>
          <w:cantSplit/>
        </w:trPr>
        <w:tc>
          <w:tcPr>
            <w:tcW w:w="8486" w:type="dxa"/>
            <w:gridSpan w:val="5"/>
            <w:tcBorders>
              <w:top w:val="nil"/>
              <w:left w:val="nil"/>
              <w:bottom w:val="nil"/>
              <w:right w:val="nil"/>
            </w:tcBorders>
            <w:shd w:val="clear" w:color="auto" w:fill="FFFFFF"/>
            <w:vAlign w:val="center"/>
          </w:tcPr>
          <w:p w14:paraId="33CB6D6B"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43CC3396" w14:textId="77777777" w:rsidTr="00937F3B">
        <w:trPr>
          <w:cantSplit/>
        </w:trPr>
        <w:tc>
          <w:tcPr>
            <w:tcW w:w="6419" w:type="dxa"/>
            <w:gridSpan w:val="3"/>
            <w:tcBorders>
              <w:top w:val="nil"/>
              <w:left w:val="nil"/>
              <w:bottom w:val="single" w:sz="8" w:space="0" w:color="152935"/>
              <w:right w:val="nil"/>
            </w:tcBorders>
            <w:shd w:val="clear" w:color="auto" w:fill="FFFFFF"/>
            <w:vAlign w:val="bottom"/>
          </w:tcPr>
          <w:p w14:paraId="6B0AAAC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041" w:type="dxa"/>
            <w:tcBorders>
              <w:top w:val="nil"/>
              <w:left w:val="nil"/>
              <w:bottom w:val="single" w:sz="8" w:space="0" w:color="152935"/>
              <w:right w:val="single" w:sz="8" w:space="0" w:color="E0E0E0"/>
            </w:tcBorders>
            <w:shd w:val="clear" w:color="auto" w:fill="FFFFFF"/>
            <w:vAlign w:val="bottom"/>
          </w:tcPr>
          <w:p w14:paraId="13473A2A"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Estimate</w:t>
            </w:r>
          </w:p>
        </w:tc>
        <w:tc>
          <w:tcPr>
            <w:tcW w:w="1026" w:type="dxa"/>
            <w:tcBorders>
              <w:top w:val="nil"/>
              <w:left w:val="single" w:sz="8" w:space="0" w:color="E0E0E0"/>
              <w:bottom w:val="single" w:sz="8" w:space="0" w:color="152935"/>
              <w:right w:val="nil"/>
            </w:tcBorders>
            <w:shd w:val="clear" w:color="auto" w:fill="FFFFFF"/>
            <w:vAlign w:val="bottom"/>
          </w:tcPr>
          <w:p w14:paraId="2E8F2005"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SE</w:t>
            </w:r>
          </w:p>
        </w:tc>
      </w:tr>
      <w:tr w:rsidR="00520D2C" w:rsidRPr="00C279E0" w14:paraId="1C545D25" w14:textId="77777777" w:rsidTr="00937F3B">
        <w:trPr>
          <w:cantSplit/>
        </w:trPr>
        <w:tc>
          <w:tcPr>
            <w:tcW w:w="2267" w:type="dxa"/>
            <w:tcBorders>
              <w:top w:val="single" w:sz="8" w:space="0" w:color="152935"/>
              <w:left w:val="nil"/>
              <w:bottom w:val="single" w:sz="8" w:space="0" w:color="152935"/>
              <w:right w:val="nil"/>
            </w:tcBorders>
            <w:shd w:val="clear" w:color="auto" w:fill="E0E0E0"/>
          </w:tcPr>
          <w:p w14:paraId="0BE3DE2F"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Exchange.rate-Model_1</w:t>
            </w:r>
          </w:p>
        </w:tc>
        <w:tc>
          <w:tcPr>
            <w:tcW w:w="1869" w:type="dxa"/>
            <w:tcBorders>
              <w:top w:val="single" w:sz="8" w:space="0" w:color="152935"/>
              <w:left w:val="nil"/>
              <w:bottom w:val="single" w:sz="8" w:space="0" w:color="152935"/>
              <w:right w:val="nil"/>
            </w:tcBorders>
            <w:shd w:val="clear" w:color="auto" w:fill="E0E0E0"/>
          </w:tcPr>
          <w:p w14:paraId="3FCF58A3"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2283" w:type="dxa"/>
            <w:tcBorders>
              <w:top w:val="single" w:sz="8" w:space="0" w:color="152935"/>
              <w:left w:val="nil"/>
              <w:bottom w:val="single" w:sz="8" w:space="0" w:color="152935"/>
              <w:right w:val="nil"/>
            </w:tcBorders>
            <w:shd w:val="clear" w:color="auto" w:fill="E0E0E0"/>
          </w:tcPr>
          <w:p w14:paraId="10883B76"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 and Trend)</w:t>
            </w:r>
          </w:p>
        </w:tc>
        <w:tc>
          <w:tcPr>
            <w:tcW w:w="1041" w:type="dxa"/>
            <w:tcBorders>
              <w:top w:val="single" w:sz="8" w:space="0" w:color="152935"/>
              <w:left w:val="nil"/>
              <w:bottom w:val="single" w:sz="8" w:space="0" w:color="152935"/>
              <w:right w:val="single" w:sz="8" w:space="0" w:color="E0E0E0"/>
            </w:tcBorders>
            <w:shd w:val="clear" w:color="auto" w:fill="F9F9FB"/>
          </w:tcPr>
          <w:p w14:paraId="555DD3F7"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.829</w:t>
            </w:r>
          </w:p>
        </w:tc>
        <w:tc>
          <w:tcPr>
            <w:tcW w:w="1026" w:type="dxa"/>
            <w:tcBorders>
              <w:top w:val="single" w:sz="8" w:space="0" w:color="152935"/>
              <w:left w:val="single" w:sz="8" w:space="0" w:color="E0E0E0"/>
              <w:bottom w:val="single" w:sz="8" w:space="0" w:color="152935"/>
              <w:right w:val="nil"/>
            </w:tcBorders>
            <w:shd w:val="clear" w:color="auto" w:fill="F9F9FB"/>
          </w:tcPr>
          <w:p w14:paraId="0B998A1E"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.160</w:t>
            </w:r>
          </w:p>
        </w:tc>
      </w:tr>
    </w:tbl>
    <w:p w14:paraId="6B86096A" w14:textId="77777777" w:rsidR="00520D2C" w:rsidRPr="00C279E0" w:rsidRDefault="00520D2C" w:rsidP="00C279E0">
      <w:pPr>
        <w:widowControl w:val="0"/>
        <w:autoSpaceDE w:val="0"/>
        <w:autoSpaceDN w:val="0"/>
        <w:adjustRightInd w:val="0"/>
        <w:spacing w:after="0" w:line="240" w:lineRule="auto"/>
        <w:rPr>
          <w:rFonts w:ascii="Arial" w:eastAsia="Times New Roman" w:hAnsi="Arial" w:cs="Arial"/>
          <w:color w:val="010205"/>
          <w:sz w:val="18"/>
          <w:szCs w:val="18"/>
          <w:lang w:eastAsia="fr-FR"/>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16"/>
        <w:gridCol w:w="1991"/>
        <w:gridCol w:w="2432"/>
        <w:gridCol w:w="1093"/>
        <w:gridCol w:w="1093"/>
      </w:tblGrid>
      <w:tr w:rsidR="00520D2C" w:rsidRPr="00C279E0" w14:paraId="52BE8959" w14:textId="77777777" w:rsidTr="00937F3B">
        <w:trPr>
          <w:cantSplit/>
        </w:trPr>
        <w:tc>
          <w:tcPr>
            <w:tcW w:w="9023" w:type="dxa"/>
            <w:gridSpan w:val="5"/>
            <w:tcBorders>
              <w:top w:val="nil"/>
              <w:left w:val="nil"/>
              <w:bottom w:val="nil"/>
              <w:right w:val="nil"/>
            </w:tcBorders>
            <w:shd w:val="clear" w:color="auto" w:fill="FFFFFF"/>
            <w:vAlign w:val="center"/>
          </w:tcPr>
          <w:p w14:paraId="10241176"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010205"/>
                <w:lang w:eastAsia="fr-FR"/>
              </w:rPr>
            </w:pPr>
            <w:r w:rsidRPr="00C279E0">
              <w:rPr>
                <w:rFonts w:ascii="Arial" w:eastAsia="Times New Roman" w:hAnsi="Arial" w:cs="Arial"/>
                <w:b/>
                <w:bCs/>
                <w:color w:val="010205"/>
                <w:lang w:eastAsia="fr-FR"/>
              </w:rPr>
              <w:t>Exponential Smoothing Model Parameters</w:t>
            </w:r>
          </w:p>
        </w:tc>
      </w:tr>
      <w:tr w:rsidR="00520D2C" w:rsidRPr="00C279E0" w14:paraId="1E534FE5" w14:textId="77777777" w:rsidTr="00937F3B">
        <w:trPr>
          <w:cantSplit/>
        </w:trPr>
        <w:tc>
          <w:tcPr>
            <w:tcW w:w="6837" w:type="dxa"/>
            <w:gridSpan w:val="3"/>
            <w:tcBorders>
              <w:top w:val="nil"/>
              <w:left w:val="nil"/>
              <w:bottom w:val="single" w:sz="8" w:space="0" w:color="152935"/>
              <w:right w:val="nil"/>
            </w:tcBorders>
            <w:shd w:val="clear" w:color="auto" w:fill="FFFFFF"/>
            <w:vAlign w:val="bottom"/>
          </w:tcPr>
          <w:p w14:paraId="72A7FEF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Model</w:t>
            </w:r>
          </w:p>
        </w:tc>
        <w:tc>
          <w:tcPr>
            <w:tcW w:w="1093" w:type="dxa"/>
            <w:tcBorders>
              <w:top w:val="nil"/>
              <w:left w:val="nil"/>
              <w:bottom w:val="single" w:sz="8" w:space="0" w:color="152935"/>
              <w:right w:val="single" w:sz="8" w:space="0" w:color="E0E0E0"/>
            </w:tcBorders>
            <w:shd w:val="clear" w:color="auto" w:fill="FFFFFF"/>
            <w:vAlign w:val="bottom"/>
          </w:tcPr>
          <w:p w14:paraId="31EDF9B7"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t</w:t>
            </w:r>
          </w:p>
        </w:tc>
        <w:tc>
          <w:tcPr>
            <w:tcW w:w="1093" w:type="dxa"/>
            <w:tcBorders>
              <w:top w:val="nil"/>
              <w:left w:val="single" w:sz="8" w:space="0" w:color="E0E0E0"/>
              <w:bottom w:val="single" w:sz="8" w:space="0" w:color="152935"/>
              <w:right w:val="nil"/>
            </w:tcBorders>
            <w:shd w:val="clear" w:color="auto" w:fill="FFFFFF"/>
            <w:vAlign w:val="bottom"/>
          </w:tcPr>
          <w:p w14:paraId="1191B82D" w14:textId="77777777" w:rsidR="00520D2C" w:rsidRPr="00C279E0" w:rsidRDefault="00520D2C" w:rsidP="00C279E0">
            <w:pPr>
              <w:widowControl w:val="0"/>
              <w:autoSpaceDE w:val="0"/>
              <w:autoSpaceDN w:val="0"/>
              <w:adjustRightInd w:val="0"/>
              <w:spacing w:after="0" w:line="320" w:lineRule="atLeast"/>
              <w:ind w:left="60" w:right="60"/>
              <w:jc w:val="center"/>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Sig.</w:t>
            </w:r>
          </w:p>
        </w:tc>
      </w:tr>
      <w:tr w:rsidR="00520D2C" w:rsidRPr="00C279E0" w14:paraId="44B91AC5" w14:textId="77777777" w:rsidTr="00937F3B">
        <w:trPr>
          <w:cantSplit/>
        </w:trPr>
        <w:tc>
          <w:tcPr>
            <w:tcW w:w="2415" w:type="dxa"/>
            <w:tcBorders>
              <w:top w:val="single" w:sz="8" w:space="0" w:color="152935"/>
              <w:left w:val="nil"/>
              <w:bottom w:val="single" w:sz="8" w:space="0" w:color="152935"/>
              <w:right w:val="nil"/>
            </w:tcBorders>
            <w:shd w:val="clear" w:color="auto" w:fill="E0E0E0"/>
          </w:tcPr>
          <w:p w14:paraId="7D2CCAD8"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Exchange.rate-Model_1</w:t>
            </w:r>
          </w:p>
        </w:tc>
        <w:tc>
          <w:tcPr>
            <w:tcW w:w="1991" w:type="dxa"/>
            <w:tcBorders>
              <w:top w:val="single" w:sz="8" w:space="0" w:color="152935"/>
              <w:left w:val="nil"/>
              <w:bottom w:val="single" w:sz="8" w:space="0" w:color="152935"/>
              <w:right w:val="nil"/>
            </w:tcBorders>
            <w:shd w:val="clear" w:color="auto" w:fill="E0E0E0"/>
          </w:tcPr>
          <w:p w14:paraId="3A6ECBB0"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No Transformation</w:t>
            </w:r>
          </w:p>
        </w:tc>
        <w:tc>
          <w:tcPr>
            <w:tcW w:w="2431" w:type="dxa"/>
            <w:tcBorders>
              <w:top w:val="single" w:sz="8" w:space="0" w:color="152935"/>
              <w:left w:val="nil"/>
              <w:bottom w:val="single" w:sz="8" w:space="0" w:color="152935"/>
              <w:right w:val="nil"/>
            </w:tcBorders>
            <w:shd w:val="clear" w:color="auto" w:fill="E0E0E0"/>
          </w:tcPr>
          <w:p w14:paraId="4788E54C" w14:textId="77777777" w:rsidR="00520D2C" w:rsidRPr="00C279E0" w:rsidRDefault="00520D2C" w:rsidP="00C279E0">
            <w:pPr>
              <w:widowControl w:val="0"/>
              <w:autoSpaceDE w:val="0"/>
              <w:autoSpaceDN w:val="0"/>
              <w:adjustRightInd w:val="0"/>
              <w:spacing w:after="0" w:line="320" w:lineRule="atLeast"/>
              <w:ind w:left="60" w:right="60"/>
              <w:rPr>
                <w:rFonts w:ascii="Arial" w:eastAsia="Times New Roman" w:hAnsi="Arial" w:cs="Arial"/>
                <w:color w:val="264A60"/>
                <w:sz w:val="18"/>
                <w:szCs w:val="18"/>
                <w:lang w:eastAsia="fr-FR"/>
              </w:rPr>
            </w:pPr>
            <w:r w:rsidRPr="00C279E0">
              <w:rPr>
                <w:rFonts w:ascii="Arial" w:eastAsia="Times New Roman" w:hAnsi="Arial" w:cs="Arial"/>
                <w:color w:val="264A60"/>
                <w:sz w:val="18"/>
                <w:szCs w:val="18"/>
                <w:lang w:eastAsia="fr-FR"/>
              </w:rPr>
              <w:t>Alpha (Level and Trend)</w:t>
            </w:r>
          </w:p>
        </w:tc>
        <w:tc>
          <w:tcPr>
            <w:tcW w:w="1093" w:type="dxa"/>
            <w:tcBorders>
              <w:top w:val="single" w:sz="8" w:space="0" w:color="152935"/>
              <w:left w:val="nil"/>
              <w:bottom w:val="single" w:sz="8" w:space="0" w:color="152935"/>
              <w:right w:val="single" w:sz="8" w:space="0" w:color="E0E0E0"/>
            </w:tcBorders>
            <w:shd w:val="clear" w:color="auto" w:fill="F9F9FB"/>
          </w:tcPr>
          <w:p w14:paraId="69D15D96"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5.174</w:t>
            </w:r>
          </w:p>
        </w:tc>
        <w:tc>
          <w:tcPr>
            <w:tcW w:w="1093" w:type="dxa"/>
            <w:tcBorders>
              <w:top w:val="single" w:sz="8" w:space="0" w:color="152935"/>
              <w:left w:val="single" w:sz="8" w:space="0" w:color="E0E0E0"/>
              <w:bottom w:val="single" w:sz="8" w:space="0" w:color="152935"/>
              <w:right w:val="nil"/>
            </w:tcBorders>
            <w:shd w:val="clear" w:color="auto" w:fill="F9F9FB"/>
          </w:tcPr>
          <w:p w14:paraId="2000408D" w14:textId="77777777" w:rsidR="00520D2C" w:rsidRPr="00C279E0" w:rsidRDefault="00520D2C" w:rsidP="00C279E0">
            <w:pPr>
              <w:widowControl w:val="0"/>
              <w:autoSpaceDE w:val="0"/>
              <w:autoSpaceDN w:val="0"/>
              <w:adjustRightInd w:val="0"/>
              <w:spacing w:after="0" w:line="320" w:lineRule="atLeast"/>
              <w:ind w:left="60" w:right="60"/>
              <w:jc w:val="right"/>
              <w:rPr>
                <w:rFonts w:ascii="Arial" w:eastAsia="Times New Roman" w:hAnsi="Arial" w:cs="Arial"/>
                <w:color w:val="010205"/>
                <w:sz w:val="18"/>
                <w:szCs w:val="18"/>
                <w:lang w:eastAsia="fr-FR"/>
              </w:rPr>
            </w:pPr>
            <w:r w:rsidRPr="00C279E0">
              <w:rPr>
                <w:rFonts w:ascii="Arial" w:eastAsia="Times New Roman" w:hAnsi="Arial" w:cs="Arial"/>
                <w:color w:val="010205"/>
                <w:sz w:val="18"/>
                <w:szCs w:val="18"/>
                <w:lang w:eastAsia="fr-FR"/>
              </w:rPr>
              <w:t>.000</w:t>
            </w:r>
          </w:p>
        </w:tc>
      </w:tr>
    </w:tbl>
    <w:p w14:paraId="0C44BE3A" w14:textId="77777777" w:rsidR="00520D2C" w:rsidRPr="00C279E0" w:rsidRDefault="00520D2C" w:rsidP="00C279E0">
      <w:pPr>
        <w:widowControl w:val="0"/>
        <w:autoSpaceDE w:val="0"/>
        <w:autoSpaceDN w:val="0"/>
        <w:adjustRightInd w:val="0"/>
        <w:spacing w:after="0" w:line="400" w:lineRule="atLeast"/>
        <w:rPr>
          <w:rFonts w:ascii="Times New Roman" w:eastAsia="Times New Roman" w:hAnsi="Times New Roman" w:cs="Times New Roman"/>
          <w:sz w:val="24"/>
          <w:szCs w:val="24"/>
          <w:lang w:eastAsia="fr-FR"/>
        </w:rPr>
      </w:pPr>
    </w:p>
    <w:p w14:paraId="44427590" w14:textId="77777777" w:rsidR="00520D2C" w:rsidRPr="00C279E0" w:rsidRDefault="00520D2C" w:rsidP="00C279E0">
      <w:pPr>
        <w:widowControl w:val="0"/>
        <w:autoSpaceDE w:val="0"/>
        <w:autoSpaceDN w:val="0"/>
        <w:adjustRightInd w:val="0"/>
        <w:spacing w:after="0" w:line="240" w:lineRule="auto"/>
        <w:rPr>
          <w:rFonts w:ascii="Times New Roman" w:eastAsia="Times New Roman" w:hAnsi="Times New Roman" w:cs="Times New Roman"/>
          <w:sz w:val="24"/>
          <w:szCs w:val="24"/>
          <w:lang w:eastAsia="fr-FR"/>
        </w:rPr>
      </w:pPr>
      <w:r w:rsidRPr="00C279E0">
        <w:rPr>
          <w:rFonts w:ascii="Times New Roman" w:eastAsia="Times New Roman" w:hAnsi="Times New Roman" w:cs="Times New Roman"/>
          <w:noProof/>
          <w:sz w:val="24"/>
          <w:szCs w:val="24"/>
          <w:lang w:eastAsia="fr-FR"/>
        </w:rPr>
        <w:drawing>
          <wp:inline distT="0" distB="0" distL="0" distR="0" wp14:anchorId="62A49A88" wp14:editId="5FC92EAB">
            <wp:extent cx="5036024" cy="2715366"/>
            <wp:effectExtent l="0" t="0" r="0" b="889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44501" cy="2719937"/>
                    </a:xfrm>
                    <a:prstGeom prst="rect">
                      <a:avLst/>
                    </a:prstGeom>
                    <a:noFill/>
                    <a:ln>
                      <a:noFill/>
                    </a:ln>
                  </pic:spPr>
                </pic:pic>
              </a:graphicData>
            </a:graphic>
          </wp:inline>
        </w:drawing>
      </w:r>
    </w:p>
    <w:p w14:paraId="44A4DB85" w14:textId="77777777" w:rsidR="00520D2C" w:rsidRPr="00C279E0" w:rsidRDefault="00520D2C">
      <w:pPr>
        <w:rPr>
          <w:rFonts w:ascii="Arial" w:hAnsi="Arial" w:cs="Arial"/>
          <w:sz w:val="26"/>
          <w:szCs w:val="26"/>
        </w:rPr>
      </w:pPr>
    </w:p>
    <w:p w14:paraId="03865EBA" w14:textId="77777777" w:rsidR="00520D2C" w:rsidRPr="00C279E0" w:rsidRDefault="00520D2C">
      <w:pPr>
        <w:rPr>
          <w:rFonts w:ascii="Arial" w:hAnsi="Arial" w:cs="Arial"/>
          <w:sz w:val="26"/>
          <w:szCs w:val="26"/>
        </w:rPr>
      </w:pPr>
    </w:p>
    <w:p w14:paraId="54ECBE24" w14:textId="77777777" w:rsidR="00520D2C" w:rsidRDefault="00520D2C">
      <w:pPr>
        <w:rPr>
          <w:rFonts w:ascii="Arial" w:hAnsi="Arial" w:cs="Arial"/>
          <w:b/>
          <w:bCs/>
          <w:sz w:val="26"/>
          <w:szCs w:val="26"/>
        </w:rPr>
      </w:pPr>
      <w:r>
        <w:rPr>
          <w:rFonts w:ascii="Arial" w:hAnsi="Arial" w:cs="Arial"/>
          <w:b/>
          <w:bCs/>
          <w:sz w:val="26"/>
          <w:szCs w:val="26"/>
        </w:rPr>
        <w:t>Fréquences</w:t>
      </w:r>
    </w:p>
    <w:tbl>
      <w:tblPr>
        <w:tblW w:w="9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18"/>
        <w:gridCol w:w="1027"/>
        <w:gridCol w:w="1026"/>
        <w:gridCol w:w="1209"/>
        <w:gridCol w:w="1470"/>
        <w:gridCol w:w="1026"/>
        <w:gridCol w:w="1408"/>
      </w:tblGrid>
      <w:tr w:rsidR="00520D2C" w14:paraId="5EF7D3DC" w14:textId="77777777" w:rsidTr="00EB482A">
        <w:trPr>
          <w:cantSplit/>
        </w:trPr>
        <w:tc>
          <w:tcPr>
            <w:tcW w:w="9020" w:type="dxa"/>
            <w:gridSpan w:val="8"/>
            <w:tcBorders>
              <w:top w:val="nil"/>
              <w:left w:val="nil"/>
              <w:bottom w:val="nil"/>
              <w:right w:val="nil"/>
            </w:tcBorders>
            <w:shd w:val="clear" w:color="auto" w:fill="FFFFFF"/>
            <w:vAlign w:val="center"/>
          </w:tcPr>
          <w:p w14:paraId="19474A3D"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Statistiques</w:t>
            </w:r>
          </w:p>
        </w:tc>
      </w:tr>
      <w:tr w:rsidR="00520D2C" w14:paraId="4225392D" w14:textId="77777777" w:rsidTr="00EB482A">
        <w:trPr>
          <w:cantSplit/>
        </w:trPr>
        <w:tc>
          <w:tcPr>
            <w:tcW w:w="1854" w:type="dxa"/>
            <w:gridSpan w:val="2"/>
            <w:tcBorders>
              <w:top w:val="nil"/>
              <w:left w:val="nil"/>
              <w:bottom w:val="single" w:sz="8" w:space="0" w:color="152935"/>
              <w:right w:val="nil"/>
            </w:tcBorders>
            <w:shd w:val="clear" w:color="auto" w:fill="FFFFFF"/>
            <w:vAlign w:val="bottom"/>
          </w:tcPr>
          <w:p w14:paraId="6487869F" w14:textId="77777777" w:rsidR="00520D2C" w:rsidRDefault="00520D2C">
            <w:pPr>
              <w:rPr>
                <w:rFonts w:ascii="Times New Roman" w:hAnsi="Times New Roman" w:cs="Times New Roman"/>
              </w:rPr>
            </w:pPr>
          </w:p>
        </w:tc>
        <w:tc>
          <w:tcPr>
            <w:tcW w:w="1027" w:type="dxa"/>
            <w:tcBorders>
              <w:top w:val="nil"/>
              <w:left w:val="nil"/>
              <w:bottom w:val="single" w:sz="8" w:space="0" w:color="152935"/>
              <w:right w:val="single" w:sz="8" w:space="0" w:color="E0E0E0"/>
            </w:tcBorders>
            <w:shd w:val="clear" w:color="auto" w:fill="FFFFFF"/>
            <w:vAlign w:val="bottom"/>
          </w:tcPr>
          <w:p w14:paraId="3E446A9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Age</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61B9DAC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Gender</w:t>
            </w:r>
          </w:p>
        </w:tc>
        <w:tc>
          <w:tcPr>
            <w:tcW w:w="1209" w:type="dxa"/>
            <w:tcBorders>
              <w:top w:val="nil"/>
              <w:left w:val="single" w:sz="8" w:space="0" w:color="E0E0E0"/>
              <w:bottom w:val="single" w:sz="8" w:space="0" w:color="152935"/>
              <w:right w:val="single" w:sz="8" w:space="0" w:color="E0E0E0"/>
            </w:tcBorders>
            <w:shd w:val="clear" w:color="auto" w:fill="FFFFFF"/>
            <w:vAlign w:val="bottom"/>
          </w:tcPr>
          <w:p w14:paraId="3209E4E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Residence</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409FFE2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Employment.status</w:t>
            </w:r>
          </w:p>
        </w:tc>
        <w:tc>
          <w:tcPr>
            <w:tcW w:w="1026" w:type="dxa"/>
            <w:tcBorders>
              <w:top w:val="nil"/>
              <w:left w:val="single" w:sz="8" w:space="0" w:color="E0E0E0"/>
              <w:bottom w:val="single" w:sz="8" w:space="0" w:color="152935"/>
              <w:right w:val="single" w:sz="8" w:space="0" w:color="E0E0E0"/>
            </w:tcBorders>
            <w:shd w:val="clear" w:color="auto" w:fill="FFFFFF"/>
            <w:vAlign w:val="bottom"/>
          </w:tcPr>
          <w:p w14:paraId="54E64F3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Incomes</w:t>
            </w:r>
          </w:p>
        </w:tc>
        <w:tc>
          <w:tcPr>
            <w:tcW w:w="1408" w:type="dxa"/>
            <w:tcBorders>
              <w:top w:val="nil"/>
              <w:left w:val="single" w:sz="8" w:space="0" w:color="E0E0E0"/>
              <w:bottom w:val="single" w:sz="8" w:space="0" w:color="152935"/>
              <w:right w:val="nil"/>
            </w:tcBorders>
            <w:shd w:val="clear" w:color="auto" w:fill="FFFFFF"/>
            <w:vAlign w:val="bottom"/>
          </w:tcPr>
          <w:p w14:paraId="227A1FD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Marital.status</w:t>
            </w:r>
          </w:p>
        </w:tc>
      </w:tr>
      <w:tr w:rsidR="00520D2C" w14:paraId="73746EF0" w14:textId="77777777" w:rsidTr="00EB482A">
        <w:trPr>
          <w:cantSplit/>
        </w:trPr>
        <w:tc>
          <w:tcPr>
            <w:tcW w:w="736" w:type="dxa"/>
            <w:vMerge w:val="restart"/>
            <w:tcBorders>
              <w:top w:val="single" w:sz="8" w:space="0" w:color="152935"/>
              <w:left w:val="nil"/>
              <w:bottom w:val="single" w:sz="8" w:space="0" w:color="152935"/>
              <w:right w:val="nil"/>
            </w:tcBorders>
            <w:shd w:val="clear" w:color="auto" w:fill="E0E0E0"/>
          </w:tcPr>
          <w:p w14:paraId="290F4FA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118" w:type="dxa"/>
            <w:tcBorders>
              <w:top w:val="single" w:sz="8" w:space="0" w:color="152935"/>
              <w:left w:val="nil"/>
              <w:bottom w:val="single" w:sz="8" w:space="0" w:color="AEAEAE"/>
              <w:right w:val="nil"/>
            </w:tcBorders>
            <w:shd w:val="clear" w:color="auto" w:fill="E0E0E0"/>
          </w:tcPr>
          <w:p w14:paraId="4B6FD7D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1027" w:type="dxa"/>
            <w:tcBorders>
              <w:top w:val="single" w:sz="8" w:space="0" w:color="152935"/>
              <w:left w:val="nil"/>
              <w:bottom w:val="single" w:sz="8" w:space="0" w:color="AEAEAE"/>
              <w:right w:val="single" w:sz="8" w:space="0" w:color="E0E0E0"/>
            </w:tcBorders>
            <w:shd w:val="clear" w:color="auto" w:fill="F9F9FB"/>
          </w:tcPr>
          <w:p w14:paraId="1CB83DF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632D943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209" w:type="dxa"/>
            <w:tcBorders>
              <w:top w:val="single" w:sz="8" w:space="0" w:color="152935"/>
              <w:left w:val="single" w:sz="8" w:space="0" w:color="E0E0E0"/>
              <w:bottom w:val="single" w:sz="8" w:space="0" w:color="AEAEAE"/>
              <w:right w:val="single" w:sz="8" w:space="0" w:color="E0E0E0"/>
            </w:tcBorders>
            <w:shd w:val="clear" w:color="auto" w:fill="F9F9FB"/>
          </w:tcPr>
          <w:p w14:paraId="669C660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470" w:type="dxa"/>
            <w:tcBorders>
              <w:top w:val="single" w:sz="8" w:space="0" w:color="152935"/>
              <w:left w:val="single" w:sz="8" w:space="0" w:color="E0E0E0"/>
              <w:bottom w:val="single" w:sz="8" w:space="0" w:color="AEAEAE"/>
              <w:right w:val="single" w:sz="8" w:space="0" w:color="E0E0E0"/>
            </w:tcBorders>
            <w:shd w:val="clear" w:color="auto" w:fill="F9F9FB"/>
          </w:tcPr>
          <w:p w14:paraId="19044A5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026" w:type="dxa"/>
            <w:tcBorders>
              <w:top w:val="single" w:sz="8" w:space="0" w:color="152935"/>
              <w:left w:val="single" w:sz="8" w:space="0" w:color="E0E0E0"/>
              <w:bottom w:val="single" w:sz="8" w:space="0" w:color="AEAEAE"/>
              <w:right w:val="single" w:sz="8" w:space="0" w:color="E0E0E0"/>
            </w:tcBorders>
            <w:shd w:val="clear" w:color="auto" w:fill="F9F9FB"/>
          </w:tcPr>
          <w:p w14:paraId="54A5570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408" w:type="dxa"/>
            <w:tcBorders>
              <w:top w:val="single" w:sz="8" w:space="0" w:color="152935"/>
              <w:left w:val="single" w:sz="8" w:space="0" w:color="E0E0E0"/>
              <w:bottom w:val="single" w:sz="8" w:space="0" w:color="AEAEAE"/>
              <w:right w:val="nil"/>
            </w:tcBorders>
            <w:shd w:val="clear" w:color="auto" w:fill="F9F9FB"/>
          </w:tcPr>
          <w:p w14:paraId="66089CC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r>
      <w:tr w:rsidR="00520D2C" w14:paraId="1065D505" w14:textId="77777777" w:rsidTr="00EB482A">
        <w:trPr>
          <w:cantSplit/>
        </w:trPr>
        <w:tc>
          <w:tcPr>
            <w:tcW w:w="736" w:type="dxa"/>
            <w:vMerge/>
            <w:tcBorders>
              <w:top w:val="single" w:sz="8" w:space="0" w:color="152935"/>
              <w:left w:val="nil"/>
              <w:bottom w:val="single" w:sz="8" w:space="0" w:color="152935"/>
              <w:right w:val="nil"/>
            </w:tcBorders>
            <w:shd w:val="clear" w:color="auto" w:fill="E0E0E0"/>
          </w:tcPr>
          <w:p w14:paraId="54D0E0CD" w14:textId="77777777" w:rsidR="00520D2C" w:rsidRDefault="00520D2C">
            <w:pPr>
              <w:rPr>
                <w:rFonts w:ascii="Arial" w:hAnsi="Arial" w:cs="Arial"/>
                <w:color w:val="010205"/>
                <w:sz w:val="18"/>
                <w:szCs w:val="18"/>
              </w:rPr>
            </w:pPr>
          </w:p>
        </w:tc>
        <w:tc>
          <w:tcPr>
            <w:tcW w:w="1118" w:type="dxa"/>
            <w:tcBorders>
              <w:top w:val="single" w:sz="8" w:space="0" w:color="AEAEAE"/>
              <w:left w:val="nil"/>
              <w:bottom w:val="single" w:sz="8" w:space="0" w:color="152935"/>
              <w:right w:val="nil"/>
            </w:tcBorders>
            <w:shd w:val="clear" w:color="auto" w:fill="E0E0E0"/>
          </w:tcPr>
          <w:p w14:paraId="6C4CFCC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Manquant</w:t>
            </w:r>
          </w:p>
        </w:tc>
        <w:tc>
          <w:tcPr>
            <w:tcW w:w="1027" w:type="dxa"/>
            <w:tcBorders>
              <w:top w:val="single" w:sz="8" w:space="0" w:color="AEAEAE"/>
              <w:left w:val="nil"/>
              <w:bottom w:val="single" w:sz="8" w:space="0" w:color="152935"/>
              <w:right w:val="single" w:sz="8" w:space="0" w:color="E0E0E0"/>
            </w:tcBorders>
            <w:shd w:val="clear" w:color="auto" w:fill="F9F9FB"/>
          </w:tcPr>
          <w:p w14:paraId="608B26A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5555C68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209" w:type="dxa"/>
            <w:tcBorders>
              <w:top w:val="single" w:sz="8" w:space="0" w:color="AEAEAE"/>
              <w:left w:val="single" w:sz="8" w:space="0" w:color="E0E0E0"/>
              <w:bottom w:val="single" w:sz="8" w:space="0" w:color="152935"/>
              <w:right w:val="single" w:sz="8" w:space="0" w:color="E0E0E0"/>
            </w:tcBorders>
            <w:shd w:val="clear" w:color="auto" w:fill="F9F9FB"/>
          </w:tcPr>
          <w:p w14:paraId="56AE134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6F26ED7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026" w:type="dxa"/>
            <w:tcBorders>
              <w:top w:val="single" w:sz="8" w:space="0" w:color="AEAEAE"/>
              <w:left w:val="single" w:sz="8" w:space="0" w:color="E0E0E0"/>
              <w:bottom w:val="single" w:sz="8" w:space="0" w:color="152935"/>
              <w:right w:val="single" w:sz="8" w:space="0" w:color="E0E0E0"/>
            </w:tcBorders>
            <w:shd w:val="clear" w:color="auto" w:fill="F9F9FB"/>
          </w:tcPr>
          <w:p w14:paraId="4370406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08" w:type="dxa"/>
            <w:tcBorders>
              <w:top w:val="single" w:sz="8" w:space="0" w:color="AEAEAE"/>
              <w:left w:val="single" w:sz="8" w:space="0" w:color="E0E0E0"/>
              <w:bottom w:val="single" w:sz="8" w:space="0" w:color="152935"/>
              <w:right w:val="nil"/>
            </w:tcBorders>
            <w:shd w:val="clear" w:color="auto" w:fill="F9F9FB"/>
          </w:tcPr>
          <w:p w14:paraId="4462766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2DA9D4BE" w14:textId="77777777" w:rsidR="00520D2C" w:rsidRDefault="00520D2C">
      <w:pPr>
        <w:rPr>
          <w:rFonts w:ascii="Arial" w:hAnsi="Arial" w:cs="Arial"/>
          <w:color w:val="010205"/>
          <w:sz w:val="18"/>
          <w:szCs w:val="18"/>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85"/>
        <w:gridCol w:w="2104"/>
        <w:gridCol w:w="2768"/>
        <w:gridCol w:w="2768"/>
      </w:tblGrid>
      <w:tr w:rsidR="00520D2C" w14:paraId="0283161C" w14:textId="77777777">
        <w:trPr>
          <w:cantSplit/>
        </w:trPr>
        <w:tc>
          <w:tcPr>
            <w:tcW w:w="9024" w:type="dxa"/>
            <w:gridSpan w:val="4"/>
            <w:tcBorders>
              <w:top w:val="nil"/>
              <w:left w:val="nil"/>
              <w:bottom w:val="nil"/>
              <w:right w:val="nil"/>
            </w:tcBorders>
            <w:shd w:val="clear" w:color="auto" w:fill="FFFFFF"/>
            <w:vAlign w:val="center"/>
          </w:tcPr>
          <w:p w14:paraId="67535224"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Statistiques</w:t>
            </w:r>
          </w:p>
        </w:tc>
      </w:tr>
      <w:tr w:rsidR="00520D2C" w14:paraId="12CBACCC" w14:textId="77777777">
        <w:trPr>
          <w:cantSplit/>
        </w:trPr>
        <w:tc>
          <w:tcPr>
            <w:tcW w:w="3488" w:type="dxa"/>
            <w:gridSpan w:val="2"/>
            <w:tcBorders>
              <w:top w:val="nil"/>
              <w:left w:val="nil"/>
              <w:bottom w:val="single" w:sz="8" w:space="0" w:color="152935"/>
              <w:right w:val="nil"/>
            </w:tcBorders>
            <w:shd w:val="clear" w:color="auto" w:fill="FFFFFF"/>
            <w:vAlign w:val="bottom"/>
          </w:tcPr>
          <w:p w14:paraId="79F3DA47" w14:textId="77777777" w:rsidR="00520D2C" w:rsidRDefault="00520D2C">
            <w:pPr>
              <w:rPr>
                <w:rFonts w:ascii="Times New Roman" w:hAnsi="Times New Roman" w:cs="Times New Roman"/>
              </w:rPr>
            </w:pPr>
          </w:p>
        </w:tc>
        <w:tc>
          <w:tcPr>
            <w:tcW w:w="2768" w:type="dxa"/>
            <w:tcBorders>
              <w:top w:val="nil"/>
              <w:left w:val="nil"/>
              <w:bottom w:val="single" w:sz="8" w:space="0" w:color="152935"/>
              <w:right w:val="single" w:sz="8" w:space="0" w:color="E0E0E0"/>
            </w:tcBorders>
            <w:shd w:val="clear" w:color="auto" w:fill="FFFFFF"/>
            <w:vAlign w:val="bottom"/>
          </w:tcPr>
          <w:p w14:paraId="1B09D926"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Family.number</w:t>
            </w:r>
          </w:p>
        </w:tc>
        <w:tc>
          <w:tcPr>
            <w:tcW w:w="2768" w:type="dxa"/>
            <w:tcBorders>
              <w:top w:val="nil"/>
              <w:left w:val="single" w:sz="8" w:space="0" w:color="E0E0E0"/>
              <w:bottom w:val="single" w:sz="8" w:space="0" w:color="152935"/>
              <w:right w:val="nil"/>
            </w:tcBorders>
            <w:shd w:val="clear" w:color="auto" w:fill="FFFFFF"/>
            <w:vAlign w:val="bottom"/>
          </w:tcPr>
          <w:p w14:paraId="63DC3AE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Purchase.place</w:t>
            </w:r>
          </w:p>
        </w:tc>
      </w:tr>
      <w:tr w:rsidR="00520D2C" w14:paraId="5BBD3A83" w14:textId="77777777">
        <w:trPr>
          <w:cantSplit/>
        </w:trPr>
        <w:tc>
          <w:tcPr>
            <w:tcW w:w="1384" w:type="dxa"/>
            <w:vMerge w:val="restart"/>
            <w:tcBorders>
              <w:top w:val="single" w:sz="8" w:space="0" w:color="152935"/>
              <w:left w:val="nil"/>
              <w:bottom w:val="single" w:sz="8" w:space="0" w:color="152935"/>
              <w:right w:val="nil"/>
            </w:tcBorders>
            <w:shd w:val="clear" w:color="auto" w:fill="E0E0E0"/>
          </w:tcPr>
          <w:p w14:paraId="2AB0C68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2104" w:type="dxa"/>
            <w:tcBorders>
              <w:top w:val="single" w:sz="8" w:space="0" w:color="152935"/>
              <w:left w:val="nil"/>
              <w:bottom w:val="single" w:sz="8" w:space="0" w:color="AEAEAE"/>
              <w:right w:val="nil"/>
            </w:tcBorders>
            <w:shd w:val="clear" w:color="auto" w:fill="E0E0E0"/>
          </w:tcPr>
          <w:p w14:paraId="5ABD20A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2768" w:type="dxa"/>
            <w:tcBorders>
              <w:top w:val="single" w:sz="8" w:space="0" w:color="152935"/>
              <w:left w:val="nil"/>
              <w:bottom w:val="single" w:sz="8" w:space="0" w:color="AEAEAE"/>
              <w:right w:val="single" w:sz="8" w:space="0" w:color="E0E0E0"/>
            </w:tcBorders>
            <w:shd w:val="clear" w:color="auto" w:fill="F9F9FB"/>
          </w:tcPr>
          <w:p w14:paraId="249996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2768" w:type="dxa"/>
            <w:tcBorders>
              <w:top w:val="single" w:sz="8" w:space="0" w:color="152935"/>
              <w:left w:val="single" w:sz="8" w:space="0" w:color="E0E0E0"/>
              <w:bottom w:val="single" w:sz="8" w:space="0" w:color="AEAEAE"/>
              <w:right w:val="nil"/>
            </w:tcBorders>
            <w:shd w:val="clear" w:color="auto" w:fill="F9F9FB"/>
          </w:tcPr>
          <w:p w14:paraId="332CE0E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r>
      <w:tr w:rsidR="00520D2C" w14:paraId="1FFAA24C" w14:textId="77777777">
        <w:trPr>
          <w:cantSplit/>
        </w:trPr>
        <w:tc>
          <w:tcPr>
            <w:tcW w:w="1384" w:type="dxa"/>
            <w:vMerge/>
            <w:tcBorders>
              <w:top w:val="single" w:sz="8" w:space="0" w:color="152935"/>
              <w:left w:val="nil"/>
              <w:bottom w:val="single" w:sz="8" w:space="0" w:color="152935"/>
              <w:right w:val="nil"/>
            </w:tcBorders>
            <w:shd w:val="clear" w:color="auto" w:fill="E0E0E0"/>
          </w:tcPr>
          <w:p w14:paraId="057A94B3" w14:textId="77777777" w:rsidR="00520D2C" w:rsidRDefault="00520D2C">
            <w:pPr>
              <w:rPr>
                <w:rFonts w:ascii="Arial" w:hAnsi="Arial" w:cs="Arial"/>
                <w:color w:val="010205"/>
                <w:sz w:val="18"/>
                <w:szCs w:val="18"/>
              </w:rPr>
            </w:pPr>
          </w:p>
        </w:tc>
        <w:tc>
          <w:tcPr>
            <w:tcW w:w="2104" w:type="dxa"/>
            <w:tcBorders>
              <w:top w:val="single" w:sz="8" w:space="0" w:color="AEAEAE"/>
              <w:left w:val="nil"/>
              <w:bottom w:val="single" w:sz="8" w:space="0" w:color="152935"/>
              <w:right w:val="nil"/>
            </w:tcBorders>
            <w:shd w:val="clear" w:color="auto" w:fill="E0E0E0"/>
          </w:tcPr>
          <w:p w14:paraId="4AA75A1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Manquant</w:t>
            </w:r>
          </w:p>
        </w:tc>
        <w:tc>
          <w:tcPr>
            <w:tcW w:w="2768" w:type="dxa"/>
            <w:tcBorders>
              <w:top w:val="single" w:sz="8" w:space="0" w:color="AEAEAE"/>
              <w:left w:val="nil"/>
              <w:bottom w:val="single" w:sz="8" w:space="0" w:color="152935"/>
              <w:right w:val="single" w:sz="8" w:space="0" w:color="E0E0E0"/>
            </w:tcBorders>
            <w:shd w:val="clear" w:color="auto" w:fill="F9F9FB"/>
          </w:tcPr>
          <w:p w14:paraId="1137EDA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2768" w:type="dxa"/>
            <w:tcBorders>
              <w:top w:val="single" w:sz="8" w:space="0" w:color="AEAEAE"/>
              <w:left w:val="single" w:sz="8" w:space="0" w:color="E0E0E0"/>
              <w:bottom w:val="single" w:sz="8" w:space="0" w:color="152935"/>
              <w:right w:val="nil"/>
            </w:tcBorders>
            <w:shd w:val="clear" w:color="auto" w:fill="F9F9FB"/>
          </w:tcPr>
          <w:p w14:paraId="29A4526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64933F1E" w14:textId="77777777" w:rsidR="00520D2C" w:rsidRDefault="00520D2C">
      <w:pPr>
        <w:rPr>
          <w:rFonts w:ascii="Arial" w:hAnsi="Arial" w:cs="Arial"/>
          <w:b/>
          <w:bCs/>
          <w:sz w:val="26"/>
          <w:szCs w:val="26"/>
        </w:rPr>
      </w:pPr>
    </w:p>
    <w:p w14:paraId="218E2CA3" w14:textId="39541699" w:rsidR="00520D2C" w:rsidRPr="00137994" w:rsidRDefault="00520D2C" w:rsidP="00137994">
      <w:pPr>
        <w:rPr>
          <w:rFonts w:ascii="Arial" w:hAnsi="Arial" w:cs="Arial"/>
          <w:b/>
          <w:bCs/>
          <w:sz w:val="26"/>
          <w:szCs w:val="26"/>
        </w:rPr>
      </w:pPr>
      <w:r>
        <w:rPr>
          <w:rFonts w:ascii="Arial" w:hAnsi="Arial" w:cs="Arial"/>
          <w:b/>
          <w:bCs/>
          <w:sz w:val="26"/>
          <w:szCs w:val="26"/>
        </w:rPr>
        <w:t>Table de fréquences</w:t>
      </w:r>
    </w:p>
    <w:tbl>
      <w:tblPr>
        <w:tblW w:w="77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2"/>
        <w:gridCol w:w="1427"/>
        <w:gridCol w:w="1196"/>
        <w:gridCol w:w="1366"/>
        <w:gridCol w:w="1473"/>
        <w:gridCol w:w="1473"/>
      </w:tblGrid>
      <w:tr w:rsidR="00520D2C" w14:paraId="1D8083FA" w14:textId="77777777">
        <w:trPr>
          <w:cantSplit/>
        </w:trPr>
        <w:tc>
          <w:tcPr>
            <w:tcW w:w="7744" w:type="dxa"/>
            <w:gridSpan w:val="6"/>
            <w:tcBorders>
              <w:top w:val="nil"/>
              <w:left w:val="nil"/>
              <w:bottom w:val="nil"/>
              <w:right w:val="nil"/>
            </w:tcBorders>
            <w:shd w:val="clear" w:color="auto" w:fill="FFFFFF"/>
            <w:vAlign w:val="center"/>
          </w:tcPr>
          <w:p w14:paraId="66531CB0"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Age</w:t>
            </w:r>
          </w:p>
        </w:tc>
      </w:tr>
      <w:tr w:rsidR="00520D2C" w14:paraId="161C26EE" w14:textId="77777777">
        <w:trPr>
          <w:cantSplit/>
        </w:trPr>
        <w:tc>
          <w:tcPr>
            <w:tcW w:w="2239" w:type="dxa"/>
            <w:gridSpan w:val="2"/>
            <w:tcBorders>
              <w:top w:val="nil"/>
              <w:left w:val="nil"/>
              <w:bottom w:val="single" w:sz="8" w:space="0" w:color="152935"/>
              <w:right w:val="nil"/>
            </w:tcBorders>
            <w:shd w:val="clear" w:color="auto" w:fill="FFFFFF"/>
            <w:vAlign w:val="bottom"/>
          </w:tcPr>
          <w:p w14:paraId="6653C0D8" w14:textId="77777777" w:rsidR="00520D2C" w:rsidRDefault="00520D2C">
            <w:pPr>
              <w:rPr>
                <w:rFonts w:ascii="Times New Roman" w:hAnsi="Times New Roman" w:cs="Times New Roman"/>
              </w:rPr>
            </w:pPr>
          </w:p>
        </w:tc>
        <w:tc>
          <w:tcPr>
            <w:tcW w:w="1196" w:type="dxa"/>
            <w:tcBorders>
              <w:top w:val="nil"/>
              <w:left w:val="nil"/>
              <w:bottom w:val="single" w:sz="8" w:space="0" w:color="152935"/>
              <w:right w:val="single" w:sz="8" w:space="0" w:color="E0E0E0"/>
            </w:tcBorders>
            <w:shd w:val="clear" w:color="auto" w:fill="FFFFFF"/>
            <w:vAlign w:val="bottom"/>
          </w:tcPr>
          <w:p w14:paraId="361A130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5" w:type="dxa"/>
            <w:tcBorders>
              <w:top w:val="nil"/>
              <w:left w:val="single" w:sz="8" w:space="0" w:color="E0E0E0"/>
              <w:bottom w:val="single" w:sz="8" w:space="0" w:color="152935"/>
              <w:right w:val="single" w:sz="8" w:space="0" w:color="E0E0E0"/>
            </w:tcBorders>
            <w:shd w:val="clear" w:color="auto" w:fill="FFFFFF"/>
            <w:vAlign w:val="bottom"/>
          </w:tcPr>
          <w:p w14:paraId="2159F23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12AD80D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2" w:type="dxa"/>
            <w:tcBorders>
              <w:top w:val="nil"/>
              <w:left w:val="single" w:sz="8" w:space="0" w:color="E0E0E0"/>
              <w:bottom w:val="single" w:sz="8" w:space="0" w:color="152935"/>
              <w:right w:val="nil"/>
            </w:tcBorders>
            <w:shd w:val="clear" w:color="auto" w:fill="FFFFFF"/>
            <w:vAlign w:val="bottom"/>
          </w:tcPr>
          <w:p w14:paraId="2535A58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410E4A09" w14:textId="77777777">
        <w:trPr>
          <w:cantSplit/>
        </w:trPr>
        <w:tc>
          <w:tcPr>
            <w:tcW w:w="813" w:type="dxa"/>
            <w:vMerge w:val="restart"/>
            <w:tcBorders>
              <w:top w:val="single" w:sz="8" w:space="0" w:color="152935"/>
              <w:left w:val="nil"/>
              <w:bottom w:val="single" w:sz="8" w:space="0" w:color="152935"/>
              <w:right w:val="nil"/>
            </w:tcBorders>
            <w:shd w:val="clear" w:color="auto" w:fill="E0E0E0"/>
          </w:tcPr>
          <w:p w14:paraId="510E27B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1426" w:type="dxa"/>
            <w:tcBorders>
              <w:top w:val="single" w:sz="8" w:space="0" w:color="152935"/>
              <w:left w:val="nil"/>
              <w:bottom w:val="single" w:sz="8" w:space="0" w:color="AEAEAE"/>
              <w:right w:val="nil"/>
            </w:tcBorders>
            <w:shd w:val="clear" w:color="auto" w:fill="E0E0E0"/>
          </w:tcPr>
          <w:p w14:paraId="27176F1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25–34</w:t>
            </w:r>
          </w:p>
        </w:tc>
        <w:tc>
          <w:tcPr>
            <w:tcW w:w="1196" w:type="dxa"/>
            <w:tcBorders>
              <w:top w:val="single" w:sz="8" w:space="0" w:color="152935"/>
              <w:left w:val="nil"/>
              <w:bottom w:val="single" w:sz="8" w:space="0" w:color="AEAEAE"/>
              <w:right w:val="single" w:sz="8" w:space="0" w:color="E0E0E0"/>
            </w:tcBorders>
            <w:shd w:val="clear" w:color="auto" w:fill="F9F9FB"/>
          </w:tcPr>
          <w:p w14:paraId="490E12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w:t>
            </w:r>
          </w:p>
        </w:tc>
        <w:tc>
          <w:tcPr>
            <w:tcW w:w="1365" w:type="dxa"/>
            <w:tcBorders>
              <w:top w:val="single" w:sz="8" w:space="0" w:color="152935"/>
              <w:left w:val="single" w:sz="8" w:space="0" w:color="E0E0E0"/>
              <w:bottom w:val="single" w:sz="8" w:space="0" w:color="AEAEAE"/>
              <w:right w:val="single" w:sz="8" w:space="0" w:color="E0E0E0"/>
            </w:tcBorders>
            <w:shd w:val="clear" w:color="auto" w:fill="F9F9FB"/>
          </w:tcPr>
          <w:p w14:paraId="3BE60BE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0364A0F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c>
          <w:tcPr>
            <w:tcW w:w="1472" w:type="dxa"/>
            <w:tcBorders>
              <w:top w:val="single" w:sz="8" w:space="0" w:color="152935"/>
              <w:left w:val="single" w:sz="8" w:space="0" w:color="E0E0E0"/>
              <w:bottom w:val="single" w:sz="8" w:space="0" w:color="AEAEAE"/>
              <w:right w:val="nil"/>
            </w:tcBorders>
            <w:shd w:val="clear" w:color="auto" w:fill="F9F9FB"/>
          </w:tcPr>
          <w:p w14:paraId="46803F6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r>
      <w:tr w:rsidR="00520D2C" w14:paraId="3F377589" w14:textId="77777777">
        <w:trPr>
          <w:cantSplit/>
        </w:trPr>
        <w:tc>
          <w:tcPr>
            <w:tcW w:w="813" w:type="dxa"/>
            <w:vMerge/>
            <w:tcBorders>
              <w:top w:val="single" w:sz="8" w:space="0" w:color="152935"/>
              <w:left w:val="nil"/>
              <w:bottom w:val="single" w:sz="8" w:space="0" w:color="152935"/>
              <w:right w:val="nil"/>
            </w:tcBorders>
            <w:shd w:val="clear" w:color="auto" w:fill="E0E0E0"/>
          </w:tcPr>
          <w:p w14:paraId="5C3B0466" w14:textId="77777777" w:rsidR="00520D2C" w:rsidRDefault="00520D2C">
            <w:pPr>
              <w:rPr>
                <w:rFonts w:ascii="Arial" w:hAnsi="Arial" w:cs="Arial"/>
                <w:color w:val="010205"/>
                <w:sz w:val="18"/>
                <w:szCs w:val="18"/>
              </w:rPr>
            </w:pPr>
          </w:p>
        </w:tc>
        <w:tc>
          <w:tcPr>
            <w:tcW w:w="1426" w:type="dxa"/>
            <w:tcBorders>
              <w:top w:val="single" w:sz="8" w:space="0" w:color="AEAEAE"/>
              <w:left w:val="nil"/>
              <w:bottom w:val="single" w:sz="8" w:space="0" w:color="AEAEAE"/>
              <w:right w:val="nil"/>
            </w:tcBorders>
            <w:shd w:val="clear" w:color="auto" w:fill="E0E0E0"/>
          </w:tcPr>
          <w:p w14:paraId="5F24A1A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18–24</w:t>
            </w:r>
          </w:p>
        </w:tc>
        <w:tc>
          <w:tcPr>
            <w:tcW w:w="1196" w:type="dxa"/>
            <w:tcBorders>
              <w:top w:val="single" w:sz="8" w:space="0" w:color="AEAEAE"/>
              <w:left w:val="nil"/>
              <w:bottom w:val="single" w:sz="8" w:space="0" w:color="AEAEAE"/>
              <w:right w:val="single" w:sz="8" w:space="0" w:color="E0E0E0"/>
            </w:tcBorders>
            <w:shd w:val="clear" w:color="auto" w:fill="F9F9FB"/>
          </w:tcPr>
          <w:p w14:paraId="1B5B8E3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79</w:t>
            </w:r>
          </w:p>
        </w:tc>
        <w:tc>
          <w:tcPr>
            <w:tcW w:w="1365" w:type="dxa"/>
            <w:tcBorders>
              <w:top w:val="single" w:sz="8" w:space="0" w:color="AEAEAE"/>
              <w:left w:val="single" w:sz="8" w:space="0" w:color="E0E0E0"/>
              <w:bottom w:val="single" w:sz="8" w:space="0" w:color="AEAEAE"/>
              <w:right w:val="single" w:sz="8" w:space="0" w:color="E0E0E0"/>
            </w:tcBorders>
            <w:shd w:val="clear" w:color="auto" w:fill="F9F9FB"/>
          </w:tcPr>
          <w:p w14:paraId="226CA7E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38.0</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3D73334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38.0</w:t>
            </w:r>
          </w:p>
        </w:tc>
        <w:tc>
          <w:tcPr>
            <w:tcW w:w="1472" w:type="dxa"/>
            <w:tcBorders>
              <w:top w:val="single" w:sz="8" w:space="0" w:color="AEAEAE"/>
              <w:left w:val="single" w:sz="8" w:space="0" w:color="E0E0E0"/>
              <w:bottom w:val="single" w:sz="8" w:space="0" w:color="AEAEAE"/>
              <w:right w:val="nil"/>
            </w:tcBorders>
            <w:shd w:val="clear" w:color="auto" w:fill="F9F9FB"/>
          </w:tcPr>
          <w:p w14:paraId="0782C7C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44.7</w:t>
            </w:r>
          </w:p>
        </w:tc>
      </w:tr>
      <w:tr w:rsidR="00520D2C" w14:paraId="27027A79" w14:textId="77777777">
        <w:trPr>
          <w:cantSplit/>
        </w:trPr>
        <w:tc>
          <w:tcPr>
            <w:tcW w:w="813" w:type="dxa"/>
            <w:vMerge/>
            <w:tcBorders>
              <w:top w:val="single" w:sz="8" w:space="0" w:color="152935"/>
              <w:left w:val="nil"/>
              <w:bottom w:val="single" w:sz="8" w:space="0" w:color="152935"/>
              <w:right w:val="nil"/>
            </w:tcBorders>
            <w:shd w:val="clear" w:color="auto" w:fill="E0E0E0"/>
          </w:tcPr>
          <w:p w14:paraId="4DA4EADA" w14:textId="77777777" w:rsidR="00520D2C" w:rsidRDefault="00520D2C">
            <w:pPr>
              <w:rPr>
                <w:rFonts w:ascii="Arial" w:hAnsi="Arial" w:cs="Arial"/>
                <w:color w:val="010205"/>
                <w:sz w:val="18"/>
                <w:szCs w:val="18"/>
              </w:rPr>
            </w:pPr>
          </w:p>
        </w:tc>
        <w:tc>
          <w:tcPr>
            <w:tcW w:w="1426" w:type="dxa"/>
            <w:tcBorders>
              <w:top w:val="single" w:sz="8" w:space="0" w:color="AEAEAE"/>
              <w:left w:val="nil"/>
              <w:bottom w:val="single" w:sz="8" w:space="0" w:color="AEAEAE"/>
              <w:right w:val="nil"/>
            </w:tcBorders>
            <w:shd w:val="clear" w:color="auto" w:fill="E0E0E0"/>
          </w:tcPr>
          <w:p w14:paraId="4AD27E1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25–34</w:t>
            </w:r>
          </w:p>
        </w:tc>
        <w:tc>
          <w:tcPr>
            <w:tcW w:w="1196" w:type="dxa"/>
            <w:tcBorders>
              <w:top w:val="single" w:sz="8" w:space="0" w:color="AEAEAE"/>
              <w:left w:val="nil"/>
              <w:bottom w:val="single" w:sz="8" w:space="0" w:color="AEAEAE"/>
              <w:right w:val="single" w:sz="8" w:space="0" w:color="E0E0E0"/>
            </w:tcBorders>
            <w:shd w:val="clear" w:color="auto" w:fill="F9F9FB"/>
          </w:tcPr>
          <w:p w14:paraId="083D255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w:t>
            </w:r>
          </w:p>
        </w:tc>
        <w:tc>
          <w:tcPr>
            <w:tcW w:w="1365" w:type="dxa"/>
            <w:tcBorders>
              <w:top w:val="single" w:sz="8" w:space="0" w:color="AEAEAE"/>
              <w:left w:val="single" w:sz="8" w:space="0" w:color="E0E0E0"/>
              <w:bottom w:val="single" w:sz="8" w:space="0" w:color="AEAEAE"/>
              <w:right w:val="single" w:sz="8" w:space="0" w:color="E0E0E0"/>
            </w:tcBorders>
            <w:shd w:val="clear" w:color="auto" w:fill="F9F9FB"/>
          </w:tcPr>
          <w:p w14:paraId="2CCDFEF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45.7</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75BA9EA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45.7</w:t>
            </w:r>
          </w:p>
        </w:tc>
        <w:tc>
          <w:tcPr>
            <w:tcW w:w="1472" w:type="dxa"/>
            <w:tcBorders>
              <w:top w:val="single" w:sz="8" w:space="0" w:color="AEAEAE"/>
              <w:left w:val="single" w:sz="8" w:space="0" w:color="E0E0E0"/>
              <w:bottom w:val="single" w:sz="8" w:space="0" w:color="AEAEAE"/>
              <w:right w:val="nil"/>
            </w:tcBorders>
            <w:shd w:val="clear" w:color="auto" w:fill="F9F9FB"/>
          </w:tcPr>
          <w:p w14:paraId="13650F2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90.4</w:t>
            </w:r>
          </w:p>
        </w:tc>
      </w:tr>
      <w:tr w:rsidR="00520D2C" w14:paraId="01406F97" w14:textId="77777777">
        <w:trPr>
          <w:cantSplit/>
        </w:trPr>
        <w:tc>
          <w:tcPr>
            <w:tcW w:w="813" w:type="dxa"/>
            <w:vMerge/>
            <w:tcBorders>
              <w:top w:val="single" w:sz="8" w:space="0" w:color="152935"/>
              <w:left w:val="nil"/>
              <w:bottom w:val="single" w:sz="8" w:space="0" w:color="152935"/>
              <w:right w:val="nil"/>
            </w:tcBorders>
            <w:shd w:val="clear" w:color="auto" w:fill="E0E0E0"/>
          </w:tcPr>
          <w:p w14:paraId="252135BF" w14:textId="77777777" w:rsidR="00520D2C" w:rsidRDefault="00520D2C">
            <w:pPr>
              <w:rPr>
                <w:rFonts w:ascii="Arial" w:hAnsi="Arial" w:cs="Arial"/>
                <w:color w:val="010205"/>
                <w:sz w:val="18"/>
                <w:szCs w:val="18"/>
              </w:rPr>
            </w:pPr>
          </w:p>
        </w:tc>
        <w:tc>
          <w:tcPr>
            <w:tcW w:w="1426" w:type="dxa"/>
            <w:tcBorders>
              <w:top w:val="single" w:sz="8" w:space="0" w:color="AEAEAE"/>
              <w:left w:val="nil"/>
              <w:bottom w:val="single" w:sz="8" w:space="0" w:color="AEAEAE"/>
              <w:right w:val="nil"/>
            </w:tcBorders>
            <w:shd w:val="clear" w:color="auto" w:fill="E0E0E0"/>
          </w:tcPr>
          <w:p w14:paraId="0617A64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35–44</w:t>
            </w:r>
          </w:p>
        </w:tc>
        <w:tc>
          <w:tcPr>
            <w:tcW w:w="1196" w:type="dxa"/>
            <w:tcBorders>
              <w:top w:val="single" w:sz="8" w:space="0" w:color="AEAEAE"/>
              <w:left w:val="nil"/>
              <w:bottom w:val="single" w:sz="8" w:space="0" w:color="AEAEAE"/>
              <w:right w:val="single" w:sz="8" w:space="0" w:color="E0E0E0"/>
            </w:tcBorders>
            <w:shd w:val="clear" w:color="auto" w:fill="F9F9FB"/>
          </w:tcPr>
          <w:p w14:paraId="5453772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365" w:type="dxa"/>
            <w:tcBorders>
              <w:top w:val="single" w:sz="8" w:space="0" w:color="AEAEAE"/>
              <w:left w:val="single" w:sz="8" w:space="0" w:color="E0E0E0"/>
              <w:bottom w:val="single" w:sz="8" w:space="0" w:color="AEAEAE"/>
              <w:right w:val="single" w:sz="8" w:space="0" w:color="E0E0E0"/>
            </w:tcBorders>
            <w:shd w:val="clear" w:color="auto" w:fill="F9F9FB"/>
          </w:tcPr>
          <w:p w14:paraId="210E8F8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46A3D8C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c>
          <w:tcPr>
            <w:tcW w:w="1472" w:type="dxa"/>
            <w:tcBorders>
              <w:top w:val="single" w:sz="8" w:space="0" w:color="AEAEAE"/>
              <w:left w:val="single" w:sz="8" w:space="0" w:color="E0E0E0"/>
              <w:bottom w:val="single" w:sz="8" w:space="0" w:color="AEAEAE"/>
              <w:right w:val="nil"/>
            </w:tcBorders>
            <w:shd w:val="clear" w:color="auto" w:fill="F9F9FB"/>
          </w:tcPr>
          <w:p w14:paraId="16C0E5E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95.2</w:t>
            </w:r>
          </w:p>
        </w:tc>
      </w:tr>
      <w:tr w:rsidR="00520D2C" w14:paraId="65E76D30" w14:textId="77777777">
        <w:trPr>
          <w:cantSplit/>
        </w:trPr>
        <w:tc>
          <w:tcPr>
            <w:tcW w:w="813" w:type="dxa"/>
            <w:vMerge/>
            <w:tcBorders>
              <w:top w:val="single" w:sz="8" w:space="0" w:color="152935"/>
              <w:left w:val="nil"/>
              <w:bottom w:val="single" w:sz="8" w:space="0" w:color="152935"/>
              <w:right w:val="nil"/>
            </w:tcBorders>
            <w:shd w:val="clear" w:color="auto" w:fill="E0E0E0"/>
          </w:tcPr>
          <w:p w14:paraId="2005AED4" w14:textId="77777777" w:rsidR="00520D2C" w:rsidRDefault="00520D2C">
            <w:pPr>
              <w:rPr>
                <w:rFonts w:ascii="Arial" w:hAnsi="Arial" w:cs="Arial"/>
                <w:color w:val="010205"/>
                <w:sz w:val="18"/>
                <w:szCs w:val="18"/>
              </w:rPr>
            </w:pPr>
          </w:p>
        </w:tc>
        <w:tc>
          <w:tcPr>
            <w:tcW w:w="1426" w:type="dxa"/>
            <w:tcBorders>
              <w:top w:val="single" w:sz="8" w:space="0" w:color="AEAEAE"/>
              <w:left w:val="nil"/>
              <w:bottom w:val="single" w:sz="8" w:space="0" w:color="AEAEAE"/>
              <w:right w:val="nil"/>
            </w:tcBorders>
            <w:shd w:val="clear" w:color="auto" w:fill="E0E0E0"/>
          </w:tcPr>
          <w:p w14:paraId="1510AC9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55 and above</w:t>
            </w:r>
          </w:p>
        </w:tc>
        <w:tc>
          <w:tcPr>
            <w:tcW w:w="1196" w:type="dxa"/>
            <w:tcBorders>
              <w:top w:val="single" w:sz="8" w:space="0" w:color="AEAEAE"/>
              <w:left w:val="nil"/>
              <w:bottom w:val="single" w:sz="8" w:space="0" w:color="AEAEAE"/>
              <w:right w:val="single" w:sz="8" w:space="0" w:color="E0E0E0"/>
            </w:tcBorders>
            <w:shd w:val="clear" w:color="auto" w:fill="F9F9FB"/>
          </w:tcPr>
          <w:p w14:paraId="3BBB18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365" w:type="dxa"/>
            <w:tcBorders>
              <w:top w:val="single" w:sz="8" w:space="0" w:color="AEAEAE"/>
              <w:left w:val="single" w:sz="8" w:space="0" w:color="E0E0E0"/>
              <w:bottom w:val="single" w:sz="8" w:space="0" w:color="AEAEAE"/>
              <w:right w:val="single" w:sz="8" w:space="0" w:color="E0E0E0"/>
            </w:tcBorders>
            <w:shd w:val="clear" w:color="auto" w:fill="F9F9FB"/>
          </w:tcPr>
          <w:p w14:paraId="139B78B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4E71BD2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c>
          <w:tcPr>
            <w:tcW w:w="1472" w:type="dxa"/>
            <w:tcBorders>
              <w:top w:val="single" w:sz="8" w:space="0" w:color="AEAEAE"/>
              <w:left w:val="single" w:sz="8" w:space="0" w:color="E0E0E0"/>
              <w:bottom w:val="single" w:sz="8" w:space="0" w:color="AEAEAE"/>
              <w:right w:val="nil"/>
            </w:tcBorders>
            <w:shd w:val="clear" w:color="auto" w:fill="F9F9FB"/>
          </w:tcPr>
          <w:p w14:paraId="7C73148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365B7327" w14:textId="77777777">
        <w:trPr>
          <w:cantSplit/>
        </w:trPr>
        <w:tc>
          <w:tcPr>
            <w:tcW w:w="813" w:type="dxa"/>
            <w:vMerge/>
            <w:tcBorders>
              <w:top w:val="single" w:sz="8" w:space="0" w:color="152935"/>
              <w:left w:val="nil"/>
              <w:bottom w:val="single" w:sz="8" w:space="0" w:color="152935"/>
              <w:right w:val="nil"/>
            </w:tcBorders>
            <w:shd w:val="clear" w:color="auto" w:fill="E0E0E0"/>
          </w:tcPr>
          <w:p w14:paraId="7A54A4DF" w14:textId="77777777" w:rsidR="00520D2C" w:rsidRDefault="00520D2C">
            <w:pPr>
              <w:rPr>
                <w:rFonts w:ascii="Arial" w:hAnsi="Arial" w:cs="Arial"/>
                <w:color w:val="010205"/>
                <w:sz w:val="18"/>
                <w:szCs w:val="18"/>
              </w:rPr>
            </w:pPr>
          </w:p>
        </w:tc>
        <w:tc>
          <w:tcPr>
            <w:tcW w:w="1426" w:type="dxa"/>
            <w:tcBorders>
              <w:top w:val="single" w:sz="8" w:space="0" w:color="AEAEAE"/>
              <w:left w:val="nil"/>
              <w:bottom w:val="single" w:sz="8" w:space="0" w:color="152935"/>
              <w:right w:val="nil"/>
            </w:tcBorders>
            <w:shd w:val="clear" w:color="auto" w:fill="E0E0E0"/>
          </w:tcPr>
          <w:p w14:paraId="1C46086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6" w:type="dxa"/>
            <w:tcBorders>
              <w:top w:val="single" w:sz="8" w:space="0" w:color="AEAEAE"/>
              <w:left w:val="nil"/>
              <w:bottom w:val="single" w:sz="8" w:space="0" w:color="152935"/>
              <w:right w:val="single" w:sz="8" w:space="0" w:color="E0E0E0"/>
            </w:tcBorders>
            <w:shd w:val="clear" w:color="auto" w:fill="F9F9FB"/>
          </w:tcPr>
          <w:p w14:paraId="45BE42E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5" w:type="dxa"/>
            <w:tcBorders>
              <w:top w:val="single" w:sz="8" w:space="0" w:color="AEAEAE"/>
              <w:left w:val="single" w:sz="8" w:space="0" w:color="E0E0E0"/>
              <w:bottom w:val="single" w:sz="8" w:space="0" w:color="152935"/>
              <w:right w:val="single" w:sz="8" w:space="0" w:color="E0E0E0"/>
            </w:tcBorders>
            <w:shd w:val="clear" w:color="auto" w:fill="F9F9FB"/>
          </w:tcPr>
          <w:p w14:paraId="2F192A5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tcPr>
          <w:p w14:paraId="737A8C6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3F68E664" w14:textId="77777777" w:rsidR="00520D2C" w:rsidRDefault="00520D2C">
            <w:pPr>
              <w:rPr>
                <w:rFonts w:ascii="Times New Roman" w:hAnsi="Times New Roman" w:cs="Times New Roman"/>
              </w:rPr>
            </w:pPr>
          </w:p>
        </w:tc>
      </w:tr>
    </w:tbl>
    <w:p w14:paraId="36A1ABC5" w14:textId="77777777" w:rsidR="00520D2C" w:rsidRDefault="00520D2C">
      <w:pPr>
        <w:spacing w:line="400" w:lineRule="atLeast"/>
        <w:rPr>
          <w:rFonts w:ascii="Times New Roman" w:hAnsi="Times New Roman" w:cs="Times New Roman"/>
        </w:rPr>
      </w:pPr>
    </w:p>
    <w:tbl>
      <w:tblPr>
        <w:tblW w:w="7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936"/>
        <w:gridCol w:w="1197"/>
        <w:gridCol w:w="1367"/>
        <w:gridCol w:w="1474"/>
        <w:gridCol w:w="1474"/>
      </w:tblGrid>
      <w:tr w:rsidR="00520D2C" w14:paraId="16C9847A" w14:textId="77777777">
        <w:trPr>
          <w:cantSplit/>
        </w:trPr>
        <w:tc>
          <w:tcPr>
            <w:tcW w:w="7258" w:type="dxa"/>
            <w:gridSpan w:val="6"/>
            <w:tcBorders>
              <w:top w:val="nil"/>
              <w:left w:val="nil"/>
              <w:bottom w:val="nil"/>
              <w:right w:val="nil"/>
            </w:tcBorders>
            <w:shd w:val="clear" w:color="auto" w:fill="FFFFFF"/>
            <w:vAlign w:val="center"/>
          </w:tcPr>
          <w:p w14:paraId="73477111"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Gender</w:t>
            </w:r>
          </w:p>
        </w:tc>
      </w:tr>
      <w:tr w:rsidR="00520D2C" w14:paraId="09E967A1" w14:textId="77777777">
        <w:trPr>
          <w:cantSplit/>
        </w:trPr>
        <w:tc>
          <w:tcPr>
            <w:tcW w:w="1749" w:type="dxa"/>
            <w:gridSpan w:val="2"/>
            <w:tcBorders>
              <w:top w:val="nil"/>
              <w:left w:val="nil"/>
              <w:bottom w:val="single" w:sz="8" w:space="0" w:color="152935"/>
              <w:right w:val="nil"/>
            </w:tcBorders>
            <w:shd w:val="clear" w:color="auto" w:fill="FFFFFF"/>
            <w:vAlign w:val="bottom"/>
          </w:tcPr>
          <w:p w14:paraId="4BEBF3FE" w14:textId="77777777" w:rsidR="00520D2C" w:rsidRDefault="00520D2C">
            <w:pPr>
              <w:rPr>
                <w:rFonts w:ascii="Times New Roman" w:hAnsi="Times New Roman" w:cs="Times New Roman"/>
              </w:rPr>
            </w:pPr>
          </w:p>
        </w:tc>
        <w:tc>
          <w:tcPr>
            <w:tcW w:w="1197" w:type="dxa"/>
            <w:tcBorders>
              <w:top w:val="nil"/>
              <w:left w:val="nil"/>
              <w:bottom w:val="single" w:sz="8" w:space="0" w:color="152935"/>
              <w:right w:val="single" w:sz="8" w:space="0" w:color="E0E0E0"/>
            </w:tcBorders>
            <w:shd w:val="clear" w:color="auto" w:fill="FFFFFF"/>
            <w:vAlign w:val="bottom"/>
          </w:tcPr>
          <w:p w14:paraId="35FC2F8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6" w:type="dxa"/>
            <w:tcBorders>
              <w:top w:val="nil"/>
              <w:left w:val="single" w:sz="8" w:space="0" w:color="E0E0E0"/>
              <w:bottom w:val="single" w:sz="8" w:space="0" w:color="152935"/>
              <w:right w:val="single" w:sz="8" w:space="0" w:color="E0E0E0"/>
            </w:tcBorders>
            <w:shd w:val="clear" w:color="auto" w:fill="FFFFFF"/>
            <w:vAlign w:val="bottom"/>
          </w:tcPr>
          <w:p w14:paraId="26B899E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3" w:type="dxa"/>
            <w:tcBorders>
              <w:top w:val="nil"/>
              <w:left w:val="single" w:sz="8" w:space="0" w:color="E0E0E0"/>
              <w:bottom w:val="single" w:sz="8" w:space="0" w:color="152935"/>
              <w:right w:val="single" w:sz="8" w:space="0" w:color="E0E0E0"/>
            </w:tcBorders>
            <w:shd w:val="clear" w:color="auto" w:fill="FFFFFF"/>
            <w:vAlign w:val="bottom"/>
          </w:tcPr>
          <w:p w14:paraId="12F5D5F1"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3" w:type="dxa"/>
            <w:tcBorders>
              <w:top w:val="nil"/>
              <w:left w:val="single" w:sz="8" w:space="0" w:color="E0E0E0"/>
              <w:bottom w:val="single" w:sz="8" w:space="0" w:color="152935"/>
              <w:right w:val="nil"/>
            </w:tcBorders>
            <w:shd w:val="clear" w:color="auto" w:fill="FFFFFF"/>
            <w:vAlign w:val="bottom"/>
          </w:tcPr>
          <w:p w14:paraId="7C1D44E8"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511A507C" w14:textId="77777777">
        <w:trPr>
          <w:cantSplit/>
        </w:trPr>
        <w:tc>
          <w:tcPr>
            <w:tcW w:w="813" w:type="dxa"/>
            <w:vMerge w:val="restart"/>
            <w:tcBorders>
              <w:top w:val="single" w:sz="8" w:space="0" w:color="152935"/>
              <w:left w:val="nil"/>
              <w:bottom w:val="single" w:sz="8" w:space="0" w:color="152935"/>
              <w:right w:val="nil"/>
            </w:tcBorders>
            <w:shd w:val="clear" w:color="auto" w:fill="E0E0E0"/>
          </w:tcPr>
          <w:p w14:paraId="5A393BF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936" w:type="dxa"/>
            <w:tcBorders>
              <w:top w:val="single" w:sz="8" w:space="0" w:color="152935"/>
              <w:left w:val="nil"/>
              <w:bottom w:val="single" w:sz="8" w:space="0" w:color="AEAEAE"/>
              <w:right w:val="nil"/>
            </w:tcBorders>
            <w:shd w:val="clear" w:color="auto" w:fill="E0E0E0"/>
          </w:tcPr>
          <w:p w14:paraId="60BE609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Male</w:t>
            </w:r>
          </w:p>
        </w:tc>
        <w:tc>
          <w:tcPr>
            <w:tcW w:w="1197" w:type="dxa"/>
            <w:tcBorders>
              <w:top w:val="single" w:sz="8" w:space="0" w:color="152935"/>
              <w:left w:val="nil"/>
              <w:bottom w:val="single" w:sz="8" w:space="0" w:color="AEAEAE"/>
              <w:right w:val="single" w:sz="8" w:space="0" w:color="E0E0E0"/>
            </w:tcBorders>
            <w:shd w:val="clear" w:color="auto" w:fill="F9F9FB"/>
          </w:tcPr>
          <w:p w14:paraId="028BCC2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115</w:t>
            </w:r>
          </w:p>
        </w:tc>
        <w:tc>
          <w:tcPr>
            <w:tcW w:w="1366" w:type="dxa"/>
            <w:tcBorders>
              <w:top w:val="single" w:sz="8" w:space="0" w:color="152935"/>
              <w:left w:val="single" w:sz="8" w:space="0" w:color="E0E0E0"/>
              <w:bottom w:val="single" w:sz="8" w:space="0" w:color="AEAEAE"/>
              <w:right w:val="single" w:sz="8" w:space="0" w:color="E0E0E0"/>
            </w:tcBorders>
            <w:shd w:val="clear" w:color="auto" w:fill="F9F9FB"/>
          </w:tcPr>
          <w:p w14:paraId="4824E65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55.3</w:t>
            </w:r>
          </w:p>
        </w:tc>
        <w:tc>
          <w:tcPr>
            <w:tcW w:w="1473" w:type="dxa"/>
            <w:tcBorders>
              <w:top w:val="single" w:sz="8" w:space="0" w:color="152935"/>
              <w:left w:val="single" w:sz="8" w:space="0" w:color="E0E0E0"/>
              <w:bottom w:val="single" w:sz="8" w:space="0" w:color="AEAEAE"/>
              <w:right w:val="single" w:sz="8" w:space="0" w:color="E0E0E0"/>
            </w:tcBorders>
            <w:shd w:val="clear" w:color="auto" w:fill="F9F9FB"/>
          </w:tcPr>
          <w:p w14:paraId="4AA4709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55.3</w:t>
            </w:r>
          </w:p>
        </w:tc>
        <w:tc>
          <w:tcPr>
            <w:tcW w:w="1473" w:type="dxa"/>
            <w:tcBorders>
              <w:top w:val="single" w:sz="8" w:space="0" w:color="152935"/>
              <w:left w:val="single" w:sz="8" w:space="0" w:color="E0E0E0"/>
              <w:bottom w:val="single" w:sz="8" w:space="0" w:color="AEAEAE"/>
              <w:right w:val="nil"/>
            </w:tcBorders>
            <w:shd w:val="clear" w:color="auto" w:fill="F9F9FB"/>
          </w:tcPr>
          <w:p w14:paraId="2180466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55.3</w:t>
            </w:r>
          </w:p>
        </w:tc>
      </w:tr>
      <w:tr w:rsidR="00520D2C" w14:paraId="3EA65866" w14:textId="77777777">
        <w:trPr>
          <w:cantSplit/>
        </w:trPr>
        <w:tc>
          <w:tcPr>
            <w:tcW w:w="813" w:type="dxa"/>
            <w:vMerge/>
            <w:tcBorders>
              <w:top w:val="single" w:sz="8" w:space="0" w:color="152935"/>
              <w:left w:val="nil"/>
              <w:bottom w:val="single" w:sz="8" w:space="0" w:color="152935"/>
              <w:right w:val="nil"/>
            </w:tcBorders>
            <w:shd w:val="clear" w:color="auto" w:fill="E0E0E0"/>
          </w:tcPr>
          <w:p w14:paraId="798E882C" w14:textId="77777777" w:rsidR="00520D2C" w:rsidRDefault="00520D2C">
            <w:pPr>
              <w:rPr>
                <w:rFonts w:ascii="Arial" w:hAnsi="Arial" w:cs="Arial"/>
                <w:color w:val="010205"/>
                <w:sz w:val="18"/>
                <w:szCs w:val="18"/>
              </w:rPr>
            </w:pPr>
          </w:p>
        </w:tc>
        <w:tc>
          <w:tcPr>
            <w:tcW w:w="936" w:type="dxa"/>
            <w:tcBorders>
              <w:top w:val="single" w:sz="8" w:space="0" w:color="AEAEAE"/>
              <w:left w:val="nil"/>
              <w:bottom w:val="single" w:sz="8" w:space="0" w:color="AEAEAE"/>
              <w:right w:val="nil"/>
            </w:tcBorders>
            <w:shd w:val="clear" w:color="auto" w:fill="E0E0E0"/>
          </w:tcPr>
          <w:p w14:paraId="6C0B0C1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Female</w:t>
            </w:r>
          </w:p>
        </w:tc>
        <w:tc>
          <w:tcPr>
            <w:tcW w:w="1197" w:type="dxa"/>
            <w:tcBorders>
              <w:top w:val="single" w:sz="8" w:space="0" w:color="AEAEAE"/>
              <w:left w:val="nil"/>
              <w:bottom w:val="single" w:sz="8" w:space="0" w:color="AEAEAE"/>
              <w:right w:val="single" w:sz="8" w:space="0" w:color="E0E0E0"/>
            </w:tcBorders>
            <w:shd w:val="clear" w:color="auto" w:fill="F9F9FB"/>
          </w:tcPr>
          <w:p w14:paraId="7EDC0EB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93</w:t>
            </w:r>
          </w:p>
        </w:tc>
        <w:tc>
          <w:tcPr>
            <w:tcW w:w="1366" w:type="dxa"/>
            <w:tcBorders>
              <w:top w:val="single" w:sz="8" w:space="0" w:color="AEAEAE"/>
              <w:left w:val="single" w:sz="8" w:space="0" w:color="E0E0E0"/>
              <w:bottom w:val="single" w:sz="8" w:space="0" w:color="AEAEAE"/>
              <w:right w:val="single" w:sz="8" w:space="0" w:color="E0E0E0"/>
            </w:tcBorders>
            <w:shd w:val="clear" w:color="auto" w:fill="F9F9FB"/>
          </w:tcPr>
          <w:p w14:paraId="5B2CA6F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44.7</w:t>
            </w:r>
          </w:p>
        </w:tc>
        <w:tc>
          <w:tcPr>
            <w:tcW w:w="1473" w:type="dxa"/>
            <w:tcBorders>
              <w:top w:val="single" w:sz="8" w:space="0" w:color="AEAEAE"/>
              <w:left w:val="single" w:sz="8" w:space="0" w:color="E0E0E0"/>
              <w:bottom w:val="single" w:sz="8" w:space="0" w:color="AEAEAE"/>
              <w:right w:val="single" w:sz="8" w:space="0" w:color="E0E0E0"/>
            </w:tcBorders>
            <w:shd w:val="clear" w:color="auto" w:fill="F9F9FB"/>
          </w:tcPr>
          <w:p w14:paraId="5B0F408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44.7</w:t>
            </w:r>
          </w:p>
        </w:tc>
        <w:tc>
          <w:tcPr>
            <w:tcW w:w="1473" w:type="dxa"/>
            <w:tcBorders>
              <w:top w:val="single" w:sz="8" w:space="0" w:color="AEAEAE"/>
              <w:left w:val="single" w:sz="8" w:space="0" w:color="E0E0E0"/>
              <w:bottom w:val="single" w:sz="8" w:space="0" w:color="AEAEAE"/>
              <w:right w:val="nil"/>
            </w:tcBorders>
            <w:shd w:val="clear" w:color="auto" w:fill="F9F9FB"/>
          </w:tcPr>
          <w:p w14:paraId="732A73B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29A7FC05" w14:textId="77777777">
        <w:trPr>
          <w:cantSplit/>
        </w:trPr>
        <w:tc>
          <w:tcPr>
            <w:tcW w:w="813" w:type="dxa"/>
            <w:vMerge/>
            <w:tcBorders>
              <w:top w:val="single" w:sz="8" w:space="0" w:color="152935"/>
              <w:left w:val="nil"/>
              <w:bottom w:val="single" w:sz="8" w:space="0" w:color="152935"/>
              <w:right w:val="nil"/>
            </w:tcBorders>
            <w:shd w:val="clear" w:color="auto" w:fill="E0E0E0"/>
          </w:tcPr>
          <w:p w14:paraId="0E9A12F4" w14:textId="77777777" w:rsidR="00520D2C" w:rsidRDefault="00520D2C">
            <w:pPr>
              <w:rPr>
                <w:rFonts w:ascii="Arial" w:hAnsi="Arial" w:cs="Arial"/>
                <w:color w:val="010205"/>
                <w:sz w:val="18"/>
                <w:szCs w:val="18"/>
              </w:rPr>
            </w:pPr>
          </w:p>
        </w:tc>
        <w:tc>
          <w:tcPr>
            <w:tcW w:w="936" w:type="dxa"/>
            <w:tcBorders>
              <w:top w:val="single" w:sz="8" w:space="0" w:color="AEAEAE"/>
              <w:left w:val="nil"/>
              <w:bottom w:val="single" w:sz="8" w:space="0" w:color="152935"/>
              <w:right w:val="nil"/>
            </w:tcBorders>
            <w:shd w:val="clear" w:color="auto" w:fill="E0E0E0"/>
          </w:tcPr>
          <w:p w14:paraId="47D5E29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7" w:type="dxa"/>
            <w:tcBorders>
              <w:top w:val="single" w:sz="8" w:space="0" w:color="AEAEAE"/>
              <w:left w:val="nil"/>
              <w:bottom w:val="single" w:sz="8" w:space="0" w:color="152935"/>
              <w:right w:val="single" w:sz="8" w:space="0" w:color="E0E0E0"/>
            </w:tcBorders>
            <w:shd w:val="clear" w:color="auto" w:fill="F9F9FB"/>
          </w:tcPr>
          <w:p w14:paraId="7361E34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6" w:type="dxa"/>
            <w:tcBorders>
              <w:top w:val="single" w:sz="8" w:space="0" w:color="AEAEAE"/>
              <w:left w:val="single" w:sz="8" w:space="0" w:color="E0E0E0"/>
              <w:bottom w:val="single" w:sz="8" w:space="0" w:color="152935"/>
              <w:right w:val="single" w:sz="8" w:space="0" w:color="E0E0E0"/>
            </w:tcBorders>
            <w:shd w:val="clear" w:color="auto" w:fill="F9F9FB"/>
          </w:tcPr>
          <w:p w14:paraId="0D58749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single" w:sz="8" w:space="0" w:color="E0E0E0"/>
            </w:tcBorders>
            <w:shd w:val="clear" w:color="auto" w:fill="F9F9FB"/>
          </w:tcPr>
          <w:p w14:paraId="157D39B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nil"/>
            </w:tcBorders>
            <w:shd w:val="clear" w:color="auto" w:fill="F9F9FB"/>
            <w:vAlign w:val="center"/>
          </w:tcPr>
          <w:p w14:paraId="001B12AC" w14:textId="77777777" w:rsidR="00520D2C" w:rsidRDefault="00520D2C">
            <w:pPr>
              <w:rPr>
                <w:rFonts w:ascii="Times New Roman" w:hAnsi="Times New Roman" w:cs="Times New Roman"/>
              </w:rPr>
            </w:pPr>
          </w:p>
        </w:tc>
      </w:tr>
    </w:tbl>
    <w:p w14:paraId="2C7C13C0" w14:textId="77777777" w:rsidR="00520D2C" w:rsidRDefault="00520D2C">
      <w:pPr>
        <w:spacing w:line="400" w:lineRule="atLeast"/>
        <w:rPr>
          <w:rFonts w:ascii="Times New Roman" w:hAnsi="Times New Roman" w:cs="Times New Roman"/>
        </w:rPr>
      </w:pPr>
    </w:p>
    <w:p w14:paraId="2F0E7D00" w14:textId="77777777" w:rsidR="00520D2C" w:rsidRDefault="00520D2C">
      <w:pPr>
        <w:spacing w:line="400" w:lineRule="atLeast"/>
        <w:rPr>
          <w:rFonts w:ascii="Times New Roman" w:hAnsi="Times New Roman" w:cs="Times New Roman"/>
        </w:rPr>
      </w:pPr>
    </w:p>
    <w:tbl>
      <w:tblPr>
        <w:tblW w:w="84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2146"/>
        <w:gridCol w:w="1195"/>
        <w:gridCol w:w="1363"/>
        <w:gridCol w:w="1471"/>
        <w:gridCol w:w="1471"/>
      </w:tblGrid>
      <w:tr w:rsidR="00520D2C" w14:paraId="3C0DC26E" w14:textId="77777777">
        <w:trPr>
          <w:cantSplit/>
        </w:trPr>
        <w:tc>
          <w:tcPr>
            <w:tcW w:w="8457" w:type="dxa"/>
            <w:gridSpan w:val="6"/>
            <w:tcBorders>
              <w:top w:val="nil"/>
              <w:left w:val="nil"/>
              <w:bottom w:val="nil"/>
              <w:right w:val="nil"/>
            </w:tcBorders>
            <w:shd w:val="clear" w:color="auto" w:fill="FFFFFF"/>
            <w:vAlign w:val="center"/>
          </w:tcPr>
          <w:p w14:paraId="59DE3114"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Residence</w:t>
            </w:r>
          </w:p>
        </w:tc>
      </w:tr>
      <w:tr w:rsidR="00520D2C" w14:paraId="30153B79" w14:textId="77777777">
        <w:trPr>
          <w:cantSplit/>
        </w:trPr>
        <w:tc>
          <w:tcPr>
            <w:tcW w:w="2957" w:type="dxa"/>
            <w:gridSpan w:val="2"/>
            <w:tcBorders>
              <w:top w:val="nil"/>
              <w:left w:val="nil"/>
              <w:bottom w:val="single" w:sz="8" w:space="0" w:color="152935"/>
              <w:right w:val="nil"/>
            </w:tcBorders>
            <w:shd w:val="clear" w:color="auto" w:fill="FFFFFF"/>
            <w:vAlign w:val="bottom"/>
          </w:tcPr>
          <w:p w14:paraId="76E8BA98" w14:textId="77777777" w:rsidR="00520D2C" w:rsidRDefault="00520D2C">
            <w:pPr>
              <w:rPr>
                <w:rFonts w:ascii="Times New Roman" w:hAnsi="Times New Roman" w:cs="Times New Roman"/>
              </w:rPr>
            </w:pPr>
          </w:p>
        </w:tc>
        <w:tc>
          <w:tcPr>
            <w:tcW w:w="1195" w:type="dxa"/>
            <w:tcBorders>
              <w:top w:val="nil"/>
              <w:left w:val="nil"/>
              <w:bottom w:val="single" w:sz="8" w:space="0" w:color="152935"/>
              <w:right w:val="single" w:sz="8" w:space="0" w:color="E0E0E0"/>
            </w:tcBorders>
            <w:shd w:val="clear" w:color="auto" w:fill="FFFFFF"/>
            <w:vAlign w:val="bottom"/>
          </w:tcPr>
          <w:p w14:paraId="594B41B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3" w:type="dxa"/>
            <w:tcBorders>
              <w:top w:val="nil"/>
              <w:left w:val="single" w:sz="8" w:space="0" w:color="E0E0E0"/>
              <w:bottom w:val="single" w:sz="8" w:space="0" w:color="152935"/>
              <w:right w:val="single" w:sz="8" w:space="0" w:color="E0E0E0"/>
            </w:tcBorders>
            <w:shd w:val="clear" w:color="auto" w:fill="FFFFFF"/>
            <w:vAlign w:val="bottom"/>
          </w:tcPr>
          <w:p w14:paraId="3725FED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47AEA91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1" w:type="dxa"/>
            <w:tcBorders>
              <w:top w:val="nil"/>
              <w:left w:val="single" w:sz="8" w:space="0" w:color="E0E0E0"/>
              <w:bottom w:val="single" w:sz="8" w:space="0" w:color="152935"/>
              <w:right w:val="nil"/>
            </w:tcBorders>
            <w:shd w:val="clear" w:color="auto" w:fill="FFFFFF"/>
            <w:vAlign w:val="bottom"/>
          </w:tcPr>
          <w:p w14:paraId="1299C48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07834CEA" w14:textId="77777777">
        <w:trPr>
          <w:cantSplit/>
        </w:trPr>
        <w:tc>
          <w:tcPr>
            <w:tcW w:w="812" w:type="dxa"/>
            <w:vMerge w:val="restart"/>
            <w:tcBorders>
              <w:top w:val="single" w:sz="8" w:space="0" w:color="152935"/>
              <w:left w:val="nil"/>
              <w:bottom w:val="single" w:sz="8" w:space="0" w:color="152935"/>
              <w:right w:val="nil"/>
            </w:tcBorders>
            <w:shd w:val="clear" w:color="auto" w:fill="E0E0E0"/>
          </w:tcPr>
          <w:p w14:paraId="39974EE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2145" w:type="dxa"/>
            <w:tcBorders>
              <w:top w:val="single" w:sz="8" w:space="0" w:color="152935"/>
              <w:left w:val="nil"/>
              <w:bottom w:val="single" w:sz="8" w:space="0" w:color="AEAEAE"/>
              <w:right w:val="nil"/>
            </w:tcBorders>
            <w:shd w:val="clear" w:color="auto" w:fill="E0E0E0"/>
          </w:tcPr>
          <w:p w14:paraId="7CBB95E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Marmara</w:t>
            </w:r>
          </w:p>
        </w:tc>
        <w:tc>
          <w:tcPr>
            <w:tcW w:w="1195" w:type="dxa"/>
            <w:tcBorders>
              <w:top w:val="single" w:sz="8" w:space="0" w:color="152935"/>
              <w:left w:val="nil"/>
              <w:bottom w:val="single" w:sz="8" w:space="0" w:color="AEAEAE"/>
              <w:right w:val="single" w:sz="8" w:space="0" w:color="E0E0E0"/>
            </w:tcBorders>
            <w:shd w:val="clear" w:color="auto" w:fill="F9F9FB"/>
          </w:tcPr>
          <w:p w14:paraId="437223B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87</w:t>
            </w:r>
          </w:p>
        </w:tc>
        <w:tc>
          <w:tcPr>
            <w:tcW w:w="1363" w:type="dxa"/>
            <w:tcBorders>
              <w:top w:val="single" w:sz="8" w:space="0" w:color="152935"/>
              <w:left w:val="single" w:sz="8" w:space="0" w:color="E0E0E0"/>
              <w:bottom w:val="single" w:sz="8" w:space="0" w:color="AEAEAE"/>
              <w:right w:val="single" w:sz="8" w:space="0" w:color="E0E0E0"/>
            </w:tcBorders>
            <w:shd w:val="clear" w:color="auto" w:fill="F9F9FB"/>
          </w:tcPr>
          <w:p w14:paraId="0CD1263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41.8</w:t>
            </w:r>
          </w:p>
        </w:tc>
        <w:tc>
          <w:tcPr>
            <w:tcW w:w="1471" w:type="dxa"/>
            <w:tcBorders>
              <w:top w:val="single" w:sz="8" w:space="0" w:color="152935"/>
              <w:left w:val="single" w:sz="8" w:space="0" w:color="E0E0E0"/>
              <w:bottom w:val="single" w:sz="8" w:space="0" w:color="AEAEAE"/>
              <w:right w:val="single" w:sz="8" w:space="0" w:color="E0E0E0"/>
            </w:tcBorders>
            <w:shd w:val="clear" w:color="auto" w:fill="F9F9FB"/>
          </w:tcPr>
          <w:p w14:paraId="4EB47DD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41.8</w:t>
            </w:r>
          </w:p>
        </w:tc>
        <w:tc>
          <w:tcPr>
            <w:tcW w:w="1471" w:type="dxa"/>
            <w:tcBorders>
              <w:top w:val="single" w:sz="8" w:space="0" w:color="152935"/>
              <w:left w:val="single" w:sz="8" w:space="0" w:color="E0E0E0"/>
              <w:bottom w:val="single" w:sz="8" w:space="0" w:color="AEAEAE"/>
              <w:right w:val="nil"/>
            </w:tcBorders>
            <w:shd w:val="clear" w:color="auto" w:fill="F9F9FB"/>
          </w:tcPr>
          <w:p w14:paraId="7D4CD48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41.8</w:t>
            </w:r>
          </w:p>
        </w:tc>
      </w:tr>
      <w:tr w:rsidR="00520D2C" w14:paraId="172D5D22" w14:textId="77777777">
        <w:trPr>
          <w:cantSplit/>
        </w:trPr>
        <w:tc>
          <w:tcPr>
            <w:tcW w:w="812" w:type="dxa"/>
            <w:vMerge/>
            <w:tcBorders>
              <w:top w:val="single" w:sz="8" w:space="0" w:color="152935"/>
              <w:left w:val="nil"/>
              <w:bottom w:val="single" w:sz="8" w:space="0" w:color="152935"/>
              <w:right w:val="nil"/>
            </w:tcBorders>
            <w:shd w:val="clear" w:color="auto" w:fill="E0E0E0"/>
          </w:tcPr>
          <w:p w14:paraId="532A7444"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1EBB249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Aegean</w:t>
            </w:r>
          </w:p>
        </w:tc>
        <w:tc>
          <w:tcPr>
            <w:tcW w:w="1195" w:type="dxa"/>
            <w:tcBorders>
              <w:top w:val="single" w:sz="8" w:space="0" w:color="AEAEAE"/>
              <w:left w:val="nil"/>
              <w:bottom w:val="single" w:sz="8" w:space="0" w:color="AEAEAE"/>
              <w:right w:val="single" w:sz="8" w:space="0" w:color="E0E0E0"/>
            </w:tcBorders>
            <w:shd w:val="clear" w:color="auto" w:fill="F9F9FB"/>
          </w:tcPr>
          <w:p w14:paraId="0C770D5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26</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4E48B38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12.5</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561D115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12.5</w:t>
            </w:r>
          </w:p>
        </w:tc>
        <w:tc>
          <w:tcPr>
            <w:tcW w:w="1471" w:type="dxa"/>
            <w:tcBorders>
              <w:top w:val="single" w:sz="8" w:space="0" w:color="AEAEAE"/>
              <w:left w:val="single" w:sz="8" w:space="0" w:color="E0E0E0"/>
              <w:bottom w:val="single" w:sz="8" w:space="0" w:color="AEAEAE"/>
              <w:right w:val="nil"/>
            </w:tcBorders>
            <w:shd w:val="clear" w:color="auto" w:fill="F9F9FB"/>
          </w:tcPr>
          <w:p w14:paraId="342F571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54.3</w:t>
            </w:r>
          </w:p>
        </w:tc>
      </w:tr>
      <w:tr w:rsidR="00520D2C" w14:paraId="3958C779" w14:textId="77777777">
        <w:trPr>
          <w:cantSplit/>
        </w:trPr>
        <w:tc>
          <w:tcPr>
            <w:tcW w:w="812" w:type="dxa"/>
            <w:vMerge/>
            <w:tcBorders>
              <w:top w:val="single" w:sz="8" w:space="0" w:color="152935"/>
              <w:left w:val="nil"/>
              <w:bottom w:val="single" w:sz="8" w:space="0" w:color="152935"/>
              <w:right w:val="nil"/>
            </w:tcBorders>
            <w:shd w:val="clear" w:color="auto" w:fill="E0E0E0"/>
          </w:tcPr>
          <w:p w14:paraId="425AAF47"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2C030D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Central Anatolia</w:t>
            </w:r>
          </w:p>
        </w:tc>
        <w:tc>
          <w:tcPr>
            <w:tcW w:w="1195" w:type="dxa"/>
            <w:tcBorders>
              <w:top w:val="single" w:sz="8" w:space="0" w:color="AEAEAE"/>
              <w:left w:val="nil"/>
              <w:bottom w:val="single" w:sz="8" w:space="0" w:color="AEAEAE"/>
              <w:right w:val="single" w:sz="8" w:space="0" w:color="E0E0E0"/>
            </w:tcBorders>
            <w:shd w:val="clear" w:color="auto" w:fill="F9F9FB"/>
          </w:tcPr>
          <w:p w14:paraId="0C17EEB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0D2E5B5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4672150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p>
        </w:tc>
        <w:tc>
          <w:tcPr>
            <w:tcW w:w="1471" w:type="dxa"/>
            <w:tcBorders>
              <w:top w:val="single" w:sz="8" w:space="0" w:color="AEAEAE"/>
              <w:left w:val="single" w:sz="8" w:space="0" w:color="E0E0E0"/>
              <w:bottom w:val="single" w:sz="8" w:space="0" w:color="AEAEAE"/>
              <w:right w:val="nil"/>
            </w:tcBorders>
            <w:shd w:val="clear" w:color="auto" w:fill="F9F9FB"/>
          </w:tcPr>
          <w:p w14:paraId="219DAF3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76.4</w:t>
            </w:r>
          </w:p>
        </w:tc>
      </w:tr>
      <w:tr w:rsidR="00520D2C" w14:paraId="0C772581" w14:textId="77777777">
        <w:trPr>
          <w:cantSplit/>
        </w:trPr>
        <w:tc>
          <w:tcPr>
            <w:tcW w:w="812" w:type="dxa"/>
            <w:vMerge/>
            <w:tcBorders>
              <w:top w:val="single" w:sz="8" w:space="0" w:color="152935"/>
              <w:left w:val="nil"/>
              <w:bottom w:val="single" w:sz="8" w:space="0" w:color="152935"/>
              <w:right w:val="nil"/>
            </w:tcBorders>
            <w:shd w:val="clear" w:color="auto" w:fill="E0E0E0"/>
          </w:tcPr>
          <w:p w14:paraId="1DE940A8"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18621C6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Mediterranean</w:t>
            </w:r>
          </w:p>
        </w:tc>
        <w:tc>
          <w:tcPr>
            <w:tcW w:w="1195" w:type="dxa"/>
            <w:tcBorders>
              <w:top w:val="single" w:sz="8" w:space="0" w:color="AEAEAE"/>
              <w:left w:val="nil"/>
              <w:bottom w:val="single" w:sz="8" w:space="0" w:color="AEAEAE"/>
              <w:right w:val="single" w:sz="8" w:space="0" w:color="E0E0E0"/>
            </w:tcBorders>
            <w:shd w:val="clear" w:color="auto" w:fill="F9F9FB"/>
          </w:tcPr>
          <w:p w14:paraId="06E7D40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06BD4CF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273E32F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w:t>
            </w:r>
          </w:p>
        </w:tc>
        <w:tc>
          <w:tcPr>
            <w:tcW w:w="1471" w:type="dxa"/>
            <w:tcBorders>
              <w:top w:val="single" w:sz="8" w:space="0" w:color="AEAEAE"/>
              <w:left w:val="single" w:sz="8" w:space="0" w:color="E0E0E0"/>
              <w:bottom w:val="single" w:sz="8" w:space="0" w:color="AEAEAE"/>
              <w:right w:val="nil"/>
            </w:tcBorders>
            <w:shd w:val="clear" w:color="auto" w:fill="F9F9FB"/>
          </w:tcPr>
          <w:p w14:paraId="1836E18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82.7</w:t>
            </w:r>
          </w:p>
        </w:tc>
      </w:tr>
      <w:tr w:rsidR="00520D2C" w14:paraId="65C9F920" w14:textId="77777777">
        <w:trPr>
          <w:cantSplit/>
        </w:trPr>
        <w:tc>
          <w:tcPr>
            <w:tcW w:w="812" w:type="dxa"/>
            <w:vMerge/>
            <w:tcBorders>
              <w:top w:val="single" w:sz="8" w:space="0" w:color="152935"/>
              <w:left w:val="nil"/>
              <w:bottom w:val="single" w:sz="8" w:space="0" w:color="152935"/>
              <w:right w:val="nil"/>
            </w:tcBorders>
            <w:shd w:val="clear" w:color="auto" w:fill="E0E0E0"/>
          </w:tcPr>
          <w:p w14:paraId="51E68C72"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14A6CF4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Black Sea</w:t>
            </w:r>
          </w:p>
        </w:tc>
        <w:tc>
          <w:tcPr>
            <w:tcW w:w="1195" w:type="dxa"/>
            <w:tcBorders>
              <w:top w:val="single" w:sz="8" w:space="0" w:color="AEAEAE"/>
              <w:left w:val="nil"/>
              <w:bottom w:val="single" w:sz="8" w:space="0" w:color="AEAEAE"/>
              <w:right w:val="single" w:sz="8" w:space="0" w:color="E0E0E0"/>
            </w:tcBorders>
            <w:shd w:val="clear" w:color="auto" w:fill="F9F9FB"/>
          </w:tcPr>
          <w:p w14:paraId="5E6B874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5E32760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50E5E6D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1" w:type="dxa"/>
            <w:tcBorders>
              <w:top w:val="single" w:sz="8" w:space="0" w:color="AEAEAE"/>
              <w:left w:val="single" w:sz="8" w:space="0" w:color="E0E0E0"/>
              <w:bottom w:val="single" w:sz="8" w:space="0" w:color="AEAEAE"/>
              <w:right w:val="nil"/>
            </w:tcBorders>
            <w:shd w:val="clear" w:color="auto" w:fill="F9F9FB"/>
          </w:tcPr>
          <w:p w14:paraId="1ED4D3B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92.3</w:t>
            </w:r>
          </w:p>
        </w:tc>
      </w:tr>
      <w:tr w:rsidR="00520D2C" w14:paraId="0D43A5BF" w14:textId="77777777">
        <w:trPr>
          <w:cantSplit/>
        </w:trPr>
        <w:tc>
          <w:tcPr>
            <w:tcW w:w="812" w:type="dxa"/>
            <w:vMerge/>
            <w:tcBorders>
              <w:top w:val="single" w:sz="8" w:space="0" w:color="152935"/>
              <w:left w:val="nil"/>
              <w:bottom w:val="single" w:sz="8" w:space="0" w:color="152935"/>
              <w:right w:val="nil"/>
            </w:tcBorders>
            <w:shd w:val="clear" w:color="auto" w:fill="E0E0E0"/>
          </w:tcPr>
          <w:p w14:paraId="106739F0"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6326629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Eastern Anatolia</w:t>
            </w:r>
          </w:p>
        </w:tc>
        <w:tc>
          <w:tcPr>
            <w:tcW w:w="1195" w:type="dxa"/>
            <w:tcBorders>
              <w:top w:val="single" w:sz="8" w:space="0" w:color="AEAEAE"/>
              <w:left w:val="nil"/>
              <w:bottom w:val="single" w:sz="8" w:space="0" w:color="AEAEAE"/>
              <w:right w:val="single" w:sz="8" w:space="0" w:color="E0E0E0"/>
            </w:tcBorders>
            <w:shd w:val="clear" w:color="auto" w:fill="F9F9FB"/>
          </w:tcPr>
          <w:p w14:paraId="52A0E96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02264D1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126821D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w:t>
            </w:r>
          </w:p>
        </w:tc>
        <w:tc>
          <w:tcPr>
            <w:tcW w:w="1471" w:type="dxa"/>
            <w:tcBorders>
              <w:top w:val="single" w:sz="8" w:space="0" w:color="AEAEAE"/>
              <w:left w:val="single" w:sz="8" w:space="0" w:color="E0E0E0"/>
              <w:bottom w:val="single" w:sz="8" w:space="0" w:color="AEAEAE"/>
              <w:right w:val="nil"/>
            </w:tcBorders>
            <w:shd w:val="clear" w:color="auto" w:fill="F9F9FB"/>
          </w:tcPr>
          <w:p w14:paraId="3FE69DE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93.3</w:t>
            </w:r>
          </w:p>
        </w:tc>
      </w:tr>
      <w:tr w:rsidR="00520D2C" w14:paraId="0893BBC7" w14:textId="77777777">
        <w:trPr>
          <w:cantSplit/>
        </w:trPr>
        <w:tc>
          <w:tcPr>
            <w:tcW w:w="812" w:type="dxa"/>
            <w:vMerge/>
            <w:tcBorders>
              <w:top w:val="single" w:sz="8" w:space="0" w:color="152935"/>
              <w:left w:val="nil"/>
              <w:bottom w:val="single" w:sz="8" w:space="0" w:color="152935"/>
              <w:right w:val="nil"/>
            </w:tcBorders>
            <w:shd w:val="clear" w:color="auto" w:fill="E0E0E0"/>
          </w:tcPr>
          <w:p w14:paraId="773A3E2A"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AEAEAE"/>
              <w:right w:val="nil"/>
            </w:tcBorders>
            <w:shd w:val="clear" w:color="auto" w:fill="E0E0E0"/>
          </w:tcPr>
          <w:p w14:paraId="106FD0C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Southeastern Anatolia</w:t>
            </w:r>
          </w:p>
        </w:tc>
        <w:tc>
          <w:tcPr>
            <w:tcW w:w="1195" w:type="dxa"/>
            <w:tcBorders>
              <w:top w:val="single" w:sz="8" w:space="0" w:color="AEAEAE"/>
              <w:left w:val="nil"/>
              <w:bottom w:val="single" w:sz="8" w:space="0" w:color="AEAEAE"/>
              <w:right w:val="single" w:sz="8" w:space="0" w:color="E0E0E0"/>
            </w:tcBorders>
            <w:shd w:val="clear" w:color="auto" w:fill="F9F9FB"/>
          </w:tcPr>
          <w:p w14:paraId="2CA98ED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7FDA273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6F2084D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w:t>
            </w:r>
          </w:p>
        </w:tc>
        <w:tc>
          <w:tcPr>
            <w:tcW w:w="1471" w:type="dxa"/>
            <w:tcBorders>
              <w:top w:val="single" w:sz="8" w:space="0" w:color="AEAEAE"/>
              <w:left w:val="single" w:sz="8" w:space="0" w:color="E0E0E0"/>
              <w:bottom w:val="single" w:sz="8" w:space="0" w:color="AEAEAE"/>
              <w:right w:val="nil"/>
            </w:tcBorders>
            <w:shd w:val="clear" w:color="auto" w:fill="F9F9FB"/>
          </w:tcPr>
          <w:p w14:paraId="4D95D83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187E9525" w14:textId="77777777">
        <w:trPr>
          <w:cantSplit/>
        </w:trPr>
        <w:tc>
          <w:tcPr>
            <w:tcW w:w="812" w:type="dxa"/>
            <w:vMerge/>
            <w:tcBorders>
              <w:top w:val="single" w:sz="8" w:space="0" w:color="152935"/>
              <w:left w:val="nil"/>
              <w:bottom w:val="single" w:sz="8" w:space="0" w:color="152935"/>
              <w:right w:val="nil"/>
            </w:tcBorders>
            <w:shd w:val="clear" w:color="auto" w:fill="E0E0E0"/>
          </w:tcPr>
          <w:p w14:paraId="26976AF4" w14:textId="77777777" w:rsidR="00520D2C" w:rsidRDefault="00520D2C">
            <w:pPr>
              <w:rPr>
                <w:rFonts w:ascii="Arial" w:hAnsi="Arial" w:cs="Arial"/>
                <w:color w:val="010205"/>
                <w:sz w:val="18"/>
                <w:szCs w:val="18"/>
              </w:rPr>
            </w:pPr>
          </w:p>
        </w:tc>
        <w:tc>
          <w:tcPr>
            <w:tcW w:w="2145" w:type="dxa"/>
            <w:tcBorders>
              <w:top w:val="single" w:sz="8" w:space="0" w:color="AEAEAE"/>
              <w:left w:val="nil"/>
              <w:bottom w:val="single" w:sz="8" w:space="0" w:color="152935"/>
              <w:right w:val="nil"/>
            </w:tcBorders>
            <w:shd w:val="clear" w:color="auto" w:fill="E0E0E0"/>
          </w:tcPr>
          <w:p w14:paraId="19EEEC2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5" w:type="dxa"/>
            <w:tcBorders>
              <w:top w:val="single" w:sz="8" w:space="0" w:color="AEAEAE"/>
              <w:left w:val="nil"/>
              <w:bottom w:val="single" w:sz="8" w:space="0" w:color="152935"/>
              <w:right w:val="single" w:sz="8" w:space="0" w:color="E0E0E0"/>
            </w:tcBorders>
            <w:shd w:val="clear" w:color="auto" w:fill="F9F9FB"/>
          </w:tcPr>
          <w:p w14:paraId="7DE77CD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3" w:type="dxa"/>
            <w:tcBorders>
              <w:top w:val="single" w:sz="8" w:space="0" w:color="AEAEAE"/>
              <w:left w:val="single" w:sz="8" w:space="0" w:color="E0E0E0"/>
              <w:bottom w:val="single" w:sz="8" w:space="0" w:color="152935"/>
              <w:right w:val="single" w:sz="8" w:space="0" w:color="E0E0E0"/>
            </w:tcBorders>
            <w:shd w:val="clear" w:color="auto" w:fill="F9F9FB"/>
          </w:tcPr>
          <w:p w14:paraId="34AE60E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20C7B14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27E85E83" w14:textId="77777777" w:rsidR="00520D2C" w:rsidRDefault="00520D2C">
            <w:pPr>
              <w:rPr>
                <w:rFonts w:ascii="Times New Roman" w:hAnsi="Times New Roman" w:cs="Times New Roman"/>
              </w:rPr>
            </w:pPr>
          </w:p>
        </w:tc>
      </w:tr>
    </w:tbl>
    <w:p w14:paraId="4B2C5FD8" w14:textId="77777777" w:rsidR="00520D2C" w:rsidRDefault="00520D2C">
      <w:pPr>
        <w:spacing w:line="400" w:lineRule="atLeast"/>
        <w:rPr>
          <w:rFonts w:ascii="Times New Roman" w:hAnsi="Times New Roman" w:cs="Times New Roman"/>
        </w:rPr>
      </w:pPr>
    </w:p>
    <w:p w14:paraId="0065AC2D" w14:textId="77777777" w:rsidR="00520D2C" w:rsidRDefault="00520D2C">
      <w:pPr>
        <w:spacing w:line="400" w:lineRule="atLeast"/>
        <w:rPr>
          <w:rFonts w:ascii="Times New Roman" w:hAnsi="Times New Roman" w:cs="Times New Roman"/>
        </w:rPr>
      </w:pPr>
    </w:p>
    <w:tbl>
      <w:tblPr>
        <w:tblW w:w="87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2451"/>
        <w:gridCol w:w="1195"/>
        <w:gridCol w:w="1364"/>
        <w:gridCol w:w="1471"/>
        <w:gridCol w:w="1471"/>
      </w:tblGrid>
      <w:tr w:rsidR="00520D2C" w14:paraId="085F62FE" w14:textId="77777777">
        <w:trPr>
          <w:cantSplit/>
        </w:trPr>
        <w:tc>
          <w:tcPr>
            <w:tcW w:w="8758" w:type="dxa"/>
            <w:gridSpan w:val="6"/>
            <w:tcBorders>
              <w:top w:val="nil"/>
              <w:left w:val="nil"/>
              <w:bottom w:val="nil"/>
              <w:right w:val="nil"/>
            </w:tcBorders>
            <w:shd w:val="clear" w:color="auto" w:fill="FFFFFF"/>
            <w:vAlign w:val="center"/>
          </w:tcPr>
          <w:p w14:paraId="578AF17E"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Employment.status</w:t>
            </w:r>
          </w:p>
        </w:tc>
      </w:tr>
      <w:tr w:rsidR="00520D2C" w14:paraId="46EC1422" w14:textId="77777777">
        <w:trPr>
          <w:cantSplit/>
        </w:trPr>
        <w:tc>
          <w:tcPr>
            <w:tcW w:w="3261" w:type="dxa"/>
            <w:gridSpan w:val="2"/>
            <w:tcBorders>
              <w:top w:val="nil"/>
              <w:left w:val="nil"/>
              <w:bottom w:val="single" w:sz="8" w:space="0" w:color="152935"/>
              <w:right w:val="nil"/>
            </w:tcBorders>
            <w:shd w:val="clear" w:color="auto" w:fill="FFFFFF"/>
            <w:vAlign w:val="bottom"/>
          </w:tcPr>
          <w:p w14:paraId="4E656192" w14:textId="77777777" w:rsidR="00520D2C" w:rsidRDefault="00520D2C">
            <w:pPr>
              <w:rPr>
                <w:rFonts w:ascii="Times New Roman" w:hAnsi="Times New Roman" w:cs="Times New Roman"/>
              </w:rPr>
            </w:pPr>
          </w:p>
        </w:tc>
        <w:tc>
          <w:tcPr>
            <w:tcW w:w="1194" w:type="dxa"/>
            <w:tcBorders>
              <w:top w:val="nil"/>
              <w:left w:val="nil"/>
              <w:bottom w:val="single" w:sz="8" w:space="0" w:color="152935"/>
              <w:right w:val="single" w:sz="8" w:space="0" w:color="E0E0E0"/>
            </w:tcBorders>
            <w:shd w:val="clear" w:color="auto" w:fill="FFFFFF"/>
            <w:vAlign w:val="bottom"/>
          </w:tcPr>
          <w:p w14:paraId="225CF9D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3" w:type="dxa"/>
            <w:tcBorders>
              <w:top w:val="nil"/>
              <w:left w:val="single" w:sz="8" w:space="0" w:color="E0E0E0"/>
              <w:bottom w:val="single" w:sz="8" w:space="0" w:color="152935"/>
              <w:right w:val="single" w:sz="8" w:space="0" w:color="E0E0E0"/>
            </w:tcBorders>
            <w:shd w:val="clear" w:color="auto" w:fill="FFFFFF"/>
            <w:vAlign w:val="bottom"/>
          </w:tcPr>
          <w:p w14:paraId="63E9010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7CDA0AB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0" w:type="dxa"/>
            <w:tcBorders>
              <w:top w:val="nil"/>
              <w:left w:val="single" w:sz="8" w:space="0" w:color="E0E0E0"/>
              <w:bottom w:val="single" w:sz="8" w:space="0" w:color="152935"/>
              <w:right w:val="nil"/>
            </w:tcBorders>
            <w:shd w:val="clear" w:color="auto" w:fill="FFFFFF"/>
            <w:vAlign w:val="bottom"/>
          </w:tcPr>
          <w:p w14:paraId="53D90044"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578962E3" w14:textId="77777777">
        <w:trPr>
          <w:cantSplit/>
        </w:trPr>
        <w:tc>
          <w:tcPr>
            <w:tcW w:w="811" w:type="dxa"/>
            <w:vMerge w:val="restart"/>
            <w:tcBorders>
              <w:top w:val="single" w:sz="8" w:space="0" w:color="152935"/>
              <w:left w:val="nil"/>
              <w:bottom w:val="single" w:sz="8" w:space="0" w:color="152935"/>
              <w:right w:val="nil"/>
            </w:tcBorders>
            <w:shd w:val="clear" w:color="auto" w:fill="E0E0E0"/>
          </w:tcPr>
          <w:p w14:paraId="69CD379D"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2450" w:type="dxa"/>
            <w:tcBorders>
              <w:top w:val="single" w:sz="8" w:space="0" w:color="152935"/>
              <w:left w:val="nil"/>
              <w:bottom w:val="single" w:sz="8" w:space="0" w:color="AEAEAE"/>
              <w:right w:val="nil"/>
            </w:tcBorders>
            <w:shd w:val="clear" w:color="auto" w:fill="E0E0E0"/>
          </w:tcPr>
          <w:p w14:paraId="00DB650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Student</w:t>
            </w:r>
          </w:p>
        </w:tc>
        <w:tc>
          <w:tcPr>
            <w:tcW w:w="1194" w:type="dxa"/>
            <w:tcBorders>
              <w:top w:val="single" w:sz="8" w:space="0" w:color="152935"/>
              <w:left w:val="nil"/>
              <w:bottom w:val="single" w:sz="8" w:space="0" w:color="AEAEAE"/>
              <w:right w:val="single" w:sz="8" w:space="0" w:color="E0E0E0"/>
            </w:tcBorders>
            <w:shd w:val="clear" w:color="auto" w:fill="F9F9FB"/>
          </w:tcPr>
          <w:p w14:paraId="7BBF224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35</w:t>
            </w:r>
          </w:p>
        </w:tc>
        <w:tc>
          <w:tcPr>
            <w:tcW w:w="1363" w:type="dxa"/>
            <w:tcBorders>
              <w:top w:val="single" w:sz="8" w:space="0" w:color="152935"/>
              <w:left w:val="single" w:sz="8" w:space="0" w:color="E0E0E0"/>
              <w:bottom w:val="single" w:sz="8" w:space="0" w:color="AEAEAE"/>
              <w:right w:val="single" w:sz="8" w:space="0" w:color="E0E0E0"/>
            </w:tcBorders>
            <w:shd w:val="clear" w:color="auto" w:fill="F9F9FB"/>
          </w:tcPr>
          <w:p w14:paraId="6E92866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16.8</w:t>
            </w:r>
          </w:p>
        </w:tc>
        <w:tc>
          <w:tcPr>
            <w:tcW w:w="1470" w:type="dxa"/>
            <w:tcBorders>
              <w:top w:val="single" w:sz="8" w:space="0" w:color="152935"/>
              <w:left w:val="single" w:sz="8" w:space="0" w:color="E0E0E0"/>
              <w:bottom w:val="single" w:sz="8" w:space="0" w:color="AEAEAE"/>
              <w:right w:val="single" w:sz="8" w:space="0" w:color="E0E0E0"/>
            </w:tcBorders>
            <w:shd w:val="clear" w:color="auto" w:fill="F9F9FB"/>
          </w:tcPr>
          <w:p w14:paraId="063B4B5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16.8</w:t>
            </w:r>
          </w:p>
        </w:tc>
        <w:tc>
          <w:tcPr>
            <w:tcW w:w="1470" w:type="dxa"/>
            <w:tcBorders>
              <w:top w:val="single" w:sz="8" w:space="0" w:color="152935"/>
              <w:left w:val="single" w:sz="8" w:space="0" w:color="E0E0E0"/>
              <w:bottom w:val="single" w:sz="8" w:space="0" w:color="AEAEAE"/>
              <w:right w:val="nil"/>
            </w:tcBorders>
            <w:shd w:val="clear" w:color="auto" w:fill="F9F9FB"/>
          </w:tcPr>
          <w:p w14:paraId="2BC59F9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16.8</w:t>
            </w:r>
          </w:p>
        </w:tc>
      </w:tr>
      <w:tr w:rsidR="00520D2C" w14:paraId="40C432FB" w14:textId="77777777">
        <w:trPr>
          <w:cantSplit/>
        </w:trPr>
        <w:tc>
          <w:tcPr>
            <w:tcW w:w="811" w:type="dxa"/>
            <w:vMerge/>
            <w:tcBorders>
              <w:top w:val="single" w:sz="8" w:space="0" w:color="152935"/>
              <w:left w:val="nil"/>
              <w:bottom w:val="single" w:sz="8" w:space="0" w:color="152935"/>
              <w:right w:val="nil"/>
            </w:tcBorders>
            <w:shd w:val="clear" w:color="auto" w:fill="E0E0E0"/>
          </w:tcPr>
          <w:p w14:paraId="4CA38D49"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396FF5C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Employed (Private Sector)</w:t>
            </w:r>
          </w:p>
        </w:tc>
        <w:tc>
          <w:tcPr>
            <w:tcW w:w="1194" w:type="dxa"/>
            <w:tcBorders>
              <w:top w:val="single" w:sz="8" w:space="0" w:color="AEAEAE"/>
              <w:left w:val="nil"/>
              <w:bottom w:val="single" w:sz="8" w:space="0" w:color="AEAEAE"/>
              <w:right w:val="single" w:sz="8" w:space="0" w:color="E0E0E0"/>
            </w:tcBorders>
            <w:shd w:val="clear" w:color="auto" w:fill="F9F9FB"/>
          </w:tcPr>
          <w:p w14:paraId="1735698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771D3DE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37DC77B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22.1</w:t>
            </w:r>
          </w:p>
        </w:tc>
        <w:tc>
          <w:tcPr>
            <w:tcW w:w="1470" w:type="dxa"/>
            <w:tcBorders>
              <w:top w:val="single" w:sz="8" w:space="0" w:color="AEAEAE"/>
              <w:left w:val="single" w:sz="8" w:space="0" w:color="E0E0E0"/>
              <w:bottom w:val="single" w:sz="8" w:space="0" w:color="AEAEAE"/>
              <w:right w:val="nil"/>
            </w:tcBorders>
            <w:shd w:val="clear" w:color="auto" w:fill="F9F9FB"/>
          </w:tcPr>
          <w:p w14:paraId="1FE8CB1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38.9</w:t>
            </w:r>
          </w:p>
        </w:tc>
      </w:tr>
      <w:tr w:rsidR="00520D2C" w14:paraId="794984E0" w14:textId="77777777">
        <w:trPr>
          <w:cantSplit/>
        </w:trPr>
        <w:tc>
          <w:tcPr>
            <w:tcW w:w="811" w:type="dxa"/>
            <w:vMerge/>
            <w:tcBorders>
              <w:top w:val="single" w:sz="8" w:space="0" w:color="152935"/>
              <w:left w:val="nil"/>
              <w:bottom w:val="single" w:sz="8" w:space="0" w:color="152935"/>
              <w:right w:val="nil"/>
            </w:tcBorders>
            <w:shd w:val="clear" w:color="auto" w:fill="E0E0E0"/>
          </w:tcPr>
          <w:p w14:paraId="41E4AA2A"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7C60E51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Employed (Public Sector)</w:t>
            </w:r>
          </w:p>
        </w:tc>
        <w:tc>
          <w:tcPr>
            <w:tcW w:w="1194" w:type="dxa"/>
            <w:tcBorders>
              <w:top w:val="single" w:sz="8" w:space="0" w:color="AEAEAE"/>
              <w:left w:val="nil"/>
              <w:bottom w:val="single" w:sz="8" w:space="0" w:color="AEAEAE"/>
              <w:right w:val="single" w:sz="8" w:space="0" w:color="E0E0E0"/>
            </w:tcBorders>
            <w:shd w:val="clear" w:color="auto" w:fill="F9F9FB"/>
          </w:tcPr>
          <w:p w14:paraId="2C40DF3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59</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4FC1498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28.4</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452EB17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28.4</w:t>
            </w:r>
          </w:p>
        </w:tc>
        <w:tc>
          <w:tcPr>
            <w:tcW w:w="1470" w:type="dxa"/>
            <w:tcBorders>
              <w:top w:val="single" w:sz="8" w:space="0" w:color="AEAEAE"/>
              <w:left w:val="single" w:sz="8" w:space="0" w:color="E0E0E0"/>
              <w:bottom w:val="single" w:sz="8" w:space="0" w:color="AEAEAE"/>
              <w:right w:val="nil"/>
            </w:tcBorders>
            <w:shd w:val="clear" w:color="auto" w:fill="F9F9FB"/>
          </w:tcPr>
          <w:p w14:paraId="2B5BBC0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67.3</w:t>
            </w:r>
          </w:p>
        </w:tc>
      </w:tr>
      <w:tr w:rsidR="00520D2C" w14:paraId="614E84C3" w14:textId="77777777">
        <w:trPr>
          <w:cantSplit/>
        </w:trPr>
        <w:tc>
          <w:tcPr>
            <w:tcW w:w="811" w:type="dxa"/>
            <w:vMerge/>
            <w:tcBorders>
              <w:top w:val="single" w:sz="8" w:space="0" w:color="152935"/>
              <w:left w:val="nil"/>
              <w:bottom w:val="single" w:sz="8" w:space="0" w:color="152935"/>
              <w:right w:val="nil"/>
            </w:tcBorders>
            <w:shd w:val="clear" w:color="auto" w:fill="E0E0E0"/>
          </w:tcPr>
          <w:p w14:paraId="147B7CE3"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6072DF83"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Self-employed/Entrepreneur</w:t>
            </w:r>
          </w:p>
        </w:tc>
        <w:tc>
          <w:tcPr>
            <w:tcW w:w="1194" w:type="dxa"/>
            <w:tcBorders>
              <w:top w:val="single" w:sz="8" w:space="0" w:color="AEAEAE"/>
              <w:left w:val="nil"/>
              <w:bottom w:val="single" w:sz="8" w:space="0" w:color="AEAEAE"/>
              <w:right w:val="single" w:sz="8" w:space="0" w:color="E0E0E0"/>
            </w:tcBorders>
            <w:shd w:val="clear" w:color="auto" w:fill="F9F9FB"/>
          </w:tcPr>
          <w:p w14:paraId="31F596A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35A089D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6AD5A1E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0" w:type="dxa"/>
            <w:tcBorders>
              <w:top w:val="single" w:sz="8" w:space="0" w:color="AEAEAE"/>
              <w:left w:val="single" w:sz="8" w:space="0" w:color="E0E0E0"/>
              <w:bottom w:val="single" w:sz="8" w:space="0" w:color="AEAEAE"/>
              <w:right w:val="nil"/>
            </w:tcBorders>
            <w:shd w:val="clear" w:color="auto" w:fill="F9F9FB"/>
          </w:tcPr>
          <w:p w14:paraId="20B1D53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76.9</w:t>
            </w:r>
          </w:p>
        </w:tc>
      </w:tr>
      <w:tr w:rsidR="00520D2C" w14:paraId="4B8B69A6" w14:textId="77777777">
        <w:trPr>
          <w:cantSplit/>
        </w:trPr>
        <w:tc>
          <w:tcPr>
            <w:tcW w:w="811" w:type="dxa"/>
            <w:vMerge/>
            <w:tcBorders>
              <w:top w:val="single" w:sz="8" w:space="0" w:color="152935"/>
              <w:left w:val="nil"/>
              <w:bottom w:val="single" w:sz="8" w:space="0" w:color="152935"/>
              <w:right w:val="nil"/>
            </w:tcBorders>
            <w:shd w:val="clear" w:color="auto" w:fill="E0E0E0"/>
          </w:tcPr>
          <w:p w14:paraId="1C48137E"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14209CC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Unemployed</w:t>
            </w:r>
          </w:p>
        </w:tc>
        <w:tc>
          <w:tcPr>
            <w:tcW w:w="1194" w:type="dxa"/>
            <w:tcBorders>
              <w:top w:val="single" w:sz="8" w:space="0" w:color="AEAEAE"/>
              <w:left w:val="nil"/>
              <w:bottom w:val="single" w:sz="8" w:space="0" w:color="AEAEAE"/>
              <w:right w:val="single" w:sz="8" w:space="0" w:color="E0E0E0"/>
            </w:tcBorders>
            <w:shd w:val="clear" w:color="auto" w:fill="F9F9FB"/>
          </w:tcPr>
          <w:p w14:paraId="422AFCC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0630DFA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9.1</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1C01A0D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9.1</w:t>
            </w:r>
          </w:p>
        </w:tc>
        <w:tc>
          <w:tcPr>
            <w:tcW w:w="1470" w:type="dxa"/>
            <w:tcBorders>
              <w:top w:val="single" w:sz="8" w:space="0" w:color="AEAEAE"/>
              <w:left w:val="single" w:sz="8" w:space="0" w:color="E0E0E0"/>
              <w:bottom w:val="single" w:sz="8" w:space="0" w:color="AEAEAE"/>
              <w:right w:val="nil"/>
            </w:tcBorders>
            <w:shd w:val="clear" w:color="auto" w:fill="F9F9FB"/>
          </w:tcPr>
          <w:p w14:paraId="05849D1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86.1</w:t>
            </w:r>
          </w:p>
        </w:tc>
      </w:tr>
      <w:tr w:rsidR="00520D2C" w14:paraId="326000AA" w14:textId="77777777">
        <w:trPr>
          <w:cantSplit/>
        </w:trPr>
        <w:tc>
          <w:tcPr>
            <w:tcW w:w="811" w:type="dxa"/>
            <w:vMerge/>
            <w:tcBorders>
              <w:top w:val="single" w:sz="8" w:space="0" w:color="152935"/>
              <w:left w:val="nil"/>
              <w:bottom w:val="single" w:sz="8" w:space="0" w:color="152935"/>
              <w:right w:val="nil"/>
            </w:tcBorders>
            <w:shd w:val="clear" w:color="auto" w:fill="E0E0E0"/>
          </w:tcPr>
          <w:p w14:paraId="3E60ED88"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2785474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Retired</w:t>
            </w:r>
          </w:p>
        </w:tc>
        <w:tc>
          <w:tcPr>
            <w:tcW w:w="1194" w:type="dxa"/>
            <w:tcBorders>
              <w:top w:val="single" w:sz="8" w:space="0" w:color="AEAEAE"/>
              <w:left w:val="nil"/>
              <w:bottom w:val="single" w:sz="8" w:space="0" w:color="AEAEAE"/>
              <w:right w:val="single" w:sz="8" w:space="0" w:color="E0E0E0"/>
            </w:tcBorders>
            <w:shd w:val="clear" w:color="auto" w:fill="F9F9FB"/>
          </w:tcPr>
          <w:p w14:paraId="3F0C7CE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5D21A64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6EF3E5C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470" w:type="dxa"/>
            <w:tcBorders>
              <w:top w:val="single" w:sz="8" w:space="0" w:color="AEAEAE"/>
              <w:left w:val="single" w:sz="8" w:space="0" w:color="E0E0E0"/>
              <w:bottom w:val="single" w:sz="8" w:space="0" w:color="AEAEAE"/>
              <w:right w:val="nil"/>
            </w:tcBorders>
            <w:shd w:val="clear" w:color="auto" w:fill="F9F9FB"/>
          </w:tcPr>
          <w:p w14:paraId="1DC1E44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95.7</w:t>
            </w:r>
          </w:p>
        </w:tc>
      </w:tr>
      <w:tr w:rsidR="00520D2C" w14:paraId="17FCCA11" w14:textId="77777777">
        <w:trPr>
          <w:cantSplit/>
        </w:trPr>
        <w:tc>
          <w:tcPr>
            <w:tcW w:w="811" w:type="dxa"/>
            <w:vMerge/>
            <w:tcBorders>
              <w:top w:val="single" w:sz="8" w:space="0" w:color="152935"/>
              <w:left w:val="nil"/>
              <w:bottom w:val="single" w:sz="8" w:space="0" w:color="152935"/>
              <w:right w:val="nil"/>
            </w:tcBorders>
            <w:shd w:val="clear" w:color="auto" w:fill="E0E0E0"/>
          </w:tcPr>
          <w:p w14:paraId="2806576C"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16547FA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Other</w:t>
            </w:r>
          </w:p>
        </w:tc>
        <w:tc>
          <w:tcPr>
            <w:tcW w:w="1194" w:type="dxa"/>
            <w:tcBorders>
              <w:top w:val="single" w:sz="8" w:space="0" w:color="AEAEAE"/>
              <w:left w:val="nil"/>
              <w:bottom w:val="single" w:sz="8" w:space="0" w:color="AEAEAE"/>
              <w:right w:val="single" w:sz="8" w:space="0" w:color="E0E0E0"/>
            </w:tcBorders>
            <w:shd w:val="clear" w:color="auto" w:fill="F9F9FB"/>
          </w:tcPr>
          <w:p w14:paraId="42B23D6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4AEB5F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4.3</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42CC056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4.3</w:t>
            </w:r>
          </w:p>
        </w:tc>
        <w:tc>
          <w:tcPr>
            <w:tcW w:w="1470" w:type="dxa"/>
            <w:tcBorders>
              <w:top w:val="single" w:sz="8" w:space="0" w:color="AEAEAE"/>
              <w:left w:val="single" w:sz="8" w:space="0" w:color="E0E0E0"/>
              <w:bottom w:val="single" w:sz="8" w:space="0" w:color="AEAEAE"/>
              <w:right w:val="nil"/>
            </w:tcBorders>
            <w:shd w:val="clear" w:color="auto" w:fill="F9F9FB"/>
          </w:tcPr>
          <w:p w14:paraId="27F909E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5EABA589" w14:textId="77777777">
        <w:trPr>
          <w:cantSplit/>
        </w:trPr>
        <w:tc>
          <w:tcPr>
            <w:tcW w:w="811" w:type="dxa"/>
            <w:vMerge/>
            <w:tcBorders>
              <w:top w:val="single" w:sz="8" w:space="0" w:color="152935"/>
              <w:left w:val="nil"/>
              <w:bottom w:val="single" w:sz="8" w:space="0" w:color="152935"/>
              <w:right w:val="nil"/>
            </w:tcBorders>
            <w:shd w:val="clear" w:color="auto" w:fill="E0E0E0"/>
          </w:tcPr>
          <w:p w14:paraId="57E0B309"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152935"/>
              <w:right w:val="nil"/>
            </w:tcBorders>
            <w:shd w:val="clear" w:color="auto" w:fill="E0E0E0"/>
          </w:tcPr>
          <w:p w14:paraId="6241375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4" w:type="dxa"/>
            <w:tcBorders>
              <w:top w:val="single" w:sz="8" w:space="0" w:color="AEAEAE"/>
              <w:left w:val="nil"/>
              <w:bottom w:val="single" w:sz="8" w:space="0" w:color="152935"/>
              <w:right w:val="single" w:sz="8" w:space="0" w:color="E0E0E0"/>
            </w:tcBorders>
            <w:shd w:val="clear" w:color="auto" w:fill="F9F9FB"/>
          </w:tcPr>
          <w:p w14:paraId="7AF4BAA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3" w:type="dxa"/>
            <w:tcBorders>
              <w:top w:val="single" w:sz="8" w:space="0" w:color="AEAEAE"/>
              <w:left w:val="single" w:sz="8" w:space="0" w:color="E0E0E0"/>
              <w:bottom w:val="single" w:sz="8" w:space="0" w:color="152935"/>
              <w:right w:val="single" w:sz="8" w:space="0" w:color="E0E0E0"/>
            </w:tcBorders>
            <w:shd w:val="clear" w:color="auto" w:fill="F9F9FB"/>
          </w:tcPr>
          <w:p w14:paraId="19A88AE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71E5A6A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0" w:type="dxa"/>
            <w:tcBorders>
              <w:top w:val="single" w:sz="8" w:space="0" w:color="AEAEAE"/>
              <w:left w:val="single" w:sz="8" w:space="0" w:color="E0E0E0"/>
              <w:bottom w:val="single" w:sz="8" w:space="0" w:color="152935"/>
              <w:right w:val="nil"/>
            </w:tcBorders>
            <w:shd w:val="clear" w:color="auto" w:fill="F9F9FB"/>
            <w:vAlign w:val="center"/>
          </w:tcPr>
          <w:p w14:paraId="1236E2E8" w14:textId="77777777" w:rsidR="00520D2C" w:rsidRDefault="00520D2C">
            <w:pPr>
              <w:rPr>
                <w:rFonts w:ascii="Times New Roman" w:hAnsi="Times New Roman" w:cs="Times New Roman"/>
              </w:rPr>
            </w:pPr>
          </w:p>
        </w:tc>
      </w:tr>
    </w:tbl>
    <w:p w14:paraId="79FA6F01" w14:textId="77777777" w:rsidR="00520D2C" w:rsidRDefault="00520D2C">
      <w:pPr>
        <w:spacing w:line="400" w:lineRule="atLeast"/>
        <w:rPr>
          <w:rFonts w:ascii="Times New Roman" w:hAnsi="Times New Roman" w:cs="Times New Roman"/>
        </w:rPr>
      </w:pPr>
    </w:p>
    <w:p w14:paraId="17816B55" w14:textId="77777777" w:rsidR="00520D2C" w:rsidRDefault="00520D2C">
      <w:pPr>
        <w:spacing w:line="400" w:lineRule="atLeast"/>
        <w:rPr>
          <w:rFonts w:ascii="Times New Roman" w:hAnsi="Times New Roman" w:cs="Times New Roman"/>
        </w:rPr>
      </w:pPr>
    </w:p>
    <w:tbl>
      <w:tblPr>
        <w:tblW w:w="8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2"/>
        <w:gridCol w:w="1962"/>
        <w:gridCol w:w="1195"/>
        <w:gridCol w:w="1364"/>
        <w:gridCol w:w="1472"/>
        <w:gridCol w:w="1472"/>
      </w:tblGrid>
      <w:tr w:rsidR="00520D2C" w14:paraId="112C555F" w14:textId="77777777">
        <w:trPr>
          <w:cantSplit/>
        </w:trPr>
        <w:tc>
          <w:tcPr>
            <w:tcW w:w="8274" w:type="dxa"/>
            <w:gridSpan w:val="6"/>
            <w:tcBorders>
              <w:top w:val="nil"/>
              <w:left w:val="nil"/>
              <w:bottom w:val="nil"/>
              <w:right w:val="nil"/>
            </w:tcBorders>
            <w:shd w:val="clear" w:color="auto" w:fill="FFFFFF"/>
            <w:vAlign w:val="center"/>
          </w:tcPr>
          <w:p w14:paraId="5AFF59FE"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Incomes</w:t>
            </w:r>
          </w:p>
        </w:tc>
      </w:tr>
      <w:tr w:rsidR="00520D2C" w14:paraId="042F101A" w14:textId="77777777">
        <w:trPr>
          <w:cantSplit/>
        </w:trPr>
        <w:tc>
          <w:tcPr>
            <w:tcW w:w="2773" w:type="dxa"/>
            <w:gridSpan w:val="2"/>
            <w:tcBorders>
              <w:top w:val="nil"/>
              <w:left w:val="nil"/>
              <w:bottom w:val="single" w:sz="8" w:space="0" w:color="152935"/>
              <w:right w:val="nil"/>
            </w:tcBorders>
            <w:shd w:val="clear" w:color="auto" w:fill="FFFFFF"/>
            <w:vAlign w:val="bottom"/>
          </w:tcPr>
          <w:p w14:paraId="6CD3C6CB" w14:textId="77777777" w:rsidR="00520D2C" w:rsidRDefault="00520D2C">
            <w:pPr>
              <w:rPr>
                <w:rFonts w:ascii="Times New Roman" w:hAnsi="Times New Roman" w:cs="Times New Roman"/>
              </w:rPr>
            </w:pPr>
          </w:p>
        </w:tc>
        <w:tc>
          <w:tcPr>
            <w:tcW w:w="1195" w:type="dxa"/>
            <w:tcBorders>
              <w:top w:val="nil"/>
              <w:left w:val="nil"/>
              <w:bottom w:val="single" w:sz="8" w:space="0" w:color="152935"/>
              <w:right w:val="single" w:sz="8" w:space="0" w:color="E0E0E0"/>
            </w:tcBorders>
            <w:shd w:val="clear" w:color="auto" w:fill="FFFFFF"/>
            <w:vAlign w:val="bottom"/>
          </w:tcPr>
          <w:p w14:paraId="137E5D2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4" w:type="dxa"/>
            <w:tcBorders>
              <w:top w:val="nil"/>
              <w:left w:val="single" w:sz="8" w:space="0" w:color="E0E0E0"/>
              <w:bottom w:val="single" w:sz="8" w:space="0" w:color="152935"/>
              <w:right w:val="single" w:sz="8" w:space="0" w:color="E0E0E0"/>
            </w:tcBorders>
            <w:shd w:val="clear" w:color="auto" w:fill="FFFFFF"/>
            <w:vAlign w:val="bottom"/>
          </w:tcPr>
          <w:p w14:paraId="71C92B89"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1" w:type="dxa"/>
            <w:tcBorders>
              <w:top w:val="nil"/>
              <w:left w:val="single" w:sz="8" w:space="0" w:color="E0E0E0"/>
              <w:bottom w:val="single" w:sz="8" w:space="0" w:color="152935"/>
              <w:right w:val="single" w:sz="8" w:space="0" w:color="E0E0E0"/>
            </w:tcBorders>
            <w:shd w:val="clear" w:color="auto" w:fill="FFFFFF"/>
            <w:vAlign w:val="bottom"/>
          </w:tcPr>
          <w:p w14:paraId="4D981CB5"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1" w:type="dxa"/>
            <w:tcBorders>
              <w:top w:val="nil"/>
              <w:left w:val="single" w:sz="8" w:space="0" w:color="E0E0E0"/>
              <w:bottom w:val="single" w:sz="8" w:space="0" w:color="152935"/>
              <w:right w:val="nil"/>
            </w:tcBorders>
            <w:shd w:val="clear" w:color="auto" w:fill="FFFFFF"/>
            <w:vAlign w:val="bottom"/>
          </w:tcPr>
          <w:p w14:paraId="5F9221FF"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1DA66682" w14:textId="77777777">
        <w:trPr>
          <w:cantSplit/>
        </w:trPr>
        <w:tc>
          <w:tcPr>
            <w:tcW w:w="812" w:type="dxa"/>
            <w:vMerge w:val="restart"/>
            <w:tcBorders>
              <w:top w:val="single" w:sz="8" w:space="0" w:color="152935"/>
              <w:left w:val="nil"/>
              <w:bottom w:val="single" w:sz="8" w:space="0" w:color="152935"/>
              <w:right w:val="nil"/>
            </w:tcBorders>
            <w:shd w:val="clear" w:color="auto" w:fill="E0E0E0"/>
          </w:tcPr>
          <w:p w14:paraId="1C896E7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1961" w:type="dxa"/>
            <w:tcBorders>
              <w:top w:val="single" w:sz="8" w:space="0" w:color="152935"/>
              <w:left w:val="nil"/>
              <w:bottom w:val="single" w:sz="8" w:space="0" w:color="AEAEAE"/>
              <w:right w:val="nil"/>
            </w:tcBorders>
            <w:shd w:val="clear" w:color="auto" w:fill="E0E0E0"/>
          </w:tcPr>
          <w:p w14:paraId="5F5FADD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Below 10,000 TRY</w:t>
            </w:r>
          </w:p>
        </w:tc>
        <w:tc>
          <w:tcPr>
            <w:tcW w:w="1195" w:type="dxa"/>
            <w:tcBorders>
              <w:top w:val="single" w:sz="8" w:space="0" w:color="152935"/>
              <w:left w:val="nil"/>
              <w:bottom w:val="single" w:sz="8" w:space="0" w:color="AEAEAE"/>
              <w:right w:val="single" w:sz="8" w:space="0" w:color="E0E0E0"/>
            </w:tcBorders>
            <w:shd w:val="clear" w:color="auto" w:fill="F9F9FB"/>
          </w:tcPr>
          <w:p w14:paraId="749CC61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w:t>
            </w:r>
          </w:p>
        </w:tc>
        <w:tc>
          <w:tcPr>
            <w:tcW w:w="1364" w:type="dxa"/>
            <w:tcBorders>
              <w:top w:val="single" w:sz="8" w:space="0" w:color="152935"/>
              <w:left w:val="single" w:sz="8" w:space="0" w:color="E0E0E0"/>
              <w:bottom w:val="single" w:sz="8" w:space="0" w:color="AEAEAE"/>
              <w:right w:val="single" w:sz="8" w:space="0" w:color="E0E0E0"/>
            </w:tcBorders>
            <w:shd w:val="clear" w:color="auto" w:fill="F9F9FB"/>
          </w:tcPr>
          <w:p w14:paraId="3D67D73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21.2</w:t>
            </w:r>
          </w:p>
        </w:tc>
        <w:tc>
          <w:tcPr>
            <w:tcW w:w="1471" w:type="dxa"/>
            <w:tcBorders>
              <w:top w:val="single" w:sz="8" w:space="0" w:color="152935"/>
              <w:left w:val="single" w:sz="8" w:space="0" w:color="E0E0E0"/>
              <w:bottom w:val="single" w:sz="8" w:space="0" w:color="AEAEAE"/>
              <w:right w:val="single" w:sz="8" w:space="0" w:color="E0E0E0"/>
            </w:tcBorders>
            <w:shd w:val="clear" w:color="auto" w:fill="F9F9FB"/>
          </w:tcPr>
          <w:p w14:paraId="53B82CD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21.2</w:t>
            </w:r>
          </w:p>
        </w:tc>
        <w:tc>
          <w:tcPr>
            <w:tcW w:w="1471" w:type="dxa"/>
            <w:tcBorders>
              <w:top w:val="single" w:sz="8" w:space="0" w:color="152935"/>
              <w:left w:val="single" w:sz="8" w:space="0" w:color="E0E0E0"/>
              <w:bottom w:val="single" w:sz="8" w:space="0" w:color="AEAEAE"/>
              <w:right w:val="nil"/>
            </w:tcBorders>
            <w:shd w:val="clear" w:color="auto" w:fill="F9F9FB"/>
          </w:tcPr>
          <w:p w14:paraId="5B9C7E4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21.2</w:t>
            </w:r>
          </w:p>
        </w:tc>
      </w:tr>
      <w:tr w:rsidR="00520D2C" w14:paraId="4DAA8F96" w14:textId="77777777">
        <w:trPr>
          <w:cantSplit/>
        </w:trPr>
        <w:tc>
          <w:tcPr>
            <w:tcW w:w="812" w:type="dxa"/>
            <w:vMerge/>
            <w:tcBorders>
              <w:top w:val="single" w:sz="8" w:space="0" w:color="152935"/>
              <w:left w:val="nil"/>
              <w:bottom w:val="single" w:sz="8" w:space="0" w:color="152935"/>
              <w:right w:val="nil"/>
            </w:tcBorders>
            <w:shd w:val="clear" w:color="auto" w:fill="E0E0E0"/>
          </w:tcPr>
          <w:p w14:paraId="13B7397C" w14:textId="77777777" w:rsidR="00520D2C" w:rsidRDefault="00520D2C">
            <w:pPr>
              <w:rPr>
                <w:rFonts w:ascii="Arial" w:hAnsi="Arial" w:cs="Arial"/>
                <w:color w:val="010205"/>
                <w:sz w:val="18"/>
                <w:szCs w:val="18"/>
              </w:rPr>
            </w:pPr>
          </w:p>
        </w:tc>
        <w:tc>
          <w:tcPr>
            <w:tcW w:w="1961" w:type="dxa"/>
            <w:tcBorders>
              <w:top w:val="single" w:sz="8" w:space="0" w:color="AEAEAE"/>
              <w:left w:val="nil"/>
              <w:bottom w:val="single" w:sz="8" w:space="0" w:color="AEAEAE"/>
              <w:right w:val="nil"/>
            </w:tcBorders>
            <w:shd w:val="clear" w:color="auto" w:fill="E0E0E0"/>
          </w:tcPr>
          <w:p w14:paraId="7724FC9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10,000–20,000 TRY</w:t>
            </w:r>
          </w:p>
        </w:tc>
        <w:tc>
          <w:tcPr>
            <w:tcW w:w="1195" w:type="dxa"/>
            <w:tcBorders>
              <w:top w:val="single" w:sz="8" w:space="0" w:color="AEAEAE"/>
              <w:left w:val="nil"/>
              <w:bottom w:val="single" w:sz="8" w:space="0" w:color="AEAEAE"/>
              <w:right w:val="single" w:sz="8" w:space="0" w:color="E0E0E0"/>
            </w:tcBorders>
            <w:shd w:val="clear" w:color="auto" w:fill="F9F9FB"/>
          </w:tcPr>
          <w:p w14:paraId="60FC50E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16</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4AB8928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7.7</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25DADC8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7.7</w:t>
            </w:r>
          </w:p>
        </w:tc>
        <w:tc>
          <w:tcPr>
            <w:tcW w:w="1471" w:type="dxa"/>
            <w:tcBorders>
              <w:top w:val="single" w:sz="8" w:space="0" w:color="AEAEAE"/>
              <w:left w:val="single" w:sz="8" w:space="0" w:color="E0E0E0"/>
              <w:bottom w:val="single" w:sz="8" w:space="0" w:color="AEAEAE"/>
              <w:right w:val="nil"/>
            </w:tcBorders>
            <w:shd w:val="clear" w:color="auto" w:fill="F9F9FB"/>
          </w:tcPr>
          <w:p w14:paraId="584AEE7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r>
      <w:tr w:rsidR="00520D2C" w14:paraId="0142304C" w14:textId="77777777">
        <w:trPr>
          <w:cantSplit/>
        </w:trPr>
        <w:tc>
          <w:tcPr>
            <w:tcW w:w="812" w:type="dxa"/>
            <w:vMerge/>
            <w:tcBorders>
              <w:top w:val="single" w:sz="8" w:space="0" w:color="152935"/>
              <w:left w:val="nil"/>
              <w:bottom w:val="single" w:sz="8" w:space="0" w:color="152935"/>
              <w:right w:val="nil"/>
            </w:tcBorders>
            <w:shd w:val="clear" w:color="auto" w:fill="E0E0E0"/>
          </w:tcPr>
          <w:p w14:paraId="23535738" w14:textId="77777777" w:rsidR="00520D2C" w:rsidRDefault="00520D2C">
            <w:pPr>
              <w:rPr>
                <w:rFonts w:ascii="Arial" w:hAnsi="Arial" w:cs="Arial"/>
                <w:color w:val="010205"/>
                <w:sz w:val="18"/>
                <w:szCs w:val="18"/>
              </w:rPr>
            </w:pPr>
          </w:p>
        </w:tc>
        <w:tc>
          <w:tcPr>
            <w:tcW w:w="1961" w:type="dxa"/>
            <w:tcBorders>
              <w:top w:val="single" w:sz="8" w:space="0" w:color="AEAEAE"/>
              <w:left w:val="nil"/>
              <w:bottom w:val="single" w:sz="8" w:space="0" w:color="AEAEAE"/>
              <w:right w:val="nil"/>
            </w:tcBorders>
            <w:shd w:val="clear" w:color="auto" w:fill="E0E0E0"/>
          </w:tcPr>
          <w:p w14:paraId="4F45BE22"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20,000–30,000 TRY</w:t>
            </w:r>
          </w:p>
        </w:tc>
        <w:tc>
          <w:tcPr>
            <w:tcW w:w="1195" w:type="dxa"/>
            <w:tcBorders>
              <w:top w:val="single" w:sz="8" w:space="0" w:color="AEAEAE"/>
              <w:left w:val="nil"/>
              <w:bottom w:val="single" w:sz="8" w:space="0" w:color="AEAEAE"/>
              <w:right w:val="single" w:sz="8" w:space="0" w:color="E0E0E0"/>
            </w:tcBorders>
            <w:shd w:val="clear" w:color="auto" w:fill="F9F9FB"/>
          </w:tcPr>
          <w:p w14:paraId="419C00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28</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18C9734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13.5</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0357185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13.5</w:t>
            </w:r>
          </w:p>
        </w:tc>
        <w:tc>
          <w:tcPr>
            <w:tcW w:w="1471" w:type="dxa"/>
            <w:tcBorders>
              <w:top w:val="single" w:sz="8" w:space="0" w:color="AEAEAE"/>
              <w:left w:val="single" w:sz="8" w:space="0" w:color="E0E0E0"/>
              <w:bottom w:val="single" w:sz="8" w:space="0" w:color="AEAEAE"/>
              <w:right w:val="nil"/>
            </w:tcBorders>
            <w:shd w:val="clear" w:color="auto" w:fill="F9F9FB"/>
          </w:tcPr>
          <w:p w14:paraId="3F4CD2D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42.3</w:t>
            </w:r>
          </w:p>
        </w:tc>
      </w:tr>
      <w:tr w:rsidR="00520D2C" w14:paraId="44584DA9" w14:textId="77777777">
        <w:trPr>
          <w:cantSplit/>
        </w:trPr>
        <w:tc>
          <w:tcPr>
            <w:tcW w:w="812" w:type="dxa"/>
            <w:vMerge/>
            <w:tcBorders>
              <w:top w:val="single" w:sz="8" w:space="0" w:color="152935"/>
              <w:left w:val="nil"/>
              <w:bottom w:val="single" w:sz="8" w:space="0" w:color="152935"/>
              <w:right w:val="nil"/>
            </w:tcBorders>
            <w:shd w:val="clear" w:color="auto" w:fill="E0E0E0"/>
          </w:tcPr>
          <w:p w14:paraId="63437613" w14:textId="77777777" w:rsidR="00520D2C" w:rsidRDefault="00520D2C">
            <w:pPr>
              <w:rPr>
                <w:rFonts w:ascii="Arial" w:hAnsi="Arial" w:cs="Arial"/>
                <w:color w:val="010205"/>
                <w:sz w:val="18"/>
                <w:szCs w:val="18"/>
              </w:rPr>
            </w:pPr>
          </w:p>
        </w:tc>
        <w:tc>
          <w:tcPr>
            <w:tcW w:w="1961" w:type="dxa"/>
            <w:tcBorders>
              <w:top w:val="single" w:sz="8" w:space="0" w:color="AEAEAE"/>
              <w:left w:val="nil"/>
              <w:bottom w:val="single" w:sz="8" w:space="0" w:color="AEAEAE"/>
              <w:right w:val="nil"/>
            </w:tcBorders>
            <w:shd w:val="clear" w:color="auto" w:fill="E0E0E0"/>
          </w:tcPr>
          <w:p w14:paraId="2E15A606"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30,000–50,000 TRY</w:t>
            </w:r>
          </w:p>
        </w:tc>
        <w:tc>
          <w:tcPr>
            <w:tcW w:w="1195" w:type="dxa"/>
            <w:tcBorders>
              <w:top w:val="single" w:sz="8" w:space="0" w:color="AEAEAE"/>
              <w:left w:val="nil"/>
              <w:bottom w:val="single" w:sz="8" w:space="0" w:color="AEAEAE"/>
              <w:right w:val="single" w:sz="8" w:space="0" w:color="E0E0E0"/>
            </w:tcBorders>
            <w:shd w:val="clear" w:color="auto" w:fill="F9F9FB"/>
          </w:tcPr>
          <w:p w14:paraId="0F8F01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44</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7C36BD3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21.2</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5B05C22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21.2</w:t>
            </w:r>
          </w:p>
        </w:tc>
        <w:tc>
          <w:tcPr>
            <w:tcW w:w="1471" w:type="dxa"/>
            <w:tcBorders>
              <w:top w:val="single" w:sz="8" w:space="0" w:color="AEAEAE"/>
              <w:left w:val="single" w:sz="8" w:space="0" w:color="E0E0E0"/>
              <w:bottom w:val="single" w:sz="8" w:space="0" w:color="AEAEAE"/>
              <w:right w:val="nil"/>
            </w:tcBorders>
            <w:shd w:val="clear" w:color="auto" w:fill="F9F9FB"/>
          </w:tcPr>
          <w:p w14:paraId="06F6C7B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63.5</w:t>
            </w:r>
          </w:p>
        </w:tc>
      </w:tr>
      <w:tr w:rsidR="00520D2C" w14:paraId="540DC1C6" w14:textId="77777777">
        <w:trPr>
          <w:cantSplit/>
        </w:trPr>
        <w:tc>
          <w:tcPr>
            <w:tcW w:w="812" w:type="dxa"/>
            <w:vMerge/>
            <w:tcBorders>
              <w:top w:val="single" w:sz="8" w:space="0" w:color="152935"/>
              <w:left w:val="nil"/>
              <w:bottom w:val="single" w:sz="8" w:space="0" w:color="152935"/>
              <w:right w:val="nil"/>
            </w:tcBorders>
            <w:shd w:val="clear" w:color="auto" w:fill="E0E0E0"/>
          </w:tcPr>
          <w:p w14:paraId="0AA81D3F" w14:textId="77777777" w:rsidR="00520D2C" w:rsidRDefault="00520D2C">
            <w:pPr>
              <w:rPr>
                <w:rFonts w:ascii="Arial" w:hAnsi="Arial" w:cs="Arial"/>
                <w:color w:val="010205"/>
                <w:sz w:val="18"/>
                <w:szCs w:val="18"/>
              </w:rPr>
            </w:pPr>
          </w:p>
        </w:tc>
        <w:tc>
          <w:tcPr>
            <w:tcW w:w="1961" w:type="dxa"/>
            <w:tcBorders>
              <w:top w:val="single" w:sz="8" w:space="0" w:color="AEAEAE"/>
              <w:left w:val="nil"/>
              <w:bottom w:val="single" w:sz="8" w:space="0" w:color="AEAEAE"/>
              <w:right w:val="nil"/>
            </w:tcBorders>
            <w:shd w:val="clear" w:color="auto" w:fill="E0E0E0"/>
          </w:tcPr>
          <w:p w14:paraId="6E76ACFC"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Above 50,000 TRY</w:t>
            </w:r>
          </w:p>
        </w:tc>
        <w:tc>
          <w:tcPr>
            <w:tcW w:w="1195" w:type="dxa"/>
            <w:tcBorders>
              <w:top w:val="single" w:sz="8" w:space="0" w:color="AEAEAE"/>
              <w:left w:val="nil"/>
              <w:bottom w:val="single" w:sz="8" w:space="0" w:color="AEAEAE"/>
              <w:right w:val="single" w:sz="8" w:space="0" w:color="E0E0E0"/>
            </w:tcBorders>
            <w:shd w:val="clear" w:color="auto" w:fill="F9F9FB"/>
          </w:tcPr>
          <w:p w14:paraId="59D73B1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76</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3103428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36.5</w:t>
            </w:r>
          </w:p>
        </w:tc>
        <w:tc>
          <w:tcPr>
            <w:tcW w:w="1471" w:type="dxa"/>
            <w:tcBorders>
              <w:top w:val="single" w:sz="8" w:space="0" w:color="AEAEAE"/>
              <w:left w:val="single" w:sz="8" w:space="0" w:color="E0E0E0"/>
              <w:bottom w:val="single" w:sz="8" w:space="0" w:color="AEAEAE"/>
              <w:right w:val="single" w:sz="8" w:space="0" w:color="E0E0E0"/>
            </w:tcBorders>
            <w:shd w:val="clear" w:color="auto" w:fill="F9F9FB"/>
          </w:tcPr>
          <w:p w14:paraId="651B954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36.5</w:t>
            </w:r>
          </w:p>
        </w:tc>
        <w:tc>
          <w:tcPr>
            <w:tcW w:w="1471" w:type="dxa"/>
            <w:tcBorders>
              <w:top w:val="single" w:sz="8" w:space="0" w:color="AEAEAE"/>
              <w:left w:val="single" w:sz="8" w:space="0" w:color="E0E0E0"/>
              <w:bottom w:val="single" w:sz="8" w:space="0" w:color="AEAEAE"/>
              <w:right w:val="nil"/>
            </w:tcBorders>
            <w:shd w:val="clear" w:color="auto" w:fill="F9F9FB"/>
          </w:tcPr>
          <w:p w14:paraId="6E3A77A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661CABD6" w14:textId="77777777">
        <w:trPr>
          <w:cantSplit/>
        </w:trPr>
        <w:tc>
          <w:tcPr>
            <w:tcW w:w="812" w:type="dxa"/>
            <w:vMerge/>
            <w:tcBorders>
              <w:top w:val="single" w:sz="8" w:space="0" w:color="152935"/>
              <w:left w:val="nil"/>
              <w:bottom w:val="single" w:sz="8" w:space="0" w:color="152935"/>
              <w:right w:val="nil"/>
            </w:tcBorders>
            <w:shd w:val="clear" w:color="auto" w:fill="E0E0E0"/>
          </w:tcPr>
          <w:p w14:paraId="2ECF9D13" w14:textId="77777777" w:rsidR="00520D2C" w:rsidRDefault="00520D2C">
            <w:pPr>
              <w:rPr>
                <w:rFonts w:ascii="Arial" w:hAnsi="Arial" w:cs="Arial"/>
                <w:color w:val="010205"/>
                <w:sz w:val="18"/>
                <w:szCs w:val="18"/>
              </w:rPr>
            </w:pPr>
          </w:p>
        </w:tc>
        <w:tc>
          <w:tcPr>
            <w:tcW w:w="1961" w:type="dxa"/>
            <w:tcBorders>
              <w:top w:val="single" w:sz="8" w:space="0" w:color="AEAEAE"/>
              <w:left w:val="nil"/>
              <w:bottom w:val="single" w:sz="8" w:space="0" w:color="152935"/>
              <w:right w:val="nil"/>
            </w:tcBorders>
            <w:shd w:val="clear" w:color="auto" w:fill="E0E0E0"/>
          </w:tcPr>
          <w:p w14:paraId="6DC9BB1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5" w:type="dxa"/>
            <w:tcBorders>
              <w:top w:val="single" w:sz="8" w:space="0" w:color="AEAEAE"/>
              <w:left w:val="nil"/>
              <w:bottom w:val="single" w:sz="8" w:space="0" w:color="152935"/>
              <w:right w:val="single" w:sz="8" w:space="0" w:color="E0E0E0"/>
            </w:tcBorders>
            <w:shd w:val="clear" w:color="auto" w:fill="F9F9FB"/>
          </w:tcPr>
          <w:p w14:paraId="6F1A5AD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4" w:type="dxa"/>
            <w:tcBorders>
              <w:top w:val="single" w:sz="8" w:space="0" w:color="AEAEAE"/>
              <w:left w:val="single" w:sz="8" w:space="0" w:color="E0E0E0"/>
              <w:bottom w:val="single" w:sz="8" w:space="0" w:color="152935"/>
              <w:right w:val="single" w:sz="8" w:space="0" w:color="E0E0E0"/>
            </w:tcBorders>
            <w:shd w:val="clear" w:color="auto" w:fill="F9F9FB"/>
          </w:tcPr>
          <w:p w14:paraId="611C821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single" w:sz="8" w:space="0" w:color="E0E0E0"/>
            </w:tcBorders>
            <w:shd w:val="clear" w:color="auto" w:fill="F9F9FB"/>
          </w:tcPr>
          <w:p w14:paraId="1DB8646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1" w:type="dxa"/>
            <w:tcBorders>
              <w:top w:val="single" w:sz="8" w:space="0" w:color="AEAEAE"/>
              <w:left w:val="single" w:sz="8" w:space="0" w:color="E0E0E0"/>
              <w:bottom w:val="single" w:sz="8" w:space="0" w:color="152935"/>
              <w:right w:val="nil"/>
            </w:tcBorders>
            <w:shd w:val="clear" w:color="auto" w:fill="F9F9FB"/>
            <w:vAlign w:val="center"/>
          </w:tcPr>
          <w:p w14:paraId="45F1BE41" w14:textId="77777777" w:rsidR="00520D2C" w:rsidRDefault="00520D2C">
            <w:pPr>
              <w:rPr>
                <w:rFonts w:ascii="Times New Roman" w:hAnsi="Times New Roman" w:cs="Times New Roman"/>
              </w:rPr>
            </w:pPr>
          </w:p>
        </w:tc>
      </w:tr>
    </w:tbl>
    <w:p w14:paraId="74F923FB" w14:textId="77777777" w:rsidR="00520D2C" w:rsidRDefault="00520D2C">
      <w:pPr>
        <w:spacing w:line="400" w:lineRule="atLeast"/>
        <w:rPr>
          <w:rFonts w:ascii="Times New Roman" w:hAnsi="Times New Roman" w:cs="Times New Roman"/>
        </w:rPr>
      </w:pPr>
    </w:p>
    <w:p w14:paraId="14E63BF6" w14:textId="77777777" w:rsidR="00520D2C" w:rsidRDefault="00520D2C">
      <w:pPr>
        <w:spacing w:line="400" w:lineRule="atLeast"/>
        <w:rPr>
          <w:rFonts w:ascii="Times New Roman" w:hAnsi="Times New Roman" w:cs="Times New Roman"/>
        </w:rPr>
      </w:pPr>
    </w:p>
    <w:tbl>
      <w:tblPr>
        <w:tblW w:w="7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1029"/>
        <w:gridCol w:w="1197"/>
        <w:gridCol w:w="1366"/>
        <w:gridCol w:w="1473"/>
        <w:gridCol w:w="1473"/>
      </w:tblGrid>
      <w:tr w:rsidR="00520D2C" w14:paraId="422EED1E" w14:textId="77777777">
        <w:trPr>
          <w:cantSplit/>
        </w:trPr>
        <w:tc>
          <w:tcPr>
            <w:tcW w:w="7350" w:type="dxa"/>
            <w:gridSpan w:val="6"/>
            <w:tcBorders>
              <w:top w:val="nil"/>
              <w:left w:val="nil"/>
              <w:bottom w:val="nil"/>
              <w:right w:val="nil"/>
            </w:tcBorders>
            <w:shd w:val="clear" w:color="auto" w:fill="FFFFFF"/>
            <w:vAlign w:val="center"/>
          </w:tcPr>
          <w:p w14:paraId="5F9715DF"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Marital.status</w:t>
            </w:r>
          </w:p>
        </w:tc>
      </w:tr>
      <w:tr w:rsidR="00520D2C" w14:paraId="708DD368" w14:textId="77777777">
        <w:trPr>
          <w:cantSplit/>
        </w:trPr>
        <w:tc>
          <w:tcPr>
            <w:tcW w:w="1841" w:type="dxa"/>
            <w:gridSpan w:val="2"/>
            <w:tcBorders>
              <w:top w:val="nil"/>
              <w:left w:val="nil"/>
              <w:bottom w:val="single" w:sz="8" w:space="0" w:color="152935"/>
              <w:right w:val="nil"/>
            </w:tcBorders>
            <w:shd w:val="clear" w:color="auto" w:fill="FFFFFF"/>
            <w:vAlign w:val="bottom"/>
          </w:tcPr>
          <w:p w14:paraId="1D4B8153" w14:textId="77777777" w:rsidR="00520D2C" w:rsidRDefault="00520D2C">
            <w:pPr>
              <w:rPr>
                <w:rFonts w:ascii="Times New Roman" w:hAnsi="Times New Roman" w:cs="Times New Roman"/>
              </w:rPr>
            </w:pPr>
          </w:p>
        </w:tc>
        <w:tc>
          <w:tcPr>
            <w:tcW w:w="1197" w:type="dxa"/>
            <w:tcBorders>
              <w:top w:val="nil"/>
              <w:left w:val="nil"/>
              <w:bottom w:val="single" w:sz="8" w:space="0" w:color="152935"/>
              <w:right w:val="single" w:sz="8" w:space="0" w:color="E0E0E0"/>
            </w:tcBorders>
            <w:shd w:val="clear" w:color="auto" w:fill="FFFFFF"/>
            <w:vAlign w:val="bottom"/>
          </w:tcPr>
          <w:p w14:paraId="74AD166E"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6" w:type="dxa"/>
            <w:tcBorders>
              <w:top w:val="nil"/>
              <w:left w:val="single" w:sz="8" w:space="0" w:color="E0E0E0"/>
              <w:bottom w:val="single" w:sz="8" w:space="0" w:color="152935"/>
              <w:right w:val="single" w:sz="8" w:space="0" w:color="E0E0E0"/>
            </w:tcBorders>
            <w:shd w:val="clear" w:color="auto" w:fill="FFFFFF"/>
            <w:vAlign w:val="bottom"/>
          </w:tcPr>
          <w:p w14:paraId="2F426C8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3" w:type="dxa"/>
            <w:tcBorders>
              <w:top w:val="nil"/>
              <w:left w:val="single" w:sz="8" w:space="0" w:color="E0E0E0"/>
              <w:bottom w:val="single" w:sz="8" w:space="0" w:color="152935"/>
              <w:right w:val="single" w:sz="8" w:space="0" w:color="E0E0E0"/>
            </w:tcBorders>
            <w:shd w:val="clear" w:color="auto" w:fill="FFFFFF"/>
            <w:vAlign w:val="bottom"/>
          </w:tcPr>
          <w:p w14:paraId="224A468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3" w:type="dxa"/>
            <w:tcBorders>
              <w:top w:val="nil"/>
              <w:left w:val="single" w:sz="8" w:space="0" w:color="E0E0E0"/>
              <w:bottom w:val="single" w:sz="8" w:space="0" w:color="152935"/>
              <w:right w:val="nil"/>
            </w:tcBorders>
            <w:shd w:val="clear" w:color="auto" w:fill="FFFFFF"/>
            <w:vAlign w:val="bottom"/>
          </w:tcPr>
          <w:p w14:paraId="168111A0"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3DF44F3C" w14:textId="77777777">
        <w:trPr>
          <w:cantSplit/>
        </w:trPr>
        <w:tc>
          <w:tcPr>
            <w:tcW w:w="813" w:type="dxa"/>
            <w:vMerge w:val="restart"/>
            <w:tcBorders>
              <w:top w:val="single" w:sz="8" w:space="0" w:color="152935"/>
              <w:left w:val="nil"/>
              <w:bottom w:val="single" w:sz="8" w:space="0" w:color="152935"/>
              <w:right w:val="nil"/>
            </w:tcBorders>
            <w:shd w:val="clear" w:color="auto" w:fill="E0E0E0"/>
          </w:tcPr>
          <w:p w14:paraId="0BF42409"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1028" w:type="dxa"/>
            <w:tcBorders>
              <w:top w:val="single" w:sz="8" w:space="0" w:color="152935"/>
              <w:left w:val="nil"/>
              <w:bottom w:val="single" w:sz="8" w:space="0" w:color="AEAEAE"/>
              <w:right w:val="nil"/>
            </w:tcBorders>
            <w:shd w:val="clear" w:color="auto" w:fill="E0E0E0"/>
          </w:tcPr>
          <w:p w14:paraId="30172C6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Single</w:t>
            </w:r>
          </w:p>
        </w:tc>
        <w:tc>
          <w:tcPr>
            <w:tcW w:w="1197" w:type="dxa"/>
            <w:tcBorders>
              <w:top w:val="single" w:sz="8" w:space="0" w:color="152935"/>
              <w:left w:val="nil"/>
              <w:bottom w:val="single" w:sz="8" w:space="0" w:color="AEAEAE"/>
              <w:right w:val="single" w:sz="8" w:space="0" w:color="E0E0E0"/>
            </w:tcBorders>
            <w:shd w:val="clear" w:color="auto" w:fill="F9F9FB"/>
          </w:tcPr>
          <w:p w14:paraId="04107CE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143</w:t>
            </w:r>
          </w:p>
        </w:tc>
        <w:tc>
          <w:tcPr>
            <w:tcW w:w="1366" w:type="dxa"/>
            <w:tcBorders>
              <w:top w:val="single" w:sz="8" w:space="0" w:color="152935"/>
              <w:left w:val="single" w:sz="8" w:space="0" w:color="E0E0E0"/>
              <w:bottom w:val="single" w:sz="8" w:space="0" w:color="AEAEAE"/>
              <w:right w:val="single" w:sz="8" w:space="0" w:color="E0E0E0"/>
            </w:tcBorders>
            <w:shd w:val="clear" w:color="auto" w:fill="F9F9FB"/>
          </w:tcPr>
          <w:p w14:paraId="0793CCC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68.8</w:t>
            </w:r>
          </w:p>
        </w:tc>
        <w:tc>
          <w:tcPr>
            <w:tcW w:w="1473" w:type="dxa"/>
            <w:tcBorders>
              <w:top w:val="single" w:sz="8" w:space="0" w:color="152935"/>
              <w:left w:val="single" w:sz="8" w:space="0" w:color="E0E0E0"/>
              <w:bottom w:val="single" w:sz="8" w:space="0" w:color="AEAEAE"/>
              <w:right w:val="single" w:sz="8" w:space="0" w:color="E0E0E0"/>
            </w:tcBorders>
            <w:shd w:val="clear" w:color="auto" w:fill="F9F9FB"/>
          </w:tcPr>
          <w:p w14:paraId="4C23F6F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68.8</w:t>
            </w:r>
          </w:p>
        </w:tc>
        <w:tc>
          <w:tcPr>
            <w:tcW w:w="1473" w:type="dxa"/>
            <w:tcBorders>
              <w:top w:val="single" w:sz="8" w:space="0" w:color="152935"/>
              <w:left w:val="single" w:sz="8" w:space="0" w:color="E0E0E0"/>
              <w:bottom w:val="single" w:sz="8" w:space="0" w:color="AEAEAE"/>
              <w:right w:val="nil"/>
            </w:tcBorders>
            <w:shd w:val="clear" w:color="auto" w:fill="F9F9FB"/>
          </w:tcPr>
          <w:p w14:paraId="1AC6213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68.8</w:t>
            </w:r>
          </w:p>
        </w:tc>
      </w:tr>
      <w:tr w:rsidR="00520D2C" w14:paraId="6AFF7268" w14:textId="77777777">
        <w:trPr>
          <w:cantSplit/>
        </w:trPr>
        <w:tc>
          <w:tcPr>
            <w:tcW w:w="813" w:type="dxa"/>
            <w:vMerge/>
            <w:tcBorders>
              <w:top w:val="single" w:sz="8" w:space="0" w:color="152935"/>
              <w:left w:val="nil"/>
              <w:bottom w:val="single" w:sz="8" w:space="0" w:color="152935"/>
              <w:right w:val="nil"/>
            </w:tcBorders>
            <w:shd w:val="clear" w:color="auto" w:fill="E0E0E0"/>
          </w:tcPr>
          <w:p w14:paraId="609082FE" w14:textId="77777777" w:rsidR="00520D2C" w:rsidRDefault="00520D2C">
            <w:pPr>
              <w:rPr>
                <w:rFonts w:ascii="Arial" w:hAnsi="Arial" w:cs="Arial"/>
                <w:color w:val="010205"/>
                <w:sz w:val="18"/>
                <w:szCs w:val="18"/>
              </w:rPr>
            </w:pPr>
          </w:p>
        </w:tc>
        <w:tc>
          <w:tcPr>
            <w:tcW w:w="1028" w:type="dxa"/>
            <w:tcBorders>
              <w:top w:val="single" w:sz="8" w:space="0" w:color="AEAEAE"/>
              <w:left w:val="nil"/>
              <w:bottom w:val="single" w:sz="8" w:space="0" w:color="AEAEAE"/>
              <w:right w:val="nil"/>
            </w:tcBorders>
            <w:shd w:val="clear" w:color="auto" w:fill="E0E0E0"/>
          </w:tcPr>
          <w:p w14:paraId="22FE2E14"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Married</w:t>
            </w:r>
          </w:p>
        </w:tc>
        <w:tc>
          <w:tcPr>
            <w:tcW w:w="1197" w:type="dxa"/>
            <w:tcBorders>
              <w:top w:val="single" w:sz="8" w:space="0" w:color="AEAEAE"/>
              <w:left w:val="nil"/>
              <w:bottom w:val="single" w:sz="8" w:space="0" w:color="AEAEAE"/>
              <w:right w:val="single" w:sz="8" w:space="0" w:color="E0E0E0"/>
            </w:tcBorders>
            <w:shd w:val="clear" w:color="auto" w:fill="F9F9FB"/>
          </w:tcPr>
          <w:p w14:paraId="0C3A8D0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w:t>
            </w:r>
          </w:p>
        </w:tc>
        <w:tc>
          <w:tcPr>
            <w:tcW w:w="1366" w:type="dxa"/>
            <w:tcBorders>
              <w:top w:val="single" w:sz="8" w:space="0" w:color="AEAEAE"/>
              <w:left w:val="single" w:sz="8" w:space="0" w:color="E0E0E0"/>
              <w:bottom w:val="single" w:sz="8" w:space="0" w:color="AEAEAE"/>
              <w:right w:val="single" w:sz="8" w:space="0" w:color="E0E0E0"/>
            </w:tcBorders>
            <w:shd w:val="clear" w:color="auto" w:fill="F9F9FB"/>
          </w:tcPr>
          <w:p w14:paraId="3D40541A"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27.4</w:t>
            </w:r>
          </w:p>
        </w:tc>
        <w:tc>
          <w:tcPr>
            <w:tcW w:w="1473" w:type="dxa"/>
            <w:tcBorders>
              <w:top w:val="single" w:sz="8" w:space="0" w:color="AEAEAE"/>
              <w:left w:val="single" w:sz="8" w:space="0" w:color="E0E0E0"/>
              <w:bottom w:val="single" w:sz="8" w:space="0" w:color="AEAEAE"/>
              <w:right w:val="single" w:sz="8" w:space="0" w:color="E0E0E0"/>
            </w:tcBorders>
            <w:shd w:val="clear" w:color="auto" w:fill="F9F9FB"/>
          </w:tcPr>
          <w:p w14:paraId="67E7432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27.4</w:t>
            </w:r>
          </w:p>
        </w:tc>
        <w:tc>
          <w:tcPr>
            <w:tcW w:w="1473" w:type="dxa"/>
            <w:tcBorders>
              <w:top w:val="single" w:sz="8" w:space="0" w:color="AEAEAE"/>
              <w:left w:val="single" w:sz="8" w:space="0" w:color="E0E0E0"/>
              <w:bottom w:val="single" w:sz="8" w:space="0" w:color="AEAEAE"/>
              <w:right w:val="nil"/>
            </w:tcBorders>
            <w:shd w:val="clear" w:color="auto" w:fill="F9F9FB"/>
          </w:tcPr>
          <w:p w14:paraId="2E07597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96.2</w:t>
            </w:r>
          </w:p>
        </w:tc>
      </w:tr>
      <w:tr w:rsidR="00520D2C" w14:paraId="1EF5742F" w14:textId="77777777">
        <w:trPr>
          <w:cantSplit/>
        </w:trPr>
        <w:tc>
          <w:tcPr>
            <w:tcW w:w="813" w:type="dxa"/>
            <w:vMerge/>
            <w:tcBorders>
              <w:top w:val="single" w:sz="8" w:space="0" w:color="152935"/>
              <w:left w:val="nil"/>
              <w:bottom w:val="single" w:sz="8" w:space="0" w:color="152935"/>
              <w:right w:val="nil"/>
            </w:tcBorders>
            <w:shd w:val="clear" w:color="auto" w:fill="E0E0E0"/>
          </w:tcPr>
          <w:p w14:paraId="64D4F39E" w14:textId="77777777" w:rsidR="00520D2C" w:rsidRDefault="00520D2C">
            <w:pPr>
              <w:rPr>
                <w:rFonts w:ascii="Arial" w:hAnsi="Arial" w:cs="Arial"/>
                <w:color w:val="010205"/>
                <w:sz w:val="18"/>
                <w:szCs w:val="18"/>
              </w:rPr>
            </w:pPr>
          </w:p>
        </w:tc>
        <w:tc>
          <w:tcPr>
            <w:tcW w:w="1028" w:type="dxa"/>
            <w:tcBorders>
              <w:top w:val="single" w:sz="8" w:space="0" w:color="AEAEAE"/>
              <w:left w:val="nil"/>
              <w:bottom w:val="single" w:sz="8" w:space="0" w:color="AEAEAE"/>
              <w:right w:val="nil"/>
            </w:tcBorders>
            <w:shd w:val="clear" w:color="auto" w:fill="E0E0E0"/>
          </w:tcPr>
          <w:p w14:paraId="5892EDB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Divorced</w:t>
            </w:r>
          </w:p>
        </w:tc>
        <w:tc>
          <w:tcPr>
            <w:tcW w:w="1197" w:type="dxa"/>
            <w:tcBorders>
              <w:top w:val="single" w:sz="8" w:space="0" w:color="AEAEAE"/>
              <w:left w:val="nil"/>
              <w:bottom w:val="single" w:sz="8" w:space="0" w:color="AEAEAE"/>
              <w:right w:val="single" w:sz="8" w:space="0" w:color="E0E0E0"/>
            </w:tcBorders>
            <w:shd w:val="clear" w:color="auto" w:fill="F9F9FB"/>
          </w:tcPr>
          <w:p w14:paraId="17B6158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366" w:type="dxa"/>
            <w:tcBorders>
              <w:top w:val="single" w:sz="8" w:space="0" w:color="AEAEAE"/>
              <w:left w:val="single" w:sz="8" w:space="0" w:color="E0E0E0"/>
              <w:bottom w:val="single" w:sz="8" w:space="0" w:color="AEAEAE"/>
              <w:right w:val="single" w:sz="8" w:space="0" w:color="E0E0E0"/>
            </w:tcBorders>
            <w:shd w:val="clear" w:color="auto" w:fill="F9F9FB"/>
          </w:tcPr>
          <w:p w14:paraId="3F643DD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473" w:type="dxa"/>
            <w:tcBorders>
              <w:top w:val="single" w:sz="8" w:space="0" w:color="AEAEAE"/>
              <w:left w:val="single" w:sz="8" w:space="0" w:color="E0E0E0"/>
              <w:bottom w:val="single" w:sz="8" w:space="0" w:color="AEAEAE"/>
              <w:right w:val="single" w:sz="8" w:space="0" w:color="E0E0E0"/>
            </w:tcBorders>
            <w:shd w:val="clear" w:color="auto" w:fill="F9F9FB"/>
          </w:tcPr>
          <w:p w14:paraId="03A57FF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473" w:type="dxa"/>
            <w:tcBorders>
              <w:top w:val="single" w:sz="8" w:space="0" w:color="AEAEAE"/>
              <w:left w:val="single" w:sz="8" w:space="0" w:color="E0E0E0"/>
              <w:bottom w:val="single" w:sz="8" w:space="0" w:color="AEAEAE"/>
              <w:right w:val="nil"/>
            </w:tcBorders>
            <w:shd w:val="clear" w:color="auto" w:fill="F9F9FB"/>
          </w:tcPr>
          <w:p w14:paraId="7F2A907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1A30A919" w14:textId="77777777">
        <w:trPr>
          <w:cantSplit/>
        </w:trPr>
        <w:tc>
          <w:tcPr>
            <w:tcW w:w="813" w:type="dxa"/>
            <w:vMerge/>
            <w:tcBorders>
              <w:top w:val="single" w:sz="8" w:space="0" w:color="152935"/>
              <w:left w:val="nil"/>
              <w:bottom w:val="single" w:sz="8" w:space="0" w:color="152935"/>
              <w:right w:val="nil"/>
            </w:tcBorders>
            <w:shd w:val="clear" w:color="auto" w:fill="E0E0E0"/>
          </w:tcPr>
          <w:p w14:paraId="4976FD39" w14:textId="77777777" w:rsidR="00520D2C" w:rsidRDefault="00520D2C">
            <w:pPr>
              <w:rPr>
                <w:rFonts w:ascii="Arial" w:hAnsi="Arial" w:cs="Arial"/>
                <w:color w:val="010205"/>
                <w:sz w:val="18"/>
                <w:szCs w:val="18"/>
              </w:rPr>
            </w:pPr>
          </w:p>
        </w:tc>
        <w:tc>
          <w:tcPr>
            <w:tcW w:w="1028" w:type="dxa"/>
            <w:tcBorders>
              <w:top w:val="single" w:sz="8" w:space="0" w:color="AEAEAE"/>
              <w:left w:val="nil"/>
              <w:bottom w:val="single" w:sz="8" w:space="0" w:color="152935"/>
              <w:right w:val="nil"/>
            </w:tcBorders>
            <w:shd w:val="clear" w:color="auto" w:fill="E0E0E0"/>
          </w:tcPr>
          <w:p w14:paraId="74DD5ED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7" w:type="dxa"/>
            <w:tcBorders>
              <w:top w:val="single" w:sz="8" w:space="0" w:color="AEAEAE"/>
              <w:left w:val="nil"/>
              <w:bottom w:val="single" w:sz="8" w:space="0" w:color="152935"/>
              <w:right w:val="single" w:sz="8" w:space="0" w:color="E0E0E0"/>
            </w:tcBorders>
            <w:shd w:val="clear" w:color="auto" w:fill="F9F9FB"/>
          </w:tcPr>
          <w:p w14:paraId="6B8CC7A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6" w:type="dxa"/>
            <w:tcBorders>
              <w:top w:val="single" w:sz="8" w:space="0" w:color="AEAEAE"/>
              <w:left w:val="single" w:sz="8" w:space="0" w:color="E0E0E0"/>
              <w:bottom w:val="single" w:sz="8" w:space="0" w:color="152935"/>
              <w:right w:val="single" w:sz="8" w:space="0" w:color="E0E0E0"/>
            </w:tcBorders>
            <w:shd w:val="clear" w:color="auto" w:fill="F9F9FB"/>
          </w:tcPr>
          <w:p w14:paraId="12D4589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single" w:sz="8" w:space="0" w:color="E0E0E0"/>
            </w:tcBorders>
            <w:shd w:val="clear" w:color="auto" w:fill="F9F9FB"/>
          </w:tcPr>
          <w:p w14:paraId="77585E1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3" w:type="dxa"/>
            <w:tcBorders>
              <w:top w:val="single" w:sz="8" w:space="0" w:color="AEAEAE"/>
              <w:left w:val="single" w:sz="8" w:space="0" w:color="E0E0E0"/>
              <w:bottom w:val="single" w:sz="8" w:space="0" w:color="152935"/>
              <w:right w:val="nil"/>
            </w:tcBorders>
            <w:shd w:val="clear" w:color="auto" w:fill="F9F9FB"/>
            <w:vAlign w:val="center"/>
          </w:tcPr>
          <w:p w14:paraId="141F91FF" w14:textId="77777777" w:rsidR="00520D2C" w:rsidRDefault="00520D2C">
            <w:pPr>
              <w:rPr>
                <w:rFonts w:ascii="Times New Roman" w:hAnsi="Times New Roman" w:cs="Times New Roman"/>
              </w:rPr>
            </w:pPr>
          </w:p>
        </w:tc>
      </w:tr>
    </w:tbl>
    <w:p w14:paraId="57D3E62B" w14:textId="77777777" w:rsidR="00520D2C" w:rsidRDefault="00520D2C">
      <w:pPr>
        <w:spacing w:line="400" w:lineRule="atLeast"/>
        <w:rPr>
          <w:rFonts w:ascii="Times New Roman" w:hAnsi="Times New Roman" w:cs="Times New Roman"/>
        </w:rPr>
      </w:pPr>
    </w:p>
    <w:p w14:paraId="7731E166" w14:textId="77777777" w:rsidR="00520D2C" w:rsidRDefault="00520D2C">
      <w:pPr>
        <w:spacing w:line="400" w:lineRule="atLeast"/>
        <w:rPr>
          <w:rFonts w:ascii="Times New Roman" w:hAnsi="Times New Roman" w:cs="Times New Roman"/>
        </w:rPr>
      </w:pPr>
    </w:p>
    <w:tbl>
      <w:tblPr>
        <w:tblW w:w="78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1"/>
        <w:gridCol w:w="1580"/>
        <w:gridCol w:w="1196"/>
        <w:gridCol w:w="1365"/>
        <w:gridCol w:w="1473"/>
        <w:gridCol w:w="1473"/>
      </w:tblGrid>
      <w:tr w:rsidR="00520D2C" w14:paraId="6FB640EE" w14:textId="77777777">
        <w:trPr>
          <w:cantSplit/>
        </w:trPr>
        <w:tc>
          <w:tcPr>
            <w:tcW w:w="7895" w:type="dxa"/>
            <w:gridSpan w:val="6"/>
            <w:tcBorders>
              <w:top w:val="nil"/>
              <w:left w:val="nil"/>
              <w:bottom w:val="nil"/>
              <w:right w:val="nil"/>
            </w:tcBorders>
            <w:shd w:val="clear" w:color="auto" w:fill="FFFFFF"/>
            <w:vAlign w:val="center"/>
          </w:tcPr>
          <w:p w14:paraId="4FA107D4"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Family.number</w:t>
            </w:r>
          </w:p>
        </w:tc>
      </w:tr>
      <w:tr w:rsidR="00520D2C" w14:paraId="7B9EECF1" w14:textId="77777777">
        <w:trPr>
          <w:cantSplit/>
        </w:trPr>
        <w:tc>
          <w:tcPr>
            <w:tcW w:w="2391" w:type="dxa"/>
            <w:gridSpan w:val="2"/>
            <w:tcBorders>
              <w:top w:val="nil"/>
              <w:left w:val="nil"/>
              <w:bottom w:val="single" w:sz="8" w:space="0" w:color="152935"/>
              <w:right w:val="nil"/>
            </w:tcBorders>
            <w:shd w:val="clear" w:color="auto" w:fill="FFFFFF"/>
            <w:vAlign w:val="bottom"/>
          </w:tcPr>
          <w:p w14:paraId="3DE5E066" w14:textId="77777777" w:rsidR="00520D2C" w:rsidRDefault="00520D2C">
            <w:pPr>
              <w:rPr>
                <w:rFonts w:ascii="Times New Roman" w:hAnsi="Times New Roman" w:cs="Times New Roman"/>
              </w:rPr>
            </w:pPr>
          </w:p>
        </w:tc>
        <w:tc>
          <w:tcPr>
            <w:tcW w:w="1196" w:type="dxa"/>
            <w:tcBorders>
              <w:top w:val="nil"/>
              <w:left w:val="nil"/>
              <w:bottom w:val="single" w:sz="8" w:space="0" w:color="152935"/>
              <w:right w:val="single" w:sz="8" w:space="0" w:color="E0E0E0"/>
            </w:tcBorders>
            <w:shd w:val="clear" w:color="auto" w:fill="FFFFFF"/>
            <w:vAlign w:val="bottom"/>
          </w:tcPr>
          <w:p w14:paraId="36DE7F4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4" w:type="dxa"/>
            <w:tcBorders>
              <w:top w:val="nil"/>
              <w:left w:val="single" w:sz="8" w:space="0" w:color="E0E0E0"/>
              <w:bottom w:val="single" w:sz="8" w:space="0" w:color="152935"/>
              <w:right w:val="single" w:sz="8" w:space="0" w:color="E0E0E0"/>
            </w:tcBorders>
            <w:shd w:val="clear" w:color="auto" w:fill="FFFFFF"/>
            <w:vAlign w:val="bottom"/>
          </w:tcPr>
          <w:p w14:paraId="10C66313"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2" w:type="dxa"/>
            <w:tcBorders>
              <w:top w:val="nil"/>
              <w:left w:val="single" w:sz="8" w:space="0" w:color="E0E0E0"/>
              <w:bottom w:val="single" w:sz="8" w:space="0" w:color="152935"/>
              <w:right w:val="single" w:sz="8" w:space="0" w:color="E0E0E0"/>
            </w:tcBorders>
            <w:shd w:val="clear" w:color="auto" w:fill="FFFFFF"/>
            <w:vAlign w:val="bottom"/>
          </w:tcPr>
          <w:p w14:paraId="25D388ED"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2" w:type="dxa"/>
            <w:tcBorders>
              <w:top w:val="nil"/>
              <w:left w:val="single" w:sz="8" w:space="0" w:color="E0E0E0"/>
              <w:bottom w:val="single" w:sz="8" w:space="0" w:color="152935"/>
              <w:right w:val="nil"/>
            </w:tcBorders>
            <w:shd w:val="clear" w:color="auto" w:fill="FFFFFF"/>
            <w:vAlign w:val="bottom"/>
          </w:tcPr>
          <w:p w14:paraId="3F38A857"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71A7B408" w14:textId="77777777">
        <w:trPr>
          <w:cantSplit/>
        </w:trPr>
        <w:tc>
          <w:tcPr>
            <w:tcW w:w="812" w:type="dxa"/>
            <w:vMerge w:val="restart"/>
            <w:tcBorders>
              <w:top w:val="single" w:sz="8" w:space="0" w:color="152935"/>
              <w:left w:val="nil"/>
              <w:bottom w:val="single" w:sz="8" w:space="0" w:color="152935"/>
              <w:right w:val="nil"/>
            </w:tcBorders>
            <w:shd w:val="clear" w:color="auto" w:fill="E0E0E0"/>
          </w:tcPr>
          <w:p w14:paraId="1AF4C38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1579" w:type="dxa"/>
            <w:tcBorders>
              <w:top w:val="single" w:sz="8" w:space="0" w:color="152935"/>
              <w:left w:val="nil"/>
              <w:bottom w:val="single" w:sz="8" w:space="0" w:color="AEAEAE"/>
              <w:right w:val="nil"/>
            </w:tcBorders>
            <w:shd w:val="clear" w:color="auto" w:fill="E0E0E0"/>
          </w:tcPr>
          <w:p w14:paraId="3AFCD958"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1 (Living alone)</w:t>
            </w:r>
          </w:p>
        </w:tc>
        <w:tc>
          <w:tcPr>
            <w:tcW w:w="1196" w:type="dxa"/>
            <w:tcBorders>
              <w:top w:val="single" w:sz="8" w:space="0" w:color="152935"/>
              <w:left w:val="nil"/>
              <w:bottom w:val="single" w:sz="8" w:space="0" w:color="AEAEAE"/>
              <w:right w:val="single" w:sz="8" w:space="0" w:color="E0E0E0"/>
            </w:tcBorders>
            <w:shd w:val="clear" w:color="auto" w:fill="F9F9FB"/>
          </w:tcPr>
          <w:p w14:paraId="112AE8A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24</w:t>
            </w:r>
          </w:p>
        </w:tc>
        <w:tc>
          <w:tcPr>
            <w:tcW w:w="1364" w:type="dxa"/>
            <w:tcBorders>
              <w:top w:val="single" w:sz="8" w:space="0" w:color="152935"/>
              <w:left w:val="single" w:sz="8" w:space="0" w:color="E0E0E0"/>
              <w:bottom w:val="single" w:sz="8" w:space="0" w:color="AEAEAE"/>
              <w:right w:val="single" w:sz="8" w:space="0" w:color="E0E0E0"/>
            </w:tcBorders>
            <w:shd w:val="clear" w:color="auto" w:fill="F9F9FB"/>
          </w:tcPr>
          <w:p w14:paraId="362B0BE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11.5</w:t>
            </w:r>
          </w:p>
        </w:tc>
        <w:tc>
          <w:tcPr>
            <w:tcW w:w="1472" w:type="dxa"/>
            <w:tcBorders>
              <w:top w:val="single" w:sz="8" w:space="0" w:color="152935"/>
              <w:left w:val="single" w:sz="8" w:space="0" w:color="E0E0E0"/>
              <w:bottom w:val="single" w:sz="8" w:space="0" w:color="AEAEAE"/>
              <w:right w:val="single" w:sz="8" w:space="0" w:color="E0E0E0"/>
            </w:tcBorders>
            <w:shd w:val="clear" w:color="auto" w:fill="F9F9FB"/>
          </w:tcPr>
          <w:p w14:paraId="2C75801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11.5</w:t>
            </w:r>
          </w:p>
        </w:tc>
        <w:tc>
          <w:tcPr>
            <w:tcW w:w="1472" w:type="dxa"/>
            <w:tcBorders>
              <w:top w:val="single" w:sz="8" w:space="0" w:color="152935"/>
              <w:left w:val="single" w:sz="8" w:space="0" w:color="E0E0E0"/>
              <w:bottom w:val="single" w:sz="8" w:space="0" w:color="AEAEAE"/>
              <w:right w:val="nil"/>
            </w:tcBorders>
            <w:shd w:val="clear" w:color="auto" w:fill="F9F9FB"/>
          </w:tcPr>
          <w:p w14:paraId="32BF583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11.5</w:t>
            </w:r>
          </w:p>
        </w:tc>
      </w:tr>
      <w:tr w:rsidR="00520D2C" w14:paraId="1D457DA1" w14:textId="77777777">
        <w:trPr>
          <w:cantSplit/>
        </w:trPr>
        <w:tc>
          <w:tcPr>
            <w:tcW w:w="812" w:type="dxa"/>
            <w:vMerge/>
            <w:tcBorders>
              <w:top w:val="single" w:sz="8" w:space="0" w:color="152935"/>
              <w:left w:val="nil"/>
              <w:bottom w:val="single" w:sz="8" w:space="0" w:color="152935"/>
              <w:right w:val="nil"/>
            </w:tcBorders>
            <w:shd w:val="clear" w:color="auto" w:fill="E0E0E0"/>
          </w:tcPr>
          <w:p w14:paraId="49B27B63" w14:textId="77777777" w:rsidR="00520D2C" w:rsidRDefault="00520D2C">
            <w:pPr>
              <w:rPr>
                <w:rFonts w:ascii="Arial" w:hAnsi="Arial" w:cs="Arial"/>
                <w:color w:val="010205"/>
                <w:sz w:val="18"/>
                <w:szCs w:val="18"/>
              </w:rPr>
            </w:pPr>
          </w:p>
        </w:tc>
        <w:tc>
          <w:tcPr>
            <w:tcW w:w="1579" w:type="dxa"/>
            <w:tcBorders>
              <w:top w:val="single" w:sz="8" w:space="0" w:color="AEAEAE"/>
              <w:left w:val="nil"/>
              <w:bottom w:val="single" w:sz="8" w:space="0" w:color="AEAEAE"/>
              <w:right w:val="nil"/>
            </w:tcBorders>
            <w:shd w:val="clear" w:color="auto" w:fill="E0E0E0"/>
          </w:tcPr>
          <w:p w14:paraId="5F344EC5"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2–3</w:t>
            </w:r>
          </w:p>
        </w:tc>
        <w:tc>
          <w:tcPr>
            <w:tcW w:w="1196" w:type="dxa"/>
            <w:tcBorders>
              <w:top w:val="single" w:sz="8" w:space="0" w:color="AEAEAE"/>
              <w:left w:val="nil"/>
              <w:bottom w:val="single" w:sz="8" w:space="0" w:color="AEAEAE"/>
              <w:right w:val="single" w:sz="8" w:space="0" w:color="E0E0E0"/>
            </w:tcBorders>
            <w:shd w:val="clear" w:color="auto" w:fill="F9F9FB"/>
          </w:tcPr>
          <w:p w14:paraId="74BEB2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52C68E03"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46.2</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2642FA4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46.2</w:t>
            </w:r>
          </w:p>
        </w:tc>
        <w:tc>
          <w:tcPr>
            <w:tcW w:w="1472" w:type="dxa"/>
            <w:tcBorders>
              <w:top w:val="single" w:sz="8" w:space="0" w:color="AEAEAE"/>
              <w:left w:val="single" w:sz="8" w:space="0" w:color="E0E0E0"/>
              <w:bottom w:val="single" w:sz="8" w:space="0" w:color="AEAEAE"/>
              <w:right w:val="nil"/>
            </w:tcBorders>
            <w:shd w:val="clear" w:color="auto" w:fill="F9F9FB"/>
          </w:tcPr>
          <w:p w14:paraId="72896DC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57.7</w:t>
            </w:r>
          </w:p>
        </w:tc>
      </w:tr>
      <w:tr w:rsidR="00520D2C" w14:paraId="3680B793" w14:textId="77777777">
        <w:trPr>
          <w:cantSplit/>
        </w:trPr>
        <w:tc>
          <w:tcPr>
            <w:tcW w:w="812" w:type="dxa"/>
            <w:vMerge/>
            <w:tcBorders>
              <w:top w:val="single" w:sz="8" w:space="0" w:color="152935"/>
              <w:left w:val="nil"/>
              <w:bottom w:val="single" w:sz="8" w:space="0" w:color="152935"/>
              <w:right w:val="nil"/>
            </w:tcBorders>
            <w:shd w:val="clear" w:color="auto" w:fill="E0E0E0"/>
          </w:tcPr>
          <w:p w14:paraId="0DF15997" w14:textId="77777777" w:rsidR="00520D2C" w:rsidRDefault="00520D2C">
            <w:pPr>
              <w:rPr>
                <w:rFonts w:ascii="Arial" w:hAnsi="Arial" w:cs="Arial"/>
                <w:color w:val="010205"/>
                <w:sz w:val="18"/>
                <w:szCs w:val="18"/>
              </w:rPr>
            </w:pPr>
          </w:p>
        </w:tc>
        <w:tc>
          <w:tcPr>
            <w:tcW w:w="1579" w:type="dxa"/>
            <w:tcBorders>
              <w:top w:val="single" w:sz="8" w:space="0" w:color="AEAEAE"/>
              <w:left w:val="nil"/>
              <w:bottom w:val="single" w:sz="8" w:space="0" w:color="AEAEAE"/>
              <w:right w:val="nil"/>
            </w:tcBorders>
            <w:shd w:val="clear" w:color="auto" w:fill="E0E0E0"/>
          </w:tcPr>
          <w:p w14:paraId="7F06AFFF"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4–5</w:t>
            </w:r>
          </w:p>
        </w:tc>
        <w:tc>
          <w:tcPr>
            <w:tcW w:w="1196" w:type="dxa"/>
            <w:tcBorders>
              <w:top w:val="single" w:sz="8" w:space="0" w:color="AEAEAE"/>
              <w:left w:val="nil"/>
              <w:bottom w:val="single" w:sz="8" w:space="0" w:color="AEAEAE"/>
              <w:right w:val="single" w:sz="8" w:space="0" w:color="E0E0E0"/>
            </w:tcBorders>
            <w:shd w:val="clear" w:color="auto" w:fill="F9F9FB"/>
          </w:tcPr>
          <w:p w14:paraId="3E9AC80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80</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52F911F5"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38.5</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3832B4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38.5</w:t>
            </w:r>
          </w:p>
        </w:tc>
        <w:tc>
          <w:tcPr>
            <w:tcW w:w="1472" w:type="dxa"/>
            <w:tcBorders>
              <w:top w:val="single" w:sz="8" w:space="0" w:color="AEAEAE"/>
              <w:left w:val="single" w:sz="8" w:space="0" w:color="E0E0E0"/>
              <w:bottom w:val="single" w:sz="8" w:space="0" w:color="AEAEAE"/>
              <w:right w:val="nil"/>
            </w:tcBorders>
            <w:shd w:val="clear" w:color="auto" w:fill="F9F9FB"/>
          </w:tcPr>
          <w:p w14:paraId="0C3709D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96.2</w:t>
            </w:r>
          </w:p>
        </w:tc>
      </w:tr>
      <w:tr w:rsidR="00520D2C" w14:paraId="44A76C11" w14:textId="77777777">
        <w:trPr>
          <w:cantSplit/>
        </w:trPr>
        <w:tc>
          <w:tcPr>
            <w:tcW w:w="812" w:type="dxa"/>
            <w:vMerge/>
            <w:tcBorders>
              <w:top w:val="single" w:sz="8" w:space="0" w:color="152935"/>
              <w:left w:val="nil"/>
              <w:bottom w:val="single" w:sz="8" w:space="0" w:color="152935"/>
              <w:right w:val="nil"/>
            </w:tcBorders>
            <w:shd w:val="clear" w:color="auto" w:fill="E0E0E0"/>
          </w:tcPr>
          <w:p w14:paraId="030F46AB" w14:textId="77777777" w:rsidR="00520D2C" w:rsidRDefault="00520D2C">
            <w:pPr>
              <w:rPr>
                <w:rFonts w:ascii="Arial" w:hAnsi="Arial" w:cs="Arial"/>
                <w:color w:val="010205"/>
                <w:sz w:val="18"/>
                <w:szCs w:val="18"/>
              </w:rPr>
            </w:pPr>
          </w:p>
        </w:tc>
        <w:tc>
          <w:tcPr>
            <w:tcW w:w="1579" w:type="dxa"/>
            <w:tcBorders>
              <w:top w:val="single" w:sz="8" w:space="0" w:color="AEAEAE"/>
              <w:left w:val="nil"/>
              <w:bottom w:val="single" w:sz="8" w:space="0" w:color="AEAEAE"/>
              <w:right w:val="nil"/>
            </w:tcBorders>
            <w:shd w:val="clear" w:color="auto" w:fill="E0E0E0"/>
          </w:tcPr>
          <w:p w14:paraId="7C16AD70"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More than 5</w:t>
            </w:r>
          </w:p>
        </w:tc>
        <w:tc>
          <w:tcPr>
            <w:tcW w:w="1196" w:type="dxa"/>
            <w:tcBorders>
              <w:top w:val="single" w:sz="8" w:space="0" w:color="AEAEAE"/>
              <w:left w:val="nil"/>
              <w:bottom w:val="single" w:sz="8" w:space="0" w:color="AEAEAE"/>
              <w:right w:val="single" w:sz="8" w:space="0" w:color="E0E0E0"/>
            </w:tcBorders>
            <w:shd w:val="clear" w:color="auto" w:fill="F9F9FB"/>
          </w:tcPr>
          <w:p w14:paraId="0D089F0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w:t>
            </w:r>
          </w:p>
        </w:tc>
        <w:tc>
          <w:tcPr>
            <w:tcW w:w="1364" w:type="dxa"/>
            <w:tcBorders>
              <w:top w:val="single" w:sz="8" w:space="0" w:color="AEAEAE"/>
              <w:left w:val="single" w:sz="8" w:space="0" w:color="E0E0E0"/>
              <w:bottom w:val="single" w:sz="8" w:space="0" w:color="AEAEAE"/>
              <w:right w:val="single" w:sz="8" w:space="0" w:color="E0E0E0"/>
            </w:tcBorders>
            <w:shd w:val="clear" w:color="auto" w:fill="F9F9FB"/>
          </w:tcPr>
          <w:p w14:paraId="1ECA556B"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472" w:type="dxa"/>
            <w:tcBorders>
              <w:top w:val="single" w:sz="8" w:space="0" w:color="AEAEAE"/>
              <w:left w:val="single" w:sz="8" w:space="0" w:color="E0E0E0"/>
              <w:bottom w:val="single" w:sz="8" w:space="0" w:color="AEAEAE"/>
              <w:right w:val="single" w:sz="8" w:space="0" w:color="E0E0E0"/>
            </w:tcBorders>
            <w:shd w:val="clear" w:color="auto" w:fill="F9F9FB"/>
          </w:tcPr>
          <w:p w14:paraId="533BBD5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3.8</w:t>
            </w:r>
          </w:p>
        </w:tc>
        <w:tc>
          <w:tcPr>
            <w:tcW w:w="1472" w:type="dxa"/>
            <w:tcBorders>
              <w:top w:val="single" w:sz="8" w:space="0" w:color="AEAEAE"/>
              <w:left w:val="single" w:sz="8" w:space="0" w:color="E0E0E0"/>
              <w:bottom w:val="single" w:sz="8" w:space="0" w:color="AEAEAE"/>
              <w:right w:val="nil"/>
            </w:tcBorders>
            <w:shd w:val="clear" w:color="auto" w:fill="F9F9FB"/>
          </w:tcPr>
          <w:p w14:paraId="35DB99C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1F914C49" w14:textId="77777777">
        <w:trPr>
          <w:cantSplit/>
        </w:trPr>
        <w:tc>
          <w:tcPr>
            <w:tcW w:w="812" w:type="dxa"/>
            <w:vMerge/>
            <w:tcBorders>
              <w:top w:val="single" w:sz="8" w:space="0" w:color="152935"/>
              <w:left w:val="nil"/>
              <w:bottom w:val="single" w:sz="8" w:space="0" w:color="152935"/>
              <w:right w:val="nil"/>
            </w:tcBorders>
            <w:shd w:val="clear" w:color="auto" w:fill="E0E0E0"/>
          </w:tcPr>
          <w:p w14:paraId="65E99CEB" w14:textId="77777777" w:rsidR="00520D2C" w:rsidRDefault="00520D2C">
            <w:pPr>
              <w:rPr>
                <w:rFonts w:ascii="Arial" w:hAnsi="Arial" w:cs="Arial"/>
                <w:color w:val="010205"/>
                <w:sz w:val="18"/>
                <w:szCs w:val="18"/>
              </w:rPr>
            </w:pPr>
          </w:p>
        </w:tc>
        <w:tc>
          <w:tcPr>
            <w:tcW w:w="1579" w:type="dxa"/>
            <w:tcBorders>
              <w:top w:val="single" w:sz="8" w:space="0" w:color="AEAEAE"/>
              <w:left w:val="nil"/>
              <w:bottom w:val="single" w:sz="8" w:space="0" w:color="152935"/>
              <w:right w:val="nil"/>
            </w:tcBorders>
            <w:shd w:val="clear" w:color="auto" w:fill="E0E0E0"/>
          </w:tcPr>
          <w:p w14:paraId="4E35CDE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6" w:type="dxa"/>
            <w:tcBorders>
              <w:top w:val="single" w:sz="8" w:space="0" w:color="AEAEAE"/>
              <w:left w:val="nil"/>
              <w:bottom w:val="single" w:sz="8" w:space="0" w:color="152935"/>
              <w:right w:val="single" w:sz="8" w:space="0" w:color="E0E0E0"/>
            </w:tcBorders>
            <w:shd w:val="clear" w:color="auto" w:fill="F9F9FB"/>
          </w:tcPr>
          <w:p w14:paraId="0129957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4" w:type="dxa"/>
            <w:tcBorders>
              <w:top w:val="single" w:sz="8" w:space="0" w:color="AEAEAE"/>
              <w:left w:val="single" w:sz="8" w:space="0" w:color="E0E0E0"/>
              <w:bottom w:val="single" w:sz="8" w:space="0" w:color="152935"/>
              <w:right w:val="single" w:sz="8" w:space="0" w:color="E0E0E0"/>
            </w:tcBorders>
            <w:shd w:val="clear" w:color="auto" w:fill="F9F9FB"/>
          </w:tcPr>
          <w:p w14:paraId="335737E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2" w:type="dxa"/>
            <w:tcBorders>
              <w:top w:val="single" w:sz="8" w:space="0" w:color="AEAEAE"/>
              <w:left w:val="single" w:sz="8" w:space="0" w:color="E0E0E0"/>
              <w:bottom w:val="single" w:sz="8" w:space="0" w:color="152935"/>
              <w:right w:val="single" w:sz="8" w:space="0" w:color="E0E0E0"/>
            </w:tcBorders>
            <w:shd w:val="clear" w:color="auto" w:fill="F9F9FB"/>
          </w:tcPr>
          <w:p w14:paraId="3407FAE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2" w:type="dxa"/>
            <w:tcBorders>
              <w:top w:val="single" w:sz="8" w:space="0" w:color="AEAEAE"/>
              <w:left w:val="single" w:sz="8" w:space="0" w:color="E0E0E0"/>
              <w:bottom w:val="single" w:sz="8" w:space="0" w:color="152935"/>
              <w:right w:val="nil"/>
            </w:tcBorders>
            <w:shd w:val="clear" w:color="auto" w:fill="F9F9FB"/>
            <w:vAlign w:val="center"/>
          </w:tcPr>
          <w:p w14:paraId="31302893" w14:textId="77777777" w:rsidR="00520D2C" w:rsidRDefault="00520D2C">
            <w:pPr>
              <w:rPr>
                <w:rFonts w:ascii="Times New Roman" w:hAnsi="Times New Roman" w:cs="Times New Roman"/>
              </w:rPr>
            </w:pPr>
          </w:p>
        </w:tc>
      </w:tr>
    </w:tbl>
    <w:p w14:paraId="2428432F" w14:textId="77777777" w:rsidR="00520D2C" w:rsidRDefault="00520D2C">
      <w:pPr>
        <w:spacing w:line="400" w:lineRule="atLeast"/>
        <w:rPr>
          <w:rFonts w:ascii="Times New Roman" w:hAnsi="Times New Roman" w:cs="Times New Roman"/>
        </w:rPr>
      </w:pPr>
    </w:p>
    <w:p w14:paraId="37A615D0" w14:textId="77777777" w:rsidR="00520D2C" w:rsidRDefault="00520D2C">
      <w:pPr>
        <w:spacing w:line="400" w:lineRule="atLeast"/>
        <w:rPr>
          <w:rFonts w:ascii="Times New Roman" w:hAnsi="Times New Roman" w:cs="Times New Roman"/>
        </w:rPr>
      </w:pPr>
    </w:p>
    <w:tbl>
      <w:tblPr>
        <w:tblW w:w="87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2451"/>
        <w:gridCol w:w="1195"/>
        <w:gridCol w:w="1364"/>
        <w:gridCol w:w="1471"/>
        <w:gridCol w:w="1471"/>
      </w:tblGrid>
      <w:tr w:rsidR="00520D2C" w14:paraId="7C4E0428" w14:textId="77777777">
        <w:trPr>
          <w:cantSplit/>
        </w:trPr>
        <w:tc>
          <w:tcPr>
            <w:tcW w:w="8758" w:type="dxa"/>
            <w:gridSpan w:val="6"/>
            <w:tcBorders>
              <w:top w:val="nil"/>
              <w:left w:val="nil"/>
              <w:bottom w:val="nil"/>
              <w:right w:val="nil"/>
            </w:tcBorders>
            <w:shd w:val="clear" w:color="auto" w:fill="FFFFFF"/>
            <w:vAlign w:val="center"/>
          </w:tcPr>
          <w:p w14:paraId="799FA370" w14:textId="77777777" w:rsidR="00520D2C" w:rsidRDefault="00520D2C">
            <w:pPr>
              <w:spacing w:line="320" w:lineRule="atLeast"/>
              <w:ind w:left="60" w:right="60"/>
              <w:jc w:val="center"/>
              <w:rPr>
                <w:rFonts w:ascii="Arial" w:hAnsi="Arial" w:cs="Arial"/>
                <w:color w:val="010205"/>
              </w:rPr>
            </w:pPr>
            <w:r>
              <w:rPr>
                <w:rFonts w:ascii="Arial" w:hAnsi="Arial" w:cs="Arial"/>
                <w:b/>
                <w:bCs/>
                <w:color w:val="010205"/>
              </w:rPr>
              <w:t>Purchase.place</w:t>
            </w:r>
          </w:p>
        </w:tc>
      </w:tr>
      <w:tr w:rsidR="00520D2C" w14:paraId="1B9AB978" w14:textId="77777777">
        <w:trPr>
          <w:cantSplit/>
        </w:trPr>
        <w:tc>
          <w:tcPr>
            <w:tcW w:w="3261" w:type="dxa"/>
            <w:gridSpan w:val="2"/>
            <w:tcBorders>
              <w:top w:val="nil"/>
              <w:left w:val="nil"/>
              <w:bottom w:val="single" w:sz="8" w:space="0" w:color="152935"/>
              <w:right w:val="nil"/>
            </w:tcBorders>
            <w:shd w:val="clear" w:color="auto" w:fill="FFFFFF"/>
            <w:vAlign w:val="bottom"/>
          </w:tcPr>
          <w:p w14:paraId="58027821" w14:textId="77777777" w:rsidR="00520D2C" w:rsidRDefault="00520D2C">
            <w:pPr>
              <w:rPr>
                <w:rFonts w:ascii="Times New Roman" w:hAnsi="Times New Roman" w:cs="Times New Roman"/>
              </w:rPr>
            </w:pPr>
          </w:p>
        </w:tc>
        <w:tc>
          <w:tcPr>
            <w:tcW w:w="1194" w:type="dxa"/>
            <w:tcBorders>
              <w:top w:val="nil"/>
              <w:left w:val="nil"/>
              <w:bottom w:val="single" w:sz="8" w:space="0" w:color="152935"/>
              <w:right w:val="single" w:sz="8" w:space="0" w:color="E0E0E0"/>
            </w:tcBorders>
            <w:shd w:val="clear" w:color="auto" w:fill="FFFFFF"/>
            <w:vAlign w:val="bottom"/>
          </w:tcPr>
          <w:p w14:paraId="71C75EBB"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Fréquence</w:t>
            </w:r>
          </w:p>
        </w:tc>
        <w:tc>
          <w:tcPr>
            <w:tcW w:w="1363" w:type="dxa"/>
            <w:tcBorders>
              <w:top w:val="nil"/>
              <w:left w:val="single" w:sz="8" w:space="0" w:color="E0E0E0"/>
              <w:bottom w:val="single" w:sz="8" w:space="0" w:color="152935"/>
              <w:right w:val="single" w:sz="8" w:space="0" w:color="E0E0E0"/>
            </w:tcBorders>
            <w:shd w:val="clear" w:color="auto" w:fill="FFFFFF"/>
            <w:vAlign w:val="bottom"/>
          </w:tcPr>
          <w:p w14:paraId="088A167C"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w:t>
            </w:r>
          </w:p>
        </w:tc>
        <w:tc>
          <w:tcPr>
            <w:tcW w:w="1470" w:type="dxa"/>
            <w:tcBorders>
              <w:top w:val="nil"/>
              <w:left w:val="single" w:sz="8" w:space="0" w:color="E0E0E0"/>
              <w:bottom w:val="single" w:sz="8" w:space="0" w:color="152935"/>
              <w:right w:val="single" w:sz="8" w:space="0" w:color="E0E0E0"/>
            </w:tcBorders>
            <w:shd w:val="clear" w:color="auto" w:fill="FFFFFF"/>
            <w:vAlign w:val="bottom"/>
          </w:tcPr>
          <w:p w14:paraId="348D51EA"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valide</w:t>
            </w:r>
          </w:p>
        </w:tc>
        <w:tc>
          <w:tcPr>
            <w:tcW w:w="1470" w:type="dxa"/>
            <w:tcBorders>
              <w:top w:val="nil"/>
              <w:left w:val="single" w:sz="8" w:space="0" w:color="E0E0E0"/>
              <w:bottom w:val="single" w:sz="8" w:space="0" w:color="152935"/>
              <w:right w:val="nil"/>
            </w:tcBorders>
            <w:shd w:val="clear" w:color="auto" w:fill="FFFFFF"/>
            <w:vAlign w:val="bottom"/>
          </w:tcPr>
          <w:p w14:paraId="2C8C40B2" w14:textId="77777777" w:rsidR="00520D2C" w:rsidRDefault="00520D2C">
            <w:pPr>
              <w:spacing w:line="320" w:lineRule="atLeast"/>
              <w:ind w:left="60" w:right="60"/>
              <w:jc w:val="center"/>
              <w:rPr>
                <w:rFonts w:ascii="Arial" w:hAnsi="Arial" w:cs="Arial"/>
                <w:color w:val="264A60"/>
                <w:sz w:val="18"/>
                <w:szCs w:val="18"/>
              </w:rPr>
            </w:pPr>
            <w:r>
              <w:rPr>
                <w:rFonts w:ascii="Arial" w:hAnsi="Arial" w:cs="Arial"/>
                <w:color w:val="264A60"/>
                <w:sz w:val="18"/>
                <w:szCs w:val="18"/>
              </w:rPr>
              <w:t>Pourcentage cumulé</w:t>
            </w:r>
          </w:p>
        </w:tc>
      </w:tr>
      <w:tr w:rsidR="00520D2C" w14:paraId="4C555CC6" w14:textId="77777777">
        <w:trPr>
          <w:cantSplit/>
        </w:trPr>
        <w:tc>
          <w:tcPr>
            <w:tcW w:w="811" w:type="dxa"/>
            <w:vMerge w:val="restart"/>
            <w:tcBorders>
              <w:top w:val="single" w:sz="8" w:space="0" w:color="152935"/>
              <w:left w:val="nil"/>
              <w:bottom w:val="single" w:sz="8" w:space="0" w:color="152935"/>
              <w:right w:val="nil"/>
            </w:tcBorders>
            <w:shd w:val="clear" w:color="auto" w:fill="E0E0E0"/>
          </w:tcPr>
          <w:p w14:paraId="19C9EB0A"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Valide</w:t>
            </w:r>
          </w:p>
        </w:tc>
        <w:tc>
          <w:tcPr>
            <w:tcW w:w="2450" w:type="dxa"/>
            <w:tcBorders>
              <w:top w:val="single" w:sz="8" w:space="0" w:color="152935"/>
              <w:left w:val="nil"/>
              <w:bottom w:val="single" w:sz="8" w:space="0" w:color="AEAEAE"/>
              <w:right w:val="nil"/>
            </w:tcBorders>
            <w:shd w:val="clear" w:color="auto" w:fill="E0E0E0"/>
          </w:tcPr>
          <w:p w14:paraId="724AAC2E"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Shopping malls</w:t>
            </w:r>
          </w:p>
        </w:tc>
        <w:tc>
          <w:tcPr>
            <w:tcW w:w="1194" w:type="dxa"/>
            <w:tcBorders>
              <w:top w:val="single" w:sz="8" w:space="0" w:color="152935"/>
              <w:left w:val="nil"/>
              <w:bottom w:val="single" w:sz="8" w:space="0" w:color="AEAEAE"/>
              <w:right w:val="single" w:sz="8" w:space="0" w:color="E0E0E0"/>
            </w:tcBorders>
            <w:shd w:val="clear" w:color="auto" w:fill="F9F9FB"/>
          </w:tcPr>
          <w:p w14:paraId="35BC60D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40</w:t>
            </w:r>
          </w:p>
        </w:tc>
        <w:tc>
          <w:tcPr>
            <w:tcW w:w="1363" w:type="dxa"/>
            <w:tcBorders>
              <w:top w:val="single" w:sz="8" w:space="0" w:color="152935"/>
              <w:left w:val="single" w:sz="8" w:space="0" w:color="E0E0E0"/>
              <w:bottom w:val="single" w:sz="8" w:space="0" w:color="AEAEAE"/>
              <w:right w:val="single" w:sz="8" w:space="0" w:color="E0E0E0"/>
            </w:tcBorders>
            <w:shd w:val="clear" w:color="auto" w:fill="F9F9FB"/>
          </w:tcPr>
          <w:p w14:paraId="16DBE2F6"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c>
          <w:tcPr>
            <w:tcW w:w="1470" w:type="dxa"/>
            <w:tcBorders>
              <w:top w:val="single" w:sz="8" w:space="0" w:color="152935"/>
              <w:left w:val="single" w:sz="8" w:space="0" w:color="E0E0E0"/>
              <w:bottom w:val="single" w:sz="8" w:space="0" w:color="AEAEAE"/>
              <w:right w:val="single" w:sz="8" w:space="0" w:color="E0E0E0"/>
            </w:tcBorders>
            <w:shd w:val="clear" w:color="auto" w:fill="F9F9FB"/>
          </w:tcPr>
          <w:p w14:paraId="0C9EBC7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c>
          <w:tcPr>
            <w:tcW w:w="1470" w:type="dxa"/>
            <w:tcBorders>
              <w:top w:val="single" w:sz="8" w:space="0" w:color="152935"/>
              <w:left w:val="single" w:sz="8" w:space="0" w:color="E0E0E0"/>
              <w:bottom w:val="single" w:sz="8" w:space="0" w:color="AEAEAE"/>
              <w:right w:val="nil"/>
            </w:tcBorders>
            <w:shd w:val="clear" w:color="auto" w:fill="F9F9FB"/>
          </w:tcPr>
          <w:p w14:paraId="40B073C0"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19.2</w:t>
            </w:r>
          </w:p>
        </w:tc>
      </w:tr>
      <w:tr w:rsidR="00520D2C" w14:paraId="6BDF4C01" w14:textId="77777777">
        <w:trPr>
          <w:cantSplit/>
        </w:trPr>
        <w:tc>
          <w:tcPr>
            <w:tcW w:w="811" w:type="dxa"/>
            <w:vMerge/>
            <w:tcBorders>
              <w:top w:val="single" w:sz="8" w:space="0" w:color="152935"/>
              <w:left w:val="nil"/>
              <w:bottom w:val="single" w:sz="8" w:space="0" w:color="152935"/>
              <w:right w:val="nil"/>
            </w:tcBorders>
            <w:shd w:val="clear" w:color="auto" w:fill="E0E0E0"/>
          </w:tcPr>
          <w:p w14:paraId="01D4F179"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614064C1" w14:textId="77777777" w:rsidR="00520D2C" w:rsidRPr="00EB482A" w:rsidRDefault="00520D2C">
            <w:pPr>
              <w:spacing w:line="320" w:lineRule="atLeast"/>
              <w:ind w:left="60" w:right="60"/>
              <w:rPr>
                <w:rFonts w:ascii="Arial" w:hAnsi="Arial" w:cs="Arial"/>
                <w:color w:val="264A60"/>
                <w:sz w:val="18"/>
                <w:szCs w:val="18"/>
                <w:lang w:val="en-US"/>
              </w:rPr>
            </w:pPr>
            <w:r w:rsidRPr="00EB482A">
              <w:rPr>
                <w:rFonts w:ascii="Arial" w:hAnsi="Arial" w:cs="Arial"/>
                <w:color w:val="264A60"/>
                <w:sz w:val="18"/>
                <w:szCs w:val="18"/>
                <w:lang w:val="en-US"/>
              </w:rPr>
              <w:t>Cosmetic stores (Gratis, Watsons, etc.)</w:t>
            </w:r>
          </w:p>
        </w:tc>
        <w:tc>
          <w:tcPr>
            <w:tcW w:w="1194" w:type="dxa"/>
            <w:tcBorders>
              <w:top w:val="single" w:sz="8" w:space="0" w:color="AEAEAE"/>
              <w:left w:val="nil"/>
              <w:bottom w:val="single" w:sz="8" w:space="0" w:color="AEAEAE"/>
              <w:right w:val="single" w:sz="8" w:space="0" w:color="E0E0E0"/>
            </w:tcBorders>
            <w:shd w:val="clear" w:color="auto" w:fill="F9F9FB"/>
          </w:tcPr>
          <w:p w14:paraId="7E6629F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98</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3065B2A4"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47.1</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48830E6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47.1</w:t>
            </w:r>
          </w:p>
        </w:tc>
        <w:tc>
          <w:tcPr>
            <w:tcW w:w="1470" w:type="dxa"/>
            <w:tcBorders>
              <w:top w:val="single" w:sz="8" w:space="0" w:color="AEAEAE"/>
              <w:left w:val="single" w:sz="8" w:space="0" w:color="E0E0E0"/>
              <w:bottom w:val="single" w:sz="8" w:space="0" w:color="AEAEAE"/>
              <w:right w:val="nil"/>
            </w:tcBorders>
            <w:shd w:val="clear" w:color="auto" w:fill="F9F9FB"/>
          </w:tcPr>
          <w:p w14:paraId="66CD450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66.3</w:t>
            </w:r>
          </w:p>
        </w:tc>
      </w:tr>
      <w:tr w:rsidR="00520D2C" w14:paraId="087A55B6" w14:textId="77777777">
        <w:trPr>
          <w:cantSplit/>
        </w:trPr>
        <w:tc>
          <w:tcPr>
            <w:tcW w:w="811" w:type="dxa"/>
            <w:vMerge/>
            <w:tcBorders>
              <w:top w:val="single" w:sz="8" w:space="0" w:color="152935"/>
              <w:left w:val="nil"/>
              <w:bottom w:val="single" w:sz="8" w:space="0" w:color="152935"/>
              <w:right w:val="nil"/>
            </w:tcBorders>
            <w:shd w:val="clear" w:color="auto" w:fill="E0E0E0"/>
          </w:tcPr>
          <w:p w14:paraId="7073B05B"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214185C7"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Online shopping platforms</w:t>
            </w:r>
          </w:p>
        </w:tc>
        <w:tc>
          <w:tcPr>
            <w:tcW w:w="1194" w:type="dxa"/>
            <w:tcBorders>
              <w:top w:val="single" w:sz="8" w:space="0" w:color="AEAEAE"/>
              <w:left w:val="nil"/>
              <w:bottom w:val="single" w:sz="8" w:space="0" w:color="AEAEAE"/>
              <w:right w:val="single" w:sz="8" w:space="0" w:color="E0E0E0"/>
            </w:tcBorders>
            <w:shd w:val="clear" w:color="auto" w:fill="F9F9FB"/>
          </w:tcPr>
          <w:p w14:paraId="69B5DA5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48</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00870F09"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23.1</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5858794D"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23.1</w:t>
            </w:r>
          </w:p>
        </w:tc>
        <w:tc>
          <w:tcPr>
            <w:tcW w:w="1470" w:type="dxa"/>
            <w:tcBorders>
              <w:top w:val="single" w:sz="8" w:space="0" w:color="AEAEAE"/>
              <w:left w:val="single" w:sz="8" w:space="0" w:color="E0E0E0"/>
              <w:bottom w:val="single" w:sz="8" w:space="0" w:color="AEAEAE"/>
              <w:right w:val="nil"/>
            </w:tcBorders>
            <w:shd w:val="clear" w:color="auto" w:fill="F9F9FB"/>
          </w:tcPr>
          <w:p w14:paraId="55325F2E"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89.4</w:t>
            </w:r>
          </w:p>
        </w:tc>
      </w:tr>
      <w:tr w:rsidR="00520D2C" w14:paraId="012AC571" w14:textId="77777777">
        <w:trPr>
          <w:cantSplit/>
        </w:trPr>
        <w:tc>
          <w:tcPr>
            <w:tcW w:w="811" w:type="dxa"/>
            <w:vMerge/>
            <w:tcBorders>
              <w:top w:val="single" w:sz="8" w:space="0" w:color="152935"/>
              <w:left w:val="nil"/>
              <w:bottom w:val="single" w:sz="8" w:space="0" w:color="152935"/>
              <w:right w:val="nil"/>
            </w:tcBorders>
            <w:shd w:val="clear" w:color="auto" w:fill="E0E0E0"/>
          </w:tcPr>
          <w:p w14:paraId="5836CD1B"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AEAEAE"/>
              <w:right w:val="nil"/>
            </w:tcBorders>
            <w:shd w:val="clear" w:color="auto" w:fill="E0E0E0"/>
          </w:tcPr>
          <w:p w14:paraId="4967622B"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Other</w:t>
            </w:r>
          </w:p>
        </w:tc>
        <w:tc>
          <w:tcPr>
            <w:tcW w:w="1194" w:type="dxa"/>
            <w:tcBorders>
              <w:top w:val="single" w:sz="8" w:space="0" w:color="AEAEAE"/>
              <w:left w:val="nil"/>
              <w:bottom w:val="single" w:sz="8" w:space="0" w:color="AEAEAE"/>
              <w:right w:val="single" w:sz="8" w:space="0" w:color="E0E0E0"/>
            </w:tcBorders>
            <w:shd w:val="clear" w:color="auto" w:fill="F9F9FB"/>
          </w:tcPr>
          <w:p w14:paraId="1E2DF1E7"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22</w:t>
            </w:r>
          </w:p>
        </w:tc>
        <w:tc>
          <w:tcPr>
            <w:tcW w:w="1363" w:type="dxa"/>
            <w:tcBorders>
              <w:top w:val="single" w:sz="8" w:space="0" w:color="AEAEAE"/>
              <w:left w:val="single" w:sz="8" w:space="0" w:color="E0E0E0"/>
              <w:bottom w:val="single" w:sz="8" w:space="0" w:color="AEAEAE"/>
              <w:right w:val="single" w:sz="8" w:space="0" w:color="E0E0E0"/>
            </w:tcBorders>
            <w:shd w:val="clear" w:color="auto" w:fill="F9F9FB"/>
          </w:tcPr>
          <w:p w14:paraId="63A5DC12"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10.6</w:t>
            </w:r>
          </w:p>
        </w:tc>
        <w:tc>
          <w:tcPr>
            <w:tcW w:w="1470" w:type="dxa"/>
            <w:tcBorders>
              <w:top w:val="single" w:sz="8" w:space="0" w:color="AEAEAE"/>
              <w:left w:val="single" w:sz="8" w:space="0" w:color="E0E0E0"/>
              <w:bottom w:val="single" w:sz="8" w:space="0" w:color="AEAEAE"/>
              <w:right w:val="single" w:sz="8" w:space="0" w:color="E0E0E0"/>
            </w:tcBorders>
            <w:shd w:val="clear" w:color="auto" w:fill="F9F9FB"/>
          </w:tcPr>
          <w:p w14:paraId="6CF87E5F"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10.6</w:t>
            </w:r>
          </w:p>
        </w:tc>
        <w:tc>
          <w:tcPr>
            <w:tcW w:w="1470" w:type="dxa"/>
            <w:tcBorders>
              <w:top w:val="single" w:sz="8" w:space="0" w:color="AEAEAE"/>
              <w:left w:val="single" w:sz="8" w:space="0" w:color="E0E0E0"/>
              <w:bottom w:val="single" w:sz="8" w:space="0" w:color="AEAEAE"/>
              <w:right w:val="nil"/>
            </w:tcBorders>
            <w:shd w:val="clear" w:color="auto" w:fill="F9F9FB"/>
          </w:tcPr>
          <w:p w14:paraId="1414E89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520D2C" w14:paraId="39C5AB60" w14:textId="77777777">
        <w:trPr>
          <w:cantSplit/>
        </w:trPr>
        <w:tc>
          <w:tcPr>
            <w:tcW w:w="811" w:type="dxa"/>
            <w:vMerge/>
            <w:tcBorders>
              <w:top w:val="single" w:sz="8" w:space="0" w:color="152935"/>
              <w:left w:val="nil"/>
              <w:bottom w:val="single" w:sz="8" w:space="0" w:color="152935"/>
              <w:right w:val="nil"/>
            </w:tcBorders>
            <w:shd w:val="clear" w:color="auto" w:fill="E0E0E0"/>
          </w:tcPr>
          <w:p w14:paraId="60E52D75" w14:textId="77777777" w:rsidR="00520D2C" w:rsidRDefault="00520D2C">
            <w:pPr>
              <w:rPr>
                <w:rFonts w:ascii="Arial" w:hAnsi="Arial" w:cs="Arial"/>
                <w:color w:val="010205"/>
                <w:sz w:val="18"/>
                <w:szCs w:val="18"/>
              </w:rPr>
            </w:pPr>
          </w:p>
        </w:tc>
        <w:tc>
          <w:tcPr>
            <w:tcW w:w="2450" w:type="dxa"/>
            <w:tcBorders>
              <w:top w:val="single" w:sz="8" w:space="0" w:color="AEAEAE"/>
              <w:left w:val="nil"/>
              <w:bottom w:val="single" w:sz="8" w:space="0" w:color="152935"/>
              <w:right w:val="nil"/>
            </w:tcBorders>
            <w:shd w:val="clear" w:color="auto" w:fill="E0E0E0"/>
          </w:tcPr>
          <w:p w14:paraId="530DBE31" w14:textId="77777777" w:rsidR="00520D2C" w:rsidRDefault="00520D2C">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94" w:type="dxa"/>
            <w:tcBorders>
              <w:top w:val="single" w:sz="8" w:space="0" w:color="AEAEAE"/>
              <w:left w:val="nil"/>
              <w:bottom w:val="single" w:sz="8" w:space="0" w:color="152935"/>
              <w:right w:val="single" w:sz="8" w:space="0" w:color="E0E0E0"/>
            </w:tcBorders>
            <w:shd w:val="clear" w:color="auto" w:fill="F9F9FB"/>
          </w:tcPr>
          <w:p w14:paraId="51463731"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208</w:t>
            </w:r>
          </w:p>
        </w:tc>
        <w:tc>
          <w:tcPr>
            <w:tcW w:w="1363" w:type="dxa"/>
            <w:tcBorders>
              <w:top w:val="single" w:sz="8" w:space="0" w:color="AEAEAE"/>
              <w:left w:val="single" w:sz="8" w:space="0" w:color="E0E0E0"/>
              <w:bottom w:val="single" w:sz="8" w:space="0" w:color="152935"/>
              <w:right w:val="single" w:sz="8" w:space="0" w:color="E0E0E0"/>
            </w:tcBorders>
            <w:shd w:val="clear" w:color="auto" w:fill="F9F9FB"/>
          </w:tcPr>
          <w:p w14:paraId="0DC02108"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0" w:type="dxa"/>
            <w:tcBorders>
              <w:top w:val="single" w:sz="8" w:space="0" w:color="AEAEAE"/>
              <w:left w:val="single" w:sz="8" w:space="0" w:color="E0E0E0"/>
              <w:bottom w:val="single" w:sz="8" w:space="0" w:color="152935"/>
              <w:right w:val="single" w:sz="8" w:space="0" w:color="E0E0E0"/>
            </w:tcBorders>
            <w:shd w:val="clear" w:color="auto" w:fill="F9F9FB"/>
          </w:tcPr>
          <w:p w14:paraId="1EBFD54C" w14:textId="77777777" w:rsidR="00520D2C" w:rsidRDefault="00520D2C">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0" w:type="dxa"/>
            <w:tcBorders>
              <w:top w:val="single" w:sz="8" w:space="0" w:color="AEAEAE"/>
              <w:left w:val="single" w:sz="8" w:space="0" w:color="E0E0E0"/>
              <w:bottom w:val="single" w:sz="8" w:space="0" w:color="152935"/>
              <w:right w:val="nil"/>
            </w:tcBorders>
            <w:shd w:val="clear" w:color="auto" w:fill="F9F9FB"/>
            <w:vAlign w:val="center"/>
          </w:tcPr>
          <w:p w14:paraId="40669096" w14:textId="77777777" w:rsidR="00520D2C" w:rsidRDefault="00520D2C">
            <w:pPr>
              <w:rPr>
                <w:rFonts w:ascii="Times New Roman" w:hAnsi="Times New Roman" w:cs="Times New Roman"/>
              </w:rPr>
            </w:pPr>
          </w:p>
        </w:tc>
      </w:tr>
    </w:tbl>
    <w:p w14:paraId="6F4C5664" w14:textId="77777777" w:rsidR="00520D2C" w:rsidRDefault="00520D2C">
      <w:pPr>
        <w:spacing w:line="400" w:lineRule="atLeast"/>
        <w:rPr>
          <w:rFonts w:ascii="Times New Roman" w:hAnsi="Times New Roman" w:cs="Times New Roman"/>
        </w:rPr>
      </w:pPr>
    </w:p>
    <w:p w14:paraId="5E9B3655" w14:textId="77777777" w:rsidR="00520D2C"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p>
    <w:p w14:paraId="03804C6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library(haven)</w:t>
      </w:r>
    </w:p>
    <w:p w14:paraId="6BFF9FA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turkish &lt;- read_sav("C:/Users/pc/Desktop/mémoire/New folder/third chapter/MICROeconomic analysis/spss data base - Copy.sav")</w:t>
      </w:r>
    </w:p>
    <w:p w14:paraId="489C7EC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View(turkish)</w:t>
      </w:r>
    </w:p>
    <w:p w14:paraId="36B9035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 </w:t>
      </w:r>
      <w:r w:rsidRPr="00F93F35">
        <w:rPr>
          <w:rFonts w:ascii="Courier New" w:eastAsia="Times New Roman" w:hAnsi="Courier New" w:cs="Courier New"/>
          <w:color w:val="930F80"/>
          <w:sz w:val="20"/>
          <w:szCs w:val="20"/>
          <w:rtl/>
          <w:lang w:eastAsia="fr-FR"/>
        </w:rPr>
        <w:t>تثبيت الحزم إذا لم تكن مثبتة</w:t>
      </w:r>
    </w:p>
    <w:p w14:paraId="72C2196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install.packages("dplyr")</w:t>
      </w:r>
    </w:p>
    <w:p w14:paraId="1B54E3A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WARNING: Rtools is required to build R packages but is not currently installed. Please download and install the appropriate version of Rtools before proceeding:</w:t>
      </w:r>
    </w:p>
    <w:p w14:paraId="22AF2F4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35B6737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https://cran.rstudio.com/bin/windows/Rtools/</w:t>
      </w:r>
    </w:p>
    <w:p w14:paraId="3377810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Installing package into ‘C:/Users/pc/AppData/Local/R/win-library/4.4’</w:t>
      </w:r>
    </w:p>
    <w:p w14:paraId="0A9EC91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(as ‘lib’ is unspecified)</w:t>
      </w:r>
    </w:p>
    <w:p w14:paraId="0895F48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trying URL 'https://cran.rstudio.com/bin/windows/contrib/4.4/dplyr_1.1.4.zip'</w:t>
      </w:r>
    </w:p>
    <w:p w14:paraId="7BD322E7"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Content type 'application/zip' length 1590491 bytes (1.5 MB)</w:t>
      </w:r>
    </w:p>
    <w:p w14:paraId="6DEEF0C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downloaded 1.5 MB</w:t>
      </w:r>
    </w:p>
    <w:p w14:paraId="0297DBB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16D396E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package ‘dplyr’ successfully unpacked and MD5 sums checked</w:t>
      </w:r>
    </w:p>
    <w:p w14:paraId="4E4FE21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9A1B7F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The downloaded binary packages are in</w:t>
      </w:r>
    </w:p>
    <w:p w14:paraId="7C1A70B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ab/>
        <w:t>C:\Users\pc\AppData\Local\Temp\RtmpGqpwvr\downloaded_packages</w:t>
      </w:r>
    </w:p>
    <w:p w14:paraId="1D63FAD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install.packages("psych")</w:t>
      </w:r>
    </w:p>
    <w:p w14:paraId="1F9B17C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Error in install.packages : Updating loaded packages</w:t>
      </w:r>
    </w:p>
    <w:p w14:paraId="1BECB31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xml:space="preserve">&gt; &gt; # </w:t>
      </w:r>
      <w:r w:rsidRPr="00F93F35">
        <w:rPr>
          <w:rFonts w:ascii="Courier New" w:eastAsia="Times New Roman" w:hAnsi="Courier New" w:cs="Courier New"/>
          <w:color w:val="930F80"/>
          <w:sz w:val="20"/>
          <w:szCs w:val="20"/>
          <w:rtl/>
          <w:lang w:eastAsia="fr-FR"/>
        </w:rPr>
        <w:t>تحميل الحزم</w:t>
      </w:r>
    </w:p>
    <w:p w14:paraId="629F6C3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library(dplyr)</w:t>
      </w:r>
    </w:p>
    <w:p w14:paraId="19078BA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5184F09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Attaching package: ‘dplyr’</w:t>
      </w:r>
    </w:p>
    <w:p w14:paraId="740F8F4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13F955C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The following objects are masked from ‘package:stats’:</w:t>
      </w:r>
    </w:p>
    <w:p w14:paraId="5F5BFD1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670A5B9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    filter, lag</w:t>
      </w:r>
    </w:p>
    <w:p w14:paraId="136874B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2952678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The following objects are masked from ‘package:base’:</w:t>
      </w:r>
    </w:p>
    <w:p w14:paraId="595B423F"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1D09434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    intersect, setdiff, setequal, union</w:t>
      </w:r>
    </w:p>
    <w:p w14:paraId="0767C7B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3364F8F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Warning message:</w:t>
      </w:r>
    </w:p>
    <w:p w14:paraId="43B0EF6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package ‘dplyr’ was built under R version 4.4.3 </w:t>
      </w:r>
    </w:p>
    <w:p w14:paraId="75DC448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library(psych)</w:t>
      </w:r>
    </w:p>
    <w:p w14:paraId="1E3E35F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930F80"/>
          <w:sz w:val="20"/>
          <w:szCs w:val="20"/>
          <w:lang w:val="en-US" w:eastAsia="fr-FR"/>
        </w:rPr>
        <w:t xml:space="preserve">&gt; </w:t>
      </w:r>
    </w:p>
    <w:p w14:paraId="53A99B8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Restarting R session...</w:t>
      </w:r>
    </w:p>
    <w:p w14:paraId="2CC140FF"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CE7492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WARNING: Rtools is required to build R packages but is not currently installed. Please download and install the appropriate version of Rtools before proceeding:</w:t>
      </w:r>
    </w:p>
    <w:p w14:paraId="1FED76A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73EE456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https://cran.rstudio.com/bin/windows/Rtools/</w:t>
      </w:r>
    </w:p>
    <w:p w14:paraId="16E86A1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Installing package into ‘C:/Users/pc/AppData/Local/R/win-library/4.4’</w:t>
      </w:r>
    </w:p>
    <w:p w14:paraId="6D3BA64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(as ‘lib’ is unspecified)</w:t>
      </w:r>
    </w:p>
    <w:p w14:paraId="246730D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trying URL 'https://cran.rstudio.com/bin/windows/contrib/4.4/psych_2.5.3.zip'</w:t>
      </w:r>
    </w:p>
    <w:p w14:paraId="25CA48F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Content type 'application/zip' length 3584707 bytes (3.4 MB)</w:t>
      </w:r>
    </w:p>
    <w:p w14:paraId="5C5D9B1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downloaded 3.4 MB</w:t>
      </w:r>
    </w:p>
    <w:p w14:paraId="0E13DB7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2AD7EFE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package ‘psych’ successfully unpacked and MD5 sums checked</w:t>
      </w:r>
    </w:p>
    <w:p w14:paraId="391A375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DC9218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The downloaded binary packages are in</w:t>
      </w:r>
    </w:p>
    <w:p w14:paraId="6818F31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ab/>
        <w:t>C:\Users\pc\AppData\Local\Temp\Rtmp4yAzMF\downloaded_packages</w:t>
      </w:r>
    </w:p>
    <w:p w14:paraId="2033980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  </w:t>
      </w:r>
      <w:r w:rsidRPr="00F93F35">
        <w:rPr>
          <w:rFonts w:ascii="Courier New" w:eastAsia="Times New Roman" w:hAnsi="Courier New" w:cs="Courier New"/>
          <w:color w:val="930F80"/>
          <w:sz w:val="20"/>
          <w:szCs w:val="20"/>
          <w:rtl/>
          <w:lang w:eastAsia="fr-FR"/>
        </w:rPr>
        <w:t>تشكيل محاور متغير</w:t>
      </w:r>
      <w:r w:rsidRPr="00F93F35">
        <w:rPr>
          <w:rFonts w:ascii="Courier New" w:eastAsia="Times New Roman" w:hAnsi="Courier New" w:cs="Courier New"/>
          <w:color w:val="930F80"/>
          <w:sz w:val="20"/>
          <w:szCs w:val="20"/>
          <w:lang w:eastAsia="fr-FR"/>
        </w:rPr>
        <w:t xml:space="preserve"> BOYCOTT</w:t>
      </w:r>
    </w:p>
    <w:p w14:paraId="765BD4A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turkish &lt;- turkish %&gt;%</w:t>
      </w:r>
    </w:p>
    <w:p w14:paraId="3BF9E68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mutate(</w:t>
      </w:r>
    </w:p>
    <w:p w14:paraId="7D0DBD8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AB = rowMeans(select(., AB1, AB2, AB3, AB4, AB5), na.rm = TRUE),</w:t>
      </w:r>
    </w:p>
    <w:p w14:paraId="132DDBB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CMB = rowMeans(select(., CMB1, CMB2, CMB3, CMB4, CMB5), na.rm = TRUE),</w:t>
      </w:r>
    </w:p>
    <w:p w14:paraId="61538B8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TAB = rowMeans(select(., TAP1, TAP2, TAP3, TAP4), na.rm = TRUE),</w:t>
      </w:r>
    </w:p>
    <w:p w14:paraId="5D1D41F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EBCH = rowMeans(select(., EBCH1, EBCH2, EBCH3, EBCH4, EBCH5), na.rm = TRUE)</w:t>
      </w:r>
    </w:p>
    <w:p w14:paraId="46778A5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w:t>
      </w:r>
    </w:p>
    <w:p w14:paraId="7303635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Error in turkish %&gt;% mutate(AB = rowMeans(select(., AB1, AB2, AB3, AB4,  : </w:t>
      </w:r>
    </w:p>
    <w:p w14:paraId="6406760A"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eastAsia="fr-FR"/>
        </w:rPr>
      </w:pPr>
      <w:r w:rsidRPr="00F93F35">
        <w:rPr>
          <w:rFonts w:ascii="Courier New" w:eastAsia="Times New Roman" w:hAnsi="Courier New" w:cs="Courier New"/>
          <w:color w:val="585CF6"/>
          <w:sz w:val="20"/>
          <w:szCs w:val="20"/>
          <w:lang w:val="en-US" w:eastAsia="fr-FR"/>
        </w:rPr>
        <w:t xml:space="preserve">  </w:t>
      </w:r>
      <w:r w:rsidRPr="00F93F35">
        <w:rPr>
          <w:rFonts w:ascii="Courier New" w:eastAsia="Times New Roman" w:hAnsi="Courier New" w:cs="Courier New"/>
          <w:color w:val="585CF6"/>
          <w:sz w:val="20"/>
          <w:szCs w:val="20"/>
          <w:lang w:eastAsia="fr-FR"/>
        </w:rPr>
        <w:t>could not find function "%&gt;%"</w:t>
      </w:r>
    </w:p>
    <w:p w14:paraId="66EB467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 </w:t>
      </w:r>
      <w:r w:rsidRPr="00F93F35">
        <w:rPr>
          <w:rFonts w:ascii="Courier New" w:eastAsia="Times New Roman" w:hAnsi="Courier New" w:cs="Courier New"/>
          <w:color w:val="930F80"/>
          <w:sz w:val="20"/>
          <w:szCs w:val="20"/>
          <w:rtl/>
          <w:lang w:eastAsia="fr-FR"/>
        </w:rPr>
        <w:t>تشكيل المتغيرات الرئيسية من المحاور</w:t>
      </w:r>
    </w:p>
    <w:p w14:paraId="6AFAD4C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turkish &lt;- turkish %&gt;%</w:t>
      </w:r>
    </w:p>
    <w:p w14:paraId="33C12A0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mutate(</w:t>
      </w:r>
    </w:p>
    <w:p w14:paraId="1475819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BOYCOTT = rowMeans(select(., AB, CMB, TAB, EBCH), na.rm = TRUE),</w:t>
      </w:r>
    </w:p>
    <w:p w14:paraId="7AF9692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APA = rowMeans(select(., PQP, PC, CA, AA), na.rm = TRUE),</w:t>
      </w:r>
    </w:p>
    <w:p w14:paraId="4D43DB3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TCB = rowMeans(select(., PBH, WTNA, KDMF), na.rm = TRUE)</w:t>
      </w:r>
    </w:p>
    <w:p w14:paraId="3F3D323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w:t>
      </w:r>
    </w:p>
    <w:p w14:paraId="29BCE13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Error in turkish %&gt;% mutate(BOYCOTT = rowMeans(select(., AB, CMB, TAB,  : </w:t>
      </w:r>
    </w:p>
    <w:p w14:paraId="4E17F3E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  could not find function "%&gt;%"</w:t>
      </w:r>
    </w:p>
    <w:p w14:paraId="07F4123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xml:space="preserve">&gt; # </w:t>
      </w:r>
      <w:r w:rsidRPr="00F93F35">
        <w:rPr>
          <w:rFonts w:ascii="Courier New" w:eastAsia="Times New Roman" w:hAnsi="Courier New" w:cs="Courier New"/>
          <w:color w:val="930F80"/>
          <w:sz w:val="20"/>
          <w:szCs w:val="20"/>
          <w:rtl/>
          <w:lang w:eastAsia="fr-FR"/>
        </w:rPr>
        <w:t>تثبيت الحزمة</w:t>
      </w:r>
      <w:r w:rsidRPr="00F93F35">
        <w:rPr>
          <w:rFonts w:ascii="Courier New" w:eastAsia="Times New Roman" w:hAnsi="Courier New" w:cs="Courier New"/>
          <w:color w:val="930F80"/>
          <w:sz w:val="20"/>
          <w:szCs w:val="20"/>
          <w:lang w:val="en-US" w:eastAsia="fr-FR"/>
        </w:rPr>
        <w:t>)</w:t>
      </w:r>
    </w:p>
    <w:p w14:paraId="396AF3F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install.packages("dplyr")</w:t>
      </w:r>
    </w:p>
    <w:p w14:paraId="571EF2FF"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WARNING: Rtools is required to build R packages but is not currently installed. Please download and install the appropriate version of Rtools before proceeding:</w:t>
      </w:r>
    </w:p>
    <w:p w14:paraId="595D026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60329E4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https://cran.rstudio.com/bin/windows/Rtools/</w:t>
      </w:r>
    </w:p>
    <w:p w14:paraId="10EF211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Installing package into ‘C:/Users/pc/AppData/Local/R/win-library/4.4’</w:t>
      </w:r>
    </w:p>
    <w:p w14:paraId="40D4A57A"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(as ‘lib’ is unspecified)</w:t>
      </w:r>
    </w:p>
    <w:p w14:paraId="38DD0F6A"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trying URL 'https://cran.rstudio.com/bin/windows/contrib/4.4/dplyr_1.1.4.zip'</w:t>
      </w:r>
    </w:p>
    <w:p w14:paraId="13A5240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Content type 'application/zip' length 1590491 bytes (1.5 MB)</w:t>
      </w:r>
    </w:p>
    <w:p w14:paraId="41642E8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downloaded 1.5 MB</w:t>
      </w:r>
    </w:p>
    <w:p w14:paraId="3B59F94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05BC61B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package ‘dplyr’ successfully unpacked and MD5 sums checked</w:t>
      </w:r>
    </w:p>
    <w:p w14:paraId="26FDBCA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F3AAF8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The downloaded binary packages are in</w:t>
      </w:r>
    </w:p>
    <w:p w14:paraId="396CA09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93F35">
        <w:rPr>
          <w:rFonts w:ascii="Courier New" w:eastAsia="Times New Roman" w:hAnsi="Courier New" w:cs="Courier New"/>
          <w:color w:val="000000"/>
          <w:sz w:val="20"/>
          <w:szCs w:val="20"/>
          <w:bdr w:val="none" w:sz="0" w:space="0" w:color="auto" w:frame="1"/>
          <w:lang w:val="en-US" w:eastAsia="fr-FR"/>
        </w:rPr>
        <w:tab/>
        <w:t>C:\Users\pc\AppData\Local\Temp\Rtmp4yAzMF\downloaded_packages</w:t>
      </w:r>
    </w:p>
    <w:p w14:paraId="175A877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&gt; # </w:t>
      </w:r>
      <w:r w:rsidRPr="00F93F35">
        <w:rPr>
          <w:rFonts w:ascii="Courier New" w:eastAsia="Times New Roman" w:hAnsi="Courier New" w:cs="Courier New"/>
          <w:color w:val="930F80"/>
          <w:sz w:val="20"/>
          <w:szCs w:val="20"/>
          <w:rtl/>
          <w:lang w:eastAsia="fr-FR"/>
        </w:rPr>
        <w:t>تحميل الحزمة في كل مرة تبدأ فيها العمل</w:t>
      </w:r>
    </w:p>
    <w:p w14:paraId="070BD7A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&gt; library(dplyr)</w:t>
      </w:r>
    </w:p>
    <w:p w14:paraId="6C5D832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5A7C51D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Attaching package: ‘dplyr’</w:t>
      </w:r>
    </w:p>
    <w:p w14:paraId="6E5BAE0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4E30C42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The following objects are masked from ‘package:stats’:</w:t>
      </w:r>
    </w:p>
    <w:p w14:paraId="3FE1ABD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4F8B10C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    filter, lag</w:t>
      </w:r>
    </w:p>
    <w:p w14:paraId="250EA34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3D9B2C4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The following objects are masked from ‘package:base’:</w:t>
      </w:r>
    </w:p>
    <w:p w14:paraId="04FF0DFE"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47C88D7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    intersect, setdiff, setequal, union</w:t>
      </w:r>
    </w:p>
    <w:p w14:paraId="73E7A694"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18EE7D3F"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Warning message:</w:t>
      </w:r>
    </w:p>
    <w:p w14:paraId="1047889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F93F35">
        <w:rPr>
          <w:rFonts w:ascii="Courier New" w:eastAsia="Times New Roman" w:hAnsi="Courier New" w:cs="Courier New"/>
          <w:color w:val="585CF6"/>
          <w:sz w:val="20"/>
          <w:szCs w:val="20"/>
          <w:lang w:val="en-US" w:eastAsia="fr-FR"/>
        </w:rPr>
        <w:t xml:space="preserve">package ‘dplyr’ was built under R version 4.4.3 </w:t>
      </w:r>
    </w:p>
    <w:p w14:paraId="234F02B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&gt; #: </w:t>
      </w:r>
      <w:r w:rsidRPr="00F93F35">
        <w:rPr>
          <w:rFonts w:ascii="Courier New" w:eastAsia="Times New Roman" w:hAnsi="Courier New" w:cs="Courier New"/>
          <w:color w:val="930F80"/>
          <w:sz w:val="20"/>
          <w:szCs w:val="20"/>
          <w:rtl/>
          <w:lang w:eastAsia="fr-FR"/>
        </w:rPr>
        <w:t>تشكيل محاور متغير</w:t>
      </w:r>
      <w:r w:rsidRPr="00F93F35">
        <w:rPr>
          <w:rFonts w:ascii="Courier New" w:eastAsia="Times New Roman" w:hAnsi="Courier New" w:cs="Courier New"/>
          <w:color w:val="930F80"/>
          <w:sz w:val="20"/>
          <w:szCs w:val="20"/>
          <w:lang w:eastAsia="fr-FR"/>
        </w:rPr>
        <w:t xml:space="preserve"> BOYCOTT</w:t>
      </w:r>
    </w:p>
    <w:p w14:paraId="2928BAE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turkish &lt;- turkish %&gt;%</w:t>
      </w:r>
    </w:p>
    <w:p w14:paraId="1A96997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mutate(</w:t>
      </w:r>
    </w:p>
    <w:p w14:paraId="1E894B03"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AB = rowMeans(select(., AB1, AB2, AB3, AB4, AB5), na.rm = TRUE),</w:t>
      </w:r>
    </w:p>
    <w:p w14:paraId="140F661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CMB = rowMeans(select(., CMB1, CMB2, CMB3, CMB4, CMB5), na.rm = TRUE),</w:t>
      </w:r>
    </w:p>
    <w:p w14:paraId="2DCC5C7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TAB = rowMeans(select(., TAP1, TAP2, TAP3, TAP4), na.rm = TRUE),</w:t>
      </w:r>
    </w:p>
    <w:p w14:paraId="14033DF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EBCH = rowMeans(select(., EBCH1, EBCH2, EBCH3, EBCH4, EBCH5), na.rm = TRUE)</w:t>
      </w:r>
    </w:p>
    <w:p w14:paraId="5B6CB0DA"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w:t>
      </w:r>
    </w:p>
    <w:p w14:paraId="73C974A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&gt; # </w:t>
      </w:r>
      <w:r w:rsidRPr="00F93F35">
        <w:rPr>
          <w:rFonts w:ascii="Courier New" w:eastAsia="Times New Roman" w:hAnsi="Courier New" w:cs="Courier New"/>
          <w:color w:val="930F80"/>
          <w:sz w:val="20"/>
          <w:szCs w:val="20"/>
          <w:rtl/>
          <w:lang w:eastAsia="fr-FR"/>
        </w:rPr>
        <w:t>تشكيل محاور متغير</w:t>
      </w:r>
      <w:r w:rsidRPr="00F93F35">
        <w:rPr>
          <w:rFonts w:ascii="Courier New" w:eastAsia="Times New Roman" w:hAnsi="Courier New" w:cs="Courier New"/>
          <w:color w:val="930F80"/>
          <w:sz w:val="20"/>
          <w:szCs w:val="20"/>
          <w:lang w:eastAsia="fr-FR"/>
        </w:rPr>
        <w:t xml:space="preserve"> APA</w:t>
      </w:r>
    </w:p>
    <w:p w14:paraId="128D4C97"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turkish &lt;- turkish %&gt;%</w:t>
      </w:r>
    </w:p>
    <w:p w14:paraId="51C00490"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mutate(</w:t>
      </w:r>
    </w:p>
    <w:p w14:paraId="4E7BDBA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PQP = rowMeans(select(., PQP1, PQP2, PQP3, PQP4, PQP5), na.rm = TRUE),</w:t>
      </w:r>
    </w:p>
    <w:p w14:paraId="00A5AF18"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PC = rowMeans(select(., PC1, PC2, PC3, PC4, PC5), na.rm = TRUE),</w:t>
      </w:r>
    </w:p>
    <w:p w14:paraId="6F3AEC01"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CA = rowMeans(select(., CA1, CA2, CA3, CA4, CA5), na.rm = TRUE),</w:t>
      </w:r>
    </w:p>
    <w:p w14:paraId="427CDCB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AA = rowMeans(select(., AA1, AA2, AA3, AA4, AA5), na.rm = TRUE)</w:t>
      </w:r>
    </w:p>
    <w:p w14:paraId="4B2C7C0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w:t>
      </w:r>
    </w:p>
    <w:p w14:paraId="049FC63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&gt; # </w:t>
      </w:r>
      <w:r w:rsidRPr="00F93F35">
        <w:rPr>
          <w:rFonts w:ascii="Courier New" w:eastAsia="Times New Roman" w:hAnsi="Courier New" w:cs="Courier New"/>
          <w:color w:val="930F80"/>
          <w:sz w:val="20"/>
          <w:szCs w:val="20"/>
          <w:rtl/>
          <w:lang w:eastAsia="fr-FR"/>
        </w:rPr>
        <w:t>تشكيل محاور متغير</w:t>
      </w:r>
      <w:r w:rsidRPr="00F93F35">
        <w:rPr>
          <w:rFonts w:ascii="Courier New" w:eastAsia="Times New Roman" w:hAnsi="Courier New" w:cs="Courier New"/>
          <w:color w:val="930F80"/>
          <w:sz w:val="20"/>
          <w:szCs w:val="20"/>
          <w:lang w:eastAsia="fr-FR"/>
        </w:rPr>
        <w:t xml:space="preserve"> TCB</w:t>
      </w:r>
    </w:p>
    <w:p w14:paraId="00839DA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turkish &lt;- turkish %&gt;%</w:t>
      </w:r>
    </w:p>
    <w:p w14:paraId="54448EB9"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mutate(</w:t>
      </w:r>
    </w:p>
    <w:p w14:paraId="652434B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PBH = rowMeans(select(., PBH1, PBH2, PBH3, PBH4, PBH5), na.rm = TRUE),</w:t>
      </w:r>
    </w:p>
    <w:p w14:paraId="3907FA5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WTNA = rowMeans(select(., WTNA1, WTNA2, WTNA3, WTNA4, WTNA5), na.rm = TRUE),</w:t>
      </w:r>
    </w:p>
    <w:p w14:paraId="021AF675"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KDMF = rowMeans(select(., KDMF1, KDMF2, KDMF3, KDMF4, KDMF5), na.rm = TRUE)</w:t>
      </w:r>
    </w:p>
    <w:p w14:paraId="5F6D91BC"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w:t>
      </w:r>
    </w:p>
    <w:p w14:paraId="097CD21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 xml:space="preserve">&gt; &gt; # </w:t>
      </w:r>
      <w:r w:rsidRPr="00F93F35">
        <w:rPr>
          <w:rFonts w:ascii="Courier New" w:eastAsia="Times New Roman" w:hAnsi="Courier New" w:cs="Courier New"/>
          <w:color w:val="930F80"/>
          <w:sz w:val="20"/>
          <w:szCs w:val="20"/>
          <w:rtl/>
          <w:lang w:eastAsia="fr-FR"/>
        </w:rPr>
        <w:t>تشكيل المتغيرات</w:t>
      </w:r>
    </w:p>
    <w:p w14:paraId="149458FB"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93F35">
        <w:rPr>
          <w:rFonts w:ascii="Courier New" w:eastAsia="Times New Roman" w:hAnsi="Courier New" w:cs="Courier New"/>
          <w:color w:val="930F80"/>
          <w:sz w:val="20"/>
          <w:szCs w:val="20"/>
          <w:lang w:eastAsia="fr-FR"/>
        </w:rPr>
        <w:t>&gt; turkish &lt;- turkish %&gt;%</w:t>
      </w:r>
    </w:p>
    <w:p w14:paraId="1A26577F" w14:textId="77777777" w:rsidR="00520D2C" w:rsidRPr="00EB482A"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EB482A">
        <w:rPr>
          <w:rFonts w:ascii="Courier New" w:eastAsia="Times New Roman" w:hAnsi="Courier New" w:cs="Courier New"/>
          <w:color w:val="930F80"/>
          <w:sz w:val="20"/>
          <w:szCs w:val="20"/>
          <w:lang w:val="en-US" w:eastAsia="fr-FR"/>
        </w:rPr>
        <w:t>+     mutate(</w:t>
      </w:r>
    </w:p>
    <w:p w14:paraId="4BF77376"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BOYCOTT = rowMeans(select(., AB, CMB, TAB, EBCH), na.rm = TRUE),</w:t>
      </w:r>
    </w:p>
    <w:p w14:paraId="6F1544EA"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APA = rowMeans(select(., PQP, PC, CA, AA), na.rm = TRUE),</w:t>
      </w:r>
    </w:p>
    <w:p w14:paraId="1E01B70D"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93F35">
        <w:rPr>
          <w:rFonts w:ascii="Courier New" w:eastAsia="Times New Roman" w:hAnsi="Courier New" w:cs="Courier New"/>
          <w:color w:val="930F80"/>
          <w:sz w:val="20"/>
          <w:szCs w:val="20"/>
          <w:lang w:val="en-US" w:eastAsia="fr-FR"/>
        </w:rPr>
        <w:t>+         TCB = rowMeans(select(., PBH, WTNA, KDMF), na.rm = TRUE)</w:t>
      </w:r>
    </w:p>
    <w:p w14:paraId="42D832E2" w14:textId="77777777" w:rsidR="00520D2C" w:rsidRPr="00F93F35" w:rsidRDefault="00520D2C" w:rsidP="00F93F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lang w:eastAsia="fr-FR"/>
        </w:rPr>
      </w:pPr>
      <w:r w:rsidRPr="00F93F35">
        <w:rPr>
          <w:rFonts w:ascii="Courier New" w:eastAsia="Times New Roman" w:hAnsi="Courier New" w:cs="Courier New"/>
          <w:color w:val="930F80"/>
          <w:sz w:val="20"/>
          <w:szCs w:val="20"/>
          <w:lang w:eastAsia="fr-FR"/>
        </w:rPr>
        <w:t>+     )</w:t>
      </w:r>
    </w:p>
    <w:p w14:paraId="7B24D4AD" w14:textId="77777777" w:rsidR="00520D2C" w:rsidRDefault="00520D2C" w:rsidP="00F93F35">
      <w:pPr>
        <w:pStyle w:val="HTMLPreformatted"/>
        <w:shd w:val="clear" w:color="auto" w:fill="FFFFFF"/>
        <w:wordWrap w:val="0"/>
        <w:rPr>
          <w:rStyle w:val="gntyacmbe3b"/>
          <w:color w:val="930F80"/>
        </w:rPr>
      </w:pPr>
      <w:r>
        <w:rPr>
          <w:rStyle w:val="gntyacmbe3b"/>
          <w:color w:val="930F80"/>
        </w:rPr>
        <w:t xml:space="preserve"># </w:t>
      </w:r>
      <w:r>
        <w:rPr>
          <w:rStyle w:val="gntyacmbe3b"/>
          <w:color w:val="930F80"/>
          <w:rtl/>
        </w:rPr>
        <w:t>تحويل جميع الأعمدة إلى</w:t>
      </w:r>
      <w:r>
        <w:rPr>
          <w:rStyle w:val="gntyacmbe3b"/>
          <w:color w:val="930F80"/>
        </w:rPr>
        <w:t xml:space="preserve"> numeric </w:t>
      </w:r>
      <w:r>
        <w:rPr>
          <w:rStyle w:val="gntyacmbe3b"/>
          <w:color w:val="930F80"/>
          <w:rtl/>
        </w:rPr>
        <w:t>عبر</w:t>
      </w:r>
      <w:r>
        <w:rPr>
          <w:rStyle w:val="gntyacmbe3b"/>
          <w:color w:val="930F80"/>
        </w:rPr>
        <w:t xml:space="preserve"> unclass</w:t>
      </w:r>
    </w:p>
    <w:p w14:paraId="4EFFE31D" w14:textId="77777777" w:rsidR="00520D2C" w:rsidRPr="00F93F35" w:rsidRDefault="00520D2C" w:rsidP="00F93F35">
      <w:pPr>
        <w:pStyle w:val="HTMLPreformatted"/>
        <w:shd w:val="clear" w:color="auto" w:fill="FFFFFF"/>
        <w:wordWrap w:val="0"/>
        <w:rPr>
          <w:rStyle w:val="gntyacmbe3b"/>
          <w:color w:val="930F80"/>
          <w:lang w:val="en-US"/>
        </w:rPr>
      </w:pPr>
      <w:r w:rsidRPr="00F93F35">
        <w:rPr>
          <w:rStyle w:val="gntyacmbf4b"/>
          <w:color w:val="930F80"/>
          <w:lang w:val="en-US"/>
        </w:rPr>
        <w:t xml:space="preserve">&gt; </w:t>
      </w:r>
      <w:r w:rsidRPr="00F93F35">
        <w:rPr>
          <w:rStyle w:val="gntyacmbe3b"/>
          <w:color w:val="930F80"/>
          <w:lang w:val="en-US"/>
        </w:rPr>
        <w:t>turkish &lt;- turkish %&gt;%</w:t>
      </w:r>
    </w:p>
    <w:p w14:paraId="49B8A986" w14:textId="77777777" w:rsidR="00520D2C" w:rsidRPr="00F93F35" w:rsidRDefault="00520D2C" w:rsidP="00F93F35">
      <w:pPr>
        <w:pStyle w:val="HTMLPreformatted"/>
        <w:shd w:val="clear" w:color="auto" w:fill="FFFFFF"/>
        <w:wordWrap w:val="0"/>
        <w:rPr>
          <w:rStyle w:val="gntyacmbe3b"/>
          <w:color w:val="930F80"/>
          <w:lang w:val="en-US"/>
        </w:rPr>
      </w:pPr>
      <w:r w:rsidRPr="00F93F35">
        <w:rPr>
          <w:rStyle w:val="gntyacmbf4b"/>
          <w:color w:val="930F80"/>
          <w:lang w:val="en-US"/>
        </w:rPr>
        <w:t xml:space="preserve">+ </w:t>
      </w:r>
      <w:r w:rsidRPr="00F93F35">
        <w:rPr>
          <w:rStyle w:val="gntyacmbe3b"/>
          <w:color w:val="930F80"/>
          <w:lang w:val="en-US"/>
        </w:rPr>
        <w:t xml:space="preserve">    mutate(across(everything(), ~ as.numeric(unclass(.))))</w:t>
      </w:r>
    </w:p>
    <w:p w14:paraId="4C4C594A" w14:textId="77777777" w:rsidR="00520D2C" w:rsidRDefault="00520D2C" w:rsidP="00F93F35">
      <w:pPr>
        <w:pStyle w:val="HTMLPreformatted"/>
        <w:shd w:val="clear" w:color="auto" w:fill="FFFFFF"/>
        <w:wordWrap w:val="0"/>
        <w:rPr>
          <w:color w:val="000000"/>
        </w:rPr>
      </w:pPr>
      <w:r>
        <w:rPr>
          <w:rStyle w:val="gntyacmbf4b"/>
          <w:color w:val="930F80"/>
        </w:rPr>
        <w:t xml:space="preserve">&gt; </w:t>
      </w:r>
    </w:p>
    <w:tbl>
      <w:tblPr>
        <w:tblW w:w="10450" w:type="dxa"/>
        <w:tblCellSpacing w:w="0" w:type="dxa"/>
        <w:shd w:val="clear" w:color="auto" w:fill="FFFFFF"/>
        <w:tblCellMar>
          <w:left w:w="90" w:type="dxa"/>
          <w:bottom w:w="120" w:type="dxa"/>
          <w:right w:w="0" w:type="dxa"/>
        </w:tblCellMar>
        <w:tblLook w:val="04A0" w:firstRow="1" w:lastRow="0" w:firstColumn="1" w:lastColumn="0" w:noHBand="0" w:noVBand="1"/>
      </w:tblPr>
      <w:tblGrid>
        <w:gridCol w:w="10450"/>
      </w:tblGrid>
      <w:tr w:rsidR="00520D2C" w:rsidRPr="00260039" w14:paraId="0A7F134F" w14:textId="77777777" w:rsidTr="00260039">
        <w:trPr>
          <w:tblCellSpacing w:w="0" w:type="dxa"/>
        </w:trPr>
        <w:tc>
          <w:tcPr>
            <w:tcW w:w="0" w:type="auto"/>
            <w:shd w:val="clear" w:color="auto" w:fill="FFFFFF"/>
            <w:hideMark/>
          </w:tcPr>
          <w:p w14:paraId="280A3D0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 </w:t>
            </w:r>
            <w:r w:rsidRPr="00260039">
              <w:rPr>
                <w:rFonts w:ascii="Courier New" w:eastAsia="Times New Roman" w:hAnsi="Courier New" w:cs="Courier New"/>
                <w:color w:val="930F80"/>
                <w:sz w:val="20"/>
                <w:szCs w:val="20"/>
                <w:rtl/>
                <w:lang w:eastAsia="fr-FR"/>
              </w:rPr>
              <w:t>حساب ألفا لكل محور</w:t>
            </w:r>
          </w:p>
          <w:p w14:paraId="2BD42A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&gt; cat("</w:t>
            </w:r>
            <w:r w:rsidRPr="00260039">
              <w:rPr>
                <w:rFonts w:ascii="Segoe UI Emoji" w:eastAsia="Times New Roman" w:hAnsi="Segoe UI Emoji" w:cs="Segoe UI Emoji"/>
                <w:color w:val="930F80"/>
                <w:sz w:val="20"/>
                <w:szCs w:val="20"/>
                <w:lang w:eastAsia="fr-FR"/>
              </w:rPr>
              <w:t>📌</w:t>
            </w:r>
            <w:r w:rsidRPr="00260039">
              <w:rPr>
                <w:rFonts w:ascii="Courier New" w:eastAsia="Times New Roman" w:hAnsi="Courier New" w:cs="Courier New"/>
                <w:color w:val="930F80"/>
                <w:sz w:val="20"/>
                <w:szCs w:val="20"/>
                <w:lang w:eastAsia="fr-FR"/>
              </w:rPr>
              <w:t xml:space="preserve"> Cronbach's Alpha </w:t>
            </w:r>
            <w:r w:rsidRPr="00260039">
              <w:rPr>
                <w:rFonts w:ascii="Courier New" w:eastAsia="Times New Roman" w:hAnsi="Courier New" w:cs="Courier New"/>
                <w:color w:val="930F80"/>
                <w:sz w:val="20"/>
                <w:szCs w:val="20"/>
                <w:rtl/>
                <w:lang w:eastAsia="fr-FR"/>
              </w:rPr>
              <w:t>لكل محور</w:t>
            </w:r>
            <w:r w:rsidRPr="00260039">
              <w:rPr>
                <w:rFonts w:ascii="Courier New" w:eastAsia="Times New Roman" w:hAnsi="Courier New" w:cs="Courier New"/>
                <w:color w:val="930F80"/>
                <w:sz w:val="20"/>
                <w:szCs w:val="20"/>
                <w:lang w:eastAsia="fr-FR"/>
              </w:rPr>
              <w:t>:\n")</w:t>
            </w:r>
          </w:p>
          <w:p w14:paraId="057DE4D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Segoe UI Emoji" w:eastAsia="Times New Roman" w:hAnsi="Segoe UI Emoji" w:cs="Segoe UI Emoji"/>
                <w:color w:val="000000"/>
                <w:sz w:val="20"/>
                <w:szCs w:val="20"/>
                <w:bdr w:val="none" w:sz="0" w:space="0" w:color="auto" w:frame="1"/>
                <w:lang w:eastAsia="fr-FR"/>
              </w:rPr>
              <w:t>📌</w:t>
            </w:r>
            <w:r w:rsidRPr="00260039">
              <w:rPr>
                <w:rFonts w:ascii="Courier New" w:eastAsia="Times New Roman" w:hAnsi="Courier New" w:cs="Courier New"/>
                <w:color w:val="000000"/>
                <w:sz w:val="20"/>
                <w:szCs w:val="20"/>
                <w:bdr w:val="none" w:sz="0" w:space="0" w:color="auto" w:frame="1"/>
                <w:lang w:eastAsia="fr-FR"/>
              </w:rPr>
              <w:t xml:space="preserve"> Cronbach's Alpha </w:t>
            </w:r>
            <w:r w:rsidRPr="00260039">
              <w:rPr>
                <w:rFonts w:ascii="Courier New" w:eastAsia="Times New Roman" w:hAnsi="Courier New" w:cs="Courier New"/>
                <w:color w:val="000000"/>
                <w:sz w:val="20"/>
                <w:szCs w:val="20"/>
                <w:bdr w:val="none" w:sz="0" w:space="0" w:color="auto" w:frame="1"/>
                <w:rtl/>
                <w:lang w:eastAsia="fr-FR"/>
              </w:rPr>
              <w:t>لكل محور</w:t>
            </w:r>
            <w:r w:rsidRPr="00260039">
              <w:rPr>
                <w:rFonts w:ascii="Courier New" w:eastAsia="Times New Roman" w:hAnsi="Courier New" w:cs="Courier New"/>
                <w:color w:val="000000"/>
                <w:sz w:val="20"/>
                <w:szCs w:val="20"/>
                <w:bdr w:val="none" w:sz="0" w:space="0" w:color="auto" w:frame="1"/>
                <w:lang w:eastAsia="fr-FR"/>
              </w:rPr>
              <w:t>:</w:t>
            </w:r>
          </w:p>
          <w:p w14:paraId="49BFC8B1"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BD2EAB">
              <w:rPr>
                <w:rFonts w:ascii="Courier New" w:eastAsia="Times New Roman" w:hAnsi="Courier New" w:cs="Courier New"/>
                <w:color w:val="930F80"/>
                <w:sz w:val="20"/>
                <w:szCs w:val="20"/>
                <w:lang w:val="en-US" w:eastAsia="fr-FR"/>
              </w:rPr>
              <w:t>&gt; cat("AB:\n"); print(alpha(turkish[, AB_items]))</w:t>
            </w:r>
          </w:p>
          <w:p w14:paraId="5D8312EE"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BD2EAB">
              <w:rPr>
                <w:rFonts w:ascii="Courier New" w:eastAsia="Times New Roman" w:hAnsi="Courier New" w:cs="Courier New"/>
                <w:color w:val="000000"/>
                <w:sz w:val="20"/>
                <w:szCs w:val="20"/>
                <w:bdr w:val="none" w:sz="0" w:space="0" w:color="auto" w:frame="1"/>
                <w:lang w:val="en-US" w:eastAsia="fr-FR"/>
              </w:rPr>
              <w:t>AB:</w:t>
            </w:r>
          </w:p>
          <w:p w14:paraId="087A0C21"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D301565"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BD2EAB">
              <w:rPr>
                <w:rFonts w:ascii="Courier New" w:eastAsia="Times New Roman" w:hAnsi="Courier New" w:cs="Courier New"/>
                <w:color w:val="000000"/>
                <w:sz w:val="20"/>
                <w:szCs w:val="20"/>
                <w:bdr w:val="none" w:sz="0" w:space="0" w:color="auto" w:frame="1"/>
                <w:lang w:val="en-US" w:eastAsia="fr-FR"/>
              </w:rPr>
              <w:t xml:space="preserve">Reliability analysis   </w:t>
            </w:r>
          </w:p>
          <w:p w14:paraId="48B1A180"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BD2EAB">
              <w:rPr>
                <w:rFonts w:ascii="Courier New" w:eastAsia="Times New Roman" w:hAnsi="Courier New" w:cs="Courier New"/>
                <w:color w:val="000000"/>
                <w:sz w:val="20"/>
                <w:szCs w:val="20"/>
                <w:bdr w:val="none" w:sz="0" w:space="0" w:color="auto" w:frame="1"/>
                <w:lang w:val="en-US" w:eastAsia="fr-FR"/>
              </w:rPr>
              <w:t>Call: alpha(x = turkish[, AB_items])</w:t>
            </w:r>
          </w:p>
          <w:p w14:paraId="618D9539" w14:textId="77777777" w:rsidR="00520D2C" w:rsidRPr="00BD2EAB"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FA290D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BD2EAB">
              <w:rPr>
                <w:rFonts w:ascii="Courier New" w:eastAsia="Times New Roman" w:hAnsi="Courier New" w:cs="Courier New"/>
                <w:color w:val="000000"/>
                <w:sz w:val="20"/>
                <w:szCs w:val="20"/>
                <w:bdr w:val="none" w:sz="0" w:space="0" w:color="auto" w:frame="1"/>
                <w:lang w:val="en-US" w:eastAsia="fr-FR"/>
              </w:rPr>
              <w:t xml:space="preserve">  </w:t>
            </w:r>
            <w:r w:rsidRPr="00260039">
              <w:rPr>
                <w:rFonts w:ascii="Courier New" w:eastAsia="Times New Roman" w:hAnsi="Courier New" w:cs="Courier New"/>
                <w:color w:val="000000"/>
                <w:sz w:val="20"/>
                <w:szCs w:val="20"/>
                <w:bdr w:val="none" w:sz="0" w:space="0" w:color="auto" w:frame="1"/>
                <w:lang w:val="en-US" w:eastAsia="fr-FR"/>
              </w:rPr>
              <w:t>raw_alpha std.alpha G6(smc) average_r S/N   ase mean   sd median_r</w:t>
            </w:r>
          </w:p>
          <w:p w14:paraId="6A9C2A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0.73      0.72    0.73      0.34 2.6 0.028  3.4 0.92     0.34</w:t>
            </w:r>
          </w:p>
          <w:p w14:paraId="0404394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11685F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481DB2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365DDE7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0.67  0.73  0.78</w:t>
            </w:r>
          </w:p>
          <w:p w14:paraId="4A2D2A3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0.68  0.73  0.79</w:t>
            </w:r>
          </w:p>
          <w:p w14:paraId="41BA554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4666CF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086E45D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97975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0.61      0.60    0.59      0.27 1.5    0.044 0.035  0.23</w:t>
            </w:r>
          </w:p>
          <w:p w14:paraId="13917B7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0.69      0.68    0.69      0.35 2.1    0.034 0.058  0.34</w:t>
            </w:r>
          </w:p>
          <w:p w14:paraId="4F3B6E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0.57      0.56    0.53      0.24 1.3    0.047 0.024  0.21</w:t>
            </w:r>
          </w:p>
          <w:p w14:paraId="3608741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0.77      0.77    0.75      0.45 3.3    0.025 0.030  0.43</w:t>
            </w:r>
          </w:p>
          <w:p w14:paraId="7D5B43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0.73      0.72    0.71      0.39 2.6    0.030 0.043  0.35</w:t>
            </w:r>
          </w:p>
          <w:p w14:paraId="313BF3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3E66BC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19C1287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2239B35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AB1 208  0.83  0.81  0.80   0.67  3.7 1.5</w:t>
            </w:r>
          </w:p>
          <w:p w14:paraId="1AA2229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AB2 208  0.68  0.68  0.55   0.47  3.4 1.3</w:t>
            </w:r>
          </w:p>
          <w:p w14:paraId="5914E83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AB3 208  0.87  0.86  0.88   0.76  3.8 1.3</w:t>
            </w:r>
          </w:p>
          <w:p w14:paraId="121D9A7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AB4 208  0.48  0.49  0.27   0.23  3.1 1.2</w:t>
            </w:r>
          </w:p>
          <w:p w14:paraId="14BC87B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AB5 208  0.59  0.60  0.44   0.37  3.1 1.3</w:t>
            </w:r>
          </w:p>
          <w:p w14:paraId="1FAEB32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C1B79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150FC11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186E862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0.14 0.09 0.14 0.19 0.43    0</w:t>
            </w:r>
          </w:p>
          <w:p w14:paraId="631DBCB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0.12 0.14 0.25 0.20 0.28    0</w:t>
            </w:r>
          </w:p>
          <w:p w14:paraId="06DCBE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0.10 0.08 0.16 0.22 0.44    0</w:t>
            </w:r>
          </w:p>
          <w:p w14:paraId="5D8213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0.12 0.16 0.38 0.17 0.17    0</w:t>
            </w:r>
          </w:p>
          <w:p w14:paraId="6227367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0.13 0.16 0.34 0.19 0.17    0</w:t>
            </w:r>
          </w:p>
          <w:p w14:paraId="156129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cat("\nCMB:\n"); print(alpha(turkish[, CMB_items]))</w:t>
            </w:r>
          </w:p>
          <w:p w14:paraId="4B8C9A1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C01878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w:t>
            </w:r>
          </w:p>
          <w:p w14:paraId="11B83D7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41A39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5D234D9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CMB_items])</w:t>
            </w:r>
          </w:p>
          <w:p w14:paraId="2E65102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629374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263B795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0.85      0.85    0.84      0.52 5.5 0.016  3.4 1.1     0.56</w:t>
            </w:r>
          </w:p>
          <w:p w14:paraId="52AAB58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A02DB5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5AA5E75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29A8876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0.81  0.85  0.88</w:t>
            </w:r>
          </w:p>
          <w:p w14:paraId="415FB7B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0.82  0.85  0.88</w:t>
            </w:r>
          </w:p>
          <w:p w14:paraId="1016AE0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11F539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39D72DF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F0B09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0.79      0.78    0.76      0.48 3.6    0.024 0.0287  0.44</w:t>
            </w:r>
          </w:p>
          <w:p w14:paraId="356E3EF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0.78      0.78    0.76      0.46 3.5    0.025 0.0321  0.43</w:t>
            </w:r>
          </w:p>
          <w:p w14:paraId="6171EFA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0.80      0.79    0.78      0.49 3.8    0.023 0.0398  0.47</w:t>
            </w:r>
          </w:p>
          <w:p w14:paraId="6B03D1C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0.89      0.89    0.86      0.66 7.7    0.013 0.0089  0.66</w:t>
            </w:r>
          </w:p>
          <w:p w14:paraId="0C939FA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0.82      0.82    0.81      0.53 4.5    0.020 0.0553  0.53</w:t>
            </w:r>
          </w:p>
          <w:p w14:paraId="166093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2179E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2F33DEB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73F2D2F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CMB1 208  0.86  0.86  0.84   0.76  3.6 1.5</w:t>
            </w:r>
          </w:p>
          <w:p w14:paraId="45941D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CMB2 208  0.88  0.88  0.87   0.79  3.6 1.5</w:t>
            </w:r>
          </w:p>
          <w:p w14:paraId="5E2C6FE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CMB3 208  0.84  0.84  0.80   0.74  3.6 1.4</w:t>
            </w:r>
          </w:p>
          <w:p w14:paraId="69CD5FA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CMB4 208  0.57  0.58  0.40   0.37  2.7 1.3</w:t>
            </w:r>
          </w:p>
          <w:p w14:paraId="06DC9EF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CMB5 208  0.78  0.78  0.69   0.64  3.6 1.4</w:t>
            </w:r>
          </w:p>
          <w:p w14:paraId="58CAE3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A840F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3758B2C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60CFA97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0.15 0.07 0.23 0.13 0.42    0</w:t>
            </w:r>
          </w:p>
          <w:p w14:paraId="19A4983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0.15 0.09 0.20 0.16 0.40    0</w:t>
            </w:r>
          </w:p>
          <w:p w14:paraId="5A703DF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0.14 0.10 0.17 0.22 0.37    0</w:t>
            </w:r>
          </w:p>
          <w:p w14:paraId="1F06DBB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0.25 0.22 0.23 0.18 0.12    0</w:t>
            </w:r>
          </w:p>
          <w:p w14:paraId="6528D0C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0.13 0.07 0.22 0.19 0.38    0</w:t>
            </w:r>
          </w:p>
          <w:p w14:paraId="69DE4A7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cat("\nTAB:\n"); print(alpha(turkish[, TAB_items]))</w:t>
            </w:r>
          </w:p>
          <w:p w14:paraId="0FDABD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59DDEA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TAB:</w:t>
            </w:r>
          </w:p>
          <w:p w14:paraId="2474CEF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035C3E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19AA839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TAB_items])</w:t>
            </w:r>
          </w:p>
          <w:p w14:paraId="3D87E51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16B9E8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38ACB9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0.87      0.87    0.84      0.63 6.9 0.014  3.2 1.1     0.63</w:t>
            </w:r>
          </w:p>
          <w:p w14:paraId="554970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D5DA2F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0C4155D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4187D6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0.84  0.87   0.9</w:t>
            </w:r>
          </w:p>
          <w:p w14:paraId="1339F6F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0.84  0.87   0.9</w:t>
            </w:r>
          </w:p>
          <w:p w14:paraId="31C3C2F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E1A31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0DFA288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50F20EF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0.83      0.83    0.77      0.62 5.0    0.020 0.00022  0.63</w:t>
            </w:r>
          </w:p>
          <w:p w14:paraId="713636C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0.83      0.84    0.77      0.63 5.1    0.020 0.00084  0.62</w:t>
            </w:r>
          </w:p>
          <w:p w14:paraId="47E18B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0.83      0.84    0.77      0.63 5.1    0.020 0.00009  0.63</w:t>
            </w:r>
          </w:p>
          <w:p w14:paraId="32BD00D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0.84      0.84    0.78      0.64 5.4    0.019 0.00028  0.64</w:t>
            </w:r>
          </w:p>
          <w:p w14:paraId="17D5983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83C34B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38C0258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3E6D8BD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TAP1 208  0.87  0.86  0.79   0.74  3.4 1.5</w:t>
            </w:r>
          </w:p>
          <w:p w14:paraId="0B9A3CA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TAP2 208  0.84  0.85  0.78   0.73  3.1 1.2</w:t>
            </w:r>
          </w:p>
          <w:p w14:paraId="371597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TAP3 208  0.85  0.85  0.78   0.73  3.2 1.3</w:t>
            </w:r>
          </w:p>
          <w:p w14:paraId="5251ADE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TAP4 208  0.84  0.84  0.76   0.71  3.2 1.2</w:t>
            </w:r>
          </w:p>
          <w:p w14:paraId="2288AC3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043902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6AFDD7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273962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0.18 0.11 0.23 0.15 0.34    0</w:t>
            </w:r>
          </w:p>
          <w:p w14:paraId="5F78B4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0.13 0.14 0.38 0.22 0.13    0</w:t>
            </w:r>
          </w:p>
          <w:p w14:paraId="34B98BD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0.14 0.12 0.32 0.23 0.18    0</w:t>
            </w:r>
          </w:p>
          <w:p w14:paraId="4D35F2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0.12 0.14 0.38 0.17 0.19    0</w:t>
            </w:r>
          </w:p>
          <w:p w14:paraId="299577C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cat("\nEBCH:\n"); print(alpha(turkish[, EBCH_items]))</w:t>
            </w:r>
          </w:p>
          <w:p w14:paraId="66201CA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8F8F27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w:t>
            </w:r>
          </w:p>
          <w:p w14:paraId="017A7C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2F3CB7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6DD168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EBCH_items])</w:t>
            </w:r>
          </w:p>
          <w:p w14:paraId="159B2FA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D7F35C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143F5B5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0.89      0.89    0.88      0.63 8.5 0.012  3.5 1.2     0.64</w:t>
            </w:r>
          </w:p>
          <w:p w14:paraId="5DA064E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D4D0B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3FBE1B5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7B2ABDB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0.87  0.89  0.91</w:t>
            </w:r>
          </w:p>
          <w:p w14:paraId="31BD777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0.87  0.89  0.92</w:t>
            </w:r>
          </w:p>
          <w:p w14:paraId="4C9CE37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9CF919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6B1138A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EB64C1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0.88      0.88    0.85      0.65 7.4    0.014 0.0043  0.67</w:t>
            </w:r>
          </w:p>
          <w:p w14:paraId="02929C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0.87      0.88    0.85      0.64 7.1    0.014 0.0033  0.64</w:t>
            </w:r>
          </w:p>
          <w:p w14:paraId="4D9ADF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0.86      0.86    0.83      0.60 6.1    0.016 0.0041  0.61</w:t>
            </w:r>
          </w:p>
          <w:p w14:paraId="498C766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0.88      0.88    0.85      0.65 7.5    0.014 0.0020  0.65</w:t>
            </w:r>
          </w:p>
          <w:p w14:paraId="2CA794A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0.86      0.86    0.83      0.60 6.1    0.016 0.0039  0.60</w:t>
            </w:r>
          </w:p>
          <w:p w14:paraId="33FEA3D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AE0021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0EBBF7E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5C23305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EBCH1 208  0.82  0.81  0.74   0.70  3.5 1.5</w:t>
            </w:r>
          </w:p>
          <w:p w14:paraId="4D01588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EBCH2 208  0.83  0.82  0.76   0.72  3.4 1.4</w:t>
            </w:r>
          </w:p>
          <w:p w14:paraId="47AD5F3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EBCH3 208  0.87  0.88  0.84   0.80  3.5 1.4</w:t>
            </w:r>
          </w:p>
          <w:p w14:paraId="6129F7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EBCH4 208  0.80  0.80  0.74   0.69  3.5 1.4</w:t>
            </w:r>
          </w:p>
          <w:p w14:paraId="220AB5C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EBCH5 208  0.87  0.88  0.84   0.80  3.5 1.3</w:t>
            </w:r>
          </w:p>
          <w:p w14:paraId="0FEBD60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57DA7D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209E091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69D0044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0.18 0.04 0.21 0.20 0.37    0</w:t>
            </w:r>
          </w:p>
          <w:p w14:paraId="6C41363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0.17 0.11 0.22 0.21 0.30    0</w:t>
            </w:r>
          </w:p>
          <w:p w14:paraId="1CC8CF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0.12 0.09 0.29 0.15 0.35    0</w:t>
            </w:r>
          </w:p>
          <w:p w14:paraId="5EC159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0.13 0.11 0.25 0.16 0.36    0</w:t>
            </w:r>
          </w:p>
          <w:p w14:paraId="3A840D2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0.12 0.12 0.20 0.27 0.30    0</w:t>
            </w:r>
          </w:p>
          <w:p w14:paraId="76F9F2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6DD8139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cat("\nPQP:\n"); print(alpha(turkish[, PQP_items]))</w:t>
            </w:r>
          </w:p>
          <w:p w14:paraId="1573E5E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A48110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w:t>
            </w:r>
          </w:p>
          <w:p w14:paraId="59C3382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14D0F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744531A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PQP_items])</w:t>
            </w:r>
          </w:p>
          <w:p w14:paraId="1D8E34B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389767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7B91DA1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0.88      0.88    0.88       0.6 7.7 0.013  3.1 0.98     0.59</w:t>
            </w:r>
          </w:p>
          <w:p w14:paraId="2567925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1652D0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717D4C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6EE0EE2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0.86  0.88  0.91</w:t>
            </w:r>
          </w:p>
          <w:p w14:paraId="461D663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0.86  0.88  0.91</w:t>
            </w:r>
          </w:p>
          <w:p w14:paraId="70E67B2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50EA1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2D5905D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4B415A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0.88      0.88    0.86      0.65 7.3    0.014 0.0045  0.65</w:t>
            </w:r>
          </w:p>
          <w:p w14:paraId="25453A9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0.85      0.86    0.83      0.60 5.9    0.017 0.0068  0.59</w:t>
            </w:r>
          </w:p>
          <w:p w14:paraId="6BE4D38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0.85      0.85    0.83      0.58 5.6    0.018 0.0071  0.57</w:t>
            </w:r>
          </w:p>
          <w:p w14:paraId="449479E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0.85      0.86    0.83      0.60 5.9    0.017 0.0046  0.58</w:t>
            </w:r>
          </w:p>
          <w:p w14:paraId="0F1556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0.86      0.86    0.83      0.60 6.0    0.017 0.0088  0.61</w:t>
            </w:r>
          </w:p>
          <w:p w14:paraId="40B2C5E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55F631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576A702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295E7F5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PQP1 208  0.78  0.77  0.68   0.64  3.0 1.3</w:t>
            </w:r>
          </w:p>
          <w:p w14:paraId="2947CB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PQP2 208  0.84  0.84  0.79   0.74  3.0 1.2</w:t>
            </w:r>
          </w:p>
          <w:p w14:paraId="42671A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PQP3 208  0.85  0.86  0.82   0.77  3.1 1.1</w:t>
            </w:r>
          </w:p>
          <w:p w14:paraId="0860B9C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PQP4 208  0.83  0.84  0.80   0.74  3.2 1.1</w:t>
            </w:r>
          </w:p>
          <w:p w14:paraId="01C3BD7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PQP5 208  0.83  0.83  0.78   0.73  3.3 1.2</w:t>
            </w:r>
          </w:p>
          <w:p w14:paraId="4D4864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D47869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6C0427B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7675CE2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0.20 0.06 0.38 0.23 0.13    0</w:t>
            </w:r>
          </w:p>
          <w:p w14:paraId="2073CE6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0.16 0.13 0.39 0.22 0.10    0</w:t>
            </w:r>
          </w:p>
          <w:p w14:paraId="15C1D32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0.12 0.14 0.38 0.25 0.11    0</w:t>
            </w:r>
          </w:p>
          <w:p w14:paraId="47CD7C0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0.13 0.10 0.33 0.37 0.08    0</w:t>
            </w:r>
          </w:p>
          <w:p w14:paraId="311C90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0.12 0.12 0.29 0.29 0.17    0</w:t>
            </w:r>
          </w:p>
          <w:p w14:paraId="2FEB19E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cat("\nPC:\n"); print(alpha(turkish[, PC_items]))</w:t>
            </w:r>
          </w:p>
          <w:p w14:paraId="694CA2A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C09D42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w:t>
            </w:r>
          </w:p>
          <w:p w14:paraId="601D18C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74BD1F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12C21A5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PC_items])</w:t>
            </w:r>
          </w:p>
          <w:p w14:paraId="3B7944E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65484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6372638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0.85      0.86    0.85      0.54 5.9 0.016  3.2  1     0.54</w:t>
            </w:r>
          </w:p>
          <w:p w14:paraId="3661BA0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E2A023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0CA4053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0B691E3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0.82  0.85  0.88</w:t>
            </w:r>
          </w:p>
          <w:p w14:paraId="5ABA15C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0.82  0.85  0.89</w:t>
            </w:r>
          </w:p>
          <w:p w14:paraId="2FE14F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1BF384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4FDEB63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2E020F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0.81      0.81    0.78      0.52 4.4    0.021 0.0047  0.54</w:t>
            </w:r>
          </w:p>
          <w:p w14:paraId="202192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0.81      0.81    0.77      0.52 4.3    0.022 0.0046  0.53</w:t>
            </w:r>
          </w:p>
          <w:p w14:paraId="430CB2C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0.85      0.85    0.83      0.59 5.7    0.017 0.0096  0.58</w:t>
            </w:r>
          </w:p>
          <w:p w14:paraId="5934665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0.82      0.82    0.81      0.54 4.6    0.021 0.0148  0.50</w:t>
            </w:r>
          </w:p>
          <w:p w14:paraId="4A47322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0.83      0.83    0.81      0.55 4.9    0.020 0.0170  0.52</w:t>
            </w:r>
          </w:p>
          <w:p w14:paraId="285D045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37CAAE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30B5B20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457B29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PC1 208  0.83  0.83  0.79   0.71  2.9 1.3</w:t>
            </w:r>
          </w:p>
          <w:p w14:paraId="20F702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PC2 208  0.83  0.83  0.80   0.73  3.1 1.2</w:t>
            </w:r>
          </w:p>
          <w:p w14:paraId="3F2FC1D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PC3 208  0.73  0.73  0.62   0.57  3.3 1.3</w:t>
            </w:r>
          </w:p>
          <w:p w14:paraId="262BC75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PC4 208  0.81  0.81  0.74   0.69  3.1 1.2</w:t>
            </w:r>
          </w:p>
          <w:p w14:paraId="788A5E7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PC5 208  0.79  0.79  0.71   0.66  3.3 1.3</w:t>
            </w:r>
          </w:p>
          <w:p w14:paraId="6F56041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1E7EE0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49A440C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3D5563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0.22 0.12 0.30 0.22 0.14    0</w:t>
            </w:r>
          </w:p>
          <w:p w14:paraId="0FC732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0.12 0.12 0.39 0.23 0.14    0</w:t>
            </w:r>
          </w:p>
          <w:p w14:paraId="67EB838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0.14 0.09 0.30 0.24 0.22    0</w:t>
            </w:r>
          </w:p>
          <w:p w14:paraId="5122656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0.13 0.13 0.38 0.18 0.17    0</w:t>
            </w:r>
          </w:p>
          <w:p w14:paraId="2F990E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0.13 0.09 0.32 0.23 0.23    0</w:t>
            </w:r>
          </w:p>
          <w:p w14:paraId="1DD0849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cat("\nCA:\n"); print(alpha(turkish[, CA_items]))</w:t>
            </w:r>
          </w:p>
          <w:p w14:paraId="637BDD1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1DC95D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w:t>
            </w:r>
          </w:p>
          <w:p w14:paraId="266D29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4E0EFC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045A82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CA_items])</w:t>
            </w:r>
          </w:p>
          <w:p w14:paraId="1F4F20F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9B11B2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5A6B2BB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0.85      0.85    0.87      0.54 5.8 0.017  3.1 1.1      0.5</w:t>
            </w:r>
          </w:p>
          <w:p w14:paraId="5C79CE9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7F699D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5A79C9E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0D430D6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0.82  0.85  0.88</w:t>
            </w:r>
          </w:p>
          <w:p w14:paraId="606670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0.82  0.85  0.88</w:t>
            </w:r>
          </w:p>
          <w:p w14:paraId="54F011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8E2AE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4B3D10C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0B88DA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0.86      0.86    0.87      0.61 6.2    0.016 0.022  0.61</w:t>
            </w:r>
          </w:p>
          <w:p w14:paraId="431E71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0.82      0.83    0.83      0.54 4.7    0.020 0.034  0.55</w:t>
            </w:r>
          </w:p>
          <w:p w14:paraId="01FB839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0.79      0.79    0.80      0.49 3.8    0.024 0.033  0.46</w:t>
            </w:r>
          </w:p>
          <w:p w14:paraId="28F40E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0.79      0.80    0.79      0.50 4.0    0.024 0.023  0.50</w:t>
            </w:r>
          </w:p>
          <w:p w14:paraId="35D6512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0.82      0.83    0.80      0.54 4.7    0.021 0.011  0.50</w:t>
            </w:r>
          </w:p>
          <w:p w14:paraId="79F455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D83034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162080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77DB39F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CA1 208  0.68  0.68  0.56   0.50  3.2 1.4</w:t>
            </w:r>
          </w:p>
          <w:p w14:paraId="304CB5B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CA2 208  0.77  0.78  0.72   0.64  3.0 1.3</w:t>
            </w:r>
          </w:p>
          <w:p w14:paraId="09E5063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CA3 208  0.86  0.87  0.83   0.77  3.1 1.2</w:t>
            </w:r>
          </w:p>
          <w:p w14:paraId="322CAE7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CA4 208  0.86  0.85  0.83   0.75  3.1 1.4</w:t>
            </w:r>
          </w:p>
          <w:p w14:paraId="772F064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CA5 208  0.79  0.78  0.76   0.66  3.1 1.4</w:t>
            </w:r>
          </w:p>
          <w:p w14:paraId="621142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B1E541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658DD35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0CF2C08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0.19 0.07 0.30 0.24 0.21    0</w:t>
            </w:r>
          </w:p>
          <w:p w14:paraId="57CFB1E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0.16 0.17 0.36 0.16 0.15    0</w:t>
            </w:r>
          </w:p>
          <w:p w14:paraId="55EA09F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0.16 0.07 0.40 0.23 0.13    0</w:t>
            </w:r>
          </w:p>
          <w:p w14:paraId="0E8C66E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0.22 0.09 0.30 0.17 0.22    0</w:t>
            </w:r>
          </w:p>
          <w:p w14:paraId="3B5370A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0.20 0.12 0.25 0.23 0.21    0</w:t>
            </w:r>
          </w:p>
          <w:p w14:paraId="0B16536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cat("\nAA:\n"); print(alpha(turkish[, AA_items]))</w:t>
            </w:r>
          </w:p>
          <w:p w14:paraId="728A2C8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9DADA8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w:t>
            </w:r>
          </w:p>
          <w:p w14:paraId="1BFF7DB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385855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2458D0C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AA_items])</w:t>
            </w:r>
          </w:p>
          <w:p w14:paraId="7E4EB71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CD2C1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2C61A43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0.86      0.86    0.86      0.55 6.2 0.016  3.1  1     0.66</w:t>
            </w:r>
          </w:p>
          <w:p w14:paraId="38E5F4E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8F00AD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5BDDCA2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66A11C6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0.83  0.86  0.89</w:t>
            </w:r>
          </w:p>
          <w:p w14:paraId="4DCB53E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0.83  0.86  0.89</w:t>
            </w:r>
          </w:p>
          <w:p w14:paraId="0C5F103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5FD465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5080ABA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7346386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0.80      0.81    0.80      0.51 4.2    0.023 0.04546  0.53</w:t>
            </w:r>
          </w:p>
          <w:p w14:paraId="67EDADB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0.81      0.81    0.81      0.52 4.4    0.022 0.04633  0.55</w:t>
            </w:r>
          </w:p>
          <w:p w14:paraId="242F170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0.90      0.90    0.88      0.70 9.2    0.011 0.00081  0.71</w:t>
            </w:r>
          </w:p>
          <w:p w14:paraId="3D9372E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0.80      0.81    0.80      0.51 4.1    0.023 0.04705  0.53</w:t>
            </w:r>
          </w:p>
          <w:p w14:paraId="5CAC28C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0.82      0.82    0.79      0.53 4.5    0.021 0.02786  0.53</w:t>
            </w:r>
          </w:p>
          <w:p w14:paraId="53A5A68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4F3288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4F67349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455A35E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AA1 208  0.87  0.87  0.83   0.77  3.0 1.3</w:t>
            </w:r>
          </w:p>
          <w:p w14:paraId="30D230E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AA2 208  0.85  0.85  0.81   0.75  3.1 1.3</w:t>
            </w:r>
          </w:p>
          <w:p w14:paraId="0AAB469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AA3 208  0.60  0.59  0.43   0.39  3.4 1.3</w:t>
            </w:r>
          </w:p>
          <w:p w14:paraId="67C0EB6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AA4 208  0.86  0.87  0.84   0.78  3.2 1.2</w:t>
            </w:r>
          </w:p>
          <w:p w14:paraId="6F1467C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AA5 208  0.83  0.84  0.82   0.73  3.0 1.2</w:t>
            </w:r>
          </w:p>
          <w:p w14:paraId="7CDDF3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9C3A36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115F9AF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1BC9416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0.20 0.11 0.31 0.24 0.15    0</w:t>
            </w:r>
          </w:p>
          <w:p w14:paraId="12DE414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0.16 0.17 0.27 0.24 0.17    0</w:t>
            </w:r>
          </w:p>
          <w:p w14:paraId="737AA06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0.14 0.09 0.29 0.22 0.26    0</w:t>
            </w:r>
          </w:p>
          <w:p w14:paraId="42693D7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0.13 0.10 0.38 0.25 0.15    0</w:t>
            </w:r>
          </w:p>
          <w:p w14:paraId="5A676C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0.14 0.17 0.31 0.24 0.13    0</w:t>
            </w:r>
          </w:p>
          <w:p w14:paraId="4CB935E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785682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cat("\nPBH:\n"); print(alpha(turkish[, PBH_items]))</w:t>
            </w:r>
          </w:p>
          <w:p w14:paraId="29C6A0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412DD8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w:t>
            </w:r>
          </w:p>
          <w:p w14:paraId="22C8E80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079E43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2F34774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PBH_items])</w:t>
            </w:r>
          </w:p>
          <w:p w14:paraId="0AD1D21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E748AC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47FCBB6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0.7      0.71    0.72      0.33 2.5 0.034  3.4 0.87      0.4</w:t>
            </w:r>
          </w:p>
          <w:p w14:paraId="45AE205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41C16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04A77F9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28D5F43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0.63   0.7  0.76</w:t>
            </w:r>
          </w:p>
          <w:p w14:paraId="33066BD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0.63   0.7  0.76</w:t>
            </w:r>
          </w:p>
          <w:p w14:paraId="186522F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AFAB56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7F0EAE5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71437C7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0.61      0.64    0.64      0.31 1.8    0.045 0.063  0.31</w:t>
            </w:r>
          </w:p>
          <w:p w14:paraId="450C11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0.57      0.59    0.59      0.27 1.5    0.049 0.042  0.27</w:t>
            </w:r>
          </w:p>
          <w:p w14:paraId="7AFC64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0.69      0.70    0.68      0.37 2.4    0.035 0.032  0.40</w:t>
            </w:r>
          </w:p>
          <w:p w14:paraId="3FB340A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0.59      0.59    0.59      0.27 1.5    0.047 0.042  0.27</w:t>
            </w:r>
          </w:p>
          <w:p w14:paraId="5AC3DAA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0.75      0.76    0.73      0.44 3.2    0.028 0.020  0.47</w:t>
            </w:r>
          </w:p>
          <w:p w14:paraId="26A8E5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8768AD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36B9712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033712E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PBH1 208  0.74  0.72  0.63   0.53  3.2 1.3</w:t>
            </w:r>
          </w:p>
          <w:p w14:paraId="72DDF0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PBH2 208  0.79  0.80  0.75   0.62  3.6 1.3</w:t>
            </w:r>
          </w:p>
          <w:p w14:paraId="476244F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PBH3 208  0.60  0.61  0.48   0.35  3.7 1.3</w:t>
            </w:r>
          </w:p>
          <w:p w14:paraId="1FFD80B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PBH4 208  0.77  0.79  0.75   0.63  3.7 1.1</w:t>
            </w:r>
          </w:p>
          <w:p w14:paraId="5B40C2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PBH5 208  0.51  0.48  0.28   0.22  2.8 1.4</w:t>
            </w:r>
          </w:p>
          <w:p w14:paraId="5E81F58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AB42AA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2CD646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33642E8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0.16 0.12 0.28 0.23 0.21    0</w:t>
            </w:r>
          </w:p>
          <w:p w14:paraId="2559CC8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0.10 0.10 0.23 0.25 0.33    0</w:t>
            </w:r>
          </w:p>
          <w:p w14:paraId="01084EE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0.08 0.12 0.22 0.21 0.37    0</w:t>
            </w:r>
          </w:p>
          <w:p w14:paraId="36C8CBE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0.05 0.07 0.29 0.31 0.27    0</w:t>
            </w:r>
          </w:p>
          <w:p w14:paraId="5043A67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0.26 0.14 0.24 0.20 0.16    0</w:t>
            </w:r>
          </w:p>
          <w:p w14:paraId="4E566CC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cat("\nWTNA:\n"); print(alpha(turkish[, WTNA_items]))</w:t>
            </w:r>
          </w:p>
          <w:p w14:paraId="64984C6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1B744F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w:t>
            </w:r>
          </w:p>
          <w:p w14:paraId="2EDE5B4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360839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48A4242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WTNA_items])</w:t>
            </w:r>
          </w:p>
          <w:p w14:paraId="5C0C85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762A23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4DF6814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0.8       0.8     0.8      0.45 4.1 0.022  3.6 0.93     0.38</w:t>
            </w:r>
          </w:p>
          <w:p w14:paraId="04CB7F4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DDF916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54D8F9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22D548C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0.76   0.8  0.84</w:t>
            </w:r>
          </w:p>
          <w:p w14:paraId="6B558A4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0.76   0.8  0.84</w:t>
            </w:r>
          </w:p>
          <w:p w14:paraId="4BA5AD8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DFF5D6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38AE085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782AAA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0.73      0.73    0.73      0.40 2.7    0.031 0.034  0.34</w:t>
            </w:r>
          </w:p>
          <w:p w14:paraId="3AD89E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0.73      0.73    0.69      0.40 2.7    0.031 0.014  0.38</w:t>
            </w:r>
          </w:p>
          <w:p w14:paraId="234E474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0.73      0.73    0.69      0.40 2.6    0.031 0.017  0.37</w:t>
            </w:r>
          </w:p>
          <w:p w14:paraId="0D110C0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0.81      0.82    0.80      0.52 4.4    0.022 0.032  0.53</w:t>
            </w:r>
          </w:p>
          <w:p w14:paraId="6206C92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0.81      0.81    0.80      0.52 4.3    0.022 0.035  0.50</w:t>
            </w:r>
          </w:p>
          <w:p w14:paraId="395F8C8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19EC2B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62A12F7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5CA5BB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WTNA1 208  0.83  0.82  0.77   0.70  3.9 1.3</w:t>
            </w:r>
          </w:p>
          <w:p w14:paraId="5D1D831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WTNA2 208  0.82  0.82  0.81   0.70  3.7 1.2</w:t>
            </w:r>
          </w:p>
          <w:p w14:paraId="503BA9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WTNA3 208  0.82  0.83  0.82   0.71  3.7 1.2</w:t>
            </w:r>
          </w:p>
          <w:p w14:paraId="1BF1EFD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WTNA4 208  0.62  0.63  0.46   0.42  3.4 1.2</w:t>
            </w:r>
          </w:p>
          <w:p w14:paraId="2B8BCF2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WTNA5 208  0.65  0.64  0.48   0.44  3.3 1.3</w:t>
            </w:r>
          </w:p>
          <w:p w14:paraId="2D97955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B47FF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04121E2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461C71C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0.11 0.04 0.20 0.22 0.44    0</w:t>
            </w:r>
          </w:p>
          <w:p w14:paraId="4C449E9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0.06 0.12 0.21 0.28 0.33    0</w:t>
            </w:r>
          </w:p>
          <w:p w14:paraId="7F8466B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0.05 0.11 0.29 0.22 0.34    0</w:t>
            </w:r>
          </w:p>
          <w:p w14:paraId="156530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0.08 0.14 0.32 0.24 0.22    0</w:t>
            </w:r>
          </w:p>
          <w:p w14:paraId="6610FC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0.12 0.16 0.26 0.24 0.22    0</w:t>
            </w:r>
          </w:p>
          <w:p w14:paraId="34BE64B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cat("\nKDMF:\n"); print(alpha(turkish[, KDMF_items]))</w:t>
            </w:r>
          </w:p>
          <w:p w14:paraId="072A95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7A5D68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w:t>
            </w:r>
          </w:p>
          <w:p w14:paraId="00234CE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54A61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717865D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KDMF_items])</w:t>
            </w:r>
          </w:p>
          <w:p w14:paraId="32E6CDD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B74169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0F94468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0.75      0.75    0.72      0.38   3 0.027  3.5 0.85     0.38</w:t>
            </w:r>
          </w:p>
          <w:p w14:paraId="466253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519FC4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10F044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6C7078A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0.69  0.75   0.8</w:t>
            </w:r>
          </w:p>
          <w:p w14:paraId="31D159C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0.70  0.75   0.8</w:t>
            </w:r>
          </w:p>
          <w:p w14:paraId="476E59F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F7F6DA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069E1CE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7AC761D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0.73      0.73    0.68      0.40 2.7    0.031 0.0077  0.41</w:t>
            </w:r>
          </w:p>
          <w:p w14:paraId="4E008CF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0.72      0.72    0.67      0.40 2.6    0.031 0.0060  0.39</w:t>
            </w:r>
          </w:p>
          <w:p w14:paraId="062C5A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0.69      0.69    0.65      0.36 2.2    0.036 0.0086  0.35</w:t>
            </w:r>
          </w:p>
          <w:p w14:paraId="6E9B0BB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0.70      0.70    0.64      0.37 2.3    0.034 0.0025  0.38</w:t>
            </w:r>
          </w:p>
          <w:p w14:paraId="4D1C8D2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0.69      0.69    0.63      0.36 2.2    0.035 0.0045  0.36</w:t>
            </w:r>
          </w:p>
          <w:p w14:paraId="5B5FAA6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019AC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7409FDB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3E5653D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KDMF1 208  0.67  0.66  0.52   0.46  3.2 1.2</w:t>
            </w:r>
          </w:p>
          <w:p w14:paraId="10DBD70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KDMF2 208  0.67  0.67  0.54   0.47  3.7 1.2</w:t>
            </w:r>
          </w:p>
          <w:p w14:paraId="5CD59CB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KDMF3 208  0.75  0.74  0.65   0.56  3.4 1.3</w:t>
            </w:r>
          </w:p>
          <w:p w14:paraId="09E9B22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KDMF4 208  0.72  0.72  0.63   0.54  3.2 1.2</w:t>
            </w:r>
          </w:p>
          <w:p w14:paraId="6565742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KDMF5 208  0.73  0.74  0.65   0.56  3.8 1.1</w:t>
            </w:r>
          </w:p>
          <w:p w14:paraId="002646D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778D9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5241FDC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48B1D96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0.12 0.13 0.34 0.25 0.16    0</w:t>
            </w:r>
          </w:p>
          <w:p w14:paraId="69EDB53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0.06 0.11 0.22 0.29 0.32    0</w:t>
            </w:r>
          </w:p>
          <w:p w14:paraId="5F4D90F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0.14 0.09 0.25 0.32 0.20    0</w:t>
            </w:r>
          </w:p>
          <w:p w14:paraId="3DBF1DF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0.12 0.14 0.28 0.34 0.12    0</w:t>
            </w:r>
          </w:p>
          <w:p w14:paraId="67EE269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Courier New" w:eastAsia="Times New Roman" w:hAnsi="Courier New" w:cs="Courier New"/>
                <w:color w:val="000000"/>
                <w:sz w:val="20"/>
                <w:szCs w:val="20"/>
                <w:bdr w:val="none" w:sz="0" w:space="0" w:color="auto" w:frame="1"/>
                <w:lang w:eastAsia="fr-FR"/>
              </w:rPr>
              <w:t>KDMF5 0.06 0.06 0.23 0.32 0.33    0</w:t>
            </w:r>
          </w:p>
          <w:p w14:paraId="364C154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w:t>
            </w:r>
          </w:p>
          <w:p w14:paraId="1FD8054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 </w:t>
            </w:r>
            <w:r w:rsidRPr="00260039">
              <w:rPr>
                <w:rFonts w:ascii="Courier New" w:eastAsia="Times New Roman" w:hAnsi="Courier New" w:cs="Courier New"/>
                <w:color w:val="930F80"/>
                <w:sz w:val="20"/>
                <w:szCs w:val="20"/>
                <w:rtl/>
                <w:lang w:eastAsia="fr-FR"/>
              </w:rPr>
              <w:t>حساب ألفا لكل متغير</w:t>
            </w:r>
          </w:p>
          <w:p w14:paraId="3D4F442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&gt; cat("\n</w:t>
            </w:r>
            <w:r w:rsidRPr="00260039">
              <w:rPr>
                <w:rFonts w:ascii="Segoe UI Emoji" w:eastAsia="Times New Roman" w:hAnsi="Segoe UI Emoji" w:cs="Segoe UI Emoji"/>
                <w:color w:val="930F80"/>
                <w:sz w:val="20"/>
                <w:szCs w:val="20"/>
                <w:lang w:eastAsia="fr-FR"/>
              </w:rPr>
              <w:t>📌</w:t>
            </w:r>
            <w:r w:rsidRPr="00260039">
              <w:rPr>
                <w:rFonts w:ascii="Courier New" w:eastAsia="Times New Roman" w:hAnsi="Courier New" w:cs="Courier New"/>
                <w:color w:val="930F80"/>
                <w:sz w:val="20"/>
                <w:szCs w:val="20"/>
                <w:lang w:eastAsia="fr-FR"/>
              </w:rPr>
              <w:t xml:space="preserve"> Cronbach's Alpha </w:t>
            </w:r>
            <w:r w:rsidRPr="00260039">
              <w:rPr>
                <w:rFonts w:ascii="Courier New" w:eastAsia="Times New Roman" w:hAnsi="Courier New" w:cs="Courier New"/>
                <w:color w:val="930F80"/>
                <w:sz w:val="20"/>
                <w:szCs w:val="20"/>
                <w:rtl/>
                <w:lang w:eastAsia="fr-FR"/>
              </w:rPr>
              <w:t>لكل متغير</w:t>
            </w:r>
            <w:r w:rsidRPr="00260039">
              <w:rPr>
                <w:rFonts w:ascii="Courier New" w:eastAsia="Times New Roman" w:hAnsi="Courier New" w:cs="Courier New"/>
                <w:color w:val="930F80"/>
                <w:sz w:val="20"/>
                <w:szCs w:val="20"/>
                <w:lang w:eastAsia="fr-FR"/>
              </w:rPr>
              <w:t>:\n")</w:t>
            </w:r>
          </w:p>
          <w:p w14:paraId="24F600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0C82FB6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Segoe UI Emoji" w:eastAsia="Times New Roman" w:hAnsi="Segoe UI Emoji" w:cs="Segoe UI Emoji"/>
                <w:color w:val="000000"/>
                <w:sz w:val="20"/>
                <w:szCs w:val="20"/>
                <w:bdr w:val="none" w:sz="0" w:space="0" w:color="auto" w:frame="1"/>
                <w:lang w:eastAsia="fr-FR"/>
              </w:rPr>
              <w:t>📌</w:t>
            </w:r>
            <w:r w:rsidRPr="00260039">
              <w:rPr>
                <w:rFonts w:ascii="Courier New" w:eastAsia="Times New Roman" w:hAnsi="Courier New" w:cs="Courier New"/>
                <w:color w:val="000000"/>
                <w:sz w:val="20"/>
                <w:szCs w:val="20"/>
                <w:bdr w:val="none" w:sz="0" w:space="0" w:color="auto" w:frame="1"/>
                <w:lang w:eastAsia="fr-FR"/>
              </w:rPr>
              <w:t xml:space="preserve"> Cronbach's Alpha </w:t>
            </w:r>
            <w:r w:rsidRPr="00260039">
              <w:rPr>
                <w:rFonts w:ascii="Courier New" w:eastAsia="Times New Roman" w:hAnsi="Courier New" w:cs="Courier New"/>
                <w:color w:val="000000"/>
                <w:sz w:val="20"/>
                <w:szCs w:val="20"/>
                <w:bdr w:val="none" w:sz="0" w:space="0" w:color="auto" w:frame="1"/>
                <w:rtl/>
                <w:lang w:eastAsia="fr-FR"/>
              </w:rPr>
              <w:t>لكل متغير</w:t>
            </w:r>
            <w:r w:rsidRPr="00260039">
              <w:rPr>
                <w:rFonts w:ascii="Courier New" w:eastAsia="Times New Roman" w:hAnsi="Courier New" w:cs="Courier New"/>
                <w:color w:val="000000"/>
                <w:sz w:val="20"/>
                <w:szCs w:val="20"/>
                <w:bdr w:val="none" w:sz="0" w:space="0" w:color="auto" w:frame="1"/>
                <w:lang w:eastAsia="fr-FR"/>
              </w:rPr>
              <w:t>:</w:t>
            </w:r>
          </w:p>
          <w:p w14:paraId="17F2786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cat("BOYCOTT:\n"); print(alpha(turkish[, c(AB_items, CMB_items, TAB_items, EBCH_items)]))</w:t>
            </w:r>
          </w:p>
          <w:p w14:paraId="4C00E7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BOYCOTT:</w:t>
            </w:r>
          </w:p>
          <w:p w14:paraId="59B6221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B46407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11230D7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c(AB_items, CMB_items, TAB_items, EBCH_items)])</w:t>
            </w:r>
          </w:p>
          <w:p w14:paraId="08C83C9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4CA173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57E9A46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0.94      0.94    0.96      0.45  15 0.0058  3.4 0.95     0.44</w:t>
            </w:r>
          </w:p>
          <w:p w14:paraId="39559E5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4A8916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71DDEFE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6A4A786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0.93  0.94  0.95</w:t>
            </w:r>
          </w:p>
          <w:p w14:paraId="45FA7D8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0.93  0.94  0.95</w:t>
            </w:r>
          </w:p>
          <w:p w14:paraId="35AFA4E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E54FB9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0D45B8D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46D1AF4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0.94      0.93    0.95      0.44  14   0.0063 0.026  0.44</w:t>
            </w:r>
          </w:p>
          <w:p w14:paraId="753F25F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0.94      0.94    0.96      0.46  15   0.0059 0.027  0.45</w:t>
            </w:r>
          </w:p>
          <w:p w14:paraId="129F69E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0.94      0.93    0.95      0.44  14   0.0063 0.028  0.44</w:t>
            </w:r>
          </w:p>
          <w:p w14:paraId="08AE137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0.94      0.94    0.96      0.48  16   0.0056 0.020  0.46</w:t>
            </w:r>
          </w:p>
          <w:p w14:paraId="192E7D1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0.94      0.94    0.96      0.46  16   0.0058 0.025  0.46</w:t>
            </w:r>
          </w:p>
          <w:p w14:paraId="2781138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0.93      0.93    0.95      0.43  14   0.0065 0.025  0.44</w:t>
            </w:r>
          </w:p>
          <w:p w14:paraId="1DD5E7E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0.93      0.93    0.95      0.44  14   0.0064 0.026  0.43</w:t>
            </w:r>
          </w:p>
          <w:p w14:paraId="322F1B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0.94      0.93    0.96      0.44  14   0.0063 0.027  0.44</w:t>
            </w:r>
          </w:p>
          <w:p w14:paraId="542EC0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0.94      0.94    0.96      0.46  15   0.0058 0.027  0.46</w:t>
            </w:r>
          </w:p>
          <w:p w14:paraId="2088DC3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0.94      0.93    0.96      0.44  14   0.0063 0.028  0.44</w:t>
            </w:r>
          </w:p>
          <w:p w14:paraId="3D756C3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0.93      0.93    0.95      0.44  14   0.0064 0.026  0.43</w:t>
            </w:r>
          </w:p>
          <w:p w14:paraId="5CC48CC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0.94      0.94    0.96      0.45  15   0.0060 0.028  0.44</w:t>
            </w:r>
          </w:p>
          <w:p w14:paraId="7B5AC87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0.94      0.93    0.96      0.44  14   0.0062 0.028  0.44</w:t>
            </w:r>
          </w:p>
          <w:p w14:paraId="64C8C92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0.94      0.94    0.96      0.45  15   0.0061 0.028  0.44</w:t>
            </w:r>
          </w:p>
          <w:p w14:paraId="05D9D43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0.93      0.93    0.95      0.44  14   0.0065 0.026  0.43</w:t>
            </w:r>
          </w:p>
          <w:p w14:paraId="10AFA6F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0.94      0.93    0.96      0.44  14   0.0062 0.027  0.44</w:t>
            </w:r>
          </w:p>
          <w:p w14:paraId="3DA508C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0.94      0.93    0.95      0.44  14   0.0062 0.027  0.44</w:t>
            </w:r>
          </w:p>
          <w:p w14:paraId="7F4F8DB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0.94      0.94    0.96      0.45  14   0.0061 0.028  0.44</w:t>
            </w:r>
          </w:p>
          <w:p w14:paraId="29FC9F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0.94      0.93    0.95      0.44  14   0.0063 0.027  0.43</w:t>
            </w:r>
          </w:p>
          <w:p w14:paraId="5B75C77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07123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1F6DA8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4CE4F2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208  0.78  0.77  0.77   0.74  3.7 1.5</w:t>
            </w:r>
          </w:p>
          <w:p w14:paraId="062639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208  0.55  0.55  0.52   0.49  3.4 1.3</w:t>
            </w:r>
          </w:p>
          <w:p w14:paraId="03761BF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208  0.76  0.76  0.75   0.73  3.8 1.3</w:t>
            </w:r>
          </w:p>
          <w:p w14:paraId="651B6E8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208  0.31  0.32  0.27   0.25  3.1 1.2</w:t>
            </w:r>
          </w:p>
          <w:p w14:paraId="686C19C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208  0.49  0.49  0.45   0.43  3.1 1.3</w:t>
            </w:r>
          </w:p>
          <w:p w14:paraId="162658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208  0.84  0.83  0.83   0.81  3.6 1.5</w:t>
            </w:r>
          </w:p>
          <w:p w14:paraId="580C428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208  0.81  0.80  0.80   0.78  3.6 1.5</w:t>
            </w:r>
          </w:p>
          <w:p w14:paraId="69625A5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208  0.76  0.76  0.75   0.73  3.6 1.4</w:t>
            </w:r>
          </w:p>
          <w:p w14:paraId="7D3189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208  0.51  0.52  0.48   0.45  2.7 1.3</w:t>
            </w:r>
          </w:p>
          <w:p w14:paraId="707A029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208  0.74  0.74  0.73   0.71  3.6 1.4</w:t>
            </w:r>
          </w:p>
          <w:p w14:paraId="13C3172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208  0.80  0.79  0.79   0.76  3.4 1.5</w:t>
            </w:r>
          </w:p>
          <w:p w14:paraId="3E5B1B9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208  0.63  0.64  0.63   0.59  3.1 1.2</w:t>
            </w:r>
          </w:p>
          <w:p w14:paraId="483E381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208  0.71  0.72  0.70   0.67  3.2 1.3</w:t>
            </w:r>
          </w:p>
          <w:p w14:paraId="15FA81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208  0.67  0.68  0.66   0.63  3.2 1.2</w:t>
            </w:r>
          </w:p>
          <w:p w14:paraId="464F9F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EBCH1 208  0.82  0.82  0.82   0.79  3.5 1.5</w:t>
            </w:r>
          </w:p>
          <w:p w14:paraId="77A01C6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EBCH2 208  0.72  0.71  0.70   0.67  3.4 1.4</w:t>
            </w:r>
          </w:p>
          <w:p w14:paraId="546F634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EBCH3 208  0.73  0.72  0.71   0.69  3.5 1.4</w:t>
            </w:r>
          </w:p>
          <w:p w14:paraId="50417B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EBCH4 208  0.69  0.69  0.67   0.65  3.5 1.4</w:t>
            </w:r>
          </w:p>
          <w:p w14:paraId="7B36765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EBCH5 208  0.78  0.78  0.77   0.75  3.5 1.3</w:t>
            </w:r>
          </w:p>
          <w:p w14:paraId="73666A1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B005AF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17AE2CD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0FFA102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0.14 0.09 0.14 0.19 0.43    0</w:t>
            </w:r>
          </w:p>
          <w:p w14:paraId="074AE49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0.12 0.14 0.25 0.20 0.28    0</w:t>
            </w:r>
          </w:p>
          <w:p w14:paraId="5F312E3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0.10 0.08 0.16 0.22 0.44    0</w:t>
            </w:r>
          </w:p>
          <w:p w14:paraId="7CC6728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0.12 0.16 0.38 0.17 0.17    0</w:t>
            </w:r>
          </w:p>
          <w:p w14:paraId="6425A07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0.13 0.16 0.34 0.19 0.17    0</w:t>
            </w:r>
          </w:p>
          <w:p w14:paraId="128A61E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0.15 0.07 0.23 0.13 0.42    0</w:t>
            </w:r>
          </w:p>
          <w:p w14:paraId="61DBB9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0.15 0.09 0.20 0.16 0.40    0</w:t>
            </w:r>
          </w:p>
          <w:p w14:paraId="457125B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0.14 0.10 0.17 0.22 0.37    0</w:t>
            </w:r>
          </w:p>
          <w:p w14:paraId="20C0646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0.25 0.22 0.23 0.18 0.12    0</w:t>
            </w:r>
          </w:p>
          <w:p w14:paraId="0FD785A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0.13 0.07 0.22 0.19 0.38    0</w:t>
            </w:r>
          </w:p>
          <w:p w14:paraId="5A2E214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0.18 0.11 0.23 0.15 0.34    0</w:t>
            </w:r>
          </w:p>
          <w:p w14:paraId="36C00FB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0.13 0.14 0.38 0.22 0.13    0</w:t>
            </w:r>
          </w:p>
          <w:p w14:paraId="0128A92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0.14 0.12 0.32 0.23 0.18    0</w:t>
            </w:r>
          </w:p>
          <w:p w14:paraId="0FEE927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0.12 0.14 0.38 0.17 0.19    0</w:t>
            </w:r>
          </w:p>
          <w:p w14:paraId="4E76A44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0.18 0.04 0.21 0.20 0.37    0</w:t>
            </w:r>
          </w:p>
          <w:p w14:paraId="3888CEC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0.17 0.11 0.22 0.21 0.30    0</w:t>
            </w:r>
          </w:p>
          <w:p w14:paraId="7370C8F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0.12 0.09 0.29 0.15 0.35    0</w:t>
            </w:r>
          </w:p>
          <w:p w14:paraId="48DB439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0.13 0.11 0.25 0.16 0.36    0</w:t>
            </w:r>
          </w:p>
          <w:p w14:paraId="1EBCBBD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0.12 0.12 0.20 0.27 0.30    0</w:t>
            </w:r>
          </w:p>
          <w:p w14:paraId="497E11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cat("\nAPA:\n"); print(alpha(turkish[, c(PQP_items, PC_items, CA_items, AA_items)]))</w:t>
            </w:r>
          </w:p>
          <w:p w14:paraId="0462D3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E5AE8D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APA:</w:t>
            </w:r>
          </w:p>
          <w:p w14:paraId="60A4774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0807E1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7C72F58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c(PQP_items, PC_items, CA_items, AA_items)])</w:t>
            </w:r>
          </w:p>
          <w:p w14:paraId="6142117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EA4B86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50432DC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0.94      0.94    0.97      0.45  16 0.006  3.1 0.87     0.44</w:t>
            </w:r>
          </w:p>
          <w:p w14:paraId="3C3FBD0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44477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01A6C3C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75B0824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0.93  0.94  0.95</w:t>
            </w:r>
          </w:p>
          <w:p w14:paraId="0F82BC5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0.93  0.94  0.95</w:t>
            </w:r>
          </w:p>
          <w:p w14:paraId="2580B6E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5F6104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5BDAD1B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74ABA7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0.94      0.94    0.97      0.45  16   0.0063 0.018  0.44</w:t>
            </w:r>
          </w:p>
          <w:p w14:paraId="7842F3E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0.94      0.94    0.97      0.45  16   0.0063 0.017  0.44</w:t>
            </w:r>
          </w:p>
          <w:p w14:paraId="3B94207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0.94      0.94    0.97      0.45  15   0.0063 0.017  0.44</w:t>
            </w:r>
          </w:p>
          <w:p w14:paraId="3CAE41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0.94      0.94    0.97      0.44  15   0.0064 0.017  0.44</w:t>
            </w:r>
          </w:p>
          <w:p w14:paraId="0416CE7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0.94      0.94    0.97      0.45  15   0.0064 0.017  0.44</w:t>
            </w:r>
          </w:p>
          <w:p w14:paraId="79FC77A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0.94      0.94    0.97      0.44  15   0.0065 0.018  0.44</w:t>
            </w:r>
          </w:p>
          <w:p w14:paraId="6588727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0.94      0.94    0.97      0.44  15   0.0065 0.018  0.44</w:t>
            </w:r>
          </w:p>
          <w:p w14:paraId="3E9BABF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0.94      0.94    0.97      0.46  16   0.0061 0.017  0.45</w:t>
            </w:r>
          </w:p>
          <w:p w14:paraId="7521558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0.94      0.94    0.97      0.45  15   0.0064 0.018  0.44</w:t>
            </w:r>
          </w:p>
          <w:p w14:paraId="1ADA453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0.94      0.94    0.97      0.45  15   0.0064 0.018  0.44</w:t>
            </w:r>
          </w:p>
          <w:p w14:paraId="429DA1C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0.94      0.94    0.97      0.45  15   0.0064 0.017  0.44</w:t>
            </w:r>
          </w:p>
          <w:p w14:paraId="3454FB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0.94      0.94    0.97      0.45  16   0.0063 0.018  0.45</w:t>
            </w:r>
          </w:p>
          <w:p w14:paraId="3B2E44C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0.94      0.94    0.97      0.45  16   0.0063 0.018  0.45</w:t>
            </w:r>
          </w:p>
          <w:p w14:paraId="79118A5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0.94      0.94    0.97      0.46  16   0.0061 0.017  0.45</w:t>
            </w:r>
          </w:p>
          <w:p w14:paraId="30F4213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0.94      0.94    0.97      0.46  16   0.0060 0.015  0.45</w:t>
            </w:r>
          </w:p>
          <w:p w14:paraId="20AB02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0.94      0.94    0.97      0.46  16   0.0062 0.016  0.45</w:t>
            </w:r>
          </w:p>
          <w:p w14:paraId="5B7BEE4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0.94      0.94    0.97      0.45  16   0.0062 0.017  0.45</w:t>
            </w:r>
          </w:p>
          <w:p w14:paraId="3C7187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0.94      0.94    0.97      0.45  16   0.0062 0.018  0.45</w:t>
            </w:r>
          </w:p>
          <w:p w14:paraId="6A5861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0.94      0.94    0.97      0.45  16   0.0063 0.017  0.45</w:t>
            </w:r>
          </w:p>
          <w:p w14:paraId="5B8E79E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0.94      0.94    0.97      0.45  16   0.0062 0.017  0.45</w:t>
            </w:r>
          </w:p>
          <w:p w14:paraId="03E71CD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4490A2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1116D1D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337DA3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PQP1 208  0.70  0.70  0.69   0.65  3.0 1.3</w:t>
            </w:r>
          </w:p>
          <w:p w14:paraId="75E4805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PQP2 208  0.69  0.70  0.69   0.65  3.0 1.2</w:t>
            </w:r>
          </w:p>
          <w:p w14:paraId="5A1D3F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PQP3 208  0.72  0.73  0.72   0.69  3.1 1.1</w:t>
            </w:r>
          </w:p>
          <w:p w14:paraId="2F17627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PQP4 208  0.78  0.78  0.78   0.75  3.2 1.1</w:t>
            </w:r>
          </w:p>
          <w:p w14:paraId="2F291A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PQP5 208  0.72  0.73  0.72   0.69  3.3 1.2</w:t>
            </w:r>
          </w:p>
          <w:p w14:paraId="56E07A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208  0.77  0.77  0.76   0.74  2.9 1.3</w:t>
            </w:r>
          </w:p>
          <w:p w14:paraId="7CB6B05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208  0.79  0.79  0.78   0.76  3.1 1.2</w:t>
            </w:r>
          </w:p>
          <w:p w14:paraId="0797EA3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208  0.60  0.60  0.58   0.55  3.3 1.3</w:t>
            </w:r>
          </w:p>
          <w:p w14:paraId="6A0166D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208  0.76  0.77  0.76   0.73  3.1 1.2</w:t>
            </w:r>
          </w:p>
          <w:p w14:paraId="52D35A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208  0.72  0.72  0.71   0.68  3.3 1.3</w:t>
            </w:r>
          </w:p>
          <w:p w14:paraId="1131145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208  0.76  0.76  0.75   0.72  3.2 1.4</w:t>
            </w:r>
          </w:p>
          <w:p w14:paraId="22E6DD2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208  0.68  0.68  0.66   0.63  3.0 1.3</w:t>
            </w:r>
          </w:p>
          <w:p w14:paraId="0DBEB8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208  0.71  0.71  0.70   0.67  3.1 1.2</w:t>
            </w:r>
          </w:p>
          <w:p w14:paraId="68B7C03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208  0.61  0.60  0.59   0.56  3.1 1.4</w:t>
            </w:r>
          </w:p>
          <w:p w14:paraId="6C56CC8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208  0.56  0.55  0.54   0.50  3.1 1.4</w:t>
            </w:r>
          </w:p>
          <w:p w14:paraId="58F17E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208  0.64  0.64  0.64   0.60  3.0 1.3</w:t>
            </w:r>
          </w:p>
          <w:p w14:paraId="4391F9A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208  0.66  0.66  0.65   0.61  3.1 1.3</w:t>
            </w:r>
          </w:p>
          <w:p w14:paraId="5223B8F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208  0.65  0.65  0.63   0.61  3.4 1.3</w:t>
            </w:r>
          </w:p>
          <w:p w14:paraId="3F7AA24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208  0.67  0.67  0.66   0.63  3.2 1.2</w:t>
            </w:r>
          </w:p>
          <w:p w14:paraId="5EB08ED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208  0.65  0.65  0.64   0.60  3.0 1.2</w:t>
            </w:r>
          </w:p>
          <w:p w14:paraId="3665343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390CE7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454E673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6BDA0E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0.20 0.06 0.38 0.23 0.13    0</w:t>
            </w:r>
          </w:p>
          <w:p w14:paraId="277AAC0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0.16 0.13 0.39 0.22 0.10    0</w:t>
            </w:r>
          </w:p>
          <w:p w14:paraId="282668F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0.12 0.14 0.38 0.25 0.11    0</w:t>
            </w:r>
          </w:p>
          <w:p w14:paraId="64960FE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0.13 0.10 0.33 0.37 0.08    0</w:t>
            </w:r>
          </w:p>
          <w:p w14:paraId="6BEC8C3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0.12 0.12 0.29 0.29 0.17    0</w:t>
            </w:r>
          </w:p>
          <w:p w14:paraId="6CCB495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0.22 0.12 0.30 0.22 0.14    0</w:t>
            </w:r>
          </w:p>
          <w:p w14:paraId="4DCA172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0.12 0.12 0.39 0.23 0.14    0</w:t>
            </w:r>
          </w:p>
          <w:p w14:paraId="5CE8019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0.14 0.09 0.30 0.24 0.22    0</w:t>
            </w:r>
          </w:p>
          <w:p w14:paraId="4B91314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0.13 0.13 0.38 0.18 0.17    0</w:t>
            </w:r>
          </w:p>
          <w:p w14:paraId="1C1C589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0.13 0.09 0.32 0.23 0.23    0</w:t>
            </w:r>
          </w:p>
          <w:p w14:paraId="067EA2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0.19 0.07 0.30 0.24 0.21    0</w:t>
            </w:r>
          </w:p>
          <w:p w14:paraId="432BAFB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0.16 0.17 0.36 0.16 0.15    0</w:t>
            </w:r>
          </w:p>
          <w:p w14:paraId="7E01867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0.16 0.07 0.40 0.23 0.13    0</w:t>
            </w:r>
          </w:p>
          <w:p w14:paraId="1B90E59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0.22 0.09 0.30 0.17 0.22    0</w:t>
            </w:r>
          </w:p>
          <w:p w14:paraId="20C4A1A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0.20 0.12 0.25 0.23 0.21    0</w:t>
            </w:r>
          </w:p>
          <w:p w14:paraId="327A6E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0.20 0.11 0.31 0.24 0.15    0</w:t>
            </w:r>
          </w:p>
          <w:p w14:paraId="1DF4584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0.16 0.17 0.27 0.24 0.17    0</w:t>
            </w:r>
          </w:p>
          <w:p w14:paraId="41EBAAE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0.14 0.09 0.29 0.22 0.26    0</w:t>
            </w:r>
          </w:p>
          <w:p w14:paraId="09085D9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0.13 0.10 0.38 0.25 0.15    0</w:t>
            </w:r>
          </w:p>
          <w:p w14:paraId="20FA9B5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0.14 0.17 0.31 0.24 0.13    0</w:t>
            </w:r>
          </w:p>
          <w:p w14:paraId="4925D7E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cat("\nTCB:\n"); print(alpha(turkish[, c(PBH_items, WTNA_items, KDMF_items)]))</w:t>
            </w:r>
          </w:p>
          <w:p w14:paraId="4BD9AD5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8DAA67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TCB:</w:t>
            </w:r>
          </w:p>
          <w:p w14:paraId="7730D2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717160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3BB4A9A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c(PBH_items, WTNA_items, KDMF_items)])</w:t>
            </w:r>
          </w:p>
          <w:p w14:paraId="1CDCBAA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AF1ED8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0E32A28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0.89       0.9    0.92      0.37 8.6 0.011  3.5 0.79     0.37</w:t>
            </w:r>
          </w:p>
          <w:p w14:paraId="47929F6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EFA75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496A7CB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153F93B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0.87  0.89  0.91</w:t>
            </w:r>
          </w:p>
          <w:p w14:paraId="4313548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0.87  0.89  0.91</w:t>
            </w:r>
          </w:p>
          <w:p w14:paraId="579FD3C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98D683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30E3F2C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33E58C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0.89      0.89    0.91      0.37 8.2   0.0114 0.024  0.38</w:t>
            </w:r>
          </w:p>
          <w:p w14:paraId="0841F9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0.88      0.89    0.91      0.36 7.7   0.0121 0.022  0.37</w:t>
            </w:r>
          </w:p>
          <w:p w14:paraId="65FDEE0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0.89      0.89    0.91      0.36 8.0   0.0116 0.022  0.37</w:t>
            </w:r>
          </w:p>
          <w:p w14:paraId="59A05F7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0.88      0.89    0.91      0.36 7.7   0.0119 0.023  0.37</w:t>
            </w:r>
          </w:p>
          <w:p w14:paraId="787C81B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0.90      0.90    0.92      0.40 9.4   0.0099 0.014  0.40</w:t>
            </w:r>
          </w:p>
          <w:p w14:paraId="5B8A6AD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0.88      0.88    0.91      0.35 7.6   0.0122 0.021  0.36</w:t>
            </w:r>
          </w:p>
          <w:p w14:paraId="68313D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0.88      0.88    0.91      0.35 7.7   0.0121 0.020  0.37</w:t>
            </w:r>
          </w:p>
          <w:p w14:paraId="440A921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0.88      0.88    0.91      0.35 7.6   0.0121 0.020  0.37</w:t>
            </w:r>
          </w:p>
          <w:p w14:paraId="6493364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0.89      0.89    0.92      0.37 8.1   0.0115 0.025  0.37</w:t>
            </w:r>
          </w:p>
          <w:p w14:paraId="7E9604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0.89      0.90    0.92      0.38 8.6   0.0110 0.024  0.40</w:t>
            </w:r>
          </w:p>
          <w:p w14:paraId="5C47EEB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0.89      0.89    0.91      0.37 8.2   0.0114 0.024  0.39</w:t>
            </w:r>
          </w:p>
          <w:p w14:paraId="4E9D844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0.89      0.89    0.91      0.36 8.0   0.0117 0.022  0.37</w:t>
            </w:r>
          </w:p>
          <w:p w14:paraId="0BE8483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0.89      0.89    0.92      0.36 8.0   0.0117 0.025  0.37</w:t>
            </w:r>
          </w:p>
          <w:p w14:paraId="69268D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0.89      0.89    0.91      0.37 8.1   0.0115 0.025  0.38</w:t>
            </w:r>
          </w:p>
          <w:p w14:paraId="06FDA18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0.89      0.89    0.91      0.37 8.1   0.0115 0.025  0.38</w:t>
            </w:r>
          </w:p>
          <w:p w14:paraId="4B2AC3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2A006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103598B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7330ABA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208  0.62  0.61  0.59   0.54  3.2 1.3</w:t>
            </w:r>
          </w:p>
          <w:p w14:paraId="2D35F33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208  0.73  0.73  0.73   0.68  3.6 1.3</w:t>
            </w:r>
          </w:p>
          <w:p w14:paraId="09C0853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208  0.65  0.65  0.63   0.58  3.7 1.3</w:t>
            </w:r>
          </w:p>
          <w:p w14:paraId="39C22DB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208  0.72  0.73  0.71   0.67  3.7 1.1</w:t>
            </w:r>
          </w:p>
          <w:p w14:paraId="6961D1C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208  0.31  0.30  0.23   0.20  2.8 1.4</w:t>
            </w:r>
          </w:p>
          <w:p w14:paraId="68B98D8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WTNA1 208  0.76  0.76  0.76   0.71  3.9 1.3</w:t>
            </w:r>
          </w:p>
          <w:p w14:paraId="3176F31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WTNA2 208  0.74  0.75  0.75   0.69  3.7 1.2</w:t>
            </w:r>
          </w:p>
          <w:p w14:paraId="3B57C58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WTNA3 208  0.75  0.76  0.76   0.70  3.7 1.2</w:t>
            </w:r>
          </w:p>
          <w:p w14:paraId="314139D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WTNA4 208  0.62  0.62  0.58   0.55  3.4 1.2</w:t>
            </w:r>
          </w:p>
          <w:p w14:paraId="2E549B4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WTNA5 208  0.51  0.50  0.44   0.42  3.3 1.3</w:t>
            </w:r>
          </w:p>
          <w:p w14:paraId="7ED52EF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KDMF1 208  0.60  0.60  0.57   0.53  3.2 1.2</w:t>
            </w:r>
          </w:p>
          <w:p w14:paraId="537844A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KDMF2 208  0.66  0.66  0.64   0.60  3.7 1.2</w:t>
            </w:r>
          </w:p>
          <w:p w14:paraId="47ED884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KDMF3 208  0.66  0.66  0.62   0.59  3.4 1.3</w:t>
            </w:r>
          </w:p>
          <w:p w14:paraId="7E915F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KDMF4 208  0.62  0.62  0.60   0.55  3.2 1.2</w:t>
            </w:r>
          </w:p>
          <w:p w14:paraId="2A18505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KDMF5 208  0.62  0.62  0.59   0.55  3.8 1.1</w:t>
            </w:r>
          </w:p>
          <w:p w14:paraId="01D01C5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7DAEDB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14DDAE3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177067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0.16 0.12 0.28 0.23 0.21    0</w:t>
            </w:r>
          </w:p>
          <w:p w14:paraId="4E33910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0.10 0.10 0.23 0.25 0.33    0</w:t>
            </w:r>
          </w:p>
          <w:p w14:paraId="2B4F85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0.08 0.12 0.22 0.21 0.37    0</w:t>
            </w:r>
          </w:p>
          <w:p w14:paraId="24B9809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0.05 0.07 0.29 0.31 0.27    0</w:t>
            </w:r>
          </w:p>
          <w:p w14:paraId="7B86DB5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0.26 0.14 0.24 0.20 0.16    0</w:t>
            </w:r>
          </w:p>
          <w:p w14:paraId="7F9AC66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0.11 0.04 0.20 0.22 0.44    0</w:t>
            </w:r>
          </w:p>
          <w:p w14:paraId="6FB9E65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0.06 0.12 0.21 0.28 0.33    0</w:t>
            </w:r>
          </w:p>
          <w:p w14:paraId="49C63C6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0.05 0.11 0.29 0.22 0.34    0</w:t>
            </w:r>
          </w:p>
          <w:p w14:paraId="5507CFB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0.08 0.14 0.32 0.24 0.22    0</w:t>
            </w:r>
          </w:p>
          <w:p w14:paraId="27B8CEA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0.12 0.16 0.26 0.24 0.22    0</w:t>
            </w:r>
          </w:p>
          <w:p w14:paraId="77DD1D2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0.12 0.13 0.34 0.25 0.16    0</w:t>
            </w:r>
          </w:p>
          <w:p w14:paraId="78B479B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0.06 0.11 0.22 0.29 0.32    0</w:t>
            </w:r>
          </w:p>
          <w:p w14:paraId="3EAE812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0.14 0.09 0.25 0.32 0.20    0</w:t>
            </w:r>
          </w:p>
          <w:p w14:paraId="479D920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0.12 0.14 0.28 0.34 0.12    0</w:t>
            </w:r>
          </w:p>
          <w:p w14:paraId="02F70C3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Courier New" w:eastAsia="Times New Roman" w:hAnsi="Courier New" w:cs="Courier New"/>
                <w:color w:val="000000"/>
                <w:sz w:val="20"/>
                <w:szCs w:val="20"/>
                <w:bdr w:val="none" w:sz="0" w:space="0" w:color="auto" w:frame="1"/>
                <w:lang w:eastAsia="fr-FR"/>
              </w:rPr>
              <w:t>KDMF5 0.06 0.06 0.23 0.32 0.33    0</w:t>
            </w:r>
          </w:p>
          <w:p w14:paraId="5A9CDB1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w:t>
            </w:r>
          </w:p>
          <w:p w14:paraId="4E8D1EC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 </w:t>
            </w:r>
            <w:r w:rsidRPr="00260039">
              <w:rPr>
                <w:rFonts w:ascii="Courier New" w:eastAsia="Times New Roman" w:hAnsi="Courier New" w:cs="Courier New"/>
                <w:color w:val="930F80"/>
                <w:sz w:val="20"/>
                <w:szCs w:val="20"/>
                <w:rtl/>
                <w:lang w:eastAsia="fr-FR"/>
              </w:rPr>
              <w:t>حساب ألفا لكل الاستبيان</w:t>
            </w:r>
          </w:p>
          <w:p w14:paraId="16E19B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&gt; cat("\n</w:t>
            </w:r>
            <w:r w:rsidRPr="00260039">
              <w:rPr>
                <w:rFonts w:ascii="Segoe UI Emoji" w:eastAsia="Times New Roman" w:hAnsi="Segoe UI Emoji" w:cs="Segoe UI Emoji"/>
                <w:color w:val="930F80"/>
                <w:sz w:val="20"/>
                <w:szCs w:val="20"/>
                <w:lang w:eastAsia="fr-FR"/>
              </w:rPr>
              <w:t>📌</w:t>
            </w:r>
            <w:r w:rsidRPr="00260039">
              <w:rPr>
                <w:rFonts w:ascii="Courier New" w:eastAsia="Times New Roman" w:hAnsi="Courier New" w:cs="Courier New"/>
                <w:color w:val="930F80"/>
                <w:sz w:val="20"/>
                <w:szCs w:val="20"/>
                <w:lang w:eastAsia="fr-FR"/>
              </w:rPr>
              <w:t xml:space="preserve"> Cronbach's Alpha </w:t>
            </w:r>
            <w:r w:rsidRPr="00260039">
              <w:rPr>
                <w:rFonts w:ascii="Courier New" w:eastAsia="Times New Roman" w:hAnsi="Courier New" w:cs="Courier New"/>
                <w:color w:val="930F80"/>
                <w:sz w:val="20"/>
                <w:szCs w:val="20"/>
                <w:rtl/>
                <w:lang w:eastAsia="fr-FR"/>
              </w:rPr>
              <w:t>لكل الاستبيان</w:t>
            </w:r>
            <w:r w:rsidRPr="00260039">
              <w:rPr>
                <w:rFonts w:ascii="Courier New" w:eastAsia="Times New Roman" w:hAnsi="Courier New" w:cs="Courier New"/>
                <w:color w:val="930F80"/>
                <w:sz w:val="20"/>
                <w:szCs w:val="20"/>
                <w:lang w:eastAsia="fr-FR"/>
              </w:rPr>
              <w:t>:\n")</w:t>
            </w:r>
          </w:p>
          <w:p w14:paraId="6807BE6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0C20A20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Segoe UI Emoji" w:eastAsia="Times New Roman" w:hAnsi="Segoe UI Emoji" w:cs="Segoe UI Emoji"/>
                <w:color w:val="000000"/>
                <w:sz w:val="20"/>
                <w:szCs w:val="20"/>
                <w:bdr w:val="none" w:sz="0" w:space="0" w:color="auto" w:frame="1"/>
                <w:lang w:eastAsia="fr-FR"/>
              </w:rPr>
              <w:t>📌</w:t>
            </w:r>
            <w:r w:rsidRPr="00260039">
              <w:rPr>
                <w:rFonts w:ascii="Courier New" w:eastAsia="Times New Roman" w:hAnsi="Courier New" w:cs="Courier New"/>
                <w:color w:val="000000"/>
                <w:sz w:val="20"/>
                <w:szCs w:val="20"/>
                <w:bdr w:val="none" w:sz="0" w:space="0" w:color="auto" w:frame="1"/>
                <w:lang w:eastAsia="fr-FR"/>
              </w:rPr>
              <w:t xml:space="preserve"> Cronbach's Alpha </w:t>
            </w:r>
            <w:r w:rsidRPr="00260039">
              <w:rPr>
                <w:rFonts w:ascii="Courier New" w:eastAsia="Times New Roman" w:hAnsi="Courier New" w:cs="Courier New"/>
                <w:color w:val="000000"/>
                <w:sz w:val="20"/>
                <w:szCs w:val="20"/>
                <w:bdr w:val="none" w:sz="0" w:space="0" w:color="auto" w:frame="1"/>
                <w:rtl/>
                <w:lang w:eastAsia="fr-FR"/>
              </w:rPr>
              <w:t>لكل الاستبيان</w:t>
            </w:r>
            <w:r w:rsidRPr="00260039">
              <w:rPr>
                <w:rFonts w:ascii="Courier New" w:eastAsia="Times New Roman" w:hAnsi="Courier New" w:cs="Courier New"/>
                <w:color w:val="000000"/>
                <w:sz w:val="20"/>
                <w:szCs w:val="20"/>
                <w:bdr w:val="none" w:sz="0" w:space="0" w:color="auto" w:frame="1"/>
                <w:lang w:eastAsia="fr-FR"/>
              </w:rPr>
              <w:t>:</w:t>
            </w:r>
          </w:p>
          <w:p w14:paraId="5AF5B9B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all_items &lt;- c(AB_items, CMB_items, TAB_items, EBCH_items,</w:t>
            </w:r>
          </w:p>
          <w:p w14:paraId="1FE392E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PQP_items, PC_items, CA_items, AA_items,</w:t>
            </w:r>
          </w:p>
          <w:p w14:paraId="788687F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PBH_items, WTNA_items, KDMF_items)</w:t>
            </w:r>
          </w:p>
          <w:p w14:paraId="5C1A305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print(alpha(turkish[, all_items]))</w:t>
            </w:r>
          </w:p>
          <w:p w14:paraId="73BC98B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53BD05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Reliability analysis   </w:t>
            </w:r>
          </w:p>
          <w:p w14:paraId="02B5740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Call: alpha(x = turkish[, all_items])</w:t>
            </w:r>
          </w:p>
          <w:p w14:paraId="062FF34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894A5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ase mean   sd median_r</w:t>
            </w:r>
          </w:p>
          <w:p w14:paraId="798B5A1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0.97      0.97    0.99      0.35  29 0.0033  3.3 0.78     0.35</w:t>
            </w:r>
          </w:p>
          <w:p w14:paraId="720C189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517686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95% confidence boundaries </w:t>
            </w:r>
          </w:p>
          <w:p w14:paraId="7E0C859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lower alpha upper</w:t>
            </w:r>
          </w:p>
          <w:p w14:paraId="416DD3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Feldt     0.96  0.97  0.97</w:t>
            </w:r>
          </w:p>
          <w:p w14:paraId="2D5FCFA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Duhachek  0.96  0.97  0.97</w:t>
            </w:r>
          </w:p>
          <w:p w14:paraId="4FADE7A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D9D9F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Reliability if an item is dropped:</w:t>
            </w:r>
          </w:p>
          <w:p w14:paraId="02FEDDE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raw_alpha std.alpha G6(smc) average_r S/N alpha se var.r med.r</w:t>
            </w:r>
          </w:p>
          <w:p w14:paraId="0693E68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0.97      0.97    0.99      0.34  28   0.0034 0.025  0.35</w:t>
            </w:r>
          </w:p>
          <w:p w14:paraId="72FF62F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0.97      0.97    0.99      0.35  29   0.0033 0.025  0.36</w:t>
            </w:r>
          </w:p>
          <w:p w14:paraId="4A84AF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0.97      0.97    0.99      0.35  28   0.0034 0.026  0.35</w:t>
            </w:r>
          </w:p>
          <w:p w14:paraId="5F3D920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0.97      0.97    0.99      0.36  29   0.0032 0.024  0.36</w:t>
            </w:r>
          </w:p>
          <w:p w14:paraId="581798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0.97      0.97    0.99      0.35  29   0.0033 0.026  0.36</w:t>
            </w:r>
          </w:p>
          <w:p w14:paraId="1C30A9C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0.97      0.97    0.99      0.34  28   0.0034 0.025  0.35</w:t>
            </w:r>
          </w:p>
          <w:p w14:paraId="11ECF6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0.97      0.97    0.99      0.34  28   0.0034 0.025  0.35</w:t>
            </w:r>
          </w:p>
          <w:p w14:paraId="4AC21E7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0.97      0.97    0.99      0.35  28   0.0034 0.025  0.35</w:t>
            </w:r>
          </w:p>
          <w:p w14:paraId="14171CA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0.97      0.97    0.99      0.35  29   0.0033 0.025  0.36</w:t>
            </w:r>
          </w:p>
          <w:p w14:paraId="55B3550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0.97      0.97    0.99      0.34  28   0.0034 0.026  0.35</w:t>
            </w:r>
          </w:p>
          <w:p w14:paraId="5BD22B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0.96      0.97    0.99      0.34  28   0.0034 0.025  0.35</w:t>
            </w:r>
          </w:p>
          <w:p w14:paraId="28E3BF1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0.97      0.97    0.99      0.35  28   0.0034 0.026  0.35</w:t>
            </w:r>
          </w:p>
          <w:p w14:paraId="44274E6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0.97      0.97    0.99      0.34  28   0.0034 0.026  0.35</w:t>
            </w:r>
          </w:p>
          <w:p w14:paraId="32F8300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0.97      0.97    0.99      0.35  28   0.0034 0.026  0.35</w:t>
            </w:r>
          </w:p>
          <w:p w14:paraId="7656FEC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0.96      0.97    0.99      0.34  28   0.0034 0.025  0.35</w:t>
            </w:r>
          </w:p>
          <w:p w14:paraId="0279767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0.97      0.97    0.99      0.34  28   0.0034 0.026  0.35</w:t>
            </w:r>
          </w:p>
          <w:p w14:paraId="08C22FB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0.97      0.97    0.99      0.34  28   0.0034 0.026  0.35</w:t>
            </w:r>
          </w:p>
          <w:p w14:paraId="1CAD1E5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0.97      0.97    0.99      0.35  28   0.0034 0.026  0.35</w:t>
            </w:r>
          </w:p>
          <w:p w14:paraId="38724D3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0.97      0.97    0.99      0.34  28   0.0034 0.025  0.35</w:t>
            </w:r>
          </w:p>
          <w:p w14:paraId="1409CCA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0.97      0.97    0.99      0.34  28   0.0034 0.026  0.35</w:t>
            </w:r>
          </w:p>
          <w:p w14:paraId="56FC05C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0.97      0.97    0.99      0.35  28   0.0034 0.026  0.35</w:t>
            </w:r>
          </w:p>
          <w:p w14:paraId="1D7622C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0.97      0.97    0.99      0.34  28   0.0034 0.026  0.35</w:t>
            </w:r>
          </w:p>
          <w:p w14:paraId="5820AEF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0.97      0.97    0.99      0.34  28   0.0034 0.025  0.35</w:t>
            </w:r>
          </w:p>
          <w:p w14:paraId="78E60E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0.97      0.97    0.99      0.34  28   0.0034 0.026  0.35</w:t>
            </w:r>
          </w:p>
          <w:p w14:paraId="2CC468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0.97      0.97    0.99      0.34  28   0.0034 0.026  0.35</w:t>
            </w:r>
          </w:p>
          <w:p w14:paraId="05F28E9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0.97      0.97    0.99      0.35  28   0.0034 0.026  0.35</w:t>
            </w:r>
          </w:p>
          <w:p w14:paraId="4555540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0.97      0.97    0.99      0.35  28   0.0033 0.026  0.35</w:t>
            </w:r>
          </w:p>
          <w:p w14:paraId="75867A1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0.97      0.97    0.99      0.35  28   0.0033 0.025  0.35</w:t>
            </w:r>
          </w:p>
          <w:p w14:paraId="4305EE5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0.97      0.97    0.99      0.34  28   0.0034 0.026  0.35</w:t>
            </w:r>
          </w:p>
          <w:p w14:paraId="5595455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0.97      0.97    0.99      0.34  28   0.0034 0.025  0.35</w:t>
            </w:r>
          </w:p>
          <w:p w14:paraId="5A92DEB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0.97      0.97    0.99      0.35  28   0.0034 0.026  0.35</w:t>
            </w:r>
          </w:p>
          <w:p w14:paraId="4F7816A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0.97      0.97    0.99      0.34  28   0.0034 0.026  0.35</w:t>
            </w:r>
          </w:p>
          <w:p w14:paraId="4D0B147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0.97      0.97    0.99      0.35  28   0.0033 0.026  0.36</w:t>
            </w:r>
          </w:p>
          <w:p w14:paraId="3D1DBBE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0.97      0.97    0.99      0.35  29   0.0033 0.025  0.36</w:t>
            </w:r>
          </w:p>
          <w:p w14:paraId="38BD709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0.97      0.97    0.99      0.35  28   0.0033 0.026  0.35</w:t>
            </w:r>
          </w:p>
          <w:p w14:paraId="56963AF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0.97      0.97    0.99      0.35  28   0.0033 0.025  0.36</w:t>
            </w:r>
          </w:p>
          <w:p w14:paraId="5C61AA5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0.97      0.97    0.99      0.34  28   0.0034 0.026  0.35</w:t>
            </w:r>
          </w:p>
          <w:p w14:paraId="29D1A34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0.97      0.97    0.99      0.35  28   0.0033 0.026  0.35</w:t>
            </w:r>
          </w:p>
          <w:p w14:paraId="6A72A1E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0.97      0.97    0.99      0.35  28   0.0033 0.025  0.36</w:t>
            </w:r>
          </w:p>
          <w:p w14:paraId="4ABB02F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0.97      0.97    0.99      0.35  28   0.0033 0.026  0.36</w:t>
            </w:r>
          </w:p>
          <w:p w14:paraId="036CF5C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0.97      0.97    0.99      0.35  28   0.0034 0.026  0.35</w:t>
            </w:r>
          </w:p>
          <w:p w14:paraId="061E84E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0.97      0.97    0.99      0.35  28   0.0033 0.026  0.35</w:t>
            </w:r>
          </w:p>
          <w:p w14:paraId="5BDE4E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0.97      0.97    0.99      0.35  28   0.0033 0.026  0.35</w:t>
            </w:r>
          </w:p>
          <w:p w14:paraId="7A78DBA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0.97      0.97    0.99      0.36  29   0.0032 0.023  0.36</w:t>
            </w:r>
          </w:p>
          <w:p w14:paraId="0990753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0.97      0.97    0.99      0.34  28   0.0034 0.025  0.35</w:t>
            </w:r>
          </w:p>
          <w:p w14:paraId="05EE3C2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0.97      0.97    0.99      0.34  28   0.0034 0.026  0.35</w:t>
            </w:r>
          </w:p>
          <w:p w14:paraId="1F86E80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0.97      0.97    0.99      0.34  28   0.0034 0.026  0.35</w:t>
            </w:r>
          </w:p>
          <w:p w14:paraId="15804D6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0.97      0.97    0.99      0.35  28   0.0033 0.026  0.36</w:t>
            </w:r>
          </w:p>
          <w:p w14:paraId="762641B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0.97      0.97    0.99      0.35  29   0.0033 0.026  0.36</w:t>
            </w:r>
          </w:p>
          <w:p w14:paraId="34B4908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0.97      0.97    0.99      0.35  29   0.0033 0.025  0.36</w:t>
            </w:r>
          </w:p>
          <w:p w14:paraId="0E1A678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0.97      0.97    0.99      0.35  28   0.0033 0.026  0.35</w:t>
            </w:r>
          </w:p>
          <w:p w14:paraId="2602C55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0.97      0.97    0.99      0.35  28   0.0033 0.026  0.35</w:t>
            </w:r>
          </w:p>
          <w:p w14:paraId="53597AE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0.97      0.97    0.99      0.35  29   0.0033 0.026  0.36</w:t>
            </w:r>
          </w:p>
          <w:p w14:paraId="2ACC3FF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0.97      0.97    0.99      0.35  28   0.0033 0.026  0.36</w:t>
            </w:r>
          </w:p>
          <w:p w14:paraId="78BEB6F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77E834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Item statistics </w:t>
            </w:r>
          </w:p>
          <w:p w14:paraId="5B7E97A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n raw.r std.r r.cor r.drop mean  sd</w:t>
            </w:r>
          </w:p>
          <w:p w14:paraId="228CB4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208  0.70  0.69  0.69   0.68  3.7 1.5</w:t>
            </w:r>
          </w:p>
          <w:p w14:paraId="0AEB687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208  0.42  0.42  0.41   0.40  3.4 1.3</w:t>
            </w:r>
          </w:p>
          <w:p w14:paraId="0412A08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208  0.65  0.64  0.64   0.63  3.8 1.3</w:t>
            </w:r>
          </w:p>
          <w:p w14:paraId="59A6117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208  0.21  0.21  0.20   0.19  3.1 1.2</w:t>
            </w:r>
          </w:p>
          <w:p w14:paraId="52F917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208  0.45  0.45  0.44   0.42  3.1 1.3</w:t>
            </w:r>
          </w:p>
          <w:p w14:paraId="38F5AA6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208  0.72  0.72  0.72   0.71  3.6 1.5</w:t>
            </w:r>
          </w:p>
          <w:p w14:paraId="439828F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208  0.69  0.69  0.69   0.68  3.6 1.5</w:t>
            </w:r>
          </w:p>
          <w:p w14:paraId="3F68278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208  0.66  0.65  0.65   0.64  3.6 1.4</w:t>
            </w:r>
          </w:p>
          <w:p w14:paraId="19C14EC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208  0.40  0.39  0.39   0.37  2.7 1.3</w:t>
            </w:r>
          </w:p>
          <w:p w14:paraId="27F899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208  0.70  0.70  0.70   0.69  3.6 1.4</w:t>
            </w:r>
          </w:p>
          <w:p w14:paraId="0713DF9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208  0.78  0.77  0.77   0.76  3.4 1.5</w:t>
            </w:r>
          </w:p>
          <w:p w14:paraId="2074635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208  0.64  0.64  0.64   0.62  3.1 1.2</w:t>
            </w:r>
          </w:p>
          <w:p w14:paraId="2C14CEA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208  0.69  0.69  0.69   0.68  3.2 1.3</w:t>
            </w:r>
          </w:p>
          <w:p w14:paraId="3548139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208  0.64  0.64  0.64   0.62  3.2 1.2</w:t>
            </w:r>
          </w:p>
          <w:p w14:paraId="2925440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EBCH1 208  0.77  0.77  0.77   0.76  3.5 1.5</w:t>
            </w:r>
          </w:p>
          <w:p w14:paraId="15B094A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EBCH2 208  0.67  0.67  0.67   0.65  3.4 1.4</w:t>
            </w:r>
          </w:p>
          <w:p w14:paraId="3243435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EBCH3 208  0.71  0.71  0.71   0.69  3.5 1.4</w:t>
            </w:r>
          </w:p>
          <w:p w14:paraId="597AA8A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EBCH4 208  0.65  0.64  0.64   0.63  3.5 1.4</w:t>
            </w:r>
          </w:p>
          <w:p w14:paraId="51A434C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EBCH5 208  0.76  0.75  0.75   0.74  3.5 1.3</w:t>
            </w:r>
          </w:p>
          <w:p w14:paraId="2388AB2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208  0.67  0.67  0.67   0.66  3.0 1.3</w:t>
            </w:r>
          </w:p>
          <w:p w14:paraId="4D1AC53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208  0.65  0.66  0.65   0.63  3.0 1.2</w:t>
            </w:r>
          </w:p>
          <w:p w14:paraId="170DBFB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208  0.68  0.69  0.69   0.67  3.1 1.1</w:t>
            </w:r>
          </w:p>
          <w:p w14:paraId="0580309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208  0.68  0.69  0.69   0.66  3.2 1.1</w:t>
            </w:r>
          </w:p>
          <w:p w14:paraId="21D5B0C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208  0.73  0.73  0.73   0.71  3.3 1.2</w:t>
            </w:r>
          </w:p>
          <w:p w14:paraId="1DECAA6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208  0.70  0.70  0.70   0.69  2.9 1.3</w:t>
            </w:r>
          </w:p>
          <w:p w14:paraId="1B51E38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208  0.66  0.66  0.66   0.64  3.1 1.2</w:t>
            </w:r>
          </w:p>
          <w:p w14:paraId="2F93393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208  0.62  0.62  0.61   0.60  3.3 1.3</w:t>
            </w:r>
          </w:p>
          <w:p w14:paraId="3E05E3A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208  0.62  0.62  0.62   0.60  3.1 1.2</w:t>
            </w:r>
          </w:p>
          <w:p w14:paraId="02FAF8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208  0.68  0.68  0.67   0.66  3.3 1.3</w:t>
            </w:r>
          </w:p>
          <w:p w14:paraId="71192C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208  0.75  0.75  0.75   0.74  3.2 1.4</w:t>
            </w:r>
          </w:p>
          <w:p w14:paraId="6DBA54B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208  0.63  0.63  0.63   0.61  3.0 1.3</w:t>
            </w:r>
          </w:p>
          <w:p w14:paraId="205006E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208  0.66  0.66  0.66   0.64  3.1 1.2</w:t>
            </w:r>
          </w:p>
          <w:p w14:paraId="3925CED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208  0.52  0.52  0.52   0.49  3.1 1.4</w:t>
            </w:r>
          </w:p>
          <w:p w14:paraId="7A7C0E4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208  0.43  0.44  0.43   0.41  3.1 1.4</w:t>
            </w:r>
          </w:p>
          <w:p w14:paraId="043C984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208  0.57  0.57  0.57   0.55  3.0 1.3</w:t>
            </w:r>
          </w:p>
          <w:p w14:paraId="23AAB79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208  0.49  0.49  0.49   0.46  3.1 1.3</w:t>
            </w:r>
          </w:p>
          <w:p w14:paraId="6751962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208  0.70  0.70  0.70   0.68  3.4 1.3</w:t>
            </w:r>
          </w:p>
          <w:p w14:paraId="3FFA843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208  0.56  0.56  0.56   0.54  3.2 1.2</w:t>
            </w:r>
          </w:p>
          <w:p w14:paraId="08AF7D0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208  0.46  0.46  0.46   0.43  3.0 1.2</w:t>
            </w:r>
          </w:p>
          <w:p w14:paraId="4F5CA5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208  0.47  0.47  0.47   0.45  3.2 1.3</w:t>
            </w:r>
          </w:p>
          <w:p w14:paraId="3047DF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208  0.62  0.62  0.62   0.60  3.6 1.3</w:t>
            </w:r>
          </w:p>
          <w:p w14:paraId="5057E9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208  0.55  0.56  0.55   0.53  3.7 1.3</w:t>
            </w:r>
          </w:p>
          <w:p w14:paraId="5795A1B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208  0.56  0.56  0.56   0.54  3.7 1.1</w:t>
            </w:r>
          </w:p>
          <w:p w14:paraId="2269060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208  0.14  0.14  0.13   0.10  2.8 1.4</w:t>
            </w:r>
          </w:p>
          <w:p w14:paraId="3219F92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WTNA1 208  0.73  0.73  0.72   0.71  3.9 1.3</w:t>
            </w:r>
          </w:p>
          <w:p w14:paraId="29779A7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WTNA2 208  0.70  0.70  0.70   0.69  3.7 1.2</w:t>
            </w:r>
          </w:p>
          <w:p w14:paraId="6C6CBC0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WTNA3 208  0.71  0.71  0.71   0.69  3.7 1.2</w:t>
            </w:r>
          </w:p>
          <w:p w14:paraId="2275AC9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WTNA4 208  0.50  0.50  0.50   0.48  3.4 1.2</w:t>
            </w:r>
          </w:p>
          <w:p w14:paraId="1769D25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WTNA5 208  0.46  0.46  0.45   0.43  3.3 1.3</w:t>
            </w:r>
          </w:p>
          <w:p w14:paraId="51B694F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KDMF1 208  0.43  0.43  0.43   0.40  3.2 1.2</w:t>
            </w:r>
          </w:p>
          <w:p w14:paraId="647DA74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KDMF2 208  0.59  0.59  0.59   0.58  3.7 1.2</w:t>
            </w:r>
          </w:p>
          <w:p w14:paraId="4386A5E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KDMF3 208  0.57  0.58  0.57   0.55  3.4 1.3</w:t>
            </w:r>
          </w:p>
          <w:p w14:paraId="1F96A23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KDMF4 208  0.43  0.43  0.43   0.40  3.2 1.2</w:t>
            </w:r>
          </w:p>
          <w:p w14:paraId="70D942D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KDMF5 208  0.51  0.52  0.52   0.49  3.8 1.1</w:t>
            </w:r>
          </w:p>
          <w:p w14:paraId="59E6E4F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9E99E2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Non missing response frequency for each item</w:t>
            </w:r>
          </w:p>
          <w:p w14:paraId="62645B1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         1    2    3    4    5 miss</w:t>
            </w:r>
          </w:p>
          <w:p w14:paraId="3F083C6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0.14 0.09 0.14 0.19 0.43    0</w:t>
            </w:r>
          </w:p>
          <w:p w14:paraId="3A031A1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0.12 0.14 0.25 0.20 0.28    0</w:t>
            </w:r>
          </w:p>
          <w:p w14:paraId="240C7478"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0.10 0.08 0.16 0.22 0.44    0</w:t>
            </w:r>
          </w:p>
          <w:p w14:paraId="0CDCD51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0.12 0.16 0.38 0.17 0.17    0</w:t>
            </w:r>
          </w:p>
          <w:p w14:paraId="0EE7C7B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0.13 0.16 0.34 0.19 0.17    0</w:t>
            </w:r>
          </w:p>
          <w:p w14:paraId="6CE5BB0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0.15 0.07 0.23 0.13 0.42    0</w:t>
            </w:r>
          </w:p>
          <w:p w14:paraId="4445E06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0.15 0.09 0.20 0.16 0.40    0</w:t>
            </w:r>
          </w:p>
          <w:p w14:paraId="47BF956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0.14 0.10 0.17 0.22 0.37    0</w:t>
            </w:r>
          </w:p>
          <w:p w14:paraId="1BD4830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0.25 0.22 0.23 0.18 0.12    0</w:t>
            </w:r>
          </w:p>
          <w:p w14:paraId="42B2F31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0.13 0.07 0.22 0.19 0.38    0</w:t>
            </w:r>
          </w:p>
          <w:p w14:paraId="6623990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0.18 0.11 0.23 0.15 0.34    0</w:t>
            </w:r>
          </w:p>
          <w:p w14:paraId="7EB1C6A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0.13 0.14 0.38 0.22 0.13    0</w:t>
            </w:r>
          </w:p>
          <w:p w14:paraId="051EE83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0.14 0.12 0.32 0.23 0.18    0</w:t>
            </w:r>
          </w:p>
          <w:p w14:paraId="0DBF16B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0.12 0.14 0.38 0.17 0.19    0</w:t>
            </w:r>
          </w:p>
          <w:p w14:paraId="76D64B2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0.18 0.04 0.21 0.20 0.37    0</w:t>
            </w:r>
          </w:p>
          <w:p w14:paraId="160F1D7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0.17 0.11 0.22 0.21 0.30    0</w:t>
            </w:r>
          </w:p>
          <w:p w14:paraId="5CEA64E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0.12 0.09 0.29 0.15 0.35    0</w:t>
            </w:r>
          </w:p>
          <w:p w14:paraId="272CCEE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0.13 0.11 0.25 0.16 0.36    0</w:t>
            </w:r>
          </w:p>
          <w:p w14:paraId="7D09379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0.12 0.12 0.20 0.27 0.30    0</w:t>
            </w:r>
          </w:p>
          <w:p w14:paraId="65A7BD3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0.20 0.06 0.38 0.23 0.13    0</w:t>
            </w:r>
          </w:p>
          <w:p w14:paraId="6F126A3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0.16 0.13 0.39 0.22 0.10    0</w:t>
            </w:r>
          </w:p>
          <w:p w14:paraId="30811F7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0.12 0.14 0.38 0.25 0.11    0</w:t>
            </w:r>
          </w:p>
          <w:p w14:paraId="64A0D24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0.13 0.10 0.33 0.37 0.08    0</w:t>
            </w:r>
          </w:p>
          <w:p w14:paraId="08B0A50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0.12 0.12 0.29 0.29 0.17    0</w:t>
            </w:r>
          </w:p>
          <w:p w14:paraId="7BB8855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0.22 0.12 0.30 0.22 0.14    0</w:t>
            </w:r>
          </w:p>
          <w:p w14:paraId="70E12FF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0.12 0.12 0.39 0.23 0.14    0</w:t>
            </w:r>
          </w:p>
          <w:p w14:paraId="09FA78F1"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0.14 0.09 0.30 0.24 0.22    0</w:t>
            </w:r>
          </w:p>
          <w:p w14:paraId="68FE776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0.13 0.13 0.38 0.18 0.17    0</w:t>
            </w:r>
          </w:p>
          <w:p w14:paraId="0537EA6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0.13 0.09 0.32 0.23 0.23    0</w:t>
            </w:r>
          </w:p>
          <w:p w14:paraId="4D27996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0.19 0.07 0.30 0.24 0.21    0</w:t>
            </w:r>
          </w:p>
          <w:p w14:paraId="0333E7A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0.16 0.17 0.36 0.16 0.15    0</w:t>
            </w:r>
          </w:p>
          <w:p w14:paraId="794B654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0.16 0.07 0.40 0.23 0.13    0</w:t>
            </w:r>
          </w:p>
          <w:p w14:paraId="5C78828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0.22 0.09 0.30 0.17 0.22    0</w:t>
            </w:r>
          </w:p>
          <w:p w14:paraId="16342EA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0.20 0.12 0.25 0.23 0.21    0</w:t>
            </w:r>
          </w:p>
          <w:p w14:paraId="6AEEFD6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0.20 0.11 0.31 0.24 0.15    0</w:t>
            </w:r>
          </w:p>
          <w:p w14:paraId="6D7B7955"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0.16 0.17 0.27 0.24 0.17    0</w:t>
            </w:r>
          </w:p>
          <w:p w14:paraId="34EA9EE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0.14 0.09 0.29 0.22 0.26    0</w:t>
            </w:r>
          </w:p>
          <w:p w14:paraId="27DEC27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0.13 0.10 0.38 0.25 0.15    0</w:t>
            </w:r>
          </w:p>
          <w:p w14:paraId="27D7DC3A"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0.14 0.17 0.31 0.24 0.13    0</w:t>
            </w:r>
          </w:p>
          <w:p w14:paraId="1F2853FF"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0.16 0.12 0.28 0.23 0.21    0</w:t>
            </w:r>
          </w:p>
          <w:p w14:paraId="692B169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0.10 0.10 0.23 0.25 0.33    0</w:t>
            </w:r>
          </w:p>
          <w:p w14:paraId="350E2DC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0.08 0.12 0.22 0.21 0.37    0</w:t>
            </w:r>
          </w:p>
          <w:p w14:paraId="7BFE97A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0.05 0.07 0.29 0.31 0.27    0</w:t>
            </w:r>
          </w:p>
          <w:p w14:paraId="710D17F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0.26 0.14 0.24 0.20 0.16    0</w:t>
            </w:r>
          </w:p>
          <w:p w14:paraId="1E5D5C63"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0.11 0.04 0.20 0.22 0.44    0</w:t>
            </w:r>
          </w:p>
          <w:p w14:paraId="7EAE0CF7"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0.06 0.12 0.21 0.28 0.33    0</w:t>
            </w:r>
          </w:p>
          <w:p w14:paraId="7634591C"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0.05 0.11 0.29 0.22 0.34    0</w:t>
            </w:r>
          </w:p>
          <w:p w14:paraId="514B9144"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0.08 0.14 0.32 0.24 0.22    0</w:t>
            </w:r>
          </w:p>
          <w:p w14:paraId="5B10AE8D"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0.12 0.16 0.26 0.24 0.22    0</w:t>
            </w:r>
          </w:p>
          <w:p w14:paraId="2A0530B0"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0.12 0.13 0.34 0.25 0.16    0</w:t>
            </w:r>
          </w:p>
          <w:p w14:paraId="2429A522"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0.06 0.11 0.22 0.29 0.32    0</w:t>
            </w:r>
          </w:p>
          <w:p w14:paraId="6CB0D0FB"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0.14 0.09 0.25 0.32 0.20    0</w:t>
            </w:r>
          </w:p>
          <w:p w14:paraId="564E1FE6"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0.12 0.14 0.28 0.34 0.12    0</w:t>
            </w:r>
          </w:p>
          <w:p w14:paraId="0E2A97FE"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0.06 0.06 0.23 0.32 0.33    0</w:t>
            </w:r>
          </w:p>
          <w:p w14:paraId="1315B229" w14:textId="77777777" w:rsidR="00520D2C" w:rsidRPr="00260039" w:rsidRDefault="00520D2C" w:rsidP="0026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w:t>
            </w:r>
          </w:p>
          <w:p w14:paraId="42607BED" w14:textId="77777777" w:rsidR="00520D2C" w:rsidRPr="00260039" w:rsidRDefault="00520D2C" w:rsidP="00260039">
            <w:pPr>
              <w:spacing w:after="0" w:line="240" w:lineRule="auto"/>
              <w:rPr>
                <w:rFonts w:ascii="Times New Roman" w:eastAsia="Times New Roman" w:hAnsi="Times New Roman" w:cs="Times New Roman"/>
                <w:sz w:val="24"/>
                <w:szCs w:val="24"/>
                <w:lang w:eastAsia="fr-FR"/>
              </w:rPr>
            </w:pPr>
          </w:p>
        </w:tc>
      </w:tr>
      <w:tr w:rsidR="00520D2C" w:rsidRPr="00260039" w14:paraId="54940E04" w14:textId="77777777" w:rsidTr="00260039">
        <w:trPr>
          <w:tblCellSpacing w:w="0" w:type="dxa"/>
        </w:trPr>
        <w:tc>
          <w:tcPr>
            <w:tcW w:w="0" w:type="auto"/>
            <w:shd w:val="clear" w:color="auto" w:fill="FFFFFF"/>
            <w:hideMark/>
          </w:tcPr>
          <w:p w14:paraId="481479DE" w14:textId="77777777" w:rsidR="00520D2C" w:rsidRPr="00260039" w:rsidRDefault="00520D2C" w:rsidP="00260039">
            <w:pPr>
              <w:spacing w:after="0" w:line="240" w:lineRule="auto"/>
              <w:rPr>
                <w:rFonts w:ascii="Times New Roman" w:eastAsia="Times New Roman" w:hAnsi="Times New Roman" w:cs="Times New Roman"/>
                <w:sz w:val="20"/>
                <w:szCs w:val="20"/>
                <w:lang w:eastAsia="fr-FR"/>
              </w:rPr>
            </w:pPr>
          </w:p>
        </w:tc>
      </w:tr>
      <w:tr w:rsidR="00520D2C" w:rsidRPr="00260039" w14:paraId="435218D0" w14:textId="77777777" w:rsidTr="00260039">
        <w:trPr>
          <w:tblCellSpacing w:w="0" w:type="dxa"/>
        </w:trPr>
        <w:tc>
          <w:tcPr>
            <w:tcW w:w="0" w:type="auto"/>
            <w:shd w:val="clear" w:color="auto" w:fill="FFFFFF"/>
            <w:hideMark/>
          </w:tcPr>
          <w:tbl>
            <w:tblPr>
              <w:tblW w:w="10360" w:type="dxa"/>
              <w:tblCellSpacing w:w="0" w:type="dxa"/>
              <w:tblCellMar>
                <w:left w:w="0" w:type="dxa"/>
                <w:right w:w="0" w:type="dxa"/>
              </w:tblCellMar>
              <w:tblLook w:val="04A0" w:firstRow="1" w:lastRow="0" w:firstColumn="1" w:lastColumn="0" w:noHBand="0" w:noVBand="1"/>
            </w:tblPr>
            <w:tblGrid>
              <w:gridCol w:w="10360"/>
            </w:tblGrid>
            <w:tr w:rsidR="00520D2C" w:rsidRPr="00260039" w14:paraId="19A9F101" w14:textId="77777777">
              <w:trPr>
                <w:tblCellSpacing w:w="0" w:type="dxa"/>
              </w:trPr>
              <w:tc>
                <w:tcPr>
                  <w:tcW w:w="15" w:type="dxa"/>
                  <w:hideMark/>
                </w:tcPr>
                <w:p w14:paraId="4EEA9D86" w14:textId="77777777" w:rsidR="00520D2C" w:rsidRPr="00260039" w:rsidRDefault="00520D2C" w:rsidP="00260039">
                  <w:pPr>
                    <w:spacing w:after="0" w:line="240" w:lineRule="auto"/>
                    <w:rPr>
                      <w:rFonts w:ascii="Courier New" w:eastAsia="Times New Roman" w:hAnsi="Courier New" w:cs="Courier New"/>
                      <w:color w:val="930F80"/>
                      <w:sz w:val="24"/>
                      <w:szCs w:val="24"/>
                      <w:lang w:eastAsia="fr-FR"/>
                    </w:rPr>
                  </w:pPr>
                  <w:r w:rsidRPr="00260039">
                    <w:rPr>
                      <w:rFonts w:ascii="Courier New" w:eastAsia="Times New Roman" w:hAnsi="Courier New" w:cs="Courier New"/>
                      <w:color w:val="930F80"/>
                      <w:sz w:val="24"/>
                      <w:szCs w:val="24"/>
                      <w:lang w:eastAsia="fr-FR"/>
                    </w:rPr>
                    <w:t xml:space="preserve">&gt; </w:t>
                  </w:r>
                </w:p>
              </w:tc>
            </w:tr>
          </w:tbl>
          <w:p w14:paraId="278F663E" w14:textId="77777777" w:rsidR="00520D2C" w:rsidRPr="00260039" w:rsidRDefault="00520D2C" w:rsidP="00260039">
            <w:pPr>
              <w:spacing w:after="0" w:line="240" w:lineRule="auto"/>
              <w:rPr>
                <w:rFonts w:ascii="Courier New" w:eastAsia="Times New Roman" w:hAnsi="Courier New" w:cs="Courier New"/>
                <w:color w:val="000000"/>
                <w:sz w:val="24"/>
                <w:szCs w:val="24"/>
                <w:lang w:eastAsia="fr-FR"/>
              </w:rPr>
            </w:pPr>
          </w:p>
        </w:tc>
      </w:tr>
    </w:tbl>
    <w:p w14:paraId="3F8EB78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library(dplyr)</w:t>
      </w:r>
    </w:p>
    <w:p w14:paraId="6124B42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xml:space="preserve">&gt; </w:t>
      </w:r>
    </w:p>
    <w:p w14:paraId="58210A4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&gt; # Define all item groups</w:t>
      </w:r>
    </w:p>
    <w:p w14:paraId="0693F6C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AB_items &lt;- c("AB1", "AB2", "AB3", "AB4", "AB5")</w:t>
      </w:r>
    </w:p>
    <w:p w14:paraId="756FC20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CMB_items &lt;- c("CMB1", "CMB2", "CMB3", "CMB4", "CMB5")</w:t>
      </w:r>
    </w:p>
    <w:p w14:paraId="5B728EA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TAB_items &lt;- c("TAP1", "TAP2", "TAP3", "TAP4")</w:t>
      </w:r>
    </w:p>
    <w:p w14:paraId="54D7AB4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EBCH_items &lt;- c("EBCH1", "EBCH2", "EBCH3", "EBCH4", "EBCH5")</w:t>
      </w:r>
    </w:p>
    <w:p w14:paraId="70D1CFD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3C1FC5F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PQP_items &lt;- c("PQP1", "PQP2", "PQP3", "PQP4", "PQP5")</w:t>
      </w:r>
    </w:p>
    <w:p w14:paraId="29FAAAF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PC_items &lt;- c("PC1", "PC2", "PC3", "PC4", "PC5")</w:t>
      </w:r>
    </w:p>
    <w:p w14:paraId="107D807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CA_items &lt;- c("CA1", "CA2", "CA3", "CA4", "CA5")</w:t>
      </w:r>
    </w:p>
    <w:p w14:paraId="39B68B6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AA_items &lt;- c("AA1", "AA2", "AA3", "AA4", "AA5")</w:t>
      </w:r>
    </w:p>
    <w:p w14:paraId="2B0DF7E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51EB654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PBH_items &lt;- c("PBH1", "PBH2", "PBH3", "PBH4", "PBH5")</w:t>
      </w:r>
    </w:p>
    <w:p w14:paraId="4E9A30C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WTNA_items &lt;- c("WTNA1", "WTNA2", "WTNA3", "WTNA4", "WTNA5")</w:t>
      </w:r>
    </w:p>
    <w:p w14:paraId="0C4D710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KDMF_items &lt;- c("KDMF1", "KDMF2", "KDMF3", "KDMF4", "KDMF5")</w:t>
      </w:r>
    </w:p>
    <w:p w14:paraId="11F4BD6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7512FF4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 Combine for variable-level</w:t>
      </w:r>
    </w:p>
    <w:p w14:paraId="74D8C92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BOYCOTT_items &lt;- c(AB_items, CMB_items, TAB_items, EBCH_items)</w:t>
      </w:r>
    </w:p>
    <w:p w14:paraId="3BA975A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APA_items     &lt;- c(PQP_items, PC_items, CA_items, AA_items)</w:t>
      </w:r>
    </w:p>
    <w:p w14:paraId="6F140A3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TCB_items     &lt;- c(PBH_items, WTNA_items, KDMF_items)</w:t>
      </w:r>
    </w:p>
    <w:p w14:paraId="6ED9E6A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387297D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 Define list of all groups</w:t>
      </w:r>
    </w:p>
    <w:p w14:paraId="1F38FB9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groups &lt;- list(</w:t>
      </w:r>
    </w:p>
    <w:p w14:paraId="68187E7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AB = AB_items,</w:t>
      </w:r>
    </w:p>
    <w:p w14:paraId="0EB84DF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CMB = CMB_items,</w:t>
      </w:r>
    </w:p>
    <w:p w14:paraId="4F9388B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TAB = TAB_items,</w:t>
      </w:r>
    </w:p>
    <w:p w14:paraId="69F0D71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EBCH = EBCH_items,</w:t>
      </w:r>
    </w:p>
    <w:p w14:paraId="57780B1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PQP = PQP_items,</w:t>
      </w:r>
    </w:p>
    <w:p w14:paraId="334EF9C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PC = PC_items,</w:t>
      </w:r>
    </w:p>
    <w:p w14:paraId="77D1218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CA = CA_items,</w:t>
      </w:r>
    </w:p>
    <w:p w14:paraId="2CFF466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AA = AA_items,</w:t>
      </w:r>
    </w:p>
    <w:p w14:paraId="583BBC1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PBH = PBH_items,</w:t>
      </w:r>
    </w:p>
    <w:p w14:paraId="06ABE22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WTNA = WTNA_items,</w:t>
      </w:r>
    </w:p>
    <w:p w14:paraId="0B0FA83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KDMF = KDMF_items,</w:t>
      </w:r>
    </w:p>
    <w:p w14:paraId="72B4383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BOYCOTT = BOYCOTT_items,</w:t>
      </w:r>
    </w:p>
    <w:p w14:paraId="06DD7CB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APA = APA_items,</w:t>
      </w:r>
    </w:p>
    <w:p w14:paraId="7A0606C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TCB = TCB_items</w:t>
      </w:r>
    </w:p>
    <w:p w14:paraId="543F67D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w:t>
      </w:r>
    </w:p>
    <w:p w14:paraId="1F7EC79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5DBCDA8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 Function to compute stats for each group</w:t>
      </w:r>
    </w:p>
    <w:p w14:paraId="3119517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compute_stats &lt;- function(data, items, group_name) {</w:t>
      </w:r>
    </w:p>
    <w:p w14:paraId="335791A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cat("\n------------------------------------\n")</w:t>
      </w:r>
    </w:p>
    <w:p w14:paraId="417AC54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cat("Results for:", group_name, "\n")</w:t>
      </w:r>
    </w:p>
    <w:p w14:paraId="1DEFDF7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cat("------------------------------------\n")</w:t>
      </w:r>
    </w:p>
    <w:p w14:paraId="165C661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w:t>
      </w:r>
    </w:p>
    <w:p w14:paraId="71C5715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for (item in items) {</w:t>
      </w:r>
    </w:p>
    <w:p w14:paraId="3E9A39E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values &lt;- data[[item]]</w:t>
      </w:r>
    </w:p>
    <w:p w14:paraId="3DAB186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m &lt;- mean(values, na.rm = TRUE)</w:t>
      </w:r>
    </w:p>
    <w:p w14:paraId="67D4BD1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s &lt;- sd(values, na.rm = TRUE)</w:t>
      </w:r>
    </w:p>
    <w:p w14:paraId="67676E6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260039">
        <w:rPr>
          <w:rFonts w:ascii="Courier New" w:eastAsia="Times New Roman" w:hAnsi="Courier New" w:cs="Courier New"/>
          <w:color w:val="930F80"/>
          <w:sz w:val="20"/>
          <w:szCs w:val="20"/>
          <w:lang w:eastAsia="fr-FR"/>
        </w:rPr>
        <w:t>+         t &lt;- t.test(values, mu = 3)  # Likert midpoint</w:t>
      </w:r>
    </w:p>
    <w:p w14:paraId="06043F9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cat(paste0(item, " | Mean = ", round(m, 2), </w:t>
      </w:r>
    </w:p>
    <w:p w14:paraId="6C083E3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 | SD = ", round(s, 2),</w:t>
      </w:r>
    </w:p>
    <w:p w14:paraId="1347FDA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 | t(", t$parameter, ") = ", round(t$statistic, 2), </w:t>
      </w:r>
    </w:p>
    <w:p w14:paraId="4BDACDB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 p = ", round(t$p.value, 4), "\n"))</w:t>
      </w:r>
    </w:p>
    <w:p w14:paraId="24124AA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w:t>
      </w:r>
    </w:p>
    <w:p w14:paraId="6CC6E7D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w:t>
      </w:r>
    </w:p>
    <w:p w14:paraId="25B8467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 Stats for the whole group as one composite variable</w:t>
      </w:r>
    </w:p>
    <w:p w14:paraId="29753C7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group_mean &lt;- rowMeans(data[, items], na.rm = TRUE)</w:t>
      </w:r>
    </w:p>
    <w:p w14:paraId="119E9D1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m &lt;- mean(group_mean, na.rm = TRUE)</w:t>
      </w:r>
    </w:p>
    <w:p w14:paraId="0CFE5E9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s &lt;- sd(group_mean, na.rm = TRUE)</w:t>
      </w:r>
    </w:p>
    <w:p w14:paraId="157FA6C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t &lt;- t.test(group_mean, mu = 3)</w:t>
      </w:r>
    </w:p>
    <w:p w14:paraId="5D2D73D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cat(paste0("[", group_name, " Composite] | Mean = ", round(m, 2), </w:t>
      </w:r>
    </w:p>
    <w:p w14:paraId="33C2A3C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 | SD = ", round(s, 2),</w:t>
      </w:r>
    </w:p>
    <w:p w14:paraId="4D11CF8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                " | t(", t$parameter, ") = ", round(t$statistic, 2), </w:t>
      </w:r>
    </w:p>
    <w:p w14:paraId="3F5242E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 p = ", round(t$p.value, 4), "\n"))</w:t>
      </w:r>
    </w:p>
    <w:p w14:paraId="51DD9D3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w:t>
      </w:r>
    </w:p>
    <w:p w14:paraId="3DE5262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1AF500C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 Loop through all groups and print results</w:t>
      </w:r>
    </w:p>
    <w:p w14:paraId="442BB9F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&gt; for (grp in names(groups)) {</w:t>
      </w:r>
    </w:p>
    <w:p w14:paraId="5C8B2E1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compute_stats(turkish, groups[[grp]], grp)</w:t>
      </w:r>
    </w:p>
    <w:p w14:paraId="6274535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260039">
        <w:rPr>
          <w:rFonts w:ascii="Courier New" w:eastAsia="Times New Roman" w:hAnsi="Courier New" w:cs="Courier New"/>
          <w:color w:val="930F80"/>
          <w:sz w:val="20"/>
          <w:szCs w:val="20"/>
          <w:lang w:val="en-US" w:eastAsia="fr-FR"/>
        </w:rPr>
        <w:t>+ }</w:t>
      </w:r>
    </w:p>
    <w:p w14:paraId="23AE1DC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9B927B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7F35A22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AB </w:t>
      </w:r>
    </w:p>
    <w:p w14:paraId="479B542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2CF7C11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 Mean = 3.68 | SD = 1.46 | t(207) = 6.75, p = 0</w:t>
      </w:r>
    </w:p>
    <w:p w14:paraId="37B8862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 Mean = 3.39 | SD = 1.34 | t(207) = 4.24, p = 0</w:t>
      </w:r>
    </w:p>
    <w:p w14:paraId="3CFF290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 Mean = 3.83 | SD = 1.33 | t(207) = 8.95, p = 0</w:t>
      </w:r>
    </w:p>
    <w:p w14:paraId="23D51D5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 Mean = 3.11 | SD = 1.23 | t(207) = 1.24, p = 0.2167</w:t>
      </w:r>
    </w:p>
    <w:p w14:paraId="41D2CCB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 Mean = 3.11 | SD = 1.26 | t(207) = 1.27, p = 0.2055</w:t>
      </w:r>
    </w:p>
    <w:p w14:paraId="4F03B6C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 Composite] | Mean = 3.42 | SD = 0.92 | t(207) = 6.64, p = 0</w:t>
      </w:r>
    </w:p>
    <w:p w14:paraId="5C88FD7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E71798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3250171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CMB </w:t>
      </w:r>
    </w:p>
    <w:p w14:paraId="4591DE0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7FEF61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 Mean = 3.59 | SD = 1.46 | t(207) = 5.82, p = 0</w:t>
      </w:r>
    </w:p>
    <w:p w14:paraId="5B3320B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 Mean = 3.56 | SD = 1.47 | t(207) = 5.53, p = 0</w:t>
      </w:r>
    </w:p>
    <w:p w14:paraId="537A5F2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 Mean = 3.57 | SD = 1.43 | t(207) = 5.76, p = 0</w:t>
      </w:r>
    </w:p>
    <w:p w14:paraId="18A112C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 Mean = 2.71 | SD = 1.34 | t(207) = -3.15, p = 0.0019</w:t>
      </w:r>
    </w:p>
    <w:p w14:paraId="7659BA7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 Mean = 3.62 | SD = 1.4 | t(207) = 6.45, p = 0</w:t>
      </w:r>
    </w:p>
    <w:p w14:paraId="6B549D6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 Composite] | Mean = 3.41 | SD = 1.12 | t(207) = 5.29, p = 0</w:t>
      </w:r>
    </w:p>
    <w:p w14:paraId="2827A7F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463EBC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5858EF7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TAB </w:t>
      </w:r>
    </w:p>
    <w:p w14:paraId="66E838B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75D5C2E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 Mean = 3.37 | SD = 1.48 | t(207) = 3.56, p = 5e-04</w:t>
      </w:r>
    </w:p>
    <w:p w14:paraId="24A3687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 Mean = 3.08 | SD = 1.19 | t(207) = 0.94, p = 0.3503</w:t>
      </w:r>
    </w:p>
    <w:p w14:paraId="2BEAA45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 Mean = 3.18 | SD = 1.28 | t(207) = 2.06, p = 0.0408</w:t>
      </w:r>
    </w:p>
    <w:p w14:paraId="63B0AAE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 Mean = 3.16 | SD = 1.25 | t(207) = 1.89, p = 0.0603</w:t>
      </w:r>
    </w:p>
    <w:p w14:paraId="0B982F7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[TAB Composite] | Mean = 3.2 | SD = 1.11 | t(207) = 2.57, p = 0.0109</w:t>
      </w:r>
    </w:p>
    <w:p w14:paraId="6861A4C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4FB10C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2EBF7BC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EBCH </w:t>
      </w:r>
    </w:p>
    <w:p w14:paraId="02FB96A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8D00C1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 Mean = 3.53 | SD = 1.47 | t(207) = 5.19, p = 0</w:t>
      </w:r>
    </w:p>
    <w:p w14:paraId="306DA74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 Mean = 3.35 | SD = 1.44 | t(207) = 3.51, p = 6e-04</w:t>
      </w:r>
    </w:p>
    <w:p w14:paraId="79B6369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 Mean = 3.53 | SD = 1.35 | t(207) = 5.63, p = 0</w:t>
      </w:r>
    </w:p>
    <w:p w14:paraId="5E59A64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 Mean = 3.51 | SD = 1.4 | t(207) = 5.28, p = 0</w:t>
      </w:r>
    </w:p>
    <w:p w14:paraId="304C921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 Mean = 3.52 | SD = 1.33 | t(207) = 5.62, p = 0</w:t>
      </w:r>
    </w:p>
    <w:p w14:paraId="048D3AD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 Composite] | Mean = 3.49 | SD = 1.17 | t(207) = 6, p = 0</w:t>
      </w:r>
    </w:p>
    <w:p w14:paraId="39175D0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0592A0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7AEA09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PQP </w:t>
      </w:r>
    </w:p>
    <w:p w14:paraId="5152B9D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6DB0147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 Mean = 3.05 | SD = 1.27 | t(207) = 0.54, p = 0.5866</w:t>
      </w:r>
    </w:p>
    <w:p w14:paraId="170D1AC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 Mean = 2.96 | SD = 1.17 | t(207) = -0.53, p = 0.5952</w:t>
      </w:r>
    </w:p>
    <w:p w14:paraId="6CC8209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 Mean = 3.08 | SD = 1.15 | t(207) = 1.03, p = 0.3047</w:t>
      </w:r>
    </w:p>
    <w:p w14:paraId="549685A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 Mean = 3.15 | SD = 1.14 | t(207) = 1.95, p = 0.0521</w:t>
      </w:r>
    </w:p>
    <w:p w14:paraId="2D9291B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 Mean = 3.28 | SD = 1.22 | t(207) = 3.34, p = 0.001</w:t>
      </w:r>
    </w:p>
    <w:p w14:paraId="6AECF3D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 Composite] | Mean = 3.1 | SD = 0.98 | t(207) = 1.54, p = 0.1257</w:t>
      </w:r>
    </w:p>
    <w:p w14:paraId="1F53818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19E079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6951D7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PC </w:t>
      </w:r>
    </w:p>
    <w:p w14:paraId="2199401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F3D947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PC1 | Mean = 2.93 | SD = 1.34 | t(207) = -0.73, p = 0.468</w:t>
      </w:r>
    </w:p>
    <w:p w14:paraId="487583B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PC2 | Mean = 3.13 | SD = 1.18 | t(207) = 1.65, p = 0.1014</w:t>
      </w:r>
    </w:p>
    <w:p w14:paraId="5F4A6E8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PC3 | Mean = 3.3 | SD = 1.31 | t(207) = 3.34, p = 0.001</w:t>
      </w:r>
    </w:p>
    <w:p w14:paraId="457E03B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PC4 | Mean = 3.11 | SD = 1.23 | t(207) = 1.29, p = 0.1971</w:t>
      </w:r>
    </w:p>
    <w:p w14:paraId="0E6217F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PC5 | Mean = 3.32 | SD = 1.29 | t(207) = 3.54, p = 5e-04</w:t>
      </w:r>
    </w:p>
    <w:p w14:paraId="643E424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[PC Composite] | Mean = 3.16 | SD = 1.01 | t(207) = 2.28, p = 0.0237</w:t>
      </w:r>
    </w:p>
    <w:p w14:paraId="4382B9E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922874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CAD20D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CA </w:t>
      </w:r>
    </w:p>
    <w:p w14:paraId="68D099D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25AB860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 Mean = 3.21 | SD = 1.36 | t(207) = 2.19, p = 0.0293</w:t>
      </w:r>
    </w:p>
    <w:p w14:paraId="4040C29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 Mean = 2.96 | SD = 1.26 | t(207) = -0.5, p = 0.6209</w:t>
      </w:r>
    </w:p>
    <w:p w14:paraId="0F75AF6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 Mean = 3.1 | SD = 1.22 | t(207) = 1.19, p = 0.2346</w:t>
      </w:r>
    </w:p>
    <w:p w14:paraId="30D639F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 Mean = 3.09 | SD = 1.42 | t(207) = 0.93, p = 0.3545</w:t>
      </w:r>
    </w:p>
    <w:p w14:paraId="257A79C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 Mean = 3.13 | SD = 1.4 | t(207) = 1.39, p = 0.1662</w:t>
      </w:r>
    </w:p>
    <w:p w14:paraId="669E478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 Composite] | Mean = 3.1 | SD = 1.05 | t(207) = 1.34, p = 0.1814</w:t>
      </w:r>
    </w:p>
    <w:p w14:paraId="612A81B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36BE755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43A83EC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AA </w:t>
      </w:r>
    </w:p>
    <w:p w14:paraId="287C5C2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45E7856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 Mean = 3.03 | SD = 1.32 | t(207) = 0.32, p = 0.7527</w:t>
      </w:r>
    </w:p>
    <w:p w14:paraId="5DF4ABD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 Mean = 3.09 | SD = 1.31 | t(207) = 0.95, p = 0.3413</w:t>
      </w:r>
    </w:p>
    <w:p w14:paraId="0E71032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 Mean = 3.38 | SD = 1.33 | t(207) = 4.06, p = 1e-04</w:t>
      </w:r>
    </w:p>
    <w:p w14:paraId="2093349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 Mean = 3.19 | SD = 1.2 | t(207) = 2.32, p = 0.0214</w:t>
      </w:r>
    </w:p>
    <w:p w14:paraId="4A55E9B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 Mean = 3.04 | SD = 1.23 | t(207) = 0.45, p = 0.6527</w:t>
      </w:r>
    </w:p>
    <w:p w14:paraId="5CF2D46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 Composite] | Mean = 3.14 | SD = 1.02 | t(207) = 2.04, p = 0.0429</w:t>
      </w:r>
    </w:p>
    <w:p w14:paraId="6ACC9BC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6824D3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0FD8D19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PBH </w:t>
      </w:r>
    </w:p>
    <w:p w14:paraId="0BED071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1F36B00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 Mean = 3.2 | SD = 1.35 | t(207) = 2.16, p = 0.0318</w:t>
      </w:r>
    </w:p>
    <w:p w14:paraId="100C349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 Mean = 3.62 | SD = 1.29 | t(207) = 6.96, p = 0</w:t>
      </w:r>
    </w:p>
    <w:p w14:paraId="3F497CB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 Mean = 3.67 | SD = 1.3 | t(207) = 7.49, p = 0</w:t>
      </w:r>
    </w:p>
    <w:p w14:paraId="01422A6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 Mean = 3.69 | SD = 1.1 | t(207) = 9.12, p = 0</w:t>
      </w:r>
    </w:p>
    <w:p w14:paraId="6260CA6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 Mean = 2.84 | SD = 1.42 | t(207) = -1.61, p = 0.1088</w:t>
      </w:r>
    </w:p>
    <w:p w14:paraId="3641418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 Composite] | Mean = 3.41 | SD = 0.87 | t(207) = 6.73, p = 0</w:t>
      </w:r>
    </w:p>
    <w:p w14:paraId="007BF69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EAFE62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2D1E5F0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WTNA </w:t>
      </w:r>
    </w:p>
    <w:p w14:paraId="01319A7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66FF27B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 Mean = 3.85 | SD = 1.32 | t(207) = 9.33, p = 0</w:t>
      </w:r>
    </w:p>
    <w:p w14:paraId="65A3C2A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 Mean = 3.7 | SD = 1.21 | t(207) = 8.3, p = 0</w:t>
      </w:r>
    </w:p>
    <w:p w14:paraId="566F779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 Mean = 3.7 | SD = 1.18 | t(207) = 8.5, p = 0</w:t>
      </w:r>
    </w:p>
    <w:p w14:paraId="0D4B4CB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 Mean = 3.38 | SD = 1.2 | t(207) = 4.57, p = 0</w:t>
      </w:r>
    </w:p>
    <w:p w14:paraId="1CCB148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 Mean = 3.29 | SD = 1.29 | t(207) = 3.28, p = 0.0012</w:t>
      </w:r>
    </w:p>
    <w:p w14:paraId="35DF1ED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 Composite] | Mean = 3.58 | SD = 0.93 | t(207) = 9.08, p = 0</w:t>
      </w:r>
    </w:p>
    <w:p w14:paraId="4BADEC0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A439F0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3F39BAD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KDMF </w:t>
      </w:r>
    </w:p>
    <w:p w14:paraId="24C2CE3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606EA9B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 Mean = 3.21 | SD = 1.2 | t(207) = 2.54, p = 0.0118</w:t>
      </w:r>
    </w:p>
    <w:p w14:paraId="10729E9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 Mean = 3.72 | SD = 1.19 | t(207) = 8.69, p = 0</w:t>
      </w:r>
    </w:p>
    <w:p w14:paraId="183BB68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 Mean = 3.35 | SD = 1.28 | t(207) = 3.95, p = 1e-04</w:t>
      </w:r>
    </w:p>
    <w:p w14:paraId="45D6AD3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 Mean = 3.21 | SD = 1.18 | t(207) = 2.53, p = 0.0122</w:t>
      </w:r>
    </w:p>
    <w:p w14:paraId="57C0E69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 Mean = 3.79 | SD = 1.15 | t(207) = 9.98, p = 0</w:t>
      </w:r>
    </w:p>
    <w:p w14:paraId="1E5AD1C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 Composite] | Mean = 3.46 | SD = 0.85 | t(207) = 7.75, p = 0</w:t>
      </w:r>
    </w:p>
    <w:p w14:paraId="1D2E652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7EA98C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1DF3D27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BOYCOTT </w:t>
      </w:r>
    </w:p>
    <w:p w14:paraId="2DDD5C8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2034276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AB1 | Mean = 3.68 | SD = 1.46 | t(207) = 6.75, p = 0</w:t>
      </w:r>
    </w:p>
    <w:p w14:paraId="0BD7506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AB2 | Mean = 3.39 | SD = 1.34 | t(207) = 4.24, p = 0</w:t>
      </w:r>
    </w:p>
    <w:p w14:paraId="5E34B15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AB3 | Mean = 3.83 | SD = 1.33 | t(207) = 8.95, p = 0</w:t>
      </w:r>
    </w:p>
    <w:p w14:paraId="2685729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AB4 | Mean = 3.11 | SD = 1.23 | t(207) = 1.24, p = 0.2167</w:t>
      </w:r>
    </w:p>
    <w:p w14:paraId="6888CB1D"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AB5 | Mean = 3.11 | SD = 1.26 | t(207) = 1.27, p = 0.2055</w:t>
      </w:r>
    </w:p>
    <w:p w14:paraId="62E4F85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CMB1 | Mean = 3.59 | SD = 1.46 | t(207) = 5.82, p = 0</w:t>
      </w:r>
    </w:p>
    <w:p w14:paraId="0518158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CMB2 | Mean = 3.56 | SD = 1.47 | t(207) = 5.53, p = 0</w:t>
      </w:r>
    </w:p>
    <w:p w14:paraId="07FE691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CMB3 | Mean = 3.57 | SD = 1.43 | t(207) = 5.76, p = 0</w:t>
      </w:r>
    </w:p>
    <w:p w14:paraId="4612155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CMB4 | Mean = 2.71 | SD = 1.34 | t(207) = -3.15, p = 0.0019</w:t>
      </w:r>
    </w:p>
    <w:p w14:paraId="3EC93B6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CMB5 | Mean = 3.62 | SD = 1.4 | t(207) = 6.45, p = 0</w:t>
      </w:r>
    </w:p>
    <w:p w14:paraId="48F8392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TAP1 | Mean = 3.37 | SD = 1.48 | t(207) = 3.56, p = 5e-04</w:t>
      </w:r>
    </w:p>
    <w:p w14:paraId="75B668F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TAP2 | Mean = 3.08 | SD = 1.19 | t(207) = 0.94, p = 0.3503</w:t>
      </w:r>
    </w:p>
    <w:p w14:paraId="71E66C2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TAP3 | Mean = 3.18 | SD = 1.28 | t(207) = 2.06, p = 0.0408</w:t>
      </w:r>
    </w:p>
    <w:p w14:paraId="2FCF0D1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TAP4 | Mean = 3.16 | SD = 1.25 | t(207) = 1.89, p = 0.0603</w:t>
      </w:r>
    </w:p>
    <w:p w14:paraId="353558B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EBCH1 | Mean = 3.53 | SD = 1.47 | t(207) = 5.19, p = 0</w:t>
      </w:r>
    </w:p>
    <w:p w14:paraId="5A990A8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EBCH2 | Mean = 3.35 | SD = 1.44 | t(207) = 3.51, p = 6e-04</w:t>
      </w:r>
    </w:p>
    <w:p w14:paraId="3C365AD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EBCH3 | Mean = 3.53 | SD = 1.35 | t(207) = 5.63, p = 0</w:t>
      </w:r>
    </w:p>
    <w:p w14:paraId="0C4732D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EBCH4 | Mean = 3.51 | SD = 1.4 | t(207) = 5.28, p = 0</w:t>
      </w:r>
    </w:p>
    <w:p w14:paraId="2275071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EBCH5 | Mean = 3.52 | SD = 1.33 | t(207) = 5.62, p = 0</w:t>
      </w:r>
    </w:p>
    <w:p w14:paraId="7E9DD9A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[BOYCOTT Composite] | Mean = 3.39 | SD = 0.95 | t(207) = 5.93, p = 0</w:t>
      </w:r>
    </w:p>
    <w:p w14:paraId="08B4469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704139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4270B62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APA </w:t>
      </w:r>
    </w:p>
    <w:p w14:paraId="7908499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4DFBD669"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PQP1 | Mean = 3.05 | SD = 1.27 | t(207) = 0.54, p = 0.5866</w:t>
      </w:r>
    </w:p>
    <w:p w14:paraId="515D4898"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PQP2 | Mean = 2.96 | SD = 1.17 | t(207) = -0.53, p = 0.5952</w:t>
      </w:r>
    </w:p>
    <w:p w14:paraId="02B6CFE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PQP3 | Mean = 3.08 | SD = 1.15 | t(207) = 1.03, p = 0.3047</w:t>
      </w:r>
    </w:p>
    <w:p w14:paraId="3A51AA5A"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PQP4 | Mean = 3.15 | SD = 1.14 | t(207) = 1.95, p = 0.0521</w:t>
      </w:r>
    </w:p>
    <w:p w14:paraId="6A0120B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PQP5 | Mean = 3.28 | SD = 1.22 | t(207) = 3.34, p = 0.001</w:t>
      </w:r>
    </w:p>
    <w:p w14:paraId="48507A59" w14:textId="77777777" w:rsidR="00520D2C" w:rsidRPr="00EB482A"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PC1 | Mean = 2.93 | SD = 1.34 | t(207) = -0.73, p = 0.468</w:t>
      </w:r>
    </w:p>
    <w:p w14:paraId="527283D2" w14:textId="77777777" w:rsidR="00520D2C" w:rsidRPr="00EB482A"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PC2 | Mean = 3.13 | SD = 1.18 | t(207) = 1.65, p = 0.1014</w:t>
      </w:r>
    </w:p>
    <w:p w14:paraId="0E37E0D0" w14:textId="77777777" w:rsidR="00520D2C" w:rsidRPr="00EB482A"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PC3 | Mean = 3.3 | SD = 1.31 | t(207) = 3.34, p = 0.001</w:t>
      </w:r>
    </w:p>
    <w:p w14:paraId="10B85705" w14:textId="77777777" w:rsidR="00520D2C" w:rsidRPr="00EB482A"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PC4 | Mean = 3.11 | SD = 1.23 | t(207) = 1.29, p = 0.1971</w:t>
      </w:r>
    </w:p>
    <w:p w14:paraId="0AEF0AED" w14:textId="77777777" w:rsidR="00520D2C" w:rsidRPr="00EB482A"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PC5 | Mean = 3.32 | SD = 1.29 | t(207) = 3.54, p = 5e-04</w:t>
      </w:r>
    </w:p>
    <w:p w14:paraId="0F82CAB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CA1 | Mean = 3.21 | SD = 1.36 | t(207) = 2.19, p = 0.0293</w:t>
      </w:r>
    </w:p>
    <w:p w14:paraId="27A887A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CA2 | Mean = 2.96 | SD = 1.26 | t(207) = -0.5, p = 0.6209</w:t>
      </w:r>
    </w:p>
    <w:p w14:paraId="076A01F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CA3 | Mean = 3.1 | SD = 1.22 | t(207) = 1.19, p = 0.2346</w:t>
      </w:r>
    </w:p>
    <w:p w14:paraId="08D94B5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CA4 | Mean = 3.09 | SD = 1.42 | t(207) = 0.93, p = 0.3545</w:t>
      </w:r>
    </w:p>
    <w:p w14:paraId="132B81A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CA5 | Mean = 3.13 | SD = 1.4 | t(207) = 1.39, p = 0.1662</w:t>
      </w:r>
    </w:p>
    <w:p w14:paraId="0719969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AA1 | Mean = 3.03 | SD = 1.32 | t(207) = 0.32, p = 0.7527</w:t>
      </w:r>
    </w:p>
    <w:p w14:paraId="7BB4190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AA2 | Mean = 3.09 | SD = 1.31 | t(207) = 0.95, p = 0.3413</w:t>
      </w:r>
    </w:p>
    <w:p w14:paraId="4730A4B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AA3 | Mean = 3.38 | SD = 1.33 | t(207) = 4.06, p = 1e-04</w:t>
      </w:r>
    </w:p>
    <w:p w14:paraId="302AE60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AA4 | Mean = 3.19 | SD = 1.2 | t(207) = 2.32, p = 0.0214</w:t>
      </w:r>
    </w:p>
    <w:p w14:paraId="78C8730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AA5 | Mean = 3.04 | SD = 1.23 | t(207) = 0.45, p = 0.6527</w:t>
      </w:r>
    </w:p>
    <w:p w14:paraId="3CF30DB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260039">
        <w:rPr>
          <w:rFonts w:ascii="Courier New" w:eastAsia="Times New Roman" w:hAnsi="Courier New" w:cs="Courier New"/>
          <w:color w:val="000000"/>
          <w:sz w:val="20"/>
          <w:szCs w:val="20"/>
          <w:bdr w:val="none" w:sz="0" w:space="0" w:color="auto" w:frame="1"/>
          <w:lang w:eastAsia="fr-FR"/>
        </w:rPr>
        <w:t>[APA Composite] | Mean = 3.13 | SD = 0.87 | t(207) = 2.09, p = 0.0378</w:t>
      </w:r>
    </w:p>
    <w:p w14:paraId="53613A42"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5404D29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580FB1D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 xml:space="preserve">Results for: TCB </w:t>
      </w:r>
    </w:p>
    <w:p w14:paraId="6D2552E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
      </w:r>
    </w:p>
    <w:p w14:paraId="4BEB2A2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PBH1 | Mean = 3.2 | SD = 1.35 | t(207) = 2.16, p = 0.0318</w:t>
      </w:r>
    </w:p>
    <w:p w14:paraId="17BE300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PBH2 | Mean = 3.62 | SD = 1.29 | t(207) = 6.96, p = 0</w:t>
      </w:r>
    </w:p>
    <w:p w14:paraId="764660E6"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PBH3 | Mean = 3.67 | SD = 1.3 | t(207) = 7.49, p = 0</w:t>
      </w:r>
    </w:p>
    <w:p w14:paraId="05005344"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PBH4 | Mean = 3.69 | SD = 1.1 | t(207) = 9.12, p = 0</w:t>
      </w:r>
    </w:p>
    <w:p w14:paraId="788706FB"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PBH5 | Mean = 2.84 | SD = 1.42 | t(207) = -1.61, p = 0.1088</w:t>
      </w:r>
    </w:p>
    <w:p w14:paraId="6F23BC9F"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WTNA1 | Mean = 3.85 | SD = 1.32 | t(207) = 9.33, p = 0</w:t>
      </w:r>
    </w:p>
    <w:p w14:paraId="49082043"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WTNA2 | Mean = 3.7 | SD = 1.21 | t(207) = 8.3, p = 0</w:t>
      </w:r>
    </w:p>
    <w:p w14:paraId="57CA97F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WTNA3 | Mean = 3.7 | SD = 1.18 | t(207) = 8.5, p = 0</w:t>
      </w:r>
    </w:p>
    <w:p w14:paraId="1234883E"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WTNA4 | Mean = 3.38 | SD = 1.2 | t(207) = 4.57, p = 0</w:t>
      </w:r>
    </w:p>
    <w:p w14:paraId="045B7E21"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WTNA5 | Mean = 3.29 | SD = 1.29 | t(207) = 3.28, p = 0.0012</w:t>
      </w:r>
    </w:p>
    <w:p w14:paraId="45027607"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KDMF1 | Mean = 3.21 | SD = 1.2 | t(207) = 2.54, p = 0.0118</w:t>
      </w:r>
    </w:p>
    <w:p w14:paraId="0A76D3A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KDMF2 | Mean = 3.72 | SD = 1.19 | t(207) = 8.69, p = 0</w:t>
      </w:r>
    </w:p>
    <w:p w14:paraId="0BA31AE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KDMF3 | Mean = 3.35 | SD = 1.28 | t(207) = 3.95, p = 1e-04</w:t>
      </w:r>
    </w:p>
    <w:p w14:paraId="0B4B798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KDMF4 | Mean = 3.21 | SD = 1.18 | t(207) = 2.53, p = 0.0122</w:t>
      </w:r>
    </w:p>
    <w:p w14:paraId="69818AE0"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KDMF5 | Mean = 3.79 | SD = 1.15 | t(207) = 9.98, p = 0</w:t>
      </w:r>
    </w:p>
    <w:p w14:paraId="29B9AFFC"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260039">
        <w:rPr>
          <w:rFonts w:ascii="Courier New" w:eastAsia="Times New Roman" w:hAnsi="Courier New" w:cs="Courier New"/>
          <w:color w:val="000000"/>
          <w:sz w:val="20"/>
          <w:szCs w:val="20"/>
          <w:bdr w:val="none" w:sz="0" w:space="0" w:color="auto" w:frame="1"/>
          <w:lang w:val="en-US" w:eastAsia="fr-FR"/>
        </w:rPr>
        <w:t>[TCB Composite] | Mean = 3.48 | SD = 0.79 | t(207) = 8.81, p = 0</w:t>
      </w:r>
    </w:p>
    <w:p w14:paraId="53A10CA5" w14:textId="77777777" w:rsidR="00520D2C" w:rsidRPr="00260039" w:rsidRDefault="00520D2C" w:rsidP="002600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lang w:val="en-US" w:eastAsia="fr-FR"/>
        </w:rPr>
      </w:pPr>
      <w:r w:rsidRPr="00260039">
        <w:rPr>
          <w:rFonts w:ascii="Courier New" w:eastAsia="Times New Roman" w:hAnsi="Courier New" w:cs="Courier New"/>
          <w:color w:val="930F80"/>
          <w:sz w:val="20"/>
          <w:szCs w:val="20"/>
          <w:lang w:val="en-US" w:eastAsia="fr-FR"/>
        </w:rPr>
        <w:t xml:space="preserve">&gt; </w:t>
      </w:r>
    </w:p>
    <w:p w14:paraId="646EF553"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e3b"/>
          <w:color w:val="930F80"/>
          <w:lang w:val="en-US"/>
        </w:rPr>
        <w:t># regression</w:t>
      </w:r>
    </w:p>
    <w:p w14:paraId="0FC653C3"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 Simple linear regression: TCB as dependent, BOYCOTT as independent</w:t>
      </w:r>
    </w:p>
    <w:p w14:paraId="468814D0"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model &lt;- lm(TCB ~ BOYCOTT, data = turkish)</w:t>
      </w:r>
    </w:p>
    <w:p w14:paraId="6D935982"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p>
    <w:p w14:paraId="48DDCA49"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 Show summary of regression model</w:t>
      </w:r>
    </w:p>
    <w:p w14:paraId="7FA6284F"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summary(model)</w:t>
      </w:r>
    </w:p>
    <w:p w14:paraId="24655E14"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5FD6F703"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Call:</w:t>
      </w:r>
    </w:p>
    <w:p w14:paraId="54CF0E72"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lm(formula = TCB ~ BOYCOTT, data = turkish)</w:t>
      </w:r>
    </w:p>
    <w:p w14:paraId="266A1BE2"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4FBC793A"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Residuals:</w:t>
      </w:r>
    </w:p>
    <w:p w14:paraId="0C8394E5"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     Min       1Q   Median       3Q      Max </w:t>
      </w:r>
    </w:p>
    <w:p w14:paraId="2EF3BB1B"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-1.39498 -0.28253 -0.05264  0.26004  2.70794 </w:t>
      </w:r>
    </w:p>
    <w:p w14:paraId="575DD133"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452F7BE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Coefficients:</w:t>
      </w:r>
    </w:p>
    <w:p w14:paraId="49B20A3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            Estimate Std. Error t value Pr(&gt;|t|)    </w:t>
      </w:r>
    </w:p>
    <w:p w14:paraId="4E3FA984"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(Intercept)  1.62646    0.15307   10.63   &lt;2e-16 ***</w:t>
      </w:r>
    </w:p>
    <w:p w14:paraId="7B57013F"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BOYCOTT      0.54894    0.04361   12.59   &lt;2e-16 ***</w:t>
      </w:r>
    </w:p>
    <w:p w14:paraId="53D7B4F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w:t>
      </w:r>
    </w:p>
    <w:p w14:paraId="1547255B"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19449B">
        <w:rPr>
          <w:rStyle w:val="gntyacmbo3b"/>
          <w:color w:val="000000"/>
          <w:bdr w:val="none" w:sz="0" w:space="0" w:color="auto" w:frame="1"/>
        </w:rPr>
        <w:t xml:space="preserve">Signif. codes:  0 ‘***’ 0.001 ‘**’ 0.01 ‘*’ 0.05 ‘.’ </w:t>
      </w:r>
      <w:r w:rsidRPr="00260039">
        <w:rPr>
          <w:rStyle w:val="gntyacmbo3b"/>
          <w:color w:val="000000"/>
          <w:bdr w:val="none" w:sz="0" w:space="0" w:color="auto" w:frame="1"/>
          <w:lang w:val="en-US"/>
        </w:rPr>
        <w:t>0.1 ‘ ’ 1</w:t>
      </w:r>
    </w:p>
    <w:p w14:paraId="6570C68F"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327E4620"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Residual standard error: 0.5945 on 206 degrees of freedom</w:t>
      </w:r>
    </w:p>
    <w:p w14:paraId="3154FBD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Multiple R-squared:  0.4348,</w:t>
      </w:r>
      <w:r w:rsidRPr="00260039">
        <w:rPr>
          <w:rStyle w:val="gntyacmbo3b"/>
          <w:color w:val="000000"/>
          <w:bdr w:val="none" w:sz="0" w:space="0" w:color="auto" w:frame="1"/>
          <w:lang w:val="en-US"/>
        </w:rPr>
        <w:tab/>
        <w:t xml:space="preserve">Adjusted R-squared:  0.432 </w:t>
      </w:r>
    </w:p>
    <w:p w14:paraId="244F16A4"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F-statistic: 158.5 on 1 and 206 DF,  p-value: &lt; 2.2e-16</w:t>
      </w:r>
    </w:p>
    <w:p w14:paraId="092464C1"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5439E50D"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p>
    <w:p w14:paraId="4C15129E"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r>
        <w:rPr>
          <w:rStyle w:val="gntyacmbe3b"/>
          <w:color w:val="930F80"/>
        </w:rPr>
        <w:t xml:space="preserve"># </w:t>
      </w:r>
      <w:r>
        <w:rPr>
          <w:rStyle w:val="gntyacmbe3b"/>
          <w:color w:val="930F80"/>
          <w:rtl/>
        </w:rPr>
        <w:t>انحدار بسيط بين</w:t>
      </w:r>
      <w:r>
        <w:rPr>
          <w:rStyle w:val="gntyacmbe3b"/>
          <w:color w:val="930F80"/>
        </w:rPr>
        <w:t xml:space="preserve"> BOYCOTT </w:t>
      </w:r>
      <w:r>
        <w:rPr>
          <w:rStyle w:val="gntyacmbe3b"/>
          <w:color w:val="930F80"/>
          <w:rtl/>
        </w:rPr>
        <w:t>و</w:t>
      </w:r>
      <w:r>
        <w:rPr>
          <w:rStyle w:val="gntyacmbe3b"/>
          <w:color w:val="930F80"/>
        </w:rPr>
        <w:t xml:space="preserve"> TCB</w:t>
      </w:r>
    </w:p>
    <w:p w14:paraId="5F780AA4"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model &lt;- lm(TCB ~ BOYCOTT, data = turkish)</w:t>
      </w:r>
    </w:p>
    <w:p w14:paraId="1B3D2E37"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p>
    <w:p w14:paraId="1522B865"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r>
        <w:rPr>
          <w:rStyle w:val="gntyacmbe3b"/>
          <w:color w:val="930F80"/>
        </w:rPr>
        <w:t xml:space="preserve"># </w:t>
      </w:r>
      <w:r>
        <w:rPr>
          <w:rStyle w:val="gntyacmbe3b"/>
          <w:color w:val="930F80"/>
          <w:rtl/>
        </w:rPr>
        <w:t>طباعة ملخص النموذج</w:t>
      </w:r>
    </w:p>
    <w:p w14:paraId="7008A7F2"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r>
        <w:rPr>
          <w:rStyle w:val="gntyacmbe3b"/>
          <w:color w:val="930F80"/>
        </w:rPr>
        <w:t>summary(model)</w:t>
      </w:r>
    </w:p>
    <w:p w14:paraId="171FE408" w14:textId="77777777" w:rsidR="00520D2C" w:rsidRDefault="00520D2C" w:rsidP="00260039">
      <w:pPr>
        <w:pStyle w:val="HTMLPreformatted"/>
        <w:shd w:val="clear" w:color="auto" w:fill="FFFFFF"/>
        <w:wordWrap w:val="0"/>
        <w:rPr>
          <w:rStyle w:val="gntyacmbo3b"/>
          <w:color w:val="000000"/>
          <w:bdr w:val="none" w:sz="0" w:space="0" w:color="auto" w:frame="1"/>
        </w:rPr>
      </w:pPr>
    </w:p>
    <w:p w14:paraId="3D7BB6C9"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Call:</w:t>
      </w:r>
    </w:p>
    <w:p w14:paraId="4E20197B"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lm(formula = TCB ~ BOYCOTT, data = turkish)</w:t>
      </w:r>
    </w:p>
    <w:p w14:paraId="407E6311"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4BAB65C8"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Residuals:</w:t>
      </w:r>
    </w:p>
    <w:p w14:paraId="096C84FF"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     Min       1Q   Median       3Q      Max </w:t>
      </w:r>
    </w:p>
    <w:p w14:paraId="2336EE39"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-1.39498 -0.28253 -0.05264  0.26004  2.70794 </w:t>
      </w:r>
    </w:p>
    <w:p w14:paraId="0D5DD468"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63AA4922"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Coefficients:</w:t>
      </w:r>
    </w:p>
    <w:p w14:paraId="16C495C4"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            Estimate Std. Error t value Pr(&gt;|t|)    </w:t>
      </w:r>
    </w:p>
    <w:p w14:paraId="0EB22FB6"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(Intercept)  1.62646    0.15307   10.63   &lt;2e-16 ***</w:t>
      </w:r>
    </w:p>
    <w:p w14:paraId="64DD12BC"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BOYCOTT      0.54894    0.04361   12.59   &lt;2e-16 ***</w:t>
      </w:r>
    </w:p>
    <w:p w14:paraId="1024AA4A"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w:t>
      </w:r>
    </w:p>
    <w:p w14:paraId="69A59340"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19449B">
        <w:rPr>
          <w:rStyle w:val="gntyacmbo3b"/>
          <w:color w:val="000000"/>
          <w:bdr w:val="none" w:sz="0" w:space="0" w:color="auto" w:frame="1"/>
        </w:rPr>
        <w:t xml:space="preserve">Signif. codes:  0 ‘***’ 0.001 ‘**’ 0.01 ‘*’ 0.05 ‘.’ </w:t>
      </w:r>
      <w:r w:rsidRPr="00260039">
        <w:rPr>
          <w:rStyle w:val="gntyacmbo3b"/>
          <w:color w:val="000000"/>
          <w:bdr w:val="none" w:sz="0" w:space="0" w:color="auto" w:frame="1"/>
          <w:lang w:val="en-US"/>
        </w:rPr>
        <w:t>0.1 ‘ ’ 1</w:t>
      </w:r>
    </w:p>
    <w:p w14:paraId="100EEB33"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2761BB0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Residual standard error: 0.5945 on 206 degrees of freedom</w:t>
      </w:r>
    </w:p>
    <w:p w14:paraId="6B51AC0D"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Multiple R-squared:  0.4348,</w:t>
      </w:r>
      <w:r w:rsidRPr="00260039">
        <w:rPr>
          <w:rStyle w:val="gntyacmbo3b"/>
          <w:color w:val="000000"/>
          <w:bdr w:val="none" w:sz="0" w:space="0" w:color="auto" w:frame="1"/>
          <w:lang w:val="en-US"/>
        </w:rPr>
        <w:tab/>
        <w:t xml:space="preserve">Adjusted R-squared:  0.432 </w:t>
      </w:r>
    </w:p>
    <w:p w14:paraId="37424FC1"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F-statistic: 158.5 on 1 and 206 DF,  p-value: &lt; 2.2e-16</w:t>
      </w:r>
    </w:p>
    <w:p w14:paraId="05FA81A6"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p>
    <w:p w14:paraId="764C6B4F"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p>
    <w:p w14:paraId="6CBDA3C4"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 xml:space="preserve"># </w:t>
      </w:r>
      <w:r>
        <w:rPr>
          <w:rStyle w:val="gntyacmbe3b"/>
          <w:color w:val="930F80"/>
          <w:rtl/>
        </w:rPr>
        <w:t>حساب</w:t>
      </w:r>
      <w:r w:rsidRPr="00260039">
        <w:rPr>
          <w:rStyle w:val="gntyacmbe3b"/>
          <w:color w:val="930F80"/>
          <w:lang w:val="en-US"/>
        </w:rPr>
        <w:t xml:space="preserve"> R² </w:t>
      </w:r>
      <w:r>
        <w:rPr>
          <w:rStyle w:val="gntyacmbe3b"/>
          <w:color w:val="930F80"/>
          <w:rtl/>
        </w:rPr>
        <w:t>و</w:t>
      </w:r>
      <w:r w:rsidRPr="00260039">
        <w:rPr>
          <w:rStyle w:val="gntyacmbe3b"/>
          <w:color w:val="930F80"/>
          <w:lang w:val="en-US"/>
        </w:rPr>
        <w:t xml:space="preserve"> R</w:t>
      </w:r>
    </w:p>
    <w:p w14:paraId="42408FF6"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r_squared &lt;- summary(model)$r.squared</w:t>
      </w:r>
    </w:p>
    <w:p w14:paraId="41DFB0A6"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r &lt;- sqrt(r_squared)</w:t>
      </w:r>
    </w:p>
    <w:p w14:paraId="3D88B9CE"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p>
    <w:p w14:paraId="414CE416"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 xml:space="preserve"># </w:t>
      </w:r>
      <w:r>
        <w:rPr>
          <w:rStyle w:val="gntyacmbe3b"/>
          <w:color w:val="930F80"/>
          <w:rtl/>
        </w:rPr>
        <w:t>طباعة النتائج</w:t>
      </w:r>
    </w:p>
    <w:p w14:paraId="3DD6E813"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cat("R-squared =", r_squared, "\n")</w:t>
      </w:r>
    </w:p>
    <w:p w14:paraId="7891F0B3" w14:textId="77777777" w:rsidR="00520D2C" w:rsidRPr="00260039" w:rsidRDefault="00520D2C" w:rsidP="00260039">
      <w:pPr>
        <w:pStyle w:val="HTMLPreformatted"/>
        <w:shd w:val="clear" w:color="auto" w:fill="FFFFFF"/>
        <w:wordWrap w:val="0"/>
        <w:rPr>
          <w:rStyle w:val="gntyacmbo3b"/>
          <w:color w:val="000000"/>
          <w:bdr w:val="none" w:sz="0" w:space="0" w:color="auto" w:frame="1"/>
          <w:lang w:val="en-US"/>
        </w:rPr>
      </w:pPr>
      <w:r w:rsidRPr="00260039">
        <w:rPr>
          <w:rStyle w:val="gntyacmbo3b"/>
          <w:color w:val="000000"/>
          <w:bdr w:val="none" w:sz="0" w:space="0" w:color="auto" w:frame="1"/>
          <w:lang w:val="en-US"/>
        </w:rPr>
        <w:t xml:space="preserve">R-squared = 0.4347783 </w:t>
      </w:r>
    </w:p>
    <w:p w14:paraId="11CBEE07"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cat("R =", r, "\n")</w:t>
      </w:r>
    </w:p>
    <w:p w14:paraId="577744B4" w14:textId="77777777" w:rsidR="00520D2C" w:rsidRPr="009535A4" w:rsidRDefault="00520D2C" w:rsidP="00260039">
      <w:pPr>
        <w:pStyle w:val="HTMLPreformatted"/>
        <w:shd w:val="clear" w:color="auto" w:fill="FFFFFF"/>
        <w:wordWrap w:val="0"/>
        <w:rPr>
          <w:rStyle w:val="gntyacmbo3b"/>
          <w:color w:val="000000"/>
          <w:bdr w:val="none" w:sz="0" w:space="0" w:color="auto" w:frame="1"/>
          <w:lang w:val="en-GB"/>
        </w:rPr>
      </w:pPr>
      <w:r w:rsidRPr="009535A4">
        <w:rPr>
          <w:rStyle w:val="gntyacmbo3b"/>
          <w:color w:val="000000"/>
          <w:bdr w:val="none" w:sz="0" w:space="0" w:color="auto" w:frame="1"/>
          <w:lang w:val="en-GB"/>
        </w:rPr>
        <w:t xml:space="preserve">R = 0.6593772 </w:t>
      </w:r>
    </w:p>
    <w:p w14:paraId="15939625"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p>
    <w:p w14:paraId="59F3BA5E" w14:textId="77777777" w:rsidR="00520D2C" w:rsidRDefault="00520D2C" w:rsidP="00260039">
      <w:pPr>
        <w:pStyle w:val="HTMLPreformatted"/>
        <w:shd w:val="clear" w:color="auto" w:fill="FFFFFF"/>
        <w:wordWrap w:val="0"/>
        <w:rPr>
          <w:rStyle w:val="gntyacmbe3b"/>
          <w:color w:val="930F80"/>
        </w:rPr>
      </w:pPr>
      <w:r>
        <w:rPr>
          <w:rStyle w:val="gntyacmbf4b"/>
          <w:color w:val="930F80"/>
        </w:rPr>
        <w:t xml:space="preserve">&gt; </w:t>
      </w:r>
      <w:r>
        <w:rPr>
          <w:rStyle w:val="gntyacmbe3b"/>
          <w:color w:val="930F80"/>
        </w:rPr>
        <w:t xml:space="preserve"># </w:t>
      </w:r>
      <w:r>
        <w:rPr>
          <w:rStyle w:val="gntyacmbe3b"/>
          <w:color w:val="930F80"/>
          <w:rtl/>
        </w:rPr>
        <w:t>رسم العلاقة مع خط الانحدار</w:t>
      </w:r>
    </w:p>
    <w:p w14:paraId="76419970"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library(ggplot2)</w:t>
      </w:r>
    </w:p>
    <w:p w14:paraId="4DA8501A" w14:textId="77777777" w:rsidR="00520D2C" w:rsidRPr="00260039" w:rsidRDefault="00520D2C" w:rsidP="00260039">
      <w:pPr>
        <w:pStyle w:val="HTMLPreformatted"/>
        <w:shd w:val="clear" w:color="auto" w:fill="FFFFFF"/>
        <w:wordWrap w:val="0"/>
        <w:rPr>
          <w:rStyle w:val="gntyacmbi3b"/>
          <w:color w:val="585CF6"/>
          <w:lang w:val="en-US"/>
        </w:rPr>
      </w:pPr>
    </w:p>
    <w:p w14:paraId="4D15DD5F" w14:textId="77777777" w:rsidR="00520D2C" w:rsidRPr="00260039" w:rsidRDefault="00520D2C" w:rsidP="00260039">
      <w:pPr>
        <w:pStyle w:val="HTMLPreformatted"/>
        <w:shd w:val="clear" w:color="auto" w:fill="FFFFFF"/>
        <w:wordWrap w:val="0"/>
        <w:rPr>
          <w:rStyle w:val="gntyacmbi3b"/>
          <w:color w:val="585CF6"/>
          <w:lang w:val="en-US"/>
        </w:rPr>
      </w:pPr>
      <w:r w:rsidRPr="00260039">
        <w:rPr>
          <w:rStyle w:val="gntyacmbi3b"/>
          <w:color w:val="585CF6"/>
          <w:lang w:val="en-US"/>
        </w:rPr>
        <w:t>Attaching package: ‘ggplot2’</w:t>
      </w:r>
    </w:p>
    <w:p w14:paraId="5ADA5CE0" w14:textId="77777777" w:rsidR="00520D2C" w:rsidRPr="00260039" w:rsidRDefault="00520D2C" w:rsidP="00260039">
      <w:pPr>
        <w:pStyle w:val="HTMLPreformatted"/>
        <w:shd w:val="clear" w:color="auto" w:fill="FFFFFF"/>
        <w:wordWrap w:val="0"/>
        <w:rPr>
          <w:rStyle w:val="gntyacmbi3b"/>
          <w:color w:val="585CF6"/>
          <w:lang w:val="en-US"/>
        </w:rPr>
      </w:pPr>
    </w:p>
    <w:p w14:paraId="0629F5A4" w14:textId="77777777" w:rsidR="00520D2C" w:rsidRPr="00260039" w:rsidRDefault="00520D2C" w:rsidP="00260039">
      <w:pPr>
        <w:pStyle w:val="HTMLPreformatted"/>
        <w:shd w:val="clear" w:color="auto" w:fill="FFFFFF"/>
        <w:wordWrap w:val="0"/>
        <w:rPr>
          <w:rStyle w:val="gntyacmbi3b"/>
          <w:color w:val="585CF6"/>
          <w:lang w:val="en-US"/>
        </w:rPr>
      </w:pPr>
      <w:r w:rsidRPr="00260039">
        <w:rPr>
          <w:rStyle w:val="gntyacmbi3b"/>
          <w:color w:val="585CF6"/>
          <w:lang w:val="en-US"/>
        </w:rPr>
        <w:t>The following objects are masked from ‘package:psych’:</w:t>
      </w:r>
    </w:p>
    <w:p w14:paraId="12C13626" w14:textId="77777777" w:rsidR="00520D2C" w:rsidRPr="00260039" w:rsidRDefault="00520D2C" w:rsidP="00260039">
      <w:pPr>
        <w:pStyle w:val="HTMLPreformatted"/>
        <w:shd w:val="clear" w:color="auto" w:fill="FFFFFF"/>
        <w:wordWrap w:val="0"/>
        <w:rPr>
          <w:rStyle w:val="gntyacmbi3b"/>
          <w:color w:val="585CF6"/>
          <w:lang w:val="en-US"/>
        </w:rPr>
      </w:pPr>
    </w:p>
    <w:p w14:paraId="194711AB" w14:textId="77777777" w:rsidR="00520D2C" w:rsidRPr="00260039" w:rsidRDefault="00520D2C" w:rsidP="00260039">
      <w:pPr>
        <w:pStyle w:val="HTMLPreformatted"/>
        <w:shd w:val="clear" w:color="auto" w:fill="FFFFFF"/>
        <w:wordWrap w:val="0"/>
        <w:rPr>
          <w:rStyle w:val="gntyacmbi3b"/>
          <w:color w:val="585CF6"/>
          <w:lang w:val="en-US"/>
        </w:rPr>
      </w:pPr>
      <w:r w:rsidRPr="00260039">
        <w:rPr>
          <w:rStyle w:val="gntyacmbi3b"/>
          <w:color w:val="585CF6"/>
          <w:lang w:val="en-US"/>
        </w:rPr>
        <w:t xml:space="preserve">    %+%, alpha</w:t>
      </w:r>
    </w:p>
    <w:p w14:paraId="567D99FF" w14:textId="77777777" w:rsidR="00520D2C" w:rsidRPr="00260039" w:rsidRDefault="00520D2C" w:rsidP="00260039">
      <w:pPr>
        <w:pStyle w:val="HTMLPreformatted"/>
        <w:shd w:val="clear" w:color="auto" w:fill="FFFFFF"/>
        <w:wordWrap w:val="0"/>
        <w:rPr>
          <w:rStyle w:val="gntyacmbi3b"/>
          <w:color w:val="585CF6"/>
          <w:lang w:val="en-US"/>
        </w:rPr>
      </w:pPr>
    </w:p>
    <w:p w14:paraId="2B89B36A" w14:textId="77777777" w:rsidR="00520D2C" w:rsidRPr="00260039" w:rsidRDefault="00520D2C" w:rsidP="00260039">
      <w:pPr>
        <w:pStyle w:val="HTMLPreformatted"/>
        <w:shd w:val="clear" w:color="auto" w:fill="FFFFFF"/>
        <w:wordWrap w:val="0"/>
        <w:rPr>
          <w:rStyle w:val="gntyacmbi3b"/>
          <w:color w:val="585CF6"/>
          <w:lang w:val="en-US"/>
        </w:rPr>
      </w:pPr>
      <w:r w:rsidRPr="00260039">
        <w:rPr>
          <w:rStyle w:val="gntyacmbi3b"/>
          <w:color w:val="585CF6"/>
          <w:lang w:val="en-US"/>
        </w:rPr>
        <w:t>Warning message:</w:t>
      </w:r>
    </w:p>
    <w:p w14:paraId="5CB4B2F0" w14:textId="77777777" w:rsidR="00520D2C" w:rsidRPr="00260039" w:rsidRDefault="00520D2C" w:rsidP="00260039">
      <w:pPr>
        <w:pStyle w:val="HTMLPreformatted"/>
        <w:shd w:val="clear" w:color="auto" w:fill="FFFFFF"/>
        <w:wordWrap w:val="0"/>
        <w:rPr>
          <w:rStyle w:val="gntyacmbi3b"/>
          <w:color w:val="585CF6"/>
          <w:lang w:val="en-US"/>
        </w:rPr>
      </w:pPr>
      <w:r w:rsidRPr="00260039">
        <w:rPr>
          <w:rStyle w:val="gntyacmbi3b"/>
          <w:color w:val="585CF6"/>
          <w:lang w:val="en-US"/>
        </w:rPr>
        <w:t xml:space="preserve">package ‘ggplot2’ was built under R version 4.4.3 </w:t>
      </w:r>
    </w:p>
    <w:p w14:paraId="1B417B54"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p>
    <w:p w14:paraId="3A250CB3"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&gt; </w:t>
      </w:r>
      <w:r w:rsidRPr="00260039">
        <w:rPr>
          <w:rStyle w:val="gntyacmbe3b"/>
          <w:color w:val="930F80"/>
          <w:lang w:val="en-US"/>
        </w:rPr>
        <w:t>ggplot(turkish, aes(x = BOYCOTT, y = TCB)) +</w:t>
      </w:r>
    </w:p>
    <w:p w14:paraId="3A64F7EF"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geom_point(color = "blue", alpha = 0.6) +</w:t>
      </w:r>
    </w:p>
    <w:p w14:paraId="4E885B8C"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geom_smooth(method = "lm", se = TRUE, color = "red") +</w:t>
      </w:r>
    </w:p>
    <w:p w14:paraId="602CEDE3"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labs(title = "Linear Regression: BOYCOTT → TCB",</w:t>
      </w:r>
    </w:p>
    <w:p w14:paraId="36AF0A1D"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x = "BOYCOTT",</w:t>
      </w:r>
    </w:p>
    <w:p w14:paraId="7423BC8B"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y = "TCB") +</w:t>
      </w:r>
    </w:p>
    <w:p w14:paraId="1A0521AD" w14:textId="77777777" w:rsidR="00520D2C" w:rsidRPr="00260039" w:rsidRDefault="00520D2C" w:rsidP="00260039">
      <w:pPr>
        <w:pStyle w:val="HTMLPreformatted"/>
        <w:shd w:val="clear" w:color="auto" w:fill="FFFFFF"/>
        <w:wordWrap w:val="0"/>
        <w:rPr>
          <w:rStyle w:val="gntyacmbe3b"/>
          <w:color w:val="930F80"/>
          <w:lang w:val="en-US"/>
        </w:rPr>
      </w:pPr>
      <w:r w:rsidRPr="00260039">
        <w:rPr>
          <w:rStyle w:val="gntyacmbf4b"/>
          <w:color w:val="930F80"/>
          <w:lang w:val="en-US"/>
        </w:rPr>
        <w:t xml:space="preserve">+ </w:t>
      </w:r>
      <w:r w:rsidRPr="00260039">
        <w:rPr>
          <w:rStyle w:val="gntyacmbe3b"/>
          <w:color w:val="930F80"/>
          <w:lang w:val="en-US"/>
        </w:rPr>
        <w:t xml:space="preserve">    theme_minimal()</w:t>
      </w:r>
    </w:p>
    <w:p w14:paraId="51E9A304" w14:textId="77777777" w:rsidR="00520D2C" w:rsidRPr="00260039" w:rsidRDefault="00520D2C" w:rsidP="00260039">
      <w:pPr>
        <w:pStyle w:val="HTMLPreformatted"/>
        <w:shd w:val="clear" w:color="auto" w:fill="FFFFFF"/>
        <w:wordWrap w:val="0"/>
        <w:rPr>
          <w:color w:val="000000"/>
          <w:lang w:val="en-US"/>
        </w:rPr>
      </w:pPr>
      <w:r w:rsidRPr="00260039">
        <w:rPr>
          <w:rStyle w:val="gntyacmbo3b"/>
          <w:color w:val="000000"/>
          <w:bdr w:val="none" w:sz="0" w:space="0" w:color="auto" w:frame="1"/>
          <w:lang w:val="en-US"/>
        </w:rPr>
        <w:t>`geom_smooth()` using formula = 'y ~ x'</w:t>
      </w:r>
    </w:p>
    <w:p w14:paraId="0B1FC100" w14:textId="77777777" w:rsidR="00520D2C" w:rsidRDefault="00520D2C">
      <w:pPr>
        <w:rPr>
          <w:rtl/>
          <w:lang w:val="en-US" w:bidi="ar-DZ"/>
        </w:rPr>
      </w:pPr>
    </w:p>
    <w:p w14:paraId="5C3BC9BB"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e3b"/>
          <w:color w:val="930F80"/>
          <w:lang w:val="en-US"/>
        </w:rPr>
        <w:t>ggplot(turkish, aes(x = BOYCOTT, y = TCB)) +</w:t>
      </w:r>
    </w:p>
    <w:p w14:paraId="7CB6F5A1"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geom_point(color = "blue", alpha = 0.6) +</w:t>
      </w:r>
    </w:p>
    <w:p w14:paraId="11FA1482"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geom_smooth(method = "lm", se = TRUE, color = "red") +</w:t>
      </w:r>
    </w:p>
    <w:p w14:paraId="41F16BCF"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labs(title = "Linear Regression: BOYCOTT → TCB",</w:t>
      </w:r>
    </w:p>
    <w:p w14:paraId="65C1C0F5"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x = "BOYCOTT",</w:t>
      </w:r>
    </w:p>
    <w:p w14:paraId="55147243"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y = "TCB") +</w:t>
      </w:r>
    </w:p>
    <w:p w14:paraId="0C704677"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theme_minimal()</w:t>
      </w:r>
    </w:p>
    <w:p w14:paraId="4A4BF9B4"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`geom_smooth()` using formula = 'y ~ x'</w:t>
      </w:r>
    </w:p>
    <w:p w14:paraId="5FB74A40"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15A86D9E"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Simple linear regression: BOYCOTT → WTNA</w:t>
      </w:r>
    </w:p>
    <w:p w14:paraId="7981FD3E"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model &lt;- lm(WTNA ~ BOYCOTT, data = turkish)</w:t>
      </w:r>
    </w:p>
    <w:p w14:paraId="0ADD323B"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62DCBAE7"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Print model summary</w:t>
      </w:r>
    </w:p>
    <w:p w14:paraId="48FB15F8"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summary(model)</w:t>
      </w:r>
    </w:p>
    <w:p w14:paraId="6386B411"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41B6DC5F"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Call:</w:t>
      </w:r>
    </w:p>
    <w:p w14:paraId="1F310D71"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lm(formula = WTNA ~ BOYCOTT, data = turkish)</w:t>
      </w:r>
    </w:p>
    <w:p w14:paraId="37DD753A"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45E70F5B"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Residuals:</w:t>
      </w:r>
    </w:p>
    <w:p w14:paraId="4C44F55E"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     Min       1Q   Median       3Q      Max </w:t>
      </w:r>
    </w:p>
    <w:p w14:paraId="0C85F2CA"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-1.37104 -0.31623 -0.03485  0.32451  2.94074 </w:t>
      </w:r>
    </w:p>
    <w:p w14:paraId="09BFE87B"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224679E5"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Coefficients:</w:t>
      </w:r>
    </w:p>
    <w:p w14:paraId="04BF1D69"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            Estimate Std. Error t value Pr(&gt;|t|)    </w:t>
      </w:r>
    </w:p>
    <w:p w14:paraId="32D8091B"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(Intercept)  1.20663    0.16641   7.251 8.21e-12 ***</w:t>
      </w:r>
    </w:p>
    <w:p w14:paraId="24E220FC"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BOYCOTT      0.70320    0.04741  14.832  &lt; 2e-16 ***</w:t>
      </w:r>
    </w:p>
    <w:p w14:paraId="121824AA"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w:t>
      </w:r>
    </w:p>
    <w:p w14:paraId="43433B50"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19449B">
        <w:rPr>
          <w:rStyle w:val="gntyacmbo3b"/>
          <w:color w:val="000000"/>
          <w:bdr w:val="none" w:sz="0" w:space="0" w:color="auto" w:frame="1"/>
        </w:rPr>
        <w:t xml:space="preserve">Signif. codes:  0 ‘***’ 0.001 ‘**’ 0.01 ‘*’ 0.05 ‘.’ </w:t>
      </w:r>
      <w:r w:rsidRPr="00DF1DD1">
        <w:rPr>
          <w:rStyle w:val="gntyacmbo3b"/>
          <w:color w:val="000000"/>
          <w:bdr w:val="none" w:sz="0" w:space="0" w:color="auto" w:frame="1"/>
          <w:lang w:val="en-US"/>
        </w:rPr>
        <w:t>0.1 ‘ ’ 1</w:t>
      </w:r>
    </w:p>
    <w:p w14:paraId="054756B0"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1CD563A0"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Residual standard error: 0.6464 on 206 degrees of freedom</w:t>
      </w:r>
    </w:p>
    <w:p w14:paraId="415BA1C1"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Multiple R-squared:  0.5164,</w:t>
      </w:r>
      <w:r w:rsidRPr="00DF1DD1">
        <w:rPr>
          <w:rStyle w:val="gntyacmbo3b"/>
          <w:color w:val="000000"/>
          <w:bdr w:val="none" w:sz="0" w:space="0" w:color="auto" w:frame="1"/>
          <w:lang w:val="en-US"/>
        </w:rPr>
        <w:tab/>
        <w:t xml:space="preserve">Adjusted R-squared:  0.5141 </w:t>
      </w:r>
    </w:p>
    <w:p w14:paraId="73593E87"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F-statistic:   220 on 1 and 206 DF,  p-value: &lt; 2.2e-16</w:t>
      </w:r>
    </w:p>
    <w:p w14:paraId="41C0C3F1"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1B29DAFB"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2FC28E46"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Calculate R-squared and R</w:t>
      </w:r>
    </w:p>
    <w:p w14:paraId="55D8EB05"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r_squared &lt;- summary(model)$r.squared</w:t>
      </w:r>
    </w:p>
    <w:p w14:paraId="7DBD059D"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r &lt;- sqrt(r_squared)</w:t>
      </w:r>
    </w:p>
    <w:p w14:paraId="578D6054"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65B55FF0"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Display results</w:t>
      </w:r>
    </w:p>
    <w:p w14:paraId="7A2E69D4"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cat("R-squared =", r_squared, "\n")</w:t>
      </w:r>
    </w:p>
    <w:p w14:paraId="619EDC94"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R-squared = 0.5164268 </w:t>
      </w:r>
    </w:p>
    <w:p w14:paraId="26810FA1"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cat("R =", r, "\n")</w:t>
      </w:r>
    </w:p>
    <w:p w14:paraId="4041629D"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R = 0.7186284 </w:t>
      </w:r>
    </w:p>
    <w:p w14:paraId="2770F3AF"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33414177"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Plot the relationship</w:t>
      </w:r>
    </w:p>
    <w:p w14:paraId="6979313E"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library(ggplot2)</w:t>
      </w:r>
    </w:p>
    <w:p w14:paraId="69630E82"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18307C27"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ggplot(turkish, aes(x = BOYCOTT, y = WTNA)) +</w:t>
      </w:r>
    </w:p>
    <w:p w14:paraId="17179F5D"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geom_point(color = "blue", alpha = 0.6) +</w:t>
      </w:r>
    </w:p>
    <w:p w14:paraId="0049794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geom_smooth(method = "lm", se = TRUE, color = "red") +</w:t>
      </w:r>
    </w:p>
    <w:p w14:paraId="1DBF092A"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labs(title = "Linear Regression: BOYCOTT → WTNA",</w:t>
      </w:r>
    </w:p>
    <w:p w14:paraId="44CF5EB6"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x = "BOYCOTT",</w:t>
      </w:r>
    </w:p>
    <w:p w14:paraId="627134C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y = "WTNA") +</w:t>
      </w:r>
    </w:p>
    <w:p w14:paraId="2C03574B"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theme_minimal()</w:t>
      </w:r>
    </w:p>
    <w:p w14:paraId="1738A247" w14:textId="77777777" w:rsidR="00520D2C" w:rsidRPr="00DF1DD1" w:rsidRDefault="00520D2C" w:rsidP="00DF1DD1">
      <w:pPr>
        <w:pStyle w:val="HTMLPreformatted"/>
        <w:shd w:val="clear" w:color="auto" w:fill="FFFFFF"/>
        <w:wordWrap w:val="0"/>
        <w:rPr>
          <w:color w:val="000000"/>
          <w:lang w:val="en-US"/>
        </w:rPr>
      </w:pPr>
      <w:r w:rsidRPr="00DF1DD1">
        <w:rPr>
          <w:rStyle w:val="gntyacmbo3b"/>
          <w:color w:val="000000"/>
          <w:bdr w:val="none" w:sz="0" w:space="0" w:color="auto" w:frame="1"/>
          <w:lang w:val="en-US"/>
        </w:rPr>
        <w:t>`geom_smooth()` using formula = 'y ~ x'</w:t>
      </w:r>
    </w:p>
    <w:p w14:paraId="72B642F3"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Simple linear regression: PQP → TCB</w:t>
      </w:r>
    </w:p>
    <w:p w14:paraId="55335737"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model &lt;- lm(TCB ~ PQP, data = turkish)</w:t>
      </w:r>
    </w:p>
    <w:p w14:paraId="2DA5CB6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4C78C98B"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Print model summary</w:t>
      </w:r>
    </w:p>
    <w:p w14:paraId="50D8A9E5"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summary(model)</w:t>
      </w:r>
    </w:p>
    <w:p w14:paraId="22FA8C3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0E1BB2E"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Call:</w:t>
      </w:r>
    </w:p>
    <w:p w14:paraId="6ED672BB"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lm(formula = TCB ~ PQP, data = turkish)</w:t>
      </w:r>
    </w:p>
    <w:p w14:paraId="33FC516B"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1CC4105"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Residuals:</w:t>
      </w:r>
    </w:p>
    <w:p w14:paraId="43E76423"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     Min       1Q   Median       3Q      Max </w:t>
      </w:r>
    </w:p>
    <w:p w14:paraId="1EF96E5B"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-1.51773 -0.43403  0.01619  0.37448  2.48227 </w:t>
      </w:r>
    </w:p>
    <w:p w14:paraId="620B5227"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675B8BBD"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Coefficients:</w:t>
      </w:r>
    </w:p>
    <w:p w14:paraId="3E0CCF3E"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            Estimate Std. Error t value Pr(&gt;|t|)    </w:t>
      </w:r>
    </w:p>
    <w:p w14:paraId="0C77417D"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(Intercept)   2.0596     0.1494  13.781   &lt;2e-16 ***</w:t>
      </w:r>
    </w:p>
    <w:p w14:paraId="5618023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PQP           0.4582     0.0459   9.981   &lt;2e-16 ***</w:t>
      </w:r>
    </w:p>
    <w:p w14:paraId="721A05D1"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w:t>
      </w:r>
    </w:p>
    <w:p w14:paraId="6B5E1D35"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eastAsia="fr-FR"/>
        </w:rPr>
        <w:t xml:space="preserve">Signif. codes:  0 ‘***’ 0.001 ‘**’ 0.01 ‘*’ 0.05 ‘.’ </w:t>
      </w:r>
      <w:r w:rsidRPr="00DF1DD1">
        <w:rPr>
          <w:rFonts w:ascii="Courier New" w:eastAsia="Times New Roman" w:hAnsi="Courier New" w:cs="Courier New"/>
          <w:color w:val="000000"/>
          <w:sz w:val="20"/>
          <w:szCs w:val="20"/>
          <w:bdr w:val="none" w:sz="0" w:space="0" w:color="auto" w:frame="1"/>
          <w:lang w:val="en-US" w:eastAsia="fr-FR"/>
        </w:rPr>
        <w:t>0.1 ‘ ’ 1</w:t>
      </w:r>
    </w:p>
    <w:p w14:paraId="149364E1"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591D17E"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 standard error: 0.6493 on 206 degrees of freedom</w:t>
      </w:r>
    </w:p>
    <w:p w14:paraId="761ED31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Multiple R-squared:  0.326,</w:t>
      </w:r>
      <w:r w:rsidRPr="00DF1DD1">
        <w:rPr>
          <w:rFonts w:ascii="Courier New" w:eastAsia="Times New Roman" w:hAnsi="Courier New" w:cs="Courier New"/>
          <w:color w:val="000000"/>
          <w:sz w:val="20"/>
          <w:szCs w:val="20"/>
          <w:bdr w:val="none" w:sz="0" w:space="0" w:color="auto" w:frame="1"/>
          <w:lang w:val="en-US" w:eastAsia="fr-FR"/>
        </w:rPr>
        <w:tab/>
        <w:t xml:space="preserve">Adjusted R-squared:  0.3227 </w:t>
      </w:r>
    </w:p>
    <w:p w14:paraId="1795378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F-statistic: 99.63 on 1 and 206 DF,  p-value: &lt; 2.2e-16</w:t>
      </w:r>
    </w:p>
    <w:p w14:paraId="528020F7"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87D854A"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226F2E64"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Calculate R-squared and R</w:t>
      </w:r>
    </w:p>
    <w:p w14:paraId="1E53893F"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r_squared &lt;- summary(model)$r.squared</w:t>
      </w:r>
    </w:p>
    <w:p w14:paraId="05C50457"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 &lt;- sqrt(r_squared)</w:t>
      </w:r>
    </w:p>
    <w:p w14:paraId="724437E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3E21588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Display results</w:t>
      </w:r>
    </w:p>
    <w:p w14:paraId="204E3B7D"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cat("R-squared =", r_squared, "\n")</w:t>
      </w:r>
    </w:p>
    <w:p w14:paraId="744CFB54"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R-squared = 0.3259797 </w:t>
      </w:r>
    </w:p>
    <w:p w14:paraId="4852CC50"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 =", r, "\n")</w:t>
      </w:r>
    </w:p>
    <w:p w14:paraId="2B74EA3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R = 0.5709463 </w:t>
      </w:r>
    </w:p>
    <w:p w14:paraId="3F49E89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116CD3EE"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Plot the relationship</w:t>
      </w:r>
    </w:p>
    <w:p w14:paraId="170B1A98"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library(ggplot2)</w:t>
      </w:r>
    </w:p>
    <w:p w14:paraId="2007F77D"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6CAE27B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ggplot(turkish, aes(x = PQP, y = TCB)) +</w:t>
      </w:r>
    </w:p>
    <w:p w14:paraId="70365EE2"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geom_point(color = "blue", alpha = 0.6) +</w:t>
      </w:r>
    </w:p>
    <w:p w14:paraId="70E30859"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geom_smooth(method = "lm", se = TRUE, color = "red") +</w:t>
      </w:r>
    </w:p>
    <w:p w14:paraId="50C42F19"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labs(title = "Linear Regression: PQP → TCB",</w:t>
      </w:r>
    </w:p>
    <w:p w14:paraId="114FBA29"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 = "PQP",</w:t>
      </w:r>
    </w:p>
    <w:p w14:paraId="3AA575D6"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y = "TCB") +</w:t>
      </w:r>
    </w:p>
    <w:p w14:paraId="78A65C65"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theme_minimal()</w:t>
      </w:r>
    </w:p>
    <w:p w14:paraId="21337DBD" w14:textId="77777777" w:rsidR="00520D2C" w:rsidRPr="00DF1DD1" w:rsidRDefault="00520D2C" w:rsidP="00DF1D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lang w:val="en-US" w:eastAsia="fr-FR"/>
        </w:rPr>
      </w:pPr>
      <w:r w:rsidRPr="00DF1DD1">
        <w:rPr>
          <w:rFonts w:ascii="Courier New" w:eastAsia="Times New Roman" w:hAnsi="Courier New" w:cs="Courier New"/>
          <w:color w:val="000000"/>
          <w:sz w:val="20"/>
          <w:szCs w:val="20"/>
          <w:bdr w:val="none" w:sz="0" w:space="0" w:color="auto" w:frame="1"/>
          <w:lang w:val="en-US" w:eastAsia="fr-FR"/>
        </w:rPr>
        <w:t>`geom_smooth()` using formula = 'y ~ x'</w:t>
      </w:r>
    </w:p>
    <w:tbl>
      <w:tblPr>
        <w:tblW w:w="10450" w:type="dxa"/>
        <w:tblCellSpacing w:w="0" w:type="dxa"/>
        <w:shd w:val="clear" w:color="auto" w:fill="FFFFFF"/>
        <w:tblCellMar>
          <w:left w:w="90" w:type="dxa"/>
          <w:bottom w:w="120" w:type="dxa"/>
          <w:right w:w="0" w:type="dxa"/>
        </w:tblCellMar>
        <w:tblLook w:val="04A0" w:firstRow="1" w:lastRow="0" w:firstColumn="1" w:lastColumn="0" w:noHBand="0" w:noVBand="1"/>
      </w:tblPr>
      <w:tblGrid>
        <w:gridCol w:w="10450"/>
      </w:tblGrid>
      <w:tr w:rsidR="00520D2C" w:rsidRPr="00DF1DD1" w14:paraId="77AFACA4" w14:textId="77777777" w:rsidTr="00DF1DD1">
        <w:trPr>
          <w:tblCellSpacing w:w="0" w:type="dxa"/>
        </w:trPr>
        <w:tc>
          <w:tcPr>
            <w:tcW w:w="0" w:type="auto"/>
            <w:shd w:val="clear" w:color="auto" w:fill="FFFFFF"/>
            <w:hideMark/>
          </w:tcPr>
          <w:p w14:paraId="4F6B76A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Simple linear regression: PC → TCB</w:t>
            </w:r>
          </w:p>
          <w:p w14:paraId="68B2D67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model &lt;- lm(TCB ~ PC, data = turkish)</w:t>
            </w:r>
          </w:p>
          <w:p w14:paraId="2FDA036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59C2138F"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Print model summary</w:t>
            </w:r>
          </w:p>
          <w:p w14:paraId="0575402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summary(model)</w:t>
            </w:r>
          </w:p>
          <w:p w14:paraId="7E2BAF0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CE7621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Call:</w:t>
            </w:r>
          </w:p>
          <w:p w14:paraId="03ABA4A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lm(formula = TCB ~ PC, data = turkish)</w:t>
            </w:r>
          </w:p>
          <w:p w14:paraId="6AD8D52A"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B768A12"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Residuals:</w:t>
            </w:r>
          </w:p>
          <w:p w14:paraId="2D9B97E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     Min       1Q   Median       3Q      Max </w:t>
            </w:r>
          </w:p>
          <w:p w14:paraId="451F37B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-1.52922 -0.41163  0.01383  0.34328  2.47078 </w:t>
            </w:r>
          </w:p>
          <w:p w14:paraId="59A8FCD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42F86EAA"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Coefficients:</w:t>
            </w:r>
          </w:p>
          <w:p w14:paraId="4FBA503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            Estimate Std. Error t value Pr(&gt;|t|)    </w:t>
            </w:r>
          </w:p>
          <w:p w14:paraId="39A338E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(Intercept)  2.08801    0.14888  14.024   &lt;2e-16 ***</w:t>
            </w:r>
          </w:p>
          <w:p w14:paraId="45C9B162"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PC           0.44120    0.04489   9.828   &lt;2e-16 ***</w:t>
            </w:r>
          </w:p>
          <w:p w14:paraId="65A6C56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w:t>
            </w:r>
          </w:p>
          <w:p w14:paraId="49F0FC1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eastAsia="fr-FR"/>
              </w:rPr>
              <w:t xml:space="preserve">Signif. codes:  0 ‘***’ 0.001 ‘**’ 0.01 ‘*’ 0.05 ‘.’ </w:t>
            </w:r>
            <w:r w:rsidRPr="00DF1DD1">
              <w:rPr>
                <w:rFonts w:ascii="Courier New" w:eastAsia="Times New Roman" w:hAnsi="Courier New" w:cs="Courier New"/>
                <w:color w:val="000000"/>
                <w:sz w:val="20"/>
                <w:szCs w:val="20"/>
                <w:bdr w:val="none" w:sz="0" w:space="0" w:color="auto" w:frame="1"/>
                <w:lang w:val="en-US" w:eastAsia="fr-FR"/>
              </w:rPr>
              <w:t>0.1 ‘ ’ 1</w:t>
            </w:r>
          </w:p>
          <w:p w14:paraId="3D03736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86F95C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 standard error: 0.6525 on 206 degrees of freedom</w:t>
            </w:r>
          </w:p>
          <w:p w14:paraId="7BD1DF3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Multiple R-squared:  0.3192,</w:t>
            </w:r>
            <w:r w:rsidRPr="00DF1DD1">
              <w:rPr>
                <w:rFonts w:ascii="Courier New" w:eastAsia="Times New Roman" w:hAnsi="Courier New" w:cs="Courier New"/>
                <w:color w:val="000000"/>
                <w:sz w:val="20"/>
                <w:szCs w:val="20"/>
                <w:bdr w:val="none" w:sz="0" w:space="0" w:color="auto" w:frame="1"/>
                <w:lang w:val="en-US" w:eastAsia="fr-FR"/>
              </w:rPr>
              <w:tab/>
              <w:t xml:space="preserve">Adjusted R-squared:  0.3159 </w:t>
            </w:r>
          </w:p>
          <w:p w14:paraId="3D6C23D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F-statistic: 96.59 on 1 and 206 DF,  p-value: &lt; 2.2e-16</w:t>
            </w:r>
          </w:p>
          <w:p w14:paraId="78A8664A"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F692E0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31169F6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Calculate R-squared and R</w:t>
            </w:r>
          </w:p>
          <w:p w14:paraId="4BEEE1F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r_squared &lt;- summary(model)$r.squared</w:t>
            </w:r>
          </w:p>
          <w:p w14:paraId="265F20D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 &lt;- sqrt(r_squared)</w:t>
            </w:r>
          </w:p>
          <w:p w14:paraId="2A7A96D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3BFA8B2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Display results</w:t>
            </w:r>
          </w:p>
          <w:p w14:paraId="15BA36F6"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cat("R-squared =", r_squared, "\n")</w:t>
            </w:r>
          </w:p>
          <w:p w14:paraId="23DB274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R-squared = 0.3192121 </w:t>
            </w:r>
          </w:p>
          <w:p w14:paraId="297E933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 =", r, "\n")</w:t>
            </w:r>
          </w:p>
          <w:p w14:paraId="77E20582"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R = 0.5649886 </w:t>
            </w:r>
          </w:p>
          <w:p w14:paraId="34FA415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7FA97CD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Plot the relationship</w:t>
            </w:r>
          </w:p>
          <w:p w14:paraId="24276D4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library(ggplot2)</w:t>
            </w:r>
          </w:p>
          <w:p w14:paraId="1798B5C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588283D6"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ggplot(turkish, aes(x = PC, y = TCB)) +</w:t>
            </w:r>
          </w:p>
          <w:p w14:paraId="22087BD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geom_point(color = "blue", alpha = 0.6) +</w:t>
            </w:r>
          </w:p>
          <w:p w14:paraId="3A83AB7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geom_smooth(method = "lm", se = TRUE, color = "red") +</w:t>
            </w:r>
          </w:p>
          <w:p w14:paraId="6854DAB3"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labs(title = "Linear Regression: PC → TCB",</w:t>
            </w:r>
          </w:p>
          <w:p w14:paraId="1A56FE4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 = "PC",</w:t>
            </w:r>
          </w:p>
          <w:p w14:paraId="16652623"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y = "TCB") +</w:t>
            </w:r>
          </w:p>
          <w:p w14:paraId="4174BF5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theme_minimal()</w:t>
            </w:r>
          </w:p>
          <w:p w14:paraId="36DE4AE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`geom_smooth()` using formula = 'y ~ x'</w:t>
            </w:r>
          </w:p>
          <w:p w14:paraId="08EC138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DF1DD1">
              <w:rPr>
                <w:rFonts w:ascii="Courier New" w:eastAsia="Times New Roman" w:hAnsi="Courier New" w:cs="Courier New"/>
                <w:color w:val="930F80"/>
                <w:sz w:val="20"/>
                <w:szCs w:val="20"/>
                <w:lang w:eastAsia="fr-FR"/>
              </w:rPr>
              <w:t xml:space="preserve">&gt; </w:t>
            </w:r>
          </w:p>
          <w:p w14:paraId="63B6D253" w14:textId="77777777" w:rsidR="00520D2C" w:rsidRPr="00DF1DD1" w:rsidRDefault="00520D2C" w:rsidP="00DF1DD1">
            <w:pPr>
              <w:spacing w:after="0" w:line="240" w:lineRule="auto"/>
              <w:rPr>
                <w:rFonts w:ascii="Times New Roman" w:eastAsia="Times New Roman" w:hAnsi="Times New Roman" w:cs="Times New Roman"/>
                <w:sz w:val="24"/>
                <w:szCs w:val="24"/>
                <w:lang w:eastAsia="fr-FR"/>
              </w:rPr>
            </w:pPr>
          </w:p>
        </w:tc>
      </w:tr>
      <w:tr w:rsidR="00520D2C" w:rsidRPr="00DF1DD1" w14:paraId="07F25B69" w14:textId="77777777" w:rsidTr="00DF1DD1">
        <w:trPr>
          <w:tblCellSpacing w:w="0" w:type="dxa"/>
        </w:trPr>
        <w:tc>
          <w:tcPr>
            <w:tcW w:w="0" w:type="auto"/>
            <w:shd w:val="clear" w:color="auto" w:fill="FFFFFF"/>
            <w:hideMark/>
          </w:tcPr>
          <w:p w14:paraId="297EFE66" w14:textId="77777777" w:rsidR="00520D2C" w:rsidRPr="00DF1DD1" w:rsidRDefault="00520D2C" w:rsidP="00DF1DD1">
            <w:pPr>
              <w:spacing w:after="0" w:line="240" w:lineRule="auto"/>
              <w:rPr>
                <w:rFonts w:ascii="Times New Roman" w:eastAsia="Times New Roman" w:hAnsi="Times New Roman" w:cs="Times New Roman"/>
                <w:sz w:val="20"/>
                <w:szCs w:val="20"/>
                <w:lang w:eastAsia="fr-FR"/>
              </w:rPr>
            </w:pPr>
          </w:p>
        </w:tc>
      </w:tr>
      <w:tr w:rsidR="00520D2C" w:rsidRPr="00DF1DD1" w14:paraId="037B861C" w14:textId="77777777" w:rsidTr="00DF1DD1">
        <w:trPr>
          <w:tblCellSpacing w:w="0" w:type="dxa"/>
        </w:trPr>
        <w:tc>
          <w:tcPr>
            <w:tcW w:w="0" w:type="auto"/>
            <w:shd w:val="clear" w:color="auto" w:fill="FFFFFF"/>
            <w:hideMark/>
          </w:tcPr>
          <w:tbl>
            <w:tblPr>
              <w:tblW w:w="10360" w:type="dxa"/>
              <w:tblCellSpacing w:w="0" w:type="dxa"/>
              <w:tblCellMar>
                <w:left w:w="0" w:type="dxa"/>
                <w:right w:w="0" w:type="dxa"/>
              </w:tblCellMar>
              <w:tblLook w:val="04A0" w:firstRow="1" w:lastRow="0" w:firstColumn="1" w:lastColumn="0" w:noHBand="0" w:noVBand="1"/>
            </w:tblPr>
            <w:tblGrid>
              <w:gridCol w:w="10360"/>
            </w:tblGrid>
            <w:tr w:rsidR="00520D2C" w:rsidRPr="00DF1DD1" w14:paraId="3CF2855B" w14:textId="77777777">
              <w:trPr>
                <w:tblCellSpacing w:w="0" w:type="dxa"/>
              </w:trPr>
              <w:tc>
                <w:tcPr>
                  <w:tcW w:w="15" w:type="dxa"/>
                  <w:hideMark/>
                </w:tcPr>
                <w:p w14:paraId="77A98224" w14:textId="77777777" w:rsidR="00520D2C" w:rsidRPr="00DF1DD1" w:rsidRDefault="00520D2C" w:rsidP="00DF1DD1">
                  <w:pPr>
                    <w:spacing w:after="0" w:line="240" w:lineRule="auto"/>
                    <w:rPr>
                      <w:rFonts w:ascii="Courier New" w:eastAsia="Times New Roman" w:hAnsi="Courier New" w:cs="Courier New"/>
                      <w:color w:val="930F80"/>
                      <w:sz w:val="24"/>
                      <w:szCs w:val="24"/>
                      <w:lang w:eastAsia="fr-FR"/>
                    </w:rPr>
                  </w:pPr>
                  <w:r w:rsidRPr="00DF1DD1">
                    <w:rPr>
                      <w:rFonts w:ascii="Courier New" w:eastAsia="Times New Roman" w:hAnsi="Courier New" w:cs="Courier New"/>
                      <w:color w:val="930F80"/>
                      <w:sz w:val="24"/>
                      <w:szCs w:val="24"/>
                      <w:lang w:eastAsia="fr-FR"/>
                    </w:rPr>
                    <w:t xml:space="preserve">&gt; </w:t>
                  </w:r>
                </w:p>
              </w:tc>
            </w:tr>
          </w:tbl>
          <w:p w14:paraId="3EF2CBA6" w14:textId="77777777" w:rsidR="00520D2C" w:rsidRPr="00DF1DD1" w:rsidRDefault="00520D2C" w:rsidP="00DF1DD1">
            <w:pPr>
              <w:spacing w:after="0" w:line="240" w:lineRule="auto"/>
              <w:rPr>
                <w:rFonts w:ascii="Courier New" w:eastAsia="Times New Roman" w:hAnsi="Courier New" w:cs="Courier New"/>
                <w:color w:val="000000"/>
                <w:sz w:val="24"/>
                <w:szCs w:val="24"/>
                <w:lang w:eastAsia="fr-FR"/>
              </w:rPr>
            </w:pPr>
          </w:p>
        </w:tc>
      </w:tr>
      <w:tr w:rsidR="00520D2C" w:rsidRPr="00DF1DD1" w14:paraId="34328A93" w14:textId="77777777" w:rsidTr="00DF1DD1">
        <w:trPr>
          <w:tblCellSpacing w:w="0" w:type="dxa"/>
        </w:trPr>
        <w:tc>
          <w:tcPr>
            <w:tcW w:w="0" w:type="auto"/>
            <w:shd w:val="clear" w:color="auto" w:fill="FFFFFF"/>
            <w:hideMark/>
          </w:tcPr>
          <w:p w14:paraId="34D49BB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Simple linear regression: CA → TCB</w:t>
            </w:r>
          </w:p>
          <w:p w14:paraId="5B678B02"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model &lt;- lm(TCB ~ CA, data = turkish)</w:t>
            </w:r>
          </w:p>
          <w:p w14:paraId="2E4CB46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4FB1A3B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Print model summary</w:t>
            </w:r>
          </w:p>
          <w:p w14:paraId="6CE37F12"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summary(model)</w:t>
            </w:r>
          </w:p>
          <w:p w14:paraId="6E8EC79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68B6449"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Call:</w:t>
            </w:r>
          </w:p>
          <w:p w14:paraId="5C93378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lm(formula = TCB ~ CA, data = turkish)</w:t>
            </w:r>
          </w:p>
          <w:p w14:paraId="16C655B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1D32A3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Residuals:</w:t>
            </w:r>
          </w:p>
          <w:p w14:paraId="2D08616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     Min       1Q   Median       3Q      Max </w:t>
            </w:r>
          </w:p>
          <w:p w14:paraId="358E17FE"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-1.59838 -0.44074  0.02592  0.29608  2.40162 </w:t>
            </w:r>
          </w:p>
          <w:p w14:paraId="273B481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284A3609"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Coefficients:</w:t>
            </w:r>
          </w:p>
          <w:p w14:paraId="4207C54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 xml:space="preserve">            Estimate Std. Error t value Pr(&gt;|t|)    </w:t>
            </w:r>
          </w:p>
          <w:p w14:paraId="3F27C54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(Intercept)  2.17720    0.14089  15.453   &lt;2e-16 ***</w:t>
            </w:r>
          </w:p>
          <w:p w14:paraId="73C80D2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CA           0.42118    0.04306   9.781   &lt;2e-16 ***</w:t>
            </w:r>
          </w:p>
          <w:p w14:paraId="5CACB11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DF1DD1">
              <w:rPr>
                <w:rFonts w:ascii="Courier New" w:eastAsia="Times New Roman" w:hAnsi="Courier New" w:cs="Courier New"/>
                <w:color w:val="000000"/>
                <w:sz w:val="20"/>
                <w:szCs w:val="20"/>
                <w:bdr w:val="none" w:sz="0" w:space="0" w:color="auto" w:frame="1"/>
                <w:lang w:eastAsia="fr-FR"/>
              </w:rPr>
              <w:t>---</w:t>
            </w:r>
          </w:p>
          <w:p w14:paraId="68135E6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eastAsia="fr-FR"/>
              </w:rPr>
              <w:t xml:space="preserve">Signif. codes:  0 ‘***’ 0.001 ‘**’ 0.01 ‘*’ 0.05 ‘.’ </w:t>
            </w:r>
            <w:r w:rsidRPr="00DF1DD1">
              <w:rPr>
                <w:rFonts w:ascii="Courier New" w:eastAsia="Times New Roman" w:hAnsi="Courier New" w:cs="Courier New"/>
                <w:color w:val="000000"/>
                <w:sz w:val="20"/>
                <w:szCs w:val="20"/>
                <w:bdr w:val="none" w:sz="0" w:space="0" w:color="auto" w:frame="1"/>
                <w:lang w:val="en-US" w:eastAsia="fr-FR"/>
              </w:rPr>
              <w:t>0.1 ‘ ’ 1</w:t>
            </w:r>
          </w:p>
          <w:p w14:paraId="4A199073"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1C76F5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Residual standard error: 0.6535 on 206 degrees of freedom</w:t>
            </w:r>
          </w:p>
          <w:p w14:paraId="6B07DF4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Multiple R-squared:  0.3171,</w:t>
            </w:r>
            <w:r w:rsidRPr="00DF1DD1">
              <w:rPr>
                <w:rFonts w:ascii="Courier New" w:eastAsia="Times New Roman" w:hAnsi="Courier New" w:cs="Courier New"/>
                <w:color w:val="000000"/>
                <w:sz w:val="20"/>
                <w:szCs w:val="20"/>
                <w:bdr w:val="none" w:sz="0" w:space="0" w:color="auto" w:frame="1"/>
                <w:lang w:val="en-US" w:eastAsia="fr-FR"/>
              </w:rPr>
              <w:tab/>
              <w:t xml:space="preserve">Adjusted R-squared:  0.3138 </w:t>
            </w:r>
          </w:p>
          <w:p w14:paraId="280CC1B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F-statistic: 95.67 on 1 and 206 DF,  p-value: &lt; 2.2e-16</w:t>
            </w:r>
          </w:p>
          <w:p w14:paraId="0C70622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E71148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632D740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Calculate R-squared and R</w:t>
            </w:r>
          </w:p>
          <w:p w14:paraId="61C838F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r_squared &lt;- summary(model)$r.squared</w:t>
            </w:r>
          </w:p>
          <w:p w14:paraId="593DECB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r &lt;- sqrt(r_squared)</w:t>
            </w:r>
          </w:p>
          <w:p w14:paraId="37AFF16B"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73CD58C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Display results</w:t>
            </w:r>
          </w:p>
          <w:p w14:paraId="27D3D25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cat("R-squared =", r_squared, "\n")</w:t>
            </w:r>
          </w:p>
          <w:p w14:paraId="043A0E3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 xml:space="preserve">R-squared = 0.3171384 </w:t>
            </w:r>
          </w:p>
          <w:p w14:paraId="4240BC1C"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cat("R =", r, "\n")</w:t>
            </w:r>
          </w:p>
          <w:p w14:paraId="487D4D5F" w14:textId="77777777" w:rsidR="00520D2C" w:rsidRPr="00EB482A"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EB482A">
              <w:rPr>
                <w:rFonts w:ascii="Courier New" w:eastAsia="Times New Roman" w:hAnsi="Courier New" w:cs="Courier New"/>
                <w:color w:val="000000"/>
                <w:sz w:val="20"/>
                <w:szCs w:val="20"/>
                <w:bdr w:val="none" w:sz="0" w:space="0" w:color="auto" w:frame="1"/>
                <w:lang w:val="en-US" w:eastAsia="fr-FR"/>
              </w:rPr>
              <w:t xml:space="preserve">R = 0.5631504 </w:t>
            </w:r>
          </w:p>
          <w:p w14:paraId="0A0E0F21" w14:textId="77777777" w:rsidR="00520D2C" w:rsidRPr="00EB482A"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EB482A">
              <w:rPr>
                <w:rFonts w:ascii="Courier New" w:eastAsia="Times New Roman" w:hAnsi="Courier New" w:cs="Courier New"/>
                <w:color w:val="930F80"/>
                <w:sz w:val="20"/>
                <w:szCs w:val="20"/>
                <w:lang w:val="en-US" w:eastAsia="fr-FR"/>
              </w:rPr>
              <w:t xml:space="preserve">&gt; </w:t>
            </w:r>
          </w:p>
          <w:p w14:paraId="586721C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 Plot the relationship</w:t>
            </w:r>
          </w:p>
          <w:p w14:paraId="0786CEDF"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library(ggplot2)</w:t>
            </w:r>
          </w:p>
          <w:p w14:paraId="59BAE7C0"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ml:space="preserve">&gt; </w:t>
            </w:r>
          </w:p>
          <w:p w14:paraId="7259871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&gt; ggplot(turkish, aes(x = CA, y = TCB)) +</w:t>
            </w:r>
          </w:p>
          <w:p w14:paraId="6F9F7A9A"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geom_point(color = "blue", alpha = 0.6) +</w:t>
            </w:r>
          </w:p>
          <w:p w14:paraId="542F67A5"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geom_smooth(method = "lm", se = TRUE, color = "red") +</w:t>
            </w:r>
          </w:p>
          <w:p w14:paraId="39A80EF7"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labs(title = "Linear Regression: CA → TCB",</w:t>
            </w:r>
          </w:p>
          <w:p w14:paraId="7F52F464"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x = "CA",</w:t>
            </w:r>
          </w:p>
          <w:p w14:paraId="2C76984A"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y = "TCB") +</w:t>
            </w:r>
          </w:p>
          <w:p w14:paraId="5CBD2161"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DF1DD1">
              <w:rPr>
                <w:rFonts w:ascii="Courier New" w:eastAsia="Times New Roman" w:hAnsi="Courier New" w:cs="Courier New"/>
                <w:color w:val="930F80"/>
                <w:sz w:val="20"/>
                <w:szCs w:val="20"/>
                <w:lang w:val="en-US" w:eastAsia="fr-FR"/>
              </w:rPr>
              <w:t>+     theme_minimal()</w:t>
            </w:r>
          </w:p>
          <w:p w14:paraId="5EB65F8D"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DF1DD1">
              <w:rPr>
                <w:rFonts w:ascii="Courier New" w:eastAsia="Times New Roman" w:hAnsi="Courier New" w:cs="Courier New"/>
                <w:color w:val="000000"/>
                <w:sz w:val="20"/>
                <w:szCs w:val="20"/>
                <w:bdr w:val="none" w:sz="0" w:space="0" w:color="auto" w:frame="1"/>
                <w:lang w:val="en-US" w:eastAsia="fr-FR"/>
              </w:rPr>
              <w:t>`geom_smooth()` using formula = 'y ~ x'</w:t>
            </w:r>
          </w:p>
          <w:p w14:paraId="157C91D8" w14:textId="77777777" w:rsidR="00520D2C" w:rsidRPr="00DF1DD1" w:rsidRDefault="00520D2C" w:rsidP="00DF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DF1DD1">
              <w:rPr>
                <w:rFonts w:ascii="Courier New" w:eastAsia="Times New Roman" w:hAnsi="Courier New" w:cs="Courier New"/>
                <w:color w:val="930F80"/>
                <w:sz w:val="20"/>
                <w:szCs w:val="20"/>
                <w:lang w:eastAsia="fr-FR"/>
              </w:rPr>
              <w:t xml:space="preserve">&gt; </w:t>
            </w:r>
          </w:p>
          <w:p w14:paraId="66F3DB57" w14:textId="77777777" w:rsidR="00520D2C" w:rsidRPr="00DF1DD1" w:rsidRDefault="00520D2C" w:rsidP="00DF1DD1">
            <w:pPr>
              <w:spacing w:after="0" w:line="240" w:lineRule="auto"/>
              <w:rPr>
                <w:rFonts w:ascii="Times New Roman" w:eastAsia="Times New Roman" w:hAnsi="Times New Roman" w:cs="Times New Roman"/>
                <w:sz w:val="24"/>
                <w:szCs w:val="24"/>
                <w:lang w:eastAsia="fr-FR"/>
              </w:rPr>
            </w:pPr>
          </w:p>
        </w:tc>
      </w:tr>
      <w:tr w:rsidR="00520D2C" w:rsidRPr="00DF1DD1" w14:paraId="618DC32C" w14:textId="77777777" w:rsidTr="00DF1DD1">
        <w:trPr>
          <w:tblCellSpacing w:w="0" w:type="dxa"/>
        </w:trPr>
        <w:tc>
          <w:tcPr>
            <w:tcW w:w="0" w:type="auto"/>
            <w:shd w:val="clear" w:color="auto" w:fill="FFFFFF"/>
            <w:hideMark/>
          </w:tcPr>
          <w:p w14:paraId="11FAE772" w14:textId="77777777" w:rsidR="00520D2C" w:rsidRPr="00DF1DD1" w:rsidRDefault="00520D2C" w:rsidP="00DF1DD1">
            <w:pPr>
              <w:spacing w:after="0" w:line="240" w:lineRule="auto"/>
              <w:rPr>
                <w:rFonts w:ascii="Times New Roman" w:eastAsia="Times New Roman" w:hAnsi="Times New Roman" w:cs="Times New Roman"/>
                <w:sz w:val="20"/>
                <w:szCs w:val="20"/>
                <w:lang w:eastAsia="fr-FR"/>
              </w:rPr>
            </w:pPr>
          </w:p>
        </w:tc>
      </w:tr>
      <w:tr w:rsidR="00520D2C" w:rsidRPr="00DF1DD1" w14:paraId="5F10871D" w14:textId="77777777" w:rsidTr="00DF1DD1">
        <w:trPr>
          <w:tblCellSpacing w:w="0" w:type="dxa"/>
        </w:trPr>
        <w:tc>
          <w:tcPr>
            <w:tcW w:w="0" w:type="auto"/>
            <w:shd w:val="clear" w:color="auto" w:fill="FFFFFF"/>
            <w:hideMark/>
          </w:tcPr>
          <w:tbl>
            <w:tblPr>
              <w:tblW w:w="10360" w:type="dxa"/>
              <w:tblCellSpacing w:w="0" w:type="dxa"/>
              <w:tblCellMar>
                <w:left w:w="0" w:type="dxa"/>
                <w:right w:w="0" w:type="dxa"/>
              </w:tblCellMar>
              <w:tblLook w:val="04A0" w:firstRow="1" w:lastRow="0" w:firstColumn="1" w:lastColumn="0" w:noHBand="0" w:noVBand="1"/>
            </w:tblPr>
            <w:tblGrid>
              <w:gridCol w:w="10360"/>
            </w:tblGrid>
            <w:tr w:rsidR="00520D2C" w:rsidRPr="00DF1DD1" w14:paraId="171E8096" w14:textId="77777777">
              <w:trPr>
                <w:tblCellSpacing w:w="0" w:type="dxa"/>
              </w:trPr>
              <w:tc>
                <w:tcPr>
                  <w:tcW w:w="15" w:type="dxa"/>
                  <w:hideMark/>
                </w:tcPr>
                <w:p w14:paraId="1685691F" w14:textId="77777777" w:rsidR="00520D2C" w:rsidRPr="00DF1DD1" w:rsidRDefault="00520D2C" w:rsidP="00DF1DD1">
                  <w:pPr>
                    <w:spacing w:after="0" w:line="240" w:lineRule="auto"/>
                    <w:rPr>
                      <w:rFonts w:ascii="Courier New" w:eastAsia="Times New Roman" w:hAnsi="Courier New" w:cs="Courier New"/>
                      <w:color w:val="930F80"/>
                      <w:sz w:val="24"/>
                      <w:szCs w:val="24"/>
                      <w:lang w:eastAsia="fr-FR"/>
                    </w:rPr>
                  </w:pPr>
                  <w:r w:rsidRPr="00DF1DD1">
                    <w:rPr>
                      <w:rFonts w:ascii="Courier New" w:eastAsia="Times New Roman" w:hAnsi="Courier New" w:cs="Courier New"/>
                      <w:color w:val="930F80"/>
                      <w:sz w:val="24"/>
                      <w:szCs w:val="24"/>
                      <w:lang w:eastAsia="fr-FR"/>
                    </w:rPr>
                    <w:t xml:space="preserve">&gt; </w:t>
                  </w:r>
                </w:p>
              </w:tc>
            </w:tr>
          </w:tbl>
          <w:p w14:paraId="0837C86C" w14:textId="77777777" w:rsidR="00520D2C" w:rsidRPr="00DF1DD1" w:rsidRDefault="00520D2C" w:rsidP="00DF1DD1">
            <w:pPr>
              <w:spacing w:after="0" w:line="240" w:lineRule="auto"/>
              <w:rPr>
                <w:rFonts w:ascii="Courier New" w:eastAsia="Times New Roman" w:hAnsi="Courier New" w:cs="Courier New"/>
                <w:color w:val="000000"/>
                <w:sz w:val="24"/>
                <w:szCs w:val="24"/>
                <w:lang w:eastAsia="fr-FR"/>
              </w:rPr>
            </w:pPr>
          </w:p>
        </w:tc>
      </w:tr>
    </w:tbl>
    <w:p w14:paraId="181C4000" w14:textId="77777777" w:rsidR="00520D2C" w:rsidRPr="009535A4" w:rsidRDefault="00520D2C" w:rsidP="00DF1DD1">
      <w:pPr>
        <w:pStyle w:val="HTMLPreformatted"/>
        <w:shd w:val="clear" w:color="auto" w:fill="FFFFFF"/>
        <w:wordWrap w:val="0"/>
        <w:rPr>
          <w:rStyle w:val="gntyacmbe3b"/>
          <w:color w:val="930F80"/>
          <w:lang w:val="en-GB"/>
        </w:rPr>
      </w:pPr>
      <w:r w:rsidRPr="009535A4">
        <w:rPr>
          <w:rStyle w:val="gntyacmbe3b"/>
          <w:color w:val="930F80"/>
          <w:lang w:val="en-GB"/>
        </w:rPr>
        <w:t># Simple linear regression: AA → TCB</w:t>
      </w:r>
    </w:p>
    <w:p w14:paraId="0ECFF906"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model &lt;- lm(TCB ~ AA, data = turkish)</w:t>
      </w:r>
    </w:p>
    <w:p w14:paraId="5B91176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683C6592"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Print model summary</w:t>
      </w:r>
    </w:p>
    <w:p w14:paraId="70117BF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summary(model)</w:t>
      </w:r>
    </w:p>
    <w:p w14:paraId="69CE6C9A"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2F294C1A"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Call:</w:t>
      </w:r>
    </w:p>
    <w:p w14:paraId="5E595A75"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lm(formula = TCB ~ AA, data = turkish)</w:t>
      </w:r>
    </w:p>
    <w:p w14:paraId="24F0329E"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2DD29165"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Residuals:</w:t>
      </w:r>
    </w:p>
    <w:p w14:paraId="022099CD"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     Min       1Q   Median       3Q      Max </w:t>
      </w:r>
    </w:p>
    <w:p w14:paraId="37B8F33D"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 xml:space="preserve">-1.69519 -0.42801 -0.00269  0.41760  2.09654 </w:t>
      </w:r>
    </w:p>
    <w:p w14:paraId="4D58339E" w14:textId="77777777" w:rsidR="00520D2C" w:rsidRDefault="00520D2C" w:rsidP="00DF1DD1">
      <w:pPr>
        <w:pStyle w:val="HTMLPreformatted"/>
        <w:shd w:val="clear" w:color="auto" w:fill="FFFFFF"/>
        <w:wordWrap w:val="0"/>
        <w:rPr>
          <w:rStyle w:val="gntyacmbo3b"/>
          <w:color w:val="000000"/>
          <w:bdr w:val="none" w:sz="0" w:space="0" w:color="auto" w:frame="1"/>
        </w:rPr>
      </w:pPr>
    </w:p>
    <w:p w14:paraId="4BC117AE"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Coefficients:</w:t>
      </w:r>
    </w:p>
    <w:p w14:paraId="49B63B89"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 xml:space="preserve">            Estimate Std. Error t value Pr(&gt;|t|)    </w:t>
      </w:r>
    </w:p>
    <w:p w14:paraId="6F16E1FD"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(Intercept)  2.30397    0.15555  14.811  &lt; 2e-16 ***</w:t>
      </w:r>
    </w:p>
    <w:p w14:paraId="5BE8A457"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AA           0.37468    0.04706   7.961 1.13e-13 ***</w:t>
      </w:r>
    </w:p>
    <w:p w14:paraId="06F57A25" w14:textId="77777777" w:rsidR="00520D2C" w:rsidRDefault="00520D2C" w:rsidP="00DF1DD1">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w:t>
      </w:r>
    </w:p>
    <w:p w14:paraId="125B9D6F"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Pr>
          <w:rStyle w:val="gntyacmbo3b"/>
          <w:color w:val="000000"/>
          <w:bdr w:val="none" w:sz="0" w:space="0" w:color="auto" w:frame="1"/>
        </w:rPr>
        <w:t xml:space="preserve">Signif. codes:  0 ‘***’ 0.001 ‘**’ 0.01 ‘*’ 0.05 ‘.’ </w:t>
      </w:r>
      <w:r w:rsidRPr="00DF1DD1">
        <w:rPr>
          <w:rStyle w:val="gntyacmbo3b"/>
          <w:color w:val="000000"/>
          <w:bdr w:val="none" w:sz="0" w:space="0" w:color="auto" w:frame="1"/>
          <w:lang w:val="en-US"/>
        </w:rPr>
        <w:t>0.1 ‘ ’ 1</w:t>
      </w:r>
    </w:p>
    <w:p w14:paraId="5FB36372"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7FFAE81F"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Residual standard error: 0.6916 on 206 degrees of freedom</w:t>
      </w:r>
    </w:p>
    <w:p w14:paraId="57A7FA0D"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Multiple R-squared:  0.2353,</w:t>
      </w:r>
      <w:r w:rsidRPr="00DF1DD1">
        <w:rPr>
          <w:rStyle w:val="gntyacmbo3b"/>
          <w:color w:val="000000"/>
          <w:bdr w:val="none" w:sz="0" w:space="0" w:color="auto" w:frame="1"/>
          <w:lang w:val="en-US"/>
        </w:rPr>
        <w:tab/>
        <w:t xml:space="preserve">Adjusted R-squared:  0.2316 </w:t>
      </w:r>
    </w:p>
    <w:p w14:paraId="6230AA40"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F-statistic: 63.38 on 1 and 206 DF,  p-value: 1.13e-13</w:t>
      </w:r>
    </w:p>
    <w:p w14:paraId="000037D0"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p>
    <w:p w14:paraId="2369E2E2"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3031B40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Calculate R-squared and R</w:t>
      </w:r>
    </w:p>
    <w:p w14:paraId="7DD4FD9B"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r_squared &lt;- summary(model)$r.squared</w:t>
      </w:r>
    </w:p>
    <w:p w14:paraId="6F122DE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r &lt;- sqrt(r_squared)</w:t>
      </w:r>
    </w:p>
    <w:p w14:paraId="2778B870"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5D486459"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Display results</w:t>
      </w:r>
    </w:p>
    <w:p w14:paraId="3D3E84FF"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cat("R-squared =", r_squared, "\n")</w:t>
      </w:r>
    </w:p>
    <w:p w14:paraId="2280FC3C"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R-squared = 0.2352784 </w:t>
      </w:r>
    </w:p>
    <w:p w14:paraId="49595C38"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cat("R =", r, "\n")</w:t>
      </w:r>
    </w:p>
    <w:p w14:paraId="0433A2B2"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 xml:space="preserve">R = 0.485055 </w:t>
      </w:r>
    </w:p>
    <w:p w14:paraId="4BF52BAE"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179981B6"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 Plot the relationship</w:t>
      </w:r>
    </w:p>
    <w:p w14:paraId="7711F23D"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library(ggplot2)</w:t>
      </w:r>
    </w:p>
    <w:p w14:paraId="0687072C"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p>
    <w:p w14:paraId="052AE3F3"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&gt; </w:t>
      </w:r>
      <w:r w:rsidRPr="00DF1DD1">
        <w:rPr>
          <w:rStyle w:val="gntyacmbe3b"/>
          <w:color w:val="930F80"/>
          <w:lang w:val="en-US"/>
        </w:rPr>
        <w:t>ggplot(turkish, aes(x = AA, y = TCB)) +</w:t>
      </w:r>
    </w:p>
    <w:p w14:paraId="5977A742"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geom_point(color = "blue", alpha = 0.6) +</w:t>
      </w:r>
    </w:p>
    <w:p w14:paraId="5E5881D7"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geom_smooth(method = "lm", se = TRUE, color = "red") +</w:t>
      </w:r>
    </w:p>
    <w:p w14:paraId="047A0068"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labs(title = "Linear Regression: AA → TCB",</w:t>
      </w:r>
    </w:p>
    <w:p w14:paraId="576E4D74"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x = "AA",</w:t>
      </w:r>
    </w:p>
    <w:p w14:paraId="3D9E3368"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y = "TCB") +</w:t>
      </w:r>
    </w:p>
    <w:p w14:paraId="7926F591" w14:textId="77777777" w:rsidR="00520D2C" w:rsidRPr="00DF1DD1" w:rsidRDefault="00520D2C" w:rsidP="00DF1DD1">
      <w:pPr>
        <w:pStyle w:val="HTMLPreformatted"/>
        <w:shd w:val="clear" w:color="auto" w:fill="FFFFFF"/>
        <w:wordWrap w:val="0"/>
        <w:rPr>
          <w:rStyle w:val="gntyacmbe3b"/>
          <w:color w:val="930F80"/>
          <w:lang w:val="en-US"/>
        </w:rPr>
      </w:pPr>
      <w:r w:rsidRPr="00DF1DD1">
        <w:rPr>
          <w:rStyle w:val="gntyacmbf4b"/>
          <w:color w:val="930F80"/>
          <w:lang w:val="en-US"/>
        </w:rPr>
        <w:t xml:space="preserve">+ </w:t>
      </w:r>
      <w:r w:rsidRPr="00DF1DD1">
        <w:rPr>
          <w:rStyle w:val="gntyacmbe3b"/>
          <w:color w:val="930F80"/>
          <w:lang w:val="en-US"/>
        </w:rPr>
        <w:t xml:space="preserve">    theme_minimal()</w:t>
      </w:r>
    </w:p>
    <w:p w14:paraId="66A7C53E" w14:textId="77777777" w:rsidR="00520D2C" w:rsidRPr="00DF1DD1" w:rsidRDefault="00520D2C" w:rsidP="00DF1DD1">
      <w:pPr>
        <w:pStyle w:val="HTMLPreformatted"/>
        <w:shd w:val="clear" w:color="auto" w:fill="FFFFFF"/>
        <w:wordWrap w:val="0"/>
        <w:rPr>
          <w:rStyle w:val="gntyacmbo3b"/>
          <w:color w:val="000000"/>
          <w:bdr w:val="none" w:sz="0" w:space="0" w:color="auto" w:frame="1"/>
          <w:lang w:val="en-US"/>
        </w:rPr>
      </w:pPr>
      <w:r w:rsidRPr="00DF1DD1">
        <w:rPr>
          <w:rStyle w:val="gntyacmbo3b"/>
          <w:color w:val="000000"/>
          <w:bdr w:val="none" w:sz="0" w:space="0" w:color="auto" w:frame="1"/>
          <w:lang w:val="en-US"/>
        </w:rPr>
        <w:t>`geom_smooth()` using formula = 'y ~ x'</w:t>
      </w:r>
    </w:p>
    <w:p w14:paraId="4D46C83E" w14:textId="77777777" w:rsidR="00520D2C" w:rsidRDefault="00520D2C" w:rsidP="00DF1DD1">
      <w:pPr>
        <w:pStyle w:val="HTMLPreformatted"/>
        <w:shd w:val="clear" w:color="auto" w:fill="FFFFFF"/>
        <w:wordWrap w:val="0"/>
        <w:rPr>
          <w:color w:val="000000"/>
        </w:rPr>
      </w:pPr>
      <w:r>
        <w:rPr>
          <w:rStyle w:val="gntyacmbf4b"/>
          <w:color w:val="930F80"/>
        </w:rPr>
        <w:t xml:space="preserve">&gt; </w:t>
      </w:r>
    </w:p>
    <w:tbl>
      <w:tblPr>
        <w:tblW w:w="10450" w:type="dxa"/>
        <w:tblCellSpacing w:w="0" w:type="dxa"/>
        <w:shd w:val="clear" w:color="auto" w:fill="FFFFFF"/>
        <w:tblCellMar>
          <w:left w:w="90" w:type="dxa"/>
          <w:bottom w:w="120" w:type="dxa"/>
          <w:right w:w="0" w:type="dxa"/>
        </w:tblCellMar>
        <w:tblLook w:val="04A0" w:firstRow="1" w:lastRow="0" w:firstColumn="1" w:lastColumn="0" w:noHBand="0" w:noVBand="1"/>
      </w:tblPr>
      <w:tblGrid>
        <w:gridCol w:w="10450"/>
      </w:tblGrid>
      <w:tr w:rsidR="00520D2C" w:rsidRPr="00FA3F29" w14:paraId="53B10FD8" w14:textId="77777777" w:rsidTr="00FA3F29">
        <w:trPr>
          <w:tblCellSpacing w:w="0" w:type="dxa"/>
        </w:trPr>
        <w:tc>
          <w:tcPr>
            <w:tcW w:w="0" w:type="auto"/>
            <w:shd w:val="clear" w:color="auto" w:fill="FFFFFF"/>
            <w:hideMark/>
          </w:tcPr>
          <w:p w14:paraId="2F7CE1DE"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Simple linear regression: PQP → WTNA</w:t>
            </w:r>
          </w:p>
          <w:p w14:paraId="64F1D857"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model &lt;- lm(WTNA ~ PQP, data = turkish)</w:t>
            </w:r>
          </w:p>
          <w:p w14:paraId="2D056184"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427ACB9C"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Print model summary</w:t>
            </w:r>
          </w:p>
          <w:p w14:paraId="7BE20486"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summary(model)</w:t>
            </w:r>
          </w:p>
          <w:p w14:paraId="28D47541"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9A2F9BA"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Call:</w:t>
            </w:r>
          </w:p>
          <w:p w14:paraId="7C5360D5"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lm(formula = WTNA ~ PQP, data = turkish)</w:t>
            </w:r>
          </w:p>
          <w:p w14:paraId="25B6CCC8"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0DAE2CE"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Residuals:</w:t>
            </w:r>
          </w:p>
          <w:p w14:paraId="183BE3FC"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     Min       1Q   Median       3Q      Max </w:t>
            </w:r>
          </w:p>
          <w:p w14:paraId="4CA60ACB"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 xml:space="preserve">-1.41218 -0.52532  0.04165  0.36336  2.58782 </w:t>
            </w:r>
          </w:p>
          <w:p w14:paraId="18F8FC31"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22EFB39A"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Coefficients:</w:t>
            </w:r>
          </w:p>
          <w:p w14:paraId="60C9DF94"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 xml:space="preserve">            Estimate Std. Error t value Pr(&gt;|t|)    </w:t>
            </w:r>
          </w:p>
          <w:p w14:paraId="3B93194B"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(Intercept)  1.85560    0.17274   10.74   &lt;2e-16 ***</w:t>
            </w:r>
          </w:p>
          <w:p w14:paraId="153E14A3"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PQP          0.55657    0.05305   10.49   &lt;2e-16 ***</w:t>
            </w:r>
          </w:p>
          <w:p w14:paraId="09AA6226"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w:t>
            </w:r>
          </w:p>
          <w:p w14:paraId="6883F05E"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eastAsia="fr-FR"/>
              </w:rPr>
              <w:t xml:space="preserve">Signif. codes:  0 ‘***’ 0.001 ‘**’ 0.01 ‘*’ 0.05 ‘.’ </w:t>
            </w:r>
            <w:r w:rsidRPr="00FA3F29">
              <w:rPr>
                <w:rFonts w:ascii="Courier New" w:eastAsia="Times New Roman" w:hAnsi="Courier New" w:cs="Courier New"/>
                <w:color w:val="000000"/>
                <w:sz w:val="20"/>
                <w:szCs w:val="20"/>
                <w:bdr w:val="none" w:sz="0" w:space="0" w:color="auto" w:frame="1"/>
                <w:lang w:val="en-US" w:eastAsia="fr-FR"/>
              </w:rPr>
              <w:t>0.1 ‘ ’ 1</w:t>
            </w:r>
          </w:p>
          <w:p w14:paraId="28A93891"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EEBD429"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Residual standard error: 0.7504 on 206 degrees of freedom</w:t>
            </w:r>
          </w:p>
          <w:p w14:paraId="38371FA8"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Multiple R-squared:  0.3482,</w:t>
            </w:r>
            <w:r w:rsidRPr="00FA3F29">
              <w:rPr>
                <w:rFonts w:ascii="Courier New" w:eastAsia="Times New Roman" w:hAnsi="Courier New" w:cs="Courier New"/>
                <w:color w:val="000000"/>
                <w:sz w:val="20"/>
                <w:szCs w:val="20"/>
                <w:bdr w:val="none" w:sz="0" w:space="0" w:color="auto" w:frame="1"/>
                <w:lang w:val="en-US" w:eastAsia="fr-FR"/>
              </w:rPr>
              <w:tab/>
              <w:t xml:space="preserve">Adjusted R-squared:  0.3451 </w:t>
            </w:r>
          </w:p>
          <w:p w14:paraId="35C64620"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F-statistic: 110.1 on 1 and 206 DF,  p-value: &lt; 2.2e-16</w:t>
            </w:r>
          </w:p>
          <w:p w14:paraId="127D0827"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1AE816E"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7EA83AD0"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Calculate R-squared and R</w:t>
            </w:r>
          </w:p>
          <w:p w14:paraId="16E5464F"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r_squared &lt;- summary(model)$r.squared</w:t>
            </w:r>
          </w:p>
          <w:p w14:paraId="74C70B34"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r &lt;- sqrt(r_squared)</w:t>
            </w:r>
          </w:p>
          <w:p w14:paraId="1305C72C"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5FB6B16F"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Display results</w:t>
            </w:r>
          </w:p>
          <w:p w14:paraId="7EC1CFFA"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cat("R-squared =", r_squared, "\n")</w:t>
            </w:r>
          </w:p>
          <w:p w14:paraId="6C54B629"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R-squared = 0.3482208 </w:t>
            </w:r>
          </w:p>
          <w:p w14:paraId="08DD24FB"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cat("R =", r, "\n")</w:t>
            </w:r>
          </w:p>
          <w:p w14:paraId="26E05BD2"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R = 0.5901024 </w:t>
            </w:r>
          </w:p>
          <w:p w14:paraId="082F4855"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18F68B78"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Plot the relationship</w:t>
            </w:r>
          </w:p>
          <w:p w14:paraId="455142F9"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library(ggplot2)</w:t>
            </w:r>
          </w:p>
          <w:p w14:paraId="59833621"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19C06A81"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ggplot(turkish, aes(x = PQP, y = WTNA)) +</w:t>
            </w:r>
          </w:p>
          <w:p w14:paraId="05C29A87"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geom_point(color = "blue", alpha = 0.6) +</w:t>
            </w:r>
          </w:p>
          <w:p w14:paraId="15AEE159"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geom_smooth(method = "lm", se = TRUE, color = "red") +</w:t>
            </w:r>
          </w:p>
          <w:p w14:paraId="7107BE90"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labs(title = "Linear Regression: PQP → WTNA",</w:t>
            </w:r>
          </w:p>
          <w:p w14:paraId="51269319"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 = "PQP",</w:t>
            </w:r>
          </w:p>
          <w:p w14:paraId="4FE5F86D"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y = "WTNA") +</w:t>
            </w:r>
          </w:p>
          <w:p w14:paraId="44785F57"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theme_minimal()</w:t>
            </w:r>
          </w:p>
          <w:p w14:paraId="58EE5C1A"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`geom_smooth()` using formula = 'y ~ x'</w:t>
            </w:r>
          </w:p>
          <w:p w14:paraId="4B5046EF" w14:textId="77777777" w:rsidR="00520D2C" w:rsidRPr="00FA3F29" w:rsidRDefault="00520D2C" w:rsidP="00FA3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FA3F29">
              <w:rPr>
                <w:rFonts w:ascii="Courier New" w:eastAsia="Times New Roman" w:hAnsi="Courier New" w:cs="Courier New"/>
                <w:color w:val="930F80"/>
                <w:sz w:val="20"/>
                <w:szCs w:val="20"/>
                <w:lang w:eastAsia="fr-FR"/>
              </w:rPr>
              <w:t xml:space="preserve">&gt; </w:t>
            </w:r>
          </w:p>
          <w:p w14:paraId="61BE1178" w14:textId="77777777" w:rsidR="00520D2C" w:rsidRPr="00FA3F29" w:rsidRDefault="00520D2C" w:rsidP="00FA3F29">
            <w:pPr>
              <w:spacing w:after="0" w:line="240" w:lineRule="auto"/>
              <w:rPr>
                <w:rFonts w:ascii="Times New Roman" w:eastAsia="Times New Roman" w:hAnsi="Times New Roman" w:cs="Times New Roman"/>
                <w:sz w:val="24"/>
                <w:szCs w:val="24"/>
                <w:lang w:eastAsia="fr-FR"/>
              </w:rPr>
            </w:pPr>
          </w:p>
        </w:tc>
      </w:tr>
      <w:tr w:rsidR="00520D2C" w:rsidRPr="00FA3F29" w14:paraId="51A87374" w14:textId="77777777" w:rsidTr="00FA3F29">
        <w:trPr>
          <w:tblCellSpacing w:w="0" w:type="dxa"/>
        </w:trPr>
        <w:tc>
          <w:tcPr>
            <w:tcW w:w="0" w:type="auto"/>
            <w:shd w:val="clear" w:color="auto" w:fill="FFFFFF"/>
            <w:hideMark/>
          </w:tcPr>
          <w:p w14:paraId="4AB9B6D9" w14:textId="77777777" w:rsidR="00520D2C" w:rsidRPr="00FA3F29" w:rsidRDefault="00520D2C" w:rsidP="00FA3F29">
            <w:pPr>
              <w:spacing w:after="0" w:line="240" w:lineRule="auto"/>
              <w:rPr>
                <w:rFonts w:ascii="Times New Roman" w:eastAsia="Times New Roman" w:hAnsi="Times New Roman" w:cs="Times New Roman"/>
                <w:sz w:val="20"/>
                <w:szCs w:val="20"/>
                <w:lang w:eastAsia="fr-FR"/>
              </w:rPr>
            </w:pPr>
          </w:p>
        </w:tc>
      </w:tr>
      <w:tr w:rsidR="00520D2C" w:rsidRPr="00FA3F29" w14:paraId="7143D0BB" w14:textId="77777777" w:rsidTr="00FA3F29">
        <w:trPr>
          <w:tblCellSpacing w:w="0" w:type="dxa"/>
        </w:trPr>
        <w:tc>
          <w:tcPr>
            <w:tcW w:w="0" w:type="auto"/>
            <w:shd w:val="clear" w:color="auto" w:fill="FFFFFF"/>
            <w:hideMark/>
          </w:tcPr>
          <w:tbl>
            <w:tblPr>
              <w:tblW w:w="10360" w:type="dxa"/>
              <w:tblCellSpacing w:w="0" w:type="dxa"/>
              <w:tblCellMar>
                <w:left w:w="0" w:type="dxa"/>
                <w:right w:w="0" w:type="dxa"/>
              </w:tblCellMar>
              <w:tblLook w:val="04A0" w:firstRow="1" w:lastRow="0" w:firstColumn="1" w:lastColumn="0" w:noHBand="0" w:noVBand="1"/>
            </w:tblPr>
            <w:tblGrid>
              <w:gridCol w:w="10360"/>
            </w:tblGrid>
            <w:tr w:rsidR="00520D2C" w:rsidRPr="00FA3F29" w14:paraId="3BA88B5F" w14:textId="77777777">
              <w:trPr>
                <w:tblCellSpacing w:w="0" w:type="dxa"/>
              </w:trPr>
              <w:tc>
                <w:tcPr>
                  <w:tcW w:w="15" w:type="dxa"/>
                  <w:hideMark/>
                </w:tcPr>
                <w:p w14:paraId="46621410" w14:textId="77777777" w:rsidR="00520D2C" w:rsidRPr="00FA3F29" w:rsidRDefault="00520D2C" w:rsidP="00FA3F29">
                  <w:pPr>
                    <w:spacing w:after="0" w:line="240" w:lineRule="auto"/>
                    <w:rPr>
                      <w:rFonts w:ascii="Courier New" w:eastAsia="Times New Roman" w:hAnsi="Courier New" w:cs="Courier New"/>
                      <w:color w:val="930F80"/>
                      <w:sz w:val="24"/>
                      <w:szCs w:val="24"/>
                      <w:lang w:eastAsia="fr-FR"/>
                    </w:rPr>
                  </w:pPr>
                  <w:r w:rsidRPr="00FA3F29">
                    <w:rPr>
                      <w:rFonts w:ascii="Courier New" w:eastAsia="Times New Roman" w:hAnsi="Courier New" w:cs="Courier New"/>
                      <w:color w:val="930F80"/>
                      <w:sz w:val="24"/>
                      <w:szCs w:val="24"/>
                      <w:lang w:eastAsia="fr-FR"/>
                    </w:rPr>
                    <w:t xml:space="preserve">&gt; </w:t>
                  </w:r>
                </w:p>
              </w:tc>
            </w:tr>
          </w:tbl>
          <w:p w14:paraId="4BF78205" w14:textId="77777777" w:rsidR="00520D2C" w:rsidRPr="00FA3F29" w:rsidRDefault="00520D2C" w:rsidP="00FA3F29">
            <w:pPr>
              <w:spacing w:after="0" w:line="240" w:lineRule="auto"/>
              <w:rPr>
                <w:rFonts w:ascii="Courier New" w:eastAsia="Times New Roman" w:hAnsi="Courier New" w:cs="Courier New"/>
                <w:color w:val="000000"/>
                <w:sz w:val="24"/>
                <w:szCs w:val="24"/>
                <w:lang w:eastAsia="fr-FR"/>
              </w:rPr>
            </w:pPr>
          </w:p>
        </w:tc>
      </w:tr>
    </w:tbl>
    <w:p w14:paraId="51AB8ABF" w14:textId="77777777" w:rsidR="00520D2C" w:rsidRPr="009535A4"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GB" w:eastAsia="fr-FR"/>
        </w:rPr>
      </w:pPr>
      <w:r w:rsidRPr="009535A4">
        <w:rPr>
          <w:rFonts w:ascii="Courier New" w:eastAsia="Times New Roman" w:hAnsi="Courier New" w:cs="Courier New"/>
          <w:color w:val="930F80"/>
          <w:sz w:val="20"/>
          <w:szCs w:val="20"/>
          <w:lang w:val="en-GB" w:eastAsia="fr-FR"/>
        </w:rPr>
        <w:t>&gt; # Simple linear regression: PC → WTNA</w:t>
      </w:r>
    </w:p>
    <w:p w14:paraId="3CF6A21F"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model &lt;- lm(WTNA ~ PC, data = turkish)</w:t>
      </w:r>
    </w:p>
    <w:p w14:paraId="5CB645D8"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57A24D5A"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Print model summary</w:t>
      </w:r>
    </w:p>
    <w:p w14:paraId="087E666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summary(model)</w:t>
      </w:r>
    </w:p>
    <w:p w14:paraId="742AC4FE"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7D44D18"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Call:</w:t>
      </w:r>
    </w:p>
    <w:p w14:paraId="169E5F46"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lm(formula = WTNA ~ PC, data = turkish)</w:t>
      </w:r>
    </w:p>
    <w:p w14:paraId="54B9B3D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334BD1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Residuals:</w:t>
      </w:r>
    </w:p>
    <w:p w14:paraId="4946AC2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     Min       1Q   Median       3Q      Max </w:t>
      </w:r>
    </w:p>
    <w:p w14:paraId="3746AEEE"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 xml:space="preserve">-1.50229 -0.50373 -0.05438  0.39670  2.49771 </w:t>
      </w:r>
    </w:p>
    <w:p w14:paraId="2DB1AFBD"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14AF9FE2"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Coefficients:</w:t>
      </w:r>
    </w:p>
    <w:p w14:paraId="309559C0"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 xml:space="preserve">            Estimate Std. Error t value Pr(&gt;|t|)    </w:t>
      </w:r>
    </w:p>
    <w:p w14:paraId="6CA0DA83"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(Intercept)   2.0016     0.1777  11.260   &lt;2e-16 ***</w:t>
      </w:r>
    </w:p>
    <w:p w14:paraId="71EBC388"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PC            0.5007     0.0536   9.342   &lt;2e-16 ***</w:t>
      </w:r>
    </w:p>
    <w:p w14:paraId="7CB920A1"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FA3F29">
        <w:rPr>
          <w:rFonts w:ascii="Courier New" w:eastAsia="Times New Roman" w:hAnsi="Courier New" w:cs="Courier New"/>
          <w:color w:val="000000"/>
          <w:sz w:val="20"/>
          <w:szCs w:val="20"/>
          <w:bdr w:val="none" w:sz="0" w:space="0" w:color="auto" w:frame="1"/>
          <w:lang w:eastAsia="fr-FR"/>
        </w:rPr>
        <w:t>---</w:t>
      </w:r>
    </w:p>
    <w:p w14:paraId="6525B3CD"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eastAsia="fr-FR"/>
        </w:rPr>
        <w:t xml:space="preserve">Signif. codes:  0 ‘***’ 0.001 ‘**’ 0.01 ‘*’ 0.05 ‘.’ </w:t>
      </w:r>
      <w:r w:rsidRPr="00FA3F29">
        <w:rPr>
          <w:rFonts w:ascii="Courier New" w:eastAsia="Times New Roman" w:hAnsi="Courier New" w:cs="Courier New"/>
          <w:color w:val="000000"/>
          <w:sz w:val="20"/>
          <w:szCs w:val="20"/>
          <w:bdr w:val="none" w:sz="0" w:space="0" w:color="auto" w:frame="1"/>
          <w:lang w:val="en-US" w:eastAsia="fr-FR"/>
        </w:rPr>
        <w:t>0.1 ‘ ’ 1</w:t>
      </w:r>
    </w:p>
    <w:p w14:paraId="726FAE4A"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17E3F86"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Residual standard error: 0.779 on 206 degrees of freedom</w:t>
      </w:r>
    </w:p>
    <w:p w14:paraId="2357CE39"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Multiple R-squared:  0.2976,</w:t>
      </w:r>
      <w:r w:rsidRPr="00FA3F29">
        <w:rPr>
          <w:rFonts w:ascii="Courier New" w:eastAsia="Times New Roman" w:hAnsi="Courier New" w:cs="Courier New"/>
          <w:color w:val="000000"/>
          <w:sz w:val="20"/>
          <w:szCs w:val="20"/>
          <w:bdr w:val="none" w:sz="0" w:space="0" w:color="auto" w:frame="1"/>
          <w:lang w:val="en-US" w:eastAsia="fr-FR"/>
        </w:rPr>
        <w:tab/>
        <w:t xml:space="preserve">Adjusted R-squared:  0.2942 </w:t>
      </w:r>
    </w:p>
    <w:p w14:paraId="7A8F32AD"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F-statistic: 87.28 on 1 and 206 DF,  p-value: &lt; 2.2e-16</w:t>
      </w:r>
    </w:p>
    <w:p w14:paraId="62980C1C"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E157259"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17D0BAEB"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Calculate R-squared and R</w:t>
      </w:r>
    </w:p>
    <w:p w14:paraId="3D9F832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r_squared &lt;- summary(model)$r.squared</w:t>
      </w:r>
    </w:p>
    <w:p w14:paraId="2B76D7A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r &lt;- sqrt(r_squared)</w:t>
      </w:r>
    </w:p>
    <w:p w14:paraId="093B8712"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4BB984DF"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Display results</w:t>
      </w:r>
    </w:p>
    <w:p w14:paraId="272B35DB"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cat("R-squared =", r_squared, "\n")</w:t>
      </w:r>
    </w:p>
    <w:p w14:paraId="3FBDDA0A"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R-squared = 0.2975969 </w:t>
      </w:r>
    </w:p>
    <w:p w14:paraId="71629669"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cat("R =", r, "\n")</w:t>
      </w:r>
    </w:p>
    <w:p w14:paraId="6E311FBF"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 xml:space="preserve">R = 0.5455244 </w:t>
      </w:r>
    </w:p>
    <w:p w14:paraId="6D9BC7E9"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0C513AA5"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 Plot the relationship</w:t>
      </w:r>
    </w:p>
    <w:p w14:paraId="23438F4E"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library(ggplot2)</w:t>
      </w:r>
    </w:p>
    <w:p w14:paraId="71DD6220"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ml:space="preserve">&gt; </w:t>
      </w:r>
    </w:p>
    <w:p w14:paraId="550A47B5"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&gt; ggplot(turkish, aes(x = PC, y = WTNA)) +</w:t>
      </w:r>
    </w:p>
    <w:p w14:paraId="066DBBC1"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geom_point(color = "blue", alpha = 0.6) +</w:t>
      </w:r>
    </w:p>
    <w:p w14:paraId="3AC89C27"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geom_smooth(method = "lm", se = TRUE, color = "red") +</w:t>
      </w:r>
    </w:p>
    <w:p w14:paraId="3D1B511F"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labs(title = "Linear Regression: PC → WTNA",</w:t>
      </w:r>
    </w:p>
    <w:p w14:paraId="5C03DAA4"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x = "PC",</w:t>
      </w:r>
    </w:p>
    <w:p w14:paraId="1AE7B141"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y = "WTNA") +</w:t>
      </w:r>
    </w:p>
    <w:p w14:paraId="4587BEC3"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FA3F29">
        <w:rPr>
          <w:rFonts w:ascii="Courier New" w:eastAsia="Times New Roman" w:hAnsi="Courier New" w:cs="Courier New"/>
          <w:color w:val="930F80"/>
          <w:sz w:val="20"/>
          <w:szCs w:val="20"/>
          <w:lang w:val="en-US" w:eastAsia="fr-FR"/>
        </w:rPr>
        <w:t>+     theme_minimal()</w:t>
      </w:r>
    </w:p>
    <w:p w14:paraId="03AE28DE" w14:textId="77777777" w:rsidR="00520D2C"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FA3F29">
        <w:rPr>
          <w:rFonts w:ascii="Courier New" w:eastAsia="Times New Roman" w:hAnsi="Courier New" w:cs="Courier New"/>
          <w:color w:val="000000"/>
          <w:sz w:val="20"/>
          <w:szCs w:val="20"/>
          <w:bdr w:val="none" w:sz="0" w:space="0" w:color="auto" w:frame="1"/>
          <w:lang w:val="en-US" w:eastAsia="fr-FR"/>
        </w:rPr>
        <w:t>`geom_smooth()` using formula = 'y ~ x'</w:t>
      </w:r>
    </w:p>
    <w:p w14:paraId="4B6280F3" w14:textId="77777777" w:rsidR="00520D2C" w:rsidRPr="00FA3F29" w:rsidRDefault="00520D2C" w:rsidP="00FA3F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lang w:val="en-US" w:eastAsia="fr-FR"/>
        </w:rPr>
      </w:pPr>
    </w:p>
    <w:p w14:paraId="1CF9BBE0"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e3b"/>
          <w:color w:val="930F80"/>
          <w:lang w:val="en-US"/>
        </w:rPr>
        <w:t># Simple linear regression: CA → WTNA</w:t>
      </w:r>
    </w:p>
    <w:p w14:paraId="33A952CC"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model &lt;- lm(WTNA ~ CA, data = turkish)</w:t>
      </w:r>
    </w:p>
    <w:p w14:paraId="01DA2E76"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p>
    <w:p w14:paraId="2A3509E2"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 Print model summary</w:t>
      </w:r>
    </w:p>
    <w:p w14:paraId="4FC8F29A"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summary(model)</w:t>
      </w:r>
    </w:p>
    <w:p w14:paraId="6B0FE412"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p>
    <w:p w14:paraId="5BAD767B"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Call:</w:t>
      </w:r>
    </w:p>
    <w:p w14:paraId="28A734E9"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lm(formula = WTNA ~ CA, data = turkish)</w:t>
      </w:r>
    </w:p>
    <w:p w14:paraId="31A59B86"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p>
    <w:p w14:paraId="394C2518"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Residuals:</w:t>
      </w:r>
    </w:p>
    <w:p w14:paraId="3937D326" w14:textId="77777777" w:rsidR="00520D2C" w:rsidRPr="0019449B" w:rsidRDefault="00520D2C" w:rsidP="00FA3F29">
      <w:pPr>
        <w:pStyle w:val="HTMLPreformatted"/>
        <w:shd w:val="clear" w:color="auto" w:fill="FFFFFF"/>
        <w:wordWrap w:val="0"/>
        <w:rPr>
          <w:rStyle w:val="gntyacmbo3b"/>
          <w:color w:val="000000"/>
          <w:bdr w:val="none" w:sz="0" w:space="0" w:color="auto" w:frame="1"/>
        </w:rPr>
      </w:pPr>
      <w:r w:rsidRPr="00FA3F29">
        <w:rPr>
          <w:rStyle w:val="gntyacmbo3b"/>
          <w:color w:val="000000"/>
          <w:bdr w:val="none" w:sz="0" w:space="0" w:color="auto" w:frame="1"/>
          <w:lang w:val="en-US"/>
        </w:rPr>
        <w:t xml:space="preserve">    </w:t>
      </w:r>
      <w:r w:rsidRPr="0019449B">
        <w:rPr>
          <w:rStyle w:val="gntyacmbo3b"/>
          <w:color w:val="000000"/>
          <w:bdr w:val="none" w:sz="0" w:space="0" w:color="auto" w:frame="1"/>
        </w:rPr>
        <w:t xml:space="preserve">Min      1Q  Median      3Q     Max </w:t>
      </w:r>
    </w:p>
    <w:p w14:paraId="2DAC32F2"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 xml:space="preserve">-1.6925 -0.5376 -0.0010  0.5807  2.4014 </w:t>
      </w:r>
    </w:p>
    <w:p w14:paraId="422B3519" w14:textId="77777777" w:rsidR="00520D2C" w:rsidRDefault="00520D2C" w:rsidP="00FA3F29">
      <w:pPr>
        <w:pStyle w:val="HTMLPreformatted"/>
        <w:shd w:val="clear" w:color="auto" w:fill="FFFFFF"/>
        <w:wordWrap w:val="0"/>
        <w:rPr>
          <w:rStyle w:val="gntyacmbo3b"/>
          <w:color w:val="000000"/>
          <w:bdr w:val="none" w:sz="0" w:space="0" w:color="auto" w:frame="1"/>
        </w:rPr>
      </w:pPr>
    </w:p>
    <w:p w14:paraId="0EA0C8FE"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Coefficients:</w:t>
      </w:r>
    </w:p>
    <w:p w14:paraId="494B61A2"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 xml:space="preserve">            Estimate Std. Error t value Pr(&gt;|t|)    </w:t>
      </w:r>
    </w:p>
    <w:p w14:paraId="6BED67E1"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(Intercept)  2.12913    0.16942  12.567   &lt;2e-16 ***</w:t>
      </w:r>
    </w:p>
    <w:p w14:paraId="0DB70F63"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CA           0.46949    0.05178   9.067   &lt;2e-16 ***</w:t>
      </w:r>
    </w:p>
    <w:p w14:paraId="42D60B20" w14:textId="77777777" w:rsidR="00520D2C" w:rsidRDefault="00520D2C" w:rsidP="00FA3F29">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w:t>
      </w:r>
    </w:p>
    <w:p w14:paraId="2875B360"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Pr>
          <w:rStyle w:val="gntyacmbo3b"/>
          <w:color w:val="000000"/>
          <w:bdr w:val="none" w:sz="0" w:space="0" w:color="auto" w:frame="1"/>
        </w:rPr>
        <w:t xml:space="preserve">Signif. codes:  0 ‘***’ 0.001 ‘**’ 0.01 ‘*’ 0.05 ‘.’ </w:t>
      </w:r>
      <w:r w:rsidRPr="00FA3F29">
        <w:rPr>
          <w:rStyle w:val="gntyacmbo3b"/>
          <w:color w:val="000000"/>
          <w:bdr w:val="none" w:sz="0" w:space="0" w:color="auto" w:frame="1"/>
          <w:lang w:val="en-US"/>
        </w:rPr>
        <w:t>0.1 ‘ ’ 1</w:t>
      </w:r>
    </w:p>
    <w:p w14:paraId="466F412B"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p>
    <w:p w14:paraId="3523D98D"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Residual standard error: 0.7858 on 206 degrees of freedom</w:t>
      </w:r>
    </w:p>
    <w:p w14:paraId="3B5DC247"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Multiple R-squared:  0.2852,</w:t>
      </w:r>
      <w:r w:rsidRPr="00FA3F29">
        <w:rPr>
          <w:rStyle w:val="gntyacmbo3b"/>
          <w:color w:val="000000"/>
          <w:bdr w:val="none" w:sz="0" w:space="0" w:color="auto" w:frame="1"/>
          <w:lang w:val="en-US"/>
        </w:rPr>
        <w:tab/>
        <w:t xml:space="preserve">Adjusted R-squared:  0.2818 </w:t>
      </w:r>
    </w:p>
    <w:p w14:paraId="16F2DF48"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F-statistic: 82.21 on 1 and 206 DF,  p-value: &lt; 2.2e-16</w:t>
      </w:r>
    </w:p>
    <w:p w14:paraId="7E6C9D8D"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p>
    <w:p w14:paraId="27E5269B"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p>
    <w:p w14:paraId="1D06CFDE"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 Calculate R-squared and R</w:t>
      </w:r>
    </w:p>
    <w:p w14:paraId="29613D09"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r_squared &lt;- summary(model)$r.squared</w:t>
      </w:r>
    </w:p>
    <w:p w14:paraId="126F3D64"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r &lt;- sqrt(r_squared)</w:t>
      </w:r>
    </w:p>
    <w:p w14:paraId="5092E4DE"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p>
    <w:p w14:paraId="2E62F3B0"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 Display results</w:t>
      </w:r>
    </w:p>
    <w:p w14:paraId="252B7504"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cat("R-squared =", r_squared, "\n")</w:t>
      </w:r>
    </w:p>
    <w:p w14:paraId="0F34D846"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 xml:space="preserve">R-squared = 0.2852384 </w:t>
      </w:r>
    </w:p>
    <w:p w14:paraId="7959A348"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cat("R =", r, "\n")</w:t>
      </w:r>
    </w:p>
    <w:p w14:paraId="7EDA07A6" w14:textId="77777777" w:rsidR="00520D2C" w:rsidRPr="00FA3F29" w:rsidRDefault="00520D2C" w:rsidP="00FA3F29">
      <w:pPr>
        <w:pStyle w:val="HTMLPreformatted"/>
        <w:shd w:val="clear" w:color="auto" w:fill="FFFFFF"/>
        <w:wordWrap w:val="0"/>
        <w:rPr>
          <w:rStyle w:val="gntyacmbo3b"/>
          <w:color w:val="000000"/>
          <w:bdr w:val="none" w:sz="0" w:space="0" w:color="auto" w:frame="1"/>
          <w:lang w:val="en-US"/>
        </w:rPr>
      </w:pPr>
      <w:r w:rsidRPr="00FA3F29">
        <w:rPr>
          <w:rStyle w:val="gntyacmbo3b"/>
          <w:color w:val="000000"/>
          <w:bdr w:val="none" w:sz="0" w:space="0" w:color="auto" w:frame="1"/>
          <w:lang w:val="en-US"/>
        </w:rPr>
        <w:t xml:space="preserve">R = 0.5340772 </w:t>
      </w:r>
    </w:p>
    <w:p w14:paraId="0D646D4F"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p>
    <w:p w14:paraId="60C228DE"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 Plot the relationship</w:t>
      </w:r>
    </w:p>
    <w:p w14:paraId="13A6BD32"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library(ggplot2)</w:t>
      </w:r>
    </w:p>
    <w:p w14:paraId="7EB4D3E5"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p>
    <w:p w14:paraId="7A31E2E3"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&gt; </w:t>
      </w:r>
      <w:r w:rsidRPr="00FA3F29">
        <w:rPr>
          <w:rStyle w:val="gntyacmbe3b"/>
          <w:color w:val="930F80"/>
          <w:lang w:val="en-US"/>
        </w:rPr>
        <w:t>ggplot(turkish, aes(x = CA, y = WTNA)) +</w:t>
      </w:r>
    </w:p>
    <w:p w14:paraId="66DA117A"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geom_point(color = "blue", alpha = 0.6) +</w:t>
      </w:r>
    </w:p>
    <w:p w14:paraId="56DD6EA1"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geom_smooth(method = "lm", se = TRUE, color = "red") +</w:t>
      </w:r>
    </w:p>
    <w:p w14:paraId="07E9F341"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labs(title = "Linear Regression: CA → WTNA",</w:t>
      </w:r>
    </w:p>
    <w:p w14:paraId="3525B325"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x = "CA",</w:t>
      </w:r>
    </w:p>
    <w:p w14:paraId="02566491"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y = "WTNA") +</w:t>
      </w:r>
    </w:p>
    <w:p w14:paraId="475CC526" w14:textId="77777777" w:rsidR="00520D2C" w:rsidRPr="00FA3F29" w:rsidRDefault="00520D2C" w:rsidP="00FA3F29">
      <w:pPr>
        <w:pStyle w:val="HTMLPreformatted"/>
        <w:shd w:val="clear" w:color="auto" w:fill="FFFFFF"/>
        <w:wordWrap w:val="0"/>
        <w:rPr>
          <w:rStyle w:val="gntyacmbe3b"/>
          <w:color w:val="930F80"/>
          <w:lang w:val="en-US"/>
        </w:rPr>
      </w:pPr>
      <w:r w:rsidRPr="00FA3F29">
        <w:rPr>
          <w:rStyle w:val="gntyacmbf4b"/>
          <w:color w:val="930F80"/>
          <w:lang w:val="en-US"/>
        </w:rPr>
        <w:t xml:space="preserve">+ </w:t>
      </w:r>
      <w:r w:rsidRPr="00FA3F29">
        <w:rPr>
          <w:rStyle w:val="gntyacmbe3b"/>
          <w:color w:val="930F80"/>
          <w:lang w:val="en-US"/>
        </w:rPr>
        <w:t xml:space="preserve">    theme_minimal()</w:t>
      </w:r>
    </w:p>
    <w:p w14:paraId="4D041EAB" w14:textId="77777777" w:rsidR="00520D2C" w:rsidRPr="00FA3F29" w:rsidRDefault="00520D2C" w:rsidP="00FA3F29">
      <w:pPr>
        <w:pStyle w:val="HTMLPreformatted"/>
        <w:shd w:val="clear" w:color="auto" w:fill="FFFFFF"/>
        <w:wordWrap w:val="0"/>
        <w:rPr>
          <w:color w:val="000000"/>
          <w:lang w:val="en-US"/>
        </w:rPr>
      </w:pPr>
      <w:r w:rsidRPr="00FA3F29">
        <w:rPr>
          <w:rStyle w:val="gntyacmbo3b"/>
          <w:color w:val="000000"/>
          <w:bdr w:val="none" w:sz="0" w:space="0" w:color="auto" w:frame="1"/>
          <w:lang w:val="en-US"/>
        </w:rPr>
        <w:t>`geom_smooth()` using formula = 'y ~ x'</w:t>
      </w:r>
    </w:p>
    <w:p w14:paraId="32196B20" w14:textId="77777777" w:rsidR="00520D2C" w:rsidRDefault="00520D2C">
      <w:pPr>
        <w:rPr>
          <w:lang w:val="en-US" w:bidi="ar-DZ"/>
        </w:rPr>
      </w:pPr>
    </w:p>
    <w:p w14:paraId="142F7EC6"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Simple linear regression: AA → WTNA</w:t>
      </w:r>
    </w:p>
    <w:p w14:paraId="7D1F24BA"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model &lt;- lm(WTNA ~ AA, data = turkish)</w:t>
      </w:r>
    </w:p>
    <w:p w14:paraId="2ED0F99E"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xml:space="preserve">&gt; </w:t>
      </w:r>
    </w:p>
    <w:p w14:paraId="2204FA97"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 Print model summary</w:t>
      </w:r>
    </w:p>
    <w:p w14:paraId="340E44AE"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summary(model)</w:t>
      </w:r>
    </w:p>
    <w:p w14:paraId="226D882D"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F0DEC54"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Call:</w:t>
      </w:r>
    </w:p>
    <w:p w14:paraId="34304562"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lm(formula = WTNA ~ AA, data = turkish)</w:t>
      </w:r>
    </w:p>
    <w:p w14:paraId="3AE28589"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F29B6CF"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Residuals:</w:t>
      </w:r>
    </w:p>
    <w:p w14:paraId="1E56D51B"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 xml:space="preserve">     Min       1Q   Median       3Q      Max </w:t>
      </w:r>
    </w:p>
    <w:p w14:paraId="043A1F3D"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 xml:space="preserve">-1.94485 -0.51920  0.05515  0.48080  2.10645 </w:t>
      </w:r>
    </w:p>
    <w:p w14:paraId="44CD2401"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0CEB00B9"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Coefficients:</w:t>
      </w:r>
    </w:p>
    <w:p w14:paraId="2E878230"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 xml:space="preserve">            Estimate Std. Error t value Pr(&gt;|t|)    </w:t>
      </w:r>
    </w:p>
    <w:p w14:paraId="1F9A4222"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(Intercept)  2.17851    0.18200  11.970  &lt; 2e-16 ***</w:t>
      </w:r>
    </w:p>
    <w:p w14:paraId="7BE7CBE5"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AA           0.44689    0.05506   8.116 4.32e-14 ***</w:t>
      </w:r>
    </w:p>
    <w:p w14:paraId="0685FD37"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995AAC">
        <w:rPr>
          <w:rFonts w:ascii="Courier New" w:eastAsia="Times New Roman" w:hAnsi="Courier New" w:cs="Courier New"/>
          <w:color w:val="000000"/>
          <w:sz w:val="20"/>
          <w:szCs w:val="20"/>
          <w:bdr w:val="none" w:sz="0" w:space="0" w:color="auto" w:frame="1"/>
          <w:lang w:eastAsia="fr-FR"/>
        </w:rPr>
        <w:t>---</w:t>
      </w:r>
    </w:p>
    <w:p w14:paraId="5D4FE58B"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eastAsia="fr-FR"/>
        </w:rPr>
        <w:t xml:space="preserve">Signif. codes:  0 ‘***’ 0.001 ‘**’ 0.01 ‘*’ 0.05 ‘.’ </w:t>
      </w:r>
      <w:r w:rsidRPr="00995AAC">
        <w:rPr>
          <w:rFonts w:ascii="Courier New" w:eastAsia="Times New Roman" w:hAnsi="Courier New" w:cs="Courier New"/>
          <w:color w:val="000000"/>
          <w:sz w:val="20"/>
          <w:szCs w:val="20"/>
          <w:bdr w:val="none" w:sz="0" w:space="0" w:color="auto" w:frame="1"/>
          <w:lang w:val="en-US" w:eastAsia="fr-FR"/>
        </w:rPr>
        <w:t>0.1 ‘ ’ 1</w:t>
      </w:r>
    </w:p>
    <w:p w14:paraId="5D25F909"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4CFAB8F"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Residual standard error: 0.8091 on 206 degrees of freedom</w:t>
      </w:r>
    </w:p>
    <w:p w14:paraId="7DF545E4"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Multiple R-squared:  0.2423,</w:t>
      </w:r>
      <w:r w:rsidRPr="00995AAC">
        <w:rPr>
          <w:rFonts w:ascii="Courier New" w:eastAsia="Times New Roman" w:hAnsi="Courier New" w:cs="Courier New"/>
          <w:color w:val="000000"/>
          <w:sz w:val="20"/>
          <w:szCs w:val="20"/>
          <w:bdr w:val="none" w:sz="0" w:space="0" w:color="auto" w:frame="1"/>
          <w:lang w:val="en-US" w:eastAsia="fr-FR"/>
        </w:rPr>
        <w:tab/>
        <w:t xml:space="preserve">Adjusted R-squared:  0.2386 </w:t>
      </w:r>
    </w:p>
    <w:p w14:paraId="45873DD4"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F-statistic: 65.87 on 1 and 206 DF,  p-value: 4.323e-14</w:t>
      </w:r>
    </w:p>
    <w:p w14:paraId="705BCD8C"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CE96468" w14:textId="77777777" w:rsidR="00520D2C" w:rsidRPr="00EB482A"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EB482A">
        <w:rPr>
          <w:rFonts w:ascii="Courier New" w:eastAsia="Times New Roman" w:hAnsi="Courier New" w:cs="Courier New"/>
          <w:color w:val="930F80"/>
          <w:sz w:val="20"/>
          <w:szCs w:val="20"/>
          <w:lang w:val="en-US" w:eastAsia="fr-FR"/>
        </w:rPr>
        <w:t xml:space="preserve">&gt; </w:t>
      </w:r>
    </w:p>
    <w:p w14:paraId="70BD96A9" w14:textId="77777777" w:rsidR="00520D2C" w:rsidRPr="00EB482A"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EB482A">
        <w:rPr>
          <w:rFonts w:ascii="Courier New" w:eastAsia="Times New Roman" w:hAnsi="Courier New" w:cs="Courier New"/>
          <w:color w:val="930F80"/>
          <w:sz w:val="20"/>
          <w:szCs w:val="20"/>
          <w:lang w:val="en-US" w:eastAsia="fr-FR"/>
        </w:rPr>
        <w:t>&gt; # Calculate R-squared and R</w:t>
      </w:r>
    </w:p>
    <w:p w14:paraId="3449CA08"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r_squared &lt;- summary(model)$r.squared</w:t>
      </w:r>
    </w:p>
    <w:p w14:paraId="0DD85978"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r &lt;- sqrt(r_squared)</w:t>
      </w:r>
    </w:p>
    <w:p w14:paraId="3FED0BCA"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xml:space="preserve">&gt; </w:t>
      </w:r>
    </w:p>
    <w:p w14:paraId="03EA0AE5"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 Display results</w:t>
      </w:r>
    </w:p>
    <w:p w14:paraId="44B0A3BF"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cat("R-squared =", r_squared, "\n")</w:t>
      </w:r>
    </w:p>
    <w:p w14:paraId="4786A4D6"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 xml:space="preserve">R-squared = 0.2422742 </w:t>
      </w:r>
    </w:p>
    <w:p w14:paraId="136E8667"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cat("R =", r, "\n")</w:t>
      </w:r>
    </w:p>
    <w:p w14:paraId="1226DD09"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 xml:space="preserve">R = 0.4922136 </w:t>
      </w:r>
    </w:p>
    <w:p w14:paraId="77FA5DE9"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xml:space="preserve">&gt; </w:t>
      </w:r>
    </w:p>
    <w:p w14:paraId="5AF1A3F6"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 Plot the relationship</w:t>
      </w:r>
    </w:p>
    <w:p w14:paraId="032BF900"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library(ggplot2)</w:t>
      </w:r>
    </w:p>
    <w:p w14:paraId="48FC264D"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xml:space="preserve">&gt; </w:t>
      </w:r>
    </w:p>
    <w:p w14:paraId="0C5645C0"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&gt; ggplot(turkish, aes(x = AA, y = WTNA)) +</w:t>
      </w:r>
    </w:p>
    <w:p w14:paraId="64BE7ED6"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geom_point(color = "blue", alpha = 0.6) +</w:t>
      </w:r>
    </w:p>
    <w:p w14:paraId="7B14B865"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geom_smooth(method = "lm", se = TRUE, color = "red") +</w:t>
      </w:r>
    </w:p>
    <w:p w14:paraId="64F30708"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labs(title = "Linear Regression: AA → WTNA",</w:t>
      </w:r>
    </w:p>
    <w:p w14:paraId="5A619FFC"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x = "AA",</w:t>
      </w:r>
    </w:p>
    <w:p w14:paraId="6E437DD5"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y = "WTNA") +</w:t>
      </w:r>
    </w:p>
    <w:p w14:paraId="2E3F34D0"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995AAC">
        <w:rPr>
          <w:rFonts w:ascii="Courier New" w:eastAsia="Times New Roman" w:hAnsi="Courier New" w:cs="Courier New"/>
          <w:color w:val="930F80"/>
          <w:sz w:val="20"/>
          <w:szCs w:val="20"/>
          <w:lang w:val="en-US" w:eastAsia="fr-FR"/>
        </w:rPr>
        <w:t>+     theme_minimal()</w:t>
      </w:r>
    </w:p>
    <w:p w14:paraId="49D9E0B6" w14:textId="77777777" w:rsidR="00520D2C" w:rsidRPr="00995AAC"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995AAC">
        <w:rPr>
          <w:rFonts w:ascii="Courier New" w:eastAsia="Times New Roman" w:hAnsi="Courier New" w:cs="Courier New"/>
          <w:color w:val="000000"/>
          <w:sz w:val="20"/>
          <w:szCs w:val="20"/>
          <w:bdr w:val="none" w:sz="0" w:space="0" w:color="auto" w:frame="1"/>
          <w:lang w:val="en-US" w:eastAsia="fr-FR"/>
        </w:rPr>
        <w:t>`geom_smooth()` using formula = 'y ~ x'</w:t>
      </w:r>
    </w:p>
    <w:p w14:paraId="468E7517" w14:textId="77777777" w:rsidR="00520D2C" w:rsidRPr="00EB482A" w:rsidRDefault="00520D2C" w:rsidP="00995A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lang w:val="en-US" w:eastAsia="fr-FR"/>
        </w:rPr>
      </w:pPr>
      <w:r w:rsidRPr="00EB482A">
        <w:rPr>
          <w:rFonts w:ascii="Courier New" w:eastAsia="Times New Roman" w:hAnsi="Courier New" w:cs="Courier New"/>
          <w:color w:val="930F80"/>
          <w:sz w:val="20"/>
          <w:szCs w:val="20"/>
          <w:lang w:val="en-US" w:eastAsia="fr-FR"/>
        </w:rPr>
        <w:t xml:space="preserve">&gt; </w:t>
      </w:r>
    </w:p>
    <w:p w14:paraId="622EDE6D" w14:textId="77777777" w:rsidR="00520D2C" w:rsidRDefault="00520D2C">
      <w:pPr>
        <w:rPr>
          <w:rtl/>
          <w:lang w:val="en-US" w:bidi="ar-DZ"/>
        </w:rPr>
      </w:pPr>
    </w:p>
    <w:p w14:paraId="3B17EB17"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e3b"/>
          <w:color w:val="930F80"/>
          <w:lang w:val="en-US"/>
        </w:rPr>
        <w:t># One-sample t-test for EBCH</w:t>
      </w:r>
    </w:p>
    <w:p w14:paraId="1FA2B5FD"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t_test_ebch &lt;- t.test(turkish$EBCH, mu = 2.61)</w:t>
      </w:r>
    </w:p>
    <w:p w14:paraId="402C5C37"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cat("EBCH T-test:\n")</w:t>
      </w:r>
    </w:p>
    <w:p w14:paraId="00DA7164"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EBCH T-test:</w:t>
      </w:r>
    </w:p>
    <w:p w14:paraId="573CC0C6"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print(t_test_ebch)</w:t>
      </w:r>
    </w:p>
    <w:p w14:paraId="50BC55A7"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642ED849"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ab/>
        <w:t>One Sample t-test</w:t>
      </w:r>
    </w:p>
    <w:p w14:paraId="742C4295"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610334B4"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data:  turkish$EBCH</w:t>
      </w:r>
    </w:p>
    <w:p w14:paraId="5309D0DB"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t = 10.796, df = 207, p-value &lt; 2.2e-16</w:t>
      </w:r>
    </w:p>
    <w:p w14:paraId="3A9E37E0"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alternative hypothesis: true mean is not equal to 2.61</w:t>
      </w:r>
    </w:p>
    <w:p w14:paraId="62D26FCE"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95 percent confidence interval:</w:t>
      </w:r>
    </w:p>
    <w:p w14:paraId="3E180D19"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 xml:space="preserve"> 3.328037 3.648886</w:t>
      </w:r>
    </w:p>
    <w:p w14:paraId="3BBB5B10"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sample estimates:</w:t>
      </w:r>
    </w:p>
    <w:p w14:paraId="1DA14CA2"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 xml:space="preserve">mean of x </w:t>
      </w:r>
    </w:p>
    <w:p w14:paraId="500591D5"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 xml:space="preserve"> 3.488462 </w:t>
      </w:r>
    </w:p>
    <w:p w14:paraId="00B86DF4"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3E5EC763"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p>
    <w:p w14:paraId="5513FF13"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 One-sample t-test for WTNA</w:t>
      </w:r>
    </w:p>
    <w:p w14:paraId="7B2D6699"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t_test_wtna &lt;- t.test(turkish$WTNA, mu = 2.61)</w:t>
      </w:r>
    </w:p>
    <w:p w14:paraId="17C5EE9A"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cat("\nWTNA T-test:\n")</w:t>
      </w:r>
    </w:p>
    <w:p w14:paraId="1F5F3688"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22BBB5CE"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WTNA T-test:</w:t>
      </w:r>
    </w:p>
    <w:p w14:paraId="163A74BC" w14:textId="77777777" w:rsidR="00520D2C" w:rsidRPr="008547B3" w:rsidRDefault="00520D2C" w:rsidP="008547B3">
      <w:pPr>
        <w:pStyle w:val="HTMLPreformatted"/>
        <w:shd w:val="clear" w:color="auto" w:fill="FFFFFF"/>
        <w:wordWrap w:val="0"/>
        <w:rPr>
          <w:rStyle w:val="gntyacmbe3b"/>
          <w:color w:val="930F80"/>
          <w:lang w:val="en-US"/>
        </w:rPr>
      </w:pPr>
      <w:r w:rsidRPr="008547B3">
        <w:rPr>
          <w:rStyle w:val="gntyacmbf4b"/>
          <w:color w:val="930F80"/>
          <w:lang w:val="en-US"/>
        </w:rPr>
        <w:t xml:space="preserve">&gt; </w:t>
      </w:r>
      <w:r w:rsidRPr="008547B3">
        <w:rPr>
          <w:rStyle w:val="gntyacmbe3b"/>
          <w:color w:val="930F80"/>
          <w:lang w:val="en-US"/>
        </w:rPr>
        <w:t>print(t_test_wtna)</w:t>
      </w:r>
    </w:p>
    <w:p w14:paraId="5B9CFC0E"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307E81EC"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ab/>
        <w:t>One Sample t-test</w:t>
      </w:r>
    </w:p>
    <w:p w14:paraId="004B169A"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p>
    <w:p w14:paraId="5BAEB995"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data:  turkish$WTNA</w:t>
      </w:r>
    </w:p>
    <w:p w14:paraId="59126657" w14:textId="77777777" w:rsidR="00520D2C" w:rsidRDefault="00520D2C" w:rsidP="008547B3">
      <w:pPr>
        <w:pStyle w:val="HTMLPreformatted"/>
        <w:shd w:val="clear" w:color="auto" w:fill="FFFFFF"/>
        <w:wordWrap w:val="0"/>
        <w:rPr>
          <w:rStyle w:val="gntyacmbo3b"/>
          <w:color w:val="000000"/>
          <w:bdr w:val="none" w:sz="0" w:space="0" w:color="auto" w:frame="1"/>
        </w:rPr>
      </w:pPr>
      <w:r>
        <w:rPr>
          <w:rStyle w:val="gntyacmbo3b"/>
          <w:color w:val="000000"/>
          <w:bdr w:val="none" w:sz="0" w:space="0" w:color="auto" w:frame="1"/>
        </w:rPr>
        <w:t>t = 15.144, df = 207, p-value &lt; 2.2e-16</w:t>
      </w:r>
    </w:p>
    <w:p w14:paraId="31ECFE55"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alternative hypothesis: true mean is not equal to 2.61</w:t>
      </w:r>
    </w:p>
    <w:p w14:paraId="6BE5DDD7"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95 percent confidence interval:</w:t>
      </w:r>
    </w:p>
    <w:p w14:paraId="6C7C6E93"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 xml:space="preserve"> 3.456898 3.710410</w:t>
      </w:r>
    </w:p>
    <w:p w14:paraId="7CAAE5C6"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sample estimates:</w:t>
      </w:r>
    </w:p>
    <w:p w14:paraId="433DDE2E" w14:textId="77777777" w:rsidR="00520D2C" w:rsidRPr="008547B3" w:rsidRDefault="00520D2C" w:rsidP="008547B3">
      <w:pPr>
        <w:pStyle w:val="HTMLPreformatted"/>
        <w:shd w:val="clear" w:color="auto" w:fill="FFFFFF"/>
        <w:wordWrap w:val="0"/>
        <w:rPr>
          <w:rStyle w:val="gntyacmbo3b"/>
          <w:color w:val="000000"/>
          <w:bdr w:val="none" w:sz="0" w:space="0" w:color="auto" w:frame="1"/>
          <w:lang w:val="en-US"/>
        </w:rPr>
      </w:pPr>
      <w:r w:rsidRPr="008547B3">
        <w:rPr>
          <w:rStyle w:val="gntyacmbo3b"/>
          <w:color w:val="000000"/>
          <w:bdr w:val="none" w:sz="0" w:space="0" w:color="auto" w:frame="1"/>
          <w:lang w:val="en-US"/>
        </w:rPr>
        <w:t xml:space="preserve">mean of x </w:t>
      </w:r>
    </w:p>
    <w:p w14:paraId="4521DB92" w14:textId="0B5ADAC4" w:rsidR="00520D2C" w:rsidRPr="00D36F5B" w:rsidRDefault="00520D2C" w:rsidP="00D36F5B">
      <w:pPr>
        <w:pStyle w:val="HTMLPreformatted"/>
        <w:shd w:val="clear" w:color="auto" w:fill="FFFFFF"/>
        <w:wordWrap w:val="0"/>
        <w:rPr>
          <w:color w:val="000000"/>
          <w:rtl/>
        </w:rPr>
      </w:pPr>
      <w:r w:rsidRPr="008547B3">
        <w:rPr>
          <w:rStyle w:val="gntyacmbo3b"/>
          <w:color w:val="000000"/>
          <w:bdr w:val="none" w:sz="0" w:space="0" w:color="auto" w:frame="1"/>
          <w:lang w:val="en-US"/>
        </w:rPr>
        <w:t xml:space="preserve"> </w:t>
      </w:r>
      <w:r>
        <w:rPr>
          <w:rStyle w:val="gntyacmbo3b"/>
          <w:color w:val="000000"/>
          <w:bdr w:val="none" w:sz="0" w:space="0" w:color="auto" w:frame="1"/>
        </w:rPr>
        <w:t xml:space="preserve">3.583654 </w:t>
      </w:r>
    </w:p>
    <w:tbl>
      <w:tblPr>
        <w:tblW w:w="10450" w:type="dxa"/>
        <w:tblCellSpacing w:w="0" w:type="dxa"/>
        <w:shd w:val="clear" w:color="auto" w:fill="FFFFFF"/>
        <w:tblCellMar>
          <w:left w:w="90" w:type="dxa"/>
          <w:bottom w:w="120" w:type="dxa"/>
          <w:right w:w="0" w:type="dxa"/>
        </w:tblCellMar>
        <w:tblLook w:val="04A0" w:firstRow="1" w:lastRow="0" w:firstColumn="1" w:lastColumn="0" w:noHBand="0" w:noVBand="1"/>
      </w:tblPr>
      <w:tblGrid>
        <w:gridCol w:w="10450"/>
      </w:tblGrid>
      <w:tr w:rsidR="00520D2C" w:rsidRPr="008547B3" w14:paraId="125FADD6" w14:textId="77777777" w:rsidTr="008547B3">
        <w:trPr>
          <w:tblCellSpacing w:w="0" w:type="dxa"/>
        </w:trPr>
        <w:tc>
          <w:tcPr>
            <w:tcW w:w="0" w:type="auto"/>
            <w:shd w:val="clear" w:color="auto" w:fill="FFFFFF"/>
            <w:hideMark/>
          </w:tcPr>
          <w:p w14:paraId="3EF1509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install.packages("plspm")</w:t>
            </w:r>
          </w:p>
          <w:p w14:paraId="4AAEC2C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WARNING: Rtools is required to build R packages but is not currently installed. Please download and install the appropriate version of Rtools before proceeding:</w:t>
            </w:r>
          </w:p>
          <w:p w14:paraId="2D72E5B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2BE2A73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https://cran.rstudio.com/bin/windows/Rtools/</w:t>
            </w:r>
          </w:p>
          <w:p w14:paraId="3136DD9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Installing package into ‘C:/Users/pc/AppData/Local/R/win-library/4.4’</w:t>
            </w:r>
          </w:p>
          <w:p w14:paraId="20E01BE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(as ‘lib’ is unspecified)</w:t>
            </w:r>
          </w:p>
          <w:p w14:paraId="509A9D1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trying URL 'https://cran.rstudio.com/bin/windows/contrib/4.4/plspm_0.5.1.zip'</w:t>
            </w:r>
          </w:p>
          <w:p w14:paraId="568A76F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Content type 'application/zip' length 683286 bytes (667 KB)</w:t>
            </w:r>
          </w:p>
          <w:p w14:paraId="1901DCB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downloaded 667 KB</w:t>
            </w:r>
          </w:p>
          <w:p w14:paraId="777DE25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336075A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package ‘plspm’ successfully unpacked and MD5 sums checked</w:t>
            </w:r>
          </w:p>
          <w:p w14:paraId="168F3A8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FC4136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The downloaded binary packages are in</w:t>
            </w:r>
          </w:p>
          <w:p w14:paraId="7027F94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ab/>
              <w:t>C:\Users\pc\AppData\Local\Temp\Rtmp4yAzMF\downloaded_packages</w:t>
            </w:r>
          </w:p>
          <w:p w14:paraId="4893FE5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7091947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library(plspm)</w:t>
            </w:r>
          </w:p>
          <w:p w14:paraId="1BF8936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2A3BED6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Attaching package: ‘plspm’</w:t>
            </w:r>
          </w:p>
          <w:p w14:paraId="580F3C1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5B82317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The following object is masked from ‘package:ggplot2’:</w:t>
            </w:r>
          </w:p>
          <w:p w14:paraId="2CB0E25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18E83FA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 xml:space="preserve">    alpha</w:t>
            </w:r>
          </w:p>
          <w:p w14:paraId="20DFDDC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474B5CB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The following objects are masked from ‘package:psych’:</w:t>
            </w:r>
          </w:p>
          <w:p w14:paraId="3131321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475AC8F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 xml:space="preserve">    alpha, rescale, unidim</w:t>
            </w:r>
          </w:p>
          <w:p w14:paraId="00DC58D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p>
          <w:p w14:paraId="2048F0E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Warning message:</w:t>
            </w:r>
          </w:p>
          <w:p w14:paraId="294F45C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 xml:space="preserve">package ‘plspm’ was built under R version 4.4.3 </w:t>
            </w:r>
          </w:p>
          <w:p w14:paraId="6134E9E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45FE15C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Define the path matrix (inner model)</w:t>
            </w:r>
          </w:p>
          <w:p w14:paraId="3F954C3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For example, BOYCOTT -&gt; APA -&gt; TCB and BOYCOTT -&gt; TCB</w:t>
            </w:r>
          </w:p>
          <w:p w14:paraId="5D993E7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path_matrix &lt;- matrix(c(0, 1, 0,</w:t>
            </w:r>
          </w:p>
          <w:p w14:paraId="5AFEDB7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0, 0, 1,</w:t>
            </w:r>
          </w:p>
          <w:p w14:paraId="7E3705F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                         0, 0, 0), </w:t>
            </w:r>
          </w:p>
          <w:p w14:paraId="1FED312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nrow = 3, byrow = TRUE)</w:t>
            </w:r>
          </w:p>
          <w:p w14:paraId="6984277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colnames(path_matrix) &lt;- rownames(path_matrix) &lt;- c("BOYCOTT", "APA", "TCB")</w:t>
            </w:r>
          </w:p>
          <w:p w14:paraId="0DEA1EA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69A799A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Define the outer model (measurement model)</w:t>
            </w:r>
          </w:p>
          <w:p w14:paraId="5DBE8E7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outer_model &lt;- list(</w:t>
            </w:r>
          </w:p>
          <w:p w14:paraId="726C02D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BOYCOTT = c("AB", "CMB", "TAB", "EBCH"),</w:t>
            </w:r>
          </w:p>
          <w:p w14:paraId="34B5878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8547B3">
              <w:rPr>
                <w:rFonts w:ascii="Courier New" w:eastAsia="Times New Roman" w:hAnsi="Courier New" w:cs="Courier New"/>
                <w:color w:val="930F80"/>
                <w:sz w:val="20"/>
                <w:szCs w:val="20"/>
                <w:lang w:eastAsia="fr-FR"/>
              </w:rPr>
              <w:t>+     APA = c("PQP", "PC", "CA", "AA"),</w:t>
            </w:r>
          </w:p>
          <w:p w14:paraId="331D6AD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TCB = c("PBH", "WTNA", "KDMF")</w:t>
            </w:r>
          </w:p>
          <w:p w14:paraId="0A97717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w:t>
            </w:r>
          </w:p>
          <w:p w14:paraId="6EE811F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5806B5C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Define the data for the PLS-SEM model</w:t>
            </w:r>
          </w:p>
          <w:p w14:paraId="14788D3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data &lt;- turkish[, c("AB", "CMB", "TAB", "EBCH", "PQP", "PC", "CA", "AA", "PBH", "WTNA", "KDMF")]</w:t>
            </w:r>
          </w:p>
          <w:p w14:paraId="6FCDCBA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450B5FC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Run the PLS-SEM model</w:t>
            </w:r>
          </w:p>
          <w:p w14:paraId="6066041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pls_model &lt;- plspm(data, path_matrix, outer_model)</w:t>
            </w:r>
          </w:p>
          <w:p w14:paraId="44B9074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 xml:space="preserve">Error in check_path(path_matrix) : </w:t>
            </w:r>
          </w:p>
          <w:p w14:paraId="09583B5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'path_matrix' must be a lower triangular matrix</w:t>
            </w:r>
          </w:p>
          <w:p w14:paraId="18E8E2E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path_matrix &lt;- matrix(c(0, 0, 0,</w:t>
            </w:r>
          </w:p>
          <w:p w14:paraId="395491A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1, 0, 0,</w:t>
            </w:r>
          </w:p>
          <w:p w14:paraId="7C648B2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                         1, 1, 0), </w:t>
            </w:r>
          </w:p>
          <w:p w14:paraId="383C69E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nrow = 3, byrow = TRUE)</w:t>
            </w:r>
          </w:p>
          <w:p w14:paraId="00B7CF6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colnames(path_matrix) &lt;- rownames(path_matrix) &lt;- c("BOYCOTT", "APA", "TCB")</w:t>
            </w:r>
          </w:p>
          <w:p w14:paraId="269CB8B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6567794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Run the PLS-SEM model</w:t>
            </w:r>
          </w:p>
          <w:p w14:paraId="4DA4AFF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pls_model &lt;- plspm(data, path_matrix, outer_model)</w:t>
            </w:r>
          </w:p>
          <w:p w14:paraId="41FF48A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Warning message:</w:t>
            </w:r>
          </w:p>
          <w:p w14:paraId="799247A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585CF6"/>
                <w:sz w:val="20"/>
                <w:szCs w:val="20"/>
                <w:lang w:val="en-US" w:eastAsia="fr-FR"/>
              </w:rPr>
            </w:pPr>
            <w:r w:rsidRPr="008547B3">
              <w:rPr>
                <w:rFonts w:ascii="Courier New" w:eastAsia="Times New Roman" w:hAnsi="Courier New" w:cs="Courier New"/>
                <w:color w:val="585CF6"/>
                <w:sz w:val="20"/>
                <w:szCs w:val="20"/>
                <w:lang w:val="en-US" w:eastAsia="fr-FR"/>
              </w:rPr>
              <w:t xml:space="preserve">Setting row names on a tibble is deprecated. </w:t>
            </w:r>
          </w:p>
          <w:p w14:paraId="7BD341C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 xml:space="preserve">&gt; </w:t>
            </w:r>
          </w:p>
          <w:p w14:paraId="728F826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 View the results</w:t>
            </w:r>
          </w:p>
          <w:p w14:paraId="06898C4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val="en-US" w:eastAsia="fr-FR"/>
              </w:rPr>
            </w:pPr>
            <w:r w:rsidRPr="008547B3">
              <w:rPr>
                <w:rFonts w:ascii="Courier New" w:eastAsia="Times New Roman" w:hAnsi="Courier New" w:cs="Courier New"/>
                <w:color w:val="930F80"/>
                <w:sz w:val="20"/>
                <w:szCs w:val="20"/>
                <w:lang w:val="en-US" w:eastAsia="fr-FR"/>
              </w:rPr>
              <w:t>&gt; summary(pls_model)</w:t>
            </w:r>
          </w:p>
          <w:p w14:paraId="65D7F6F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PARTIAL LEAST SQUARES PATH MODELING (PLS-PM) </w:t>
            </w:r>
          </w:p>
          <w:p w14:paraId="292ADDF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6C91297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17F0759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MODEL SPECIFICATION </w:t>
            </w:r>
          </w:p>
          <w:p w14:paraId="7EDB5CD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1   Number of Cases      208 </w:t>
            </w:r>
          </w:p>
          <w:p w14:paraId="4085BF8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2   Latent Variables     3 </w:t>
            </w:r>
          </w:p>
          <w:p w14:paraId="6610AD93"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3   Manifest Variables   11 </w:t>
            </w:r>
          </w:p>
          <w:p w14:paraId="28DFC7F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4   Scale of Data        Standardized Data </w:t>
            </w:r>
          </w:p>
          <w:p w14:paraId="2C06B68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5   Non-Metric PLS       FALSE </w:t>
            </w:r>
          </w:p>
          <w:p w14:paraId="18953F8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6   Weighting Scheme     centroid </w:t>
            </w:r>
          </w:p>
          <w:p w14:paraId="30B3A3E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7   Tolerance Crit       1e-06 </w:t>
            </w:r>
          </w:p>
          <w:p w14:paraId="76A441D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8   Max Num Iters        100 </w:t>
            </w:r>
          </w:p>
          <w:p w14:paraId="167EBC4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9   Convergence Iters    3 </w:t>
            </w:r>
          </w:p>
          <w:p w14:paraId="1709F4A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10  Bootstrapping        FALSE </w:t>
            </w:r>
          </w:p>
          <w:p w14:paraId="73FB134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11  Bootstrap samples    NULL </w:t>
            </w:r>
          </w:p>
          <w:p w14:paraId="021FE45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1C86903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7157DFA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BLOCKS DEFINITION </w:t>
            </w:r>
          </w:p>
          <w:p w14:paraId="532B1D2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Block         Type   Size   Mode</w:t>
            </w:r>
          </w:p>
          <w:p w14:paraId="380AFA3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1   BOYCOTT    Exogenous      4      A</w:t>
            </w:r>
          </w:p>
          <w:p w14:paraId="182E435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2       APA   Endogenous      4      A</w:t>
            </w:r>
          </w:p>
          <w:p w14:paraId="41DAF46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3       TCB   Endogenous      3      A</w:t>
            </w:r>
          </w:p>
          <w:p w14:paraId="07DF781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30F3F0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1AF1071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BLOCKS UNIDIMENSIONALITY </w:t>
            </w:r>
          </w:p>
          <w:p w14:paraId="2BA9F59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Mode  MVs  C.alpha  DG.rho  eig.1st  eig.2nd</w:t>
            </w:r>
          </w:p>
          <w:p w14:paraId="3240765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BOYCOTT     A    4    0.898   0.929     3.07    0.424</w:t>
            </w:r>
          </w:p>
          <w:p w14:paraId="6E085CB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APA         A    4    0.882   0.919     2.96    0.450</w:t>
            </w:r>
          </w:p>
          <w:p w14:paraId="51DAB1E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TCB         A    3    0.874   0.923     2.40    0.318</w:t>
            </w:r>
          </w:p>
          <w:p w14:paraId="4DE7AC7B"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4BD0C20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22B13E9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OUTER MODEL </w:t>
            </w:r>
          </w:p>
          <w:p w14:paraId="04BC21B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weight  loading  communality  redundancy</w:t>
            </w:r>
          </w:p>
          <w:p w14:paraId="40656B8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BOYCOTT                                           </w:t>
            </w:r>
          </w:p>
          <w:p w14:paraId="0DDAE6E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AB     0.242    0.835        0.698       0.000</w:t>
            </w:r>
          </w:p>
          <w:p w14:paraId="21D9AD2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CMB    0.279    0.923        0.853       0.000</w:t>
            </w:r>
          </w:p>
          <w:p w14:paraId="36D4543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TAB    0.301    0.852        0.725       0.000</w:t>
            </w:r>
          </w:p>
          <w:p w14:paraId="0AB05BF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EBCH   0.319    0.889        0.790       0.000</w:t>
            </w:r>
          </w:p>
          <w:p w14:paraId="2AC3CD5F"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APA                                               </w:t>
            </w:r>
          </w:p>
          <w:p w14:paraId="34AA7E6B"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PQP    0.320    0.889        0.790       0.415</w:t>
            </w:r>
          </w:p>
          <w:p w14:paraId="0BC09E99"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PC     0.306    0.921        0.848       0.446</w:t>
            </w:r>
          </w:p>
          <w:p w14:paraId="7791113F"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CA     0.284    0.826        0.682       0.358</w:t>
            </w:r>
          </w:p>
          <w:p w14:paraId="134F8A89"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AA     0.249    0.800        0.640       0.336</w:t>
            </w:r>
          </w:p>
          <w:p w14:paraId="6D826BE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TCB                                               </w:t>
            </w:r>
          </w:p>
          <w:p w14:paraId="3F73723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PBH    0.327    0.872        0.761       0.379</w:t>
            </w:r>
          </w:p>
          <w:p w14:paraId="4AF1590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WTNA   0.435    0.914        0.835       0.416</w:t>
            </w:r>
          </w:p>
          <w:p w14:paraId="27F26D5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KDMF   0.355    0.892        0.797       0.397</w:t>
            </w:r>
          </w:p>
          <w:p w14:paraId="1A58803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03C666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3831206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CROSSLOADINGS </w:t>
            </w:r>
          </w:p>
          <w:p w14:paraId="4FB52F5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BOYCOTT    APA    TCB</w:t>
            </w:r>
          </w:p>
          <w:p w14:paraId="74E501B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BOYCOTT                        </w:t>
            </w:r>
          </w:p>
          <w:p w14:paraId="10802B7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AB      0.835  0.471  0.556</w:t>
            </w:r>
          </w:p>
          <w:p w14:paraId="2010477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CMB     0.923  0.604  0.580</w:t>
            </w:r>
          </w:p>
          <w:p w14:paraId="2B92E59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TAB     0.852  0.756  0.519</w:t>
            </w:r>
          </w:p>
          <w:p w14:paraId="3D7EBCA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1 EBCH    0.889  0.672  0.679</w:t>
            </w:r>
          </w:p>
          <w:p w14:paraId="4217401C"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APA                            </w:t>
            </w:r>
          </w:p>
          <w:p w14:paraId="110340ED"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PQP     0.715  0.889  0.576</w:t>
            </w:r>
          </w:p>
          <w:p w14:paraId="44DE73E7"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PC      0.667  0.921  0.568</w:t>
            </w:r>
          </w:p>
          <w:p w14:paraId="25113A6A"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CA      0.579  0.826  0.564</w:t>
            </w:r>
          </w:p>
          <w:p w14:paraId="20FAB1A7"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 xml:space="preserve">  2 AA      0.513  0.800  0.488</w:t>
            </w:r>
          </w:p>
          <w:p w14:paraId="4C7E0F8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TCB                            </w:t>
            </w:r>
          </w:p>
          <w:p w14:paraId="1B26D9A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PBH     0.490  0.523  0.872</w:t>
            </w:r>
          </w:p>
          <w:p w14:paraId="3C77CDA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WTNA    0.719  0.630  0.914</w:t>
            </w:r>
          </w:p>
          <w:p w14:paraId="5B1A5E0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3 KDMF    0.552  0.549  0.892</w:t>
            </w:r>
          </w:p>
          <w:p w14:paraId="1D96403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282B03C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153CDC29"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INNER MODEL </w:t>
            </w:r>
          </w:p>
          <w:p w14:paraId="5AD6D5D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$APA</w:t>
            </w:r>
          </w:p>
          <w:p w14:paraId="7ED6040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Estimate   Std. Error    t value   Pr(&gt;|t|)</w:t>
            </w:r>
          </w:p>
          <w:p w14:paraId="73663EF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Intercept   1.19e-16        0.048   2.48e-15   1.00e+00</w:t>
            </w:r>
          </w:p>
          <w:p w14:paraId="348B48D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BOYCOTT     7.25e-01        0.048   1.51e+01   3.53e-35</w:t>
            </w:r>
          </w:p>
          <w:p w14:paraId="5E769E0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79A1DC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$TCB</w:t>
            </w:r>
          </w:p>
          <w:p w14:paraId="3E7653C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Estimate   Std. Error     t value   Pr(&gt;|t|)</w:t>
            </w:r>
          </w:p>
          <w:p w14:paraId="5C79FC39"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Intercept   -2.61e-17       0.0494   -5.27e-16   1.00e+00</w:t>
            </w:r>
          </w:p>
          <w:p w14:paraId="4ECDF03F"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BOYCOTT      4.33e-01       0.0718    6.03e+00   7.40e-09</w:t>
            </w:r>
          </w:p>
          <w:p w14:paraId="4D867D0C"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19449B">
              <w:rPr>
                <w:rFonts w:ascii="Courier New" w:eastAsia="Times New Roman" w:hAnsi="Courier New" w:cs="Courier New"/>
                <w:color w:val="000000"/>
                <w:sz w:val="20"/>
                <w:szCs w:val="20"/>
                <w:bdr w:val="none" w:sz="0" w:space="0" w:color="auto" w:frame="1"/>
                <w:lang w:val="en-US" w:eastAsia="fr-FR"/>
              </w:rPr>
              <w:t>APA          3.26e-01       0.0718    4.54e+00   9.39e-06</w:t>
            </w:r>
          </w:p>
          <w:p w14:paraId="3B781F3C" w14:textId="77777777" w:rsidR="00520D2C" w:rsidRPr="0019449B"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0A530D8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2F3AA78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CORRELATIONS BETWEEN LVs </w:t>
            </w:r>
          </w:p>
          <w:p w14:paraId="78396AF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BOYCOTT    APA    TCB</w:t>
            </w:r>
          </w:p>
          <w:p w14:paraId="4DCA454D"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BOYCOTT    1.000  0.725  0.669</w:t>
            </w:r>
          </w:p>
          <w:p w14:paraId="63D1694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APA        0.725  1.000  0.640</w:t>
            </w:r>
          </w:p>
          <w:p w14:paraId="73C0752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TCB        0.669  0.640  1.000</w:t>
            </w:r>
          </w:p>
          <w:p w14:paraId="395B2106"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780EC48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6995AD8E"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SUMMARY INNER MODEL </w:t>
            </w:r>
          </w:p>
          <w:p w14:paraId="2E300404"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Type     R2  Block_Communality  Mean_Redundancy    AVE</w:t>
            </w:r>
          </w:p>
          <w:p w14:paraId="0316E8B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8547B3">
              <w:rPr>
                <w:rFonts w:ascii="Courier New" w:eastAsia="Times New Roman" w:hAnsi="Courier New" w:cs="Courier New"/>
                <w:color w:val="000000"/>
                <w:sz w:val="20"/>
                <w:szCs w:val="20"/>
                <w:bdr w:val="none" w:sz="0" w:space="0" w:color="auto" w:frame="1"/>
                <w:lang w:eastAsia="fr-FR"/>
              </w:rPr>
              <w:t>BOYCOTT   Exogenous  0.000              0.766            0.000  0.766</w:t>
            </w:r>
          </w:p>
          <w:p w14:paraId="20EA977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8547B3">
              <w:rPr>
                <w:rFonts w:ascii="Courier New" w:eastAsia="Times New Roman" w:hAnsi="Courier New" w:cs="Courier New"/>
                <w:color w:val="000000"/>
                <w:sz w:val="20"/>
                <w:szCs w:val="20"/>
                <w:bdr w:val="none" w:sz="0" w:space="0" w:color="auto" w:frame="1"/>
                <w:lang w:eastAsia="fr-FR"/>
              </w:rPr>
              <w:t>APA      Endogenous  0.525              0.740            0.389  0.740</w:t>
            </w:r>
          </w:p>
          <w:p w14:paraId="62C161AF"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r w:rsidRPr="008547B3">
              <w:rPr>
                <w:rFonts w:ascii="Courier New" w:eastAsia="Times New Roman" w:hAnsi="Courier New" w:cs="Courier New"/>
                <w:color w:val="000000"/>
                <w:sz w:val="20"/>
                <w:szCs w:val="20"/>
                <w:bdr w:val="none" w:sz="0" w:space="0" w:color="auto" w:frame="1"/>
                <w:lang w:eastAsia="fr-FR"/>
              </w:rPr>
              <w:t>TCB      Endogenous  0.499              0.797            0.398  0.797</w:t>
            </w:r>
          </w:p>
          <w:p w14:paraId="2FCD62E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eastAsia="fr-FR"/>
              </w:rPr>
            </w:pPr>
          </w:p>
          <w:p w14:paraId="7558C43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696D1D1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GOODNESS-OF-FIT </w:t>
            </w:r>
          </w:p>
          <w:p w14:paraId="1A01FFC2"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[1]  0.626</w:t>
            </w:r>
          </w:p>
          <w:p w14:paraId="59BD6761"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p>
          <w:p w14:paraId="5233CD07"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w:t>
            </w:r>
          </w:p>
          <w:p w14:paraId="284D68C0"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TOTAL EFFECTS </w:t>
            </w:r>
          </w:p>
          <w:p w14:paraId="3CB8541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 xml:space="preserve">    relationships  direct  indirect  total</w:t>
            </w:r>
          </w:p>
          <w:p w14:paraId="067F7F28"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1  BOYCOTT -&gt; APA   0.725     0.000  0.725</w:t>
            </w:r>
          </w:p>
          <w:p w14:paraId="643DD1DC"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2  BOYCOTT -&gt; TCB   0.433     0.236  0.669</w:t>
            </w:r>
          </w:p>
          <w:p w14:paraId="32A8C4D5"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000000"/>
                <w:sz w:val="20"/>
                <w:szCs w:val="20"/>
                <w:bdr w:val="none" w:sz="0" w:space="0" w:color="auto" w:frame="1"/>
                <w:lang w:val="en-US" w:eastAsia="fr-FR"/>
              </w:rPr>
            </w:pPr>
            <w:r w:rsidRPr="008547B3">
              <w:rPr>
                <w:rFonts w:ascii="Courier New" w:eastAsia="Times New Roman" w:hAnsi="Courier New" w:cs="Courier New"/>
                <w:color w:val="000000"/>
                <w:sz w:val="20"/>
                <w:szCs w:val="20"/>
                <w:bdr w:val="none" w:sz="0" w:space="0" w:color="auto" w:frame="1"/>
                <w:lang w:val="en-US" w:eastAsia="fr-FR"/>
              </w:rPr>
              <w:t>3      APA -&gt; TCB   0.326     0.000  0.326</w:t>
            </w:r>
          </w:p>
          <w:p w14:paraId="0F93E60A" w14:textId="77777777" w:rsidR="00520D2C" w:rsidRPr="008547B3" w:rsidRDefault="00520D2C" w:rsidP="008547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Courier New" w:eastAsia="Times New Roman" w:hAnsi="Courier New" w:cs="Courier New"/>
                <w:color w:val="930F80"/>
                <w:sz w:val="20"/>
                <w:szCs w:val="20"/>
                <w:lang w:eastAsia="fr-FR"/>
              </w:rPr>
            </w:pPr>
            <w:r w:rsidRPr="008547B3">
              <w:rPr>
                <w:rFonts w:ascii="Courier New" w:eastAsia="Times New Roman" w:hAnsi="Courier New" w:cs="Courier New"/>
                <w:color w:val="930F80"/>
                <w:sz w:val="20"/>
                <w:szCs w:val="20"/>
                <w:lang w:eastAsia="fr-FR"/>
              </w:rPr>
              <w:t xml:space="preserve">&gt; </w:t>
            </w:r>
          </w:p>
          <w:p w14:paraId="37ECCC20" w14:textId="77777777" w:rsidR="00520D2C" w:rsidRPr="008547B3" w:rsidRDefault="00520D2C" w:rsidP="008547B3">
            <w:pPr>
              <w:spacing w:after="0" w:line="240" w:lineRule="auto"/>
              <w:rPr>
                <w:rFonts w:ascii="Times New Roman" w:eastAsia="Times New Roman" w:hAnsi="Times New Roman" w:cs="Times New Roman"/>
                <w:sz w:val="24"/>
                <w:szCs w:val="24"/>
                <w:lang w:eastAsia="fr-FR"/>
              </w:rPr>
            </w:pPr>
          </w:p>
        </w:tc>
      </w:tr>
      <w:tr w:rsidR="00520D2C" w:rsidRPr="008547B3" w14:paraId="4390EEF4" w14:textId="77777777" w:rsidTr="008547B3">
        <w:trPr>
          <w:tblCellSpacing w:w="0" w:type="dxa"/>
        </w:trPr>
        <w:tc>
          <w:tcPr>
            <w:tcW w:w="0" w:type="auto"/>
            <w:shd w:val="clear" w:color="auto" w:fill="FFFFFF"/>
            <w:hideMark/>
          </w:tcPr>
          <w:p w14:paraId="7B9CA5C8" w14:textId="77777777" w:rsidR="00520D2C" w:rsidRPr="008547B3" w:rsidRDefault="00520D2C" w:rsidP="008547B3">
            <w:pPr>
              <w:spacing w:after="0" w:line="240" w:lineRule="auto"/>
              <w:rPr>
                <w:rFonts w:ascii="Times New Roman" w:eastAsia="Times New Roman" w:hAnsi="Times New Roman" w:cs="Times New Roman"/>
                <w:sz w:val="20"/>
                <w:szCs w:val="20"/>
                <w:lang w:eastAsia="fr-FR"/>
              </w:rPr>
            </w:pPr>
          </w:p>
        </w:tc>
      </w:tr>
      <w:tr w:rsidR="00520D2C" w:rsidRPr="008547B3" w14:paraId="274044AE" w14:textId="77777777" w:rsidTr="008547B3">
        <w:trPr>
          <w:tblCellSpacing w:w="0" w:type="dxa"/>
        </w:trPr>
        <w:tc>
          <w:tcPr>
            <w:tcW w:w="0" w:type="auto"/>
            <w:shd w:val="clear" w:color="auto" w:fill="FFFFFF"/>
            <w:hideMark/>
          </w:tcPr>
          <w:tbl>
            <w:tblPr>
              <w:tblW w:w="10360" w:type="dxa"/>
              <w:tblCellSpacing w:w="0" w:type="dxa"/>
              <w:tblCellMar>
                <w:left w:w="0" w:type="dxa"/>
                <w:right w:w="0" w:type="dxa"/>
              </w:tblCellMar>
              <w:tblLook w:val="04A0" w:firstRow="1" w:lastRow="0" w:firstColumn="1" w:lastColumn="0" w:noHBand="0" w:noVBand="1"/>
            </w:tblPr>
            <w:tblGrid>
              <w:gridCol w:w="10360"/>
            </w:tblGrid>
            <w:tr w:rsidR="00520D2C" w:rsidRPr="008547B3" w14:paraId="711E970B" w14:textId="77777777">
              <w:trPr>
                <w:tblCellSpacing w:w="0" w:type="dxa"/>
              </w:trPr>
              <w:tc>
                <w:tcPr>
                  <w:tcW w:w="15" w:type="dxa"/>
                  <w:hideMark/>
                </w:tcPr>
                <w:p w14:paraId="2A2BE5E0" w14:textId="77777777" w:rsidR="00520D2C" w:rsidRPr="008547B3" w:rsidRDefault="00520D2C" w:rsidP="008547B3">
                  <w:pPr>
                    <w:spacing w:after="0" w:line="240" w:lineRule="auto"/>
                    <w:rPr>
                      <w:rFonts w:ascii="Courier New" w:eastAsia="Times New Roman" w:hAnsi="Courier New" w:cs="Courier New"/>
                      <w:color w:val="930F80"/>
                      <w:sz w:val="24"/>
                      <w:szCs w:val="24"/>
                      <w:lang w:eastAsia="fr-FR"/>
                    </w:rPr>
                  </w:pPr>
                  <w:r w:rsidRPr="008547B3">
                    <w:rPr>
                      <w:rFonts w:ascii="Courier New" w:eastAsia="Times New Roman" w:hAnsi="Courier New" w:cs="Courier New"/>
                      <w:color w:val="930F80"/>
                      <w:sz w:val="24"/>
                      <w:szCs w:val="24"/>
                      <w:lang w:eastAsia="fr-FR"/>
                    </w:rPr>
                    <w:t xml:space="preserve">&gt; </w:t>
                  </w:r>
                </w:p>
              </w:tc>
            </w:tr>
          </w:tbl>
          <w:p w14:paraId="3D956494" w14:textId="77777777" w:rsidR="00520D2C" w:rsidRPr="008547B3" w:rsidRDefault="00520D2C" w:rsidP="008547B3">
            <w:pPr>
              <w:spacing w:after="0" w:line="240" w:lineRule="auto"/>
              <w:rPr>
                <w:rFonts w:ascii="Courier New" w:eastAsia="Times New Roman" w:hAnsi="Courier New" w:cs="Courier New"/>
                <w:color w:val="000000"/>
                <w:sz w:val="24"/>
                <w:szCs w:val="24"/>
                <w:lang w:eastAsia="fr-FR"/>
              </w:rPr>
            </w:pPr>
          </w:p>
        </w:tc>
      </w:tr>
    </w:tbl>
    <w:p w14:paraId="6797828D" w14:textId="77777777" w:rsidR="00520D2C" w:rsidRPr="008547B3" w:rsidRDefault="00520D2C">
      <w:pPr>
        <w:rPr>
          <w:rtl/>
          <w:lang w:bidi="ar-DZ"/>
        </w:rPr>
      </w:pPr>
    </w:p>
    <w:p w14:paraId="15391147" w14:textId="77777777" w:rsidR="00F0380F" w:rsidRDefault="00F0380F" w:rsidP="00BE475C">
      <w:pPr>
        <w:spacing w:line="360" w:lineRule="auto"/>
        <w:rPr>
          <w:rFonts w:asciiTheme="majorBidi" w:hAnsiTheme="majorBidi" w:cstheme="majorBidi"/>
          <w:b/>
          <w:bCs/>
          <w:sz w:val="24"/>
          <w:szCs w:val="24"/>
          <w:lang w:val="en-GB"/>
        </w:rPr>
      </w:pPr>
    </w:p>
    <w:p w14:paraId="0E8F6528" w14:textId="77777777" w:rsidR="009B1217" w:rsidRDefault="009B1217" w:rsidP="00BE475C">
      <w:pPr>
        <w:spacing w:line="360" w:lineRule="auto"/>
        <w:rPr>
          <w:rFonts w:asciiTheme="majorBidi" w:hAnsiTheme="majorBidi" w:cstheme="majorBidi"/>
          <w:b/>
          <w:bCs/>
          <w:sz w:val="24"/>
          <w:szCs w:val="24"/>
          <w:lang w:val="en-GB"/>
        </w:rPr>
      </w:pPr>
    </w:p>
    <w:p w14:paraId="5C9F2A17" w14:textId="77777777" w:rsidR="009B1217" w:rsidRDefault="009B1217" w:rsidP="00BE475C">
      <w:pPr>
        <w:spacing w:line="360" w:lineRule="auto"/>
        <w:rPr>
          <w:rFonts w:asciiTheme="majorBidi" w:hAnsiTheme="majorBidi" w:cstheme="majorBidi"/>
          <w:b/>
          <w:bCs/>
          <w:sz w:val="24"/>
          <w:szCs w:val="24"/>
          <w:lang w:val="en-GB"/>
        </w:rPr>
      </w:pPr>
    </w:p>
    <w:p w14:paraId="6D449A32" w14:textId="77777777" w:rsidR="009B1217" w:rsidRDefault="009B1217" w:rsidP="00BE475C">
      <w:pPr>
        <w:spacing w:line="360" w:lineRule="auto"/>
        <w:rPr>
          <w:rFonts w:asciiTheme="majorBidi" w:hAnsiTheme="majorBidi" w:cstheme="majorBidi"/>
          <w:b/>
          <w:bCs/>
          <w:sz w:val="24"/>
          <w:szCs w:val="24"/>
          <w:lang w:val="en-GB"/>
        </w:rPr>
      </w:pPr>
    </w:p>
    <w:p w14:paraId="4EE744E6" w14:textId="77777777" w:rsidR="009B1217" w:rsidRDefault="009B1217" w:rsidP="00BE475C">
      <w:pPr>
        <w:spacing w:line="360" w:lineRule="auto"/>
        <w:rPr>
          <w:rFonts w:asciiTheme="majorBidi" w:hAnsiTheme="majorBidi" w:cstheme="majorBidi"/>
          <w:b/>
          <w:bCs/>
          <w:sz w:val="24"/>
          <w:szCs w:val="24"/>
          <w:lang w:val="en-GB"/>
        </w:rPr>
      </w:pPr>
    </w:p>
    <w:p w14:paraId="714B20A2" w14:textId="77777777" w:rsidR="009B1217" w:rsidRDefault="009B1217" w:rsidP="00BE475C">
      <w:pPr>
        <w:spacing w:line="360" w:lineRule="auto"/>
        <w:rPr>
          <w:rFonts w:asciiTheme="majorBidi" w:hAnsiTheme="majorBidi" w:cstheme="majorBidi"/>
          <w:b/>
          <w:bCs/>
          <w:sz w:val="24"/>
          <w:szCs w:val="24"/>
          <w:lang w:val="en-GB"/>
        </w:rPr>
      </w:pPr>
    </w:p>
    <w:p w14:paraId="47C3383C" w14:textId="77777777" w:rsidR="009B1217" w:rsidRDefault="009B1217" w:rsidP="00BE475C">
      <w:pPr>
        <w:spacing w:line="360" w:lineRule="auto"/>
        <w:rPr>
          <w:rFonts w:asciiTheme="majorBidi" w:hAnsiTheme="majorBidi" w:cstheme="majorBidi"/>
          <w:b/>
          <w:bCs/>
          <w:sz w:val="24"/>
          <w:szCs w:val="24"/>
          <w:lang w:val="en-GB"/>
        </w:rPr>
      </w:pPr>
    </w:p>
    <w:p w14:paraId="6F24C2D3" w14:textId="77777777" w:rsidR="009B1217" w:rsidRDefault="009B1217" w:rsidP="00BE475C">
      <w:pPr>
        <w:spacing w:line="360" w:lineRule="auto"/>
        <w:rPr>
          <w:rFonts w:asciiTheme="majorBidi" w:hAnsiTheme="majorBidi" w:cstheme="majorBidi"/>
          <w:b/>
          <w:bCs/>
          <w:sz w:val="24"/>
          <w:szCs w:val="24"/>
          <w:lang w:val="en-GB"/>
        </w:rPr>
      </w:pPr>
    </w:p>
    <w:p w14:paraId="3F46775F" w14:textId="77777777" w:rsidR="009B1217" w:rsidRDefault="009B1217" w:rsidP="00BE475C">
      <w:pPr>
        <w:spacing w:line="360" w:lineRule="auto"/>
        <w:rPr>
          <w:rFonts w:asciiTheme="majorBidi" w:hAnsiTheme="majorBidi" w:cstheme="majorBidi"/>
          <w:b/>
          <w:bCs/>
          <w:sz w:val="24"/>
          <w:szCs w:val="24"/>
          <w:lang w:val="en-GB"/>
        </w:rPr>
      </w:pPr>
    </w:p>
    <w:p w14:paraId="768639D0" w14:textId="77777777" w:rsidR="009B1217" w:rsidRDefault="009B1217" w:rsidP="00BE475C">
      <w:pPr>
        <w:spacing w:line="360" w:lineRule="auto"/>
        <w:rPr>
          <w:rFonts w:asciiTheme="majorBidi" w:hAnsiTheme="majorBidi" w:cstheme="majorBidi"/>
          <w:b/>
          <w:bCs/>
          <w:sz w:val="24"/>
          <w:szCs w:val="24"/>
          <w:lang w:val="en-GB"/>
        </w:rPr>
      </w:pPr>
    </w:p>
    <w:p w14:paraId="24D3960E" w14:textId="77777777" w:rsidR="009B1217" w:rsidRDefault="009B1217" w:rsidP="009B1217">
      <w:pPr>
        <w:spacing w:line="360" w:lineRule="auto"/>
        <w:jc w:val="both"/>
        <w:rPr>
          <w:rFonts w:asciiTheme="majorBidi" w:hAnsiTheme="majorBidi" w:cstheme="majorBidi"/>
          <w:b/>
          <w:bCs/>
          <w:sz w:val="24"/>
          <w:szCs w:val="24"/>
          <w:lang w:val="en-GB"/>
        </w:rPr>
      </w:pPr>
    </w:p>
    <w:p w14:paraId="7D8B6C8A" w14:textId="77777777" w:rsidR="001548C7" w:rsidRDefault="001548C7" w:rsidP="009B1217">
      <w:pPr>
        <w:spacing w:line="360" w:lineRule="auto"/>
        <w:jc w:val="both"/>
        <w:rPr>
          <w:rFonts w:asciiTheme="majorBidi" w:hAnsiTheme="majorBidi" w:cstheme="majorBidi"/>
          <w:b/>
          <w:bCs/>
          <w:sz w:val="24"/>
          <w:szCs w:val="24"/>
          <w:lang w:val="en-GB"/>
        </w:rPr>
        <w:sectPr w:rsidR="001548C7">
          <w:headerReference w:type="default" r:id="rId132"/>
          <w:footerReference w:type="default" r:id="rId133"/>
          <w:pgSz w:w="11906" w:h="16838"/>
          <w:pgMar w:top="1417" w:right="1417" w:bottom="1417" w:left="1417" w:header="708" w:footer="708" w:gutter="0"/>
          <w:cols w:space="708"/>
          <w:docGrid w:linePitch="360"/>
        </w:sectPr>
      </w:pPr>
    </w:p>
    <w:p w14:paraId="6EFBC59C" w14:textId="418A9BE5" w:rsidR="009B1217" w:rsidRPr="00647DC1" w:rsidRDefault="009B1217" w:rsidP="009B1217">
      <w:pPr>
        <w:spacing w:line="360" w:lineRule="auto"/>
        <w:jc w:val="both"/>
        <w:rPr>
          <w:rFonts w:asciiTheme="majorBidi" w:hAnsiTheme="majorBidi" w:cstheme="majorBidi"/>
          <w:sz w:val="24"/>
          <w:szCs w:val="24"/>
          <w:lang w:val="en-GB"/>
        </w:rPr>
      </w:pPr>
      <w:r w:rsidRPr="00647DC1">
        <w:rPr>
          <w:rFonts w:asciiTheme="majorBidi" w:hAnsiTheme="majorBidi" w:cstheme="majorBidi"/>
          <w:b/>
          <w:bCs/>
          <w:sz w:val="24"/>
          <w:szCs w:val="24"/>
          <w:lang w:val="en-GB"/>
        </w:rPr>
        <w:t>Abstract</w:t>
      </w:r>
    </w:p>
    <w:p w14:paraId="4BD8DA7F" w14:textId="77777777" w:rsidR="009B1217" w:rsidRPr="00647DC1" w:rsidRDefault="009B1217" w:rsidP="009B1217">
      <w:pPr>
        <w:spacing w:line="360" w:lineRule="auto"/>
        <w:jc w:val="both"/>
        <w:rPr>
          <w:rFonts w:asciiTheme="majorBidi" w:hAnsiTheme="majorBidi" w:cstheme="majorBidi"/>
          <w:sz w:val="24"/>
          <w:szCs w:val="24"/>
          <w:lang w:val="en-GB"/>
        </w:rPr>
      </w:pPr>
      <w:r w:rsidRPr="00647DC1">
        <w:rPr>
          <w:rFonts w:asciiTheme="majorBidi" w:hAnsiTheme="majorBidi" w:cstheme="majorBidi"/>
          <w:sz w:val="24"/>
          <w:szCs w:val="24"/>
          <w:lang w:val="en-GB"/>
        </w:rPr>
        <w:t xml:space="preserve">   In a world where political tensions increasingly shape market dynamics, this dissertation explores how </w:t>
      </w:r>
      <w:r w:rsidRPr="00647DC1">
        <w:rPr>
          <w:rStyle w:val="Strong"/>
          <w:rFonts w:asciiTheme="majorBidi" w:hAnsiTheme="majorBidi" w:cstheme="majorBidi"/>
          <w:b w:val="0"/>
          <w:bCs w:val="0"/>
          <w:sz w:val="24"/>
          <w:szCs w:val="24"/>
          <w:lang w:val="en-GB"/>
        </w:rPr>
        <w:t>boycott</w:t>
      </w:r>
      <w:r w:rsidRPr="00647DC1">
        <w:rPr>
          <w:rFonts w:asciiTheme="majorBidi" w:hAnsiTheme="majorBidi" w:cstheme="majorBidi"/>
          <w:sz w:val="24"/>
          <w:szCs w:val="24"/>
          <w:lang w:val="en-GB"/>
        </w:rPr>
        <w:t xml:space="preserve"> movements can create unexpected opportunities for </w:t>
      </w:r>
      <w:r w:rsidRPr="00647DC1">
        <w:rPr>
          <w:rStyle w:val="Strong"/>
          <w:rFonts w:asciiTheme="majorBidi" w:hAnsiTheme="majorBidi" w:cstheme="majorBidi"/>
          <w:b w:val="0"/>
          <w:bCs w:val="0"/>
          <w:sz w:val="24"/>
          <w:szCs w:val="24"/>
          <w:lang w:val="en-GB"/>
        </w:rPr>
        <w:t>local</w:t>
      </w:r>
      <w:r w:rsidRPr="00647DC1">
        <w:rPr>
          <w:rStyle w:val="Strong"/>
          <w:rFonts w:asciiTheme="majorBidi" w:hAnsiTheme="majorBidi" w:cstheme="majorBidi"/>
          <w:sz w:val="24"/>
          <w:szCs w:val="24"/>
          <w:lang w:val="en-GB"/>
        </w:rPr>
        <w:t xml:space="preserve"> </w:t>
      </w:r>
      <w:r w:rsidRPr="00647DC1">
        <w:rPr>
          <w:rStyle w:val="Strong"/>
          <w:rFonts w:asciiTheme="majorBidi" w:hAnsiTheme="majorBidi" w:cstheme="majorBidi"/>
          <w:b w:val="0"/>
          <w:bCs w:val="0"/>
          <w:sz w:val="24"/>
          <w:szCs w:val="24"/>
          <w:lang w:val="en-GB"/>
        </w:rPr>
        <w:t>products</w:t>
      </w:r>
      <w:r w:rsidRPr="00647DC1">
        <w:rPr>
          <w:rFonts w:asciiTheme="majorBidi" w:hAnsiTheme="majorBidi" w:cstheme="majorBidi"/>
          <w:sz w:val="24"/>
          <w:szCs w:val="24"/>
          <w:lang w:val="en-GB"/>
        </w:rPr>
        <w:t xml:space="preserve"> to enter new markets. Focusing on </w:t>
      </w:r>
      <w:r w:rsidRPr="00647DC1">
        <w:rPr>
          <w:rStyle w:val="Strong"/>
          <w:rFonts w:asciiTheme="majorBidi" w:hAnsiTheme="majorBidi" w:cstheme="majorBidi"/>
          <w:b w:val="0"/>
          <w:bCs w:val="0"/>
          <w:sz w:val="24"/>
          <w:szCs w:val="24"/>
          <w:lang w:val="en-GB"/>
        </w:rPr>
        <w:t>Turkey</w:t>
      </w:r>
      <w:r w:rsidRPr="00647DC1">
        <w:rPr>
          <w:rFonts w:asciiTheme="majorBidi" w:hAnsiTheme="majorBidi" w:cstheme="majorBidi"/>
          <w:sz w:val="24"/>
          <w:szCs w:val="24"/>
          <w:lang w:val="en-GB"/>
        </w:rPr>
        <w:t xml:space="preserve"> as a gateway to Europe, the study highlights how shifts in </w:t>
      </w:r>
      <w:r w:rsidRPr="00647DC1">
        <w:rPr>
          <w:rStyle w:val="Strong"/>
          <w:rFonts w:asciiTheme="majorBidi" w:hAnsiTheme="majorBidi" w:cstheme="majorBidi"/>
          <w:b w:val="0"/>
          <w:bCs w:val="0"/>
          <w:sz w:val="24"/>
          <w:szCs w:val="24"/>
          <w:lang w:val="en-GB"/>
        </w:rPr>
        <w:t>consumer</w:t>
      </w:r>
      <w:r w:rsidRPr="00647DC1">
        <w:rPr>
          <w:rStyle w:val="Strong"/>
          <w:rFonts w:asciiTheme="majorBidi" w:hAnsiTheme="majorBidi" w:cstheme="majorBidi"/>
          <w:sz w:val="24"/>
          <w:szCs w:val="24"/>
          <w:lang w:val="en-GB"/>
        </w:rPr>
        <w:t xml:space="preserve"> </w:t>
      </w:r>
      <w:r w:rsidRPr="00647DC1">
        <w:rPr>
          <w:rStyle w:val="Strong"/>
          <w:rFonts w:asciiTheme="majorBidi" w:hAnsiTheme="majorBidi" w:cstheme="majorBidi"/>
          <w:b w:val="0"/>
          <w:bCs w:val="0"/>
          <w:sz w:val="24"/>
          <w:szCs w:val="24"/>
          <w:lang w:val="en-GB"/>
        </w:rPr>
        <w:t>behavior</w:t>
      </w:r>
      <w:r w:rsidRPr="00647DC1">
        <w:rPr>
          <w:rFonts w:asciiTheme="majorBidi" w:hAnsiTheme="majorBidi" w:cstheme="majorBidi"/>
          <w:sz w:val="24"/>
          <w:szCs w:val="24"/>
          <w:lang w:val="en-GB"/>
        </w:rPr>
        <w:t xml:space="preserve"> especially during periods of protest can encourage openness to </w:t>
      </w:r>
      <w:r w:rsidRPr="00647DC1">
        <w:rPr>
          <w:rStyle w:val="Strong"/>
          <w:rFonts w:asciiTheme="majorBidi" w:hAnsiTheme="majorBidi" w:cstheme="majorBidi"/>
          <w:b w:val="0"/>
          <w:bCs w:val="0"/>
          <w:sz w:val="24"/>
          <w:szCs w:val="24"/>
          <w:lang w:val="en-GB"/>
        </w:rPr>
        <w:t>alternative</w:t>
      </w:r>
      <w:r w:rsidRPr="00647DC1">
        <w:rPr>
          <w:rStyle w:val="Strong"/>
          <w:rFonts w:asciiTheme="majorBidi" w:hAnsiTheme="majorBidi" w:cstheme="majorBidi"/>
          <w:sz w:val="24"/>
          <w:szCs w:val="24"/>
          <w:lang w:val="en-GB"/>
        </w:rPr>
        <w:t xml:space="preserve"> </w:t>
      </w:r>
      <w:r w:rsidRPr="00647DC1">
        <w:rPr>
          <w:rStyle w:val="Strong"/>
          <w:rFonts w:asciiTheme="majorBidi" w:hAnsiTheme="majorBidi" w:cstheme="majorBidi"/>
          <w:b w:val="0"/>
          <w:bCs w:val="0"/>
          <w:sz w:val="24"/>
          <w:szCs w:val="24"/>
          <w:lang w:val="en-GB"/>
        </w:rPr>
        <w:t>products</w:t>
      </w:r>
      <w:r w:rsidRPr="00647DC1">
        <w:rPr>
          <w:rFonts w:asciiTheme="majorBidi" w:hAnsiTheme="majorBidi" w:cstheme="majorBidi"/>
          <w:sz w:val="24"/>
          <w:szCs w:val="24"/>
          <w:lang w:val="en-GB"/>
        </w:rPr>
        <w:t xml:space="preserve"> that align with cultural values. Using both theoretical and empirical approaches, it examines how </w:t>
      </w:r>
      <w:r w:rsidRPr="00647DC1">
        <w:rPr>
          <w:rStyle w:val="Strong"/>
          <w:rFonts w:asciiTheme="majorBidi" w:hAnsiTheme="majorBidi" w:cstheme="majorBidi"/>
          <w:b w:val="0"/>
          <w:bCs w:val="0"/>
          <w:sz w:val="24"/>
          <w:szCs w:val="24"/>
          <w:lang w:val="en-GB"/>
        </w:rPr>
        <w:t>cultural</w:t>
      </w:r>
      <w:r w:rsidRPr="00647DC1">
        <w:rPr>
          <w:rStyle w:val="Strong"/>
          <w:rFonts w:asciiTheme="majorBidi" w:hAnsiTheme="majorBidi" w:cstheme="majorBidi"/>
          <w:sz w:val="24"/>
          <w:szCs w:val="24"/>
          <w:lang w:val="en-GB"/>
        </w:rPr>
        <w:t xml:space="preserve"> </w:t>
      </w:r>
      <w:r w:rsidRPr="00647DC1">
        <w:rPr>
          <w:rStyle w:val="Strong"/>
          <w:rFonts w:asciiTheme="majorBidi" w:hAnsiTheme="majorBidi" w:cstheme="majorBidi"/>
          <w:b w:val="0"/>
          <w:bCs w:val="0"/>
          <w:sz w:val="24"/>
          <w:szCs w:val="24"/>
          <w:lang w:val="en-GB"/>
        </w:rPr>
        <w:t>alignment</w:t>
      </w:r>
      <w:r w:rsidRPr="00647DC1">
        <w:rPr>
          <w:rFonts w:asciiTheme="majorBidi" w:hAnsiTheme="majorBidi" w:cstheme="majorBidi"/>
          <w:sz w:val="24"/>
          <w:szCs w:val="24"/>
          <w:lang w:val="en-GB"/>
        </w:rPr>
        <w:t xml:space="preserve">, product availability, and trust influence purchasing decisions. The findings show that boycotts, rather than being mere reactions, can serve as catalysts for </w:t>
      </w:r>
      <w:r w:rsidRPr="00647DC1">
        <w:rPr>
          <w:rStyle w:val="Strong"/>
          <w:rFonts w:asciiTheme="majorBidi" w:hAnsiTheme="majorBidi" w:cstheme="majorBidi"/>
          <w:b w:val="0"/>
          <w:bCs w:val="0"/>
          <w:sz w:val="24"/>
          <w:szCs w:val="24"/>
          <w:lang w:val="en-GB"/>
        </w:rPr>
        <w:t>exportation</w:t>
      </w:r>
      <w:r w:rsidRPr="00647DC1">
        <w:rPr>
          <w:rFonts w:asciiTheme="majorBidi" w:hAnsiTheme="majorBidi" w:cstheme="majorBidi"/>
          <w:sz w:val="24"/>
          <w:szCs w:val="24"/>
          <w:lang w:val="en-GB"/>
        </w:rPr>
        <w:t xml:space="preserve"> when strategically leveraged. Through the lens of Algerian cosmetic and para-pharmaceutical products, this research proposes a bold vision: that political disruption can be transformed into economic opportunity when local industries adapt, connect, and respond with purpose.</w:t>
      </w:r>
    </w:p>
    <w:p w14:paraId="59431878" w14:textId="77777777" w:rsidR="009B1217" w:rsidRPr="00647DC1" w:rsidRDefault="009B1217" w:rsidP="009B1217">
      <w:pPr>
        <w:spacing w:line="360" w:lineRule="auto"/>
        <w:jc w:val="both"/>
        <w:rPr>
          <w:rFonts w:asciiTheme="majorBidi" w:hAnsiTheme="majorBidi" w:cstheme="majorBidi"/>
          <w:sz w:val="24"/>
          <w:szCs w:val="24"/>
          <w:rtl/>
          <w:lang w:val="en-GB"/>
        </w:rPr>
      </w:pPr>
      <w:r w:rsidRPr="00647DC1">
        <w:rPr>
          <w:rFonts w:asciiTheme="majorBidi" w:hAnsiTheme="majorBidi" w:cstheme="majorBidi"/>
          <w:b/>
          <w:bCs/>
          <w:sz w:val="24"/>
          <w:szCs w:val="24"/>
          <w:lang w:val="en-GB"/>
        </w:rPr>
        <w:t>Keywords:</w:t>
      </w:r>
      <w:r w:rsidRPr="00647DC1">
        <w:rPr>
          <w:rFonts w:asciiTheme="majorBidi" w:hAnsiTheme="majorBidi" w:cstheme="majorBidi"/>
          <w:sz w:val="24"/>
          <w:szCs w:val="24"/>
          <w:lang w:val="en-GB"/>
        </w:rPr>
        <w:t xml:space="preserve"> </w:t>
      </w:r>
      <w:r w:rsidRPr="00647DC1">
        <w:rPr>
          <w:rStyle w:val="Strong"/>
          <w:rFonts w:asciiTheme="majorBidi" w:hAnsiTheme="majorBidi" w:cstheme="majorBidi"/>
          <w:b w:val="0"/>
          <w:bCs w:val="0"/>
          <w:sz w:val="24"/>
          <w:szCs w:val="24"/>
          <w:lang w:val="en-GB"/>
        </w:rPr>
        <w:t>Boycott, exportation, local products, consumer behavior, alternative products, cultural alignment, Turkey.</w:t>
      </w:r>
    </w:p>
    <w:p w14:paraId="7E0EA7BB" w14:textId="77777777" w:rsidR="009B1217" w:rsidRPr="00647DC1" w:rsidRDefault="009B1217" w:rsidP="009B1217">
      <w:pPr>
        <w:pStyle w:val="NormalWeb"/>
        <w:bidi/>
        <w:spacing w:line="360" w:lineRule="auto"/>
        <w:jc w:val="both"/>
        <w:rPr>
          <w:b/>
          <w:bCs/>
          <w:rtl/>
          <w:lang w:val="tr-TR" w:bidi="ar-DZ"/>
        </w:rPr>
      </w:pPr>
      <w:r w:rsidRPr="00647DC1">
        <w:rPr>
          <w:rFonts w:hint="cs"/>
          <w:b/>
          <w:bCs/>
          <w:rtl/>
          <w:lang w:bidi="ar-DZ"/>
        </w:rPr>
        <w:t xml:space="preserve">ملخص </w:t>
      </w:r>
    </w:p>
    <w:p w14:paraId="13459F9B" w14:textId="77777777" w:rsidR="009B1217" w:rsidRPr="00647DC1" w:rsidRDefault="009B1217" w:rsidP="009B1217">
      <w:pPr>
        <w:pStyle w:val="NormalWeb"/>
        <w:bidi/>
        <w:spacing w:line="360" w:lineRule="auto"/>
        <w:jc w:val="both"/>
      </w:pPr>
      <w:r>
        <w:rPr>
          <w:rFonts w:hint="cs"/>
          <w:rtl/>
        </w:rPr>
        <w:t xml:space="preserve">   </w:t>
      </w:r>
      <w:r w:rsidRPr="00647DC1">
        <w:rPr>
          <w:rtl/>
        </w:rPr>
        <w:t xml:space="preserve">في عالم تُشكّل فيه التوترات السياسية بشكل متزايد ديناميكيات السوق، تستكشف هذه الرسالة كيف يمكن لحملات </w:t>
      </w:r>
      <w:r w:rsidRPr="00647DC1">
        <w:rPr>
          <w:rStyle w:val="Strong"/>
          <w:b w:val="0"/>
          <w:bCs w:val="0"/>
          <w:rtl/>
        </w:rPr>
        <w:t>المقاطعة</w:t>
      </w:r>
      <w:r w:rsidRPr="00647DC1">
        <w:rPr>
          <w:b/>
          <w:bCs/>
          <w:rtl/>
        </w:rPr>
        <w:t xml:space="preserve"> </w:t>
      </w:r>
      <w:r w:rsidRPr="00647DC1">
        <w:rPr>
          <w:rtl/>
        </w:rPr>
        <w:t xml:space="preserve">أن تخلق فرصًا غير متوقعة أمام </w:t>
      </w:r>
      <w:r w:rsidRPr="00647DC1">
        <w:rPr>
          <w:rStyle w:val="Strong"/>
          <w:b w:val="0"/>
          <w:bCs w:val="0"/>
          <w:rtl/>
        </w:rPr>
        <w:t>المنتجات المحلية</w:t>
      </w:r>
      <w:r w:rsidRPr="00647DC1">
        <w:rPr>
          <w:rtl/>
        </w:rPr>
        <w:t xml:space="preserve"> للدخول إلى أسواق جديدة. من خلال التركيز على </w:t>
      </w:r>
      <w:r w:rsidRPr="00647DC1">
        <w:rPr>
          <w:rStyle w:val="Strong"/>
          <w:rtl/>
        </w:rPr>
        <w:t>تركيا</w:t>
      </w:r>
      <w:r w:rsidRPr="00647DC1">
        <w:rPr>
          <w:rtl/>
        </w:rPr>
        <w:t xml:space="preserve"> كبوابة نحو أوروبا، تُبرز الدراسة كيف أن تغيّرات </w:t>
      </w:r>
      <w:r w:rsidRPr="00647DC1">
        <w:rPr>
          <w:rStyle w:val="Strong"/>
          <w:b w:val="0"/>
          <w:bCs w:val="0"/>
          <w:rtl/>
        </w:rPr>
        <w:t>سلوك المستهلكين</w:t>
      </w:r>
      <w:r w:rsidRPr="00647DC1">
        <w:rPr>
          <w:rtl/>
        </w:rPr>
        <w:t xml:space="preserve">، خاصة في فترات الاحتجاج، يمكن أن تعزز الانفتاح على </w:t>
      </w:r>
      <w:r w:rsidRPr="00647DC1">
        <w:rPr>
          <w:rStyle w:val="Strong"/>
          <w:b w:val="0"/>
          <w:bCs w:val="0"/>
          <w:rtl/>
        </w:rPr>
        <w:t>منتجات بديلة</w:t>
      </w:r>
      <w:r w:rsidRPr="00647DC1">
        <w:rPr>
          <w:b/>
          <w:bCs/>
          <w:rtl/>
        </w:rPr>
        <w:t xml:space="preserve"> </w:t>
      </w:r>
      <w:r w:rsidRPr="00647DC1">
        <w:rPr>
          <w:rtl/>
        </w:rPr>
        <w:t xml:space="preserve">تتماشى مع القيم الثقافية. بالاعتماد على منهجية تجمع بين المقاربة النظرية والتحليل الميداني، تدرس الرسالة تأثير </w:t>
      </w:r>
      <w:r w:rsidRPr="00647DC1">
        <w:rPr>
          <w:rStyle w:val="Strong"/>
          <w:b w:val="0"/>
          <w:bCs w:val="0"/>
          <w:rtl/>
        </w:rPr>
        <w:t>الملاءمة الثقافية</w:t>
      </w:r>
      <w:r w:rsidRPr="00647DC1">
        <w:rPr>
          <w:rtl/>
        </w:rPr>
        <w:t xml:space="preserve"> وتوافر المنتجات والثقة على قرارات الشراء. وتُظهر النتائج أن المقاطعة، بدل أن تكون مجرد ردّ فعل، يمكن أن تُصبح محفزًا حقيقيًا لعمليات </w:t>
      </w:r>
      <w:r w:rsidRPr="00647DC1">
        <w:rPr>
          <w:rStyle w:val="Strong"/>
          <w:b w:val="0"/>
          <w:bCs w:val="0"/>
          <w:rtl/>
        </w:rPr>
        <w:t>التصدير</w:t>
      </w:r>
      <w:r w:rsidRPr="00647DC1">
        <w:rPr>
          <w:rtl/>
        </w:rPr>
        <w:t xml:space="preserve"> إذا تم استغلالها بشكل استراتيجي. ومن خلال دراسة حالة المنتجات الجزائرية في قطاعي التجميل وشبه الصيدلة، تقترح هذه الأطروحة رؤية جريئة: يمكن تحويل الاضطرابات السياسية إلى فرص اقتصادية عندما تعرف الصناعات المحلية كيف تتكيّف، وتبني جسور التواصل، وتتحرك بذكاء</w:t>
      </w:r>
      <w:r w:rsidRPr="00647DC1">
        <w:t>.</w:t>
      </w:r>
    </w:p>
    <w:p w14:paraId="7108BBB9" w14:textId="77777777" w:rsidR="009B1217" w:rsidRPr="00647DC1" w:rsidRDefault="009B1217" w:rsidP="009B1217">
      <w:pPr>
        <w:pStyle w:val="NormalWeb"/>
        <w:bidi/>
        <w:spacing w:line="360" w:lineRule="auto"/>
        <w:jc w:val="both"/>
        <w:rPr>
          <w:rtl/>
        </w:rPr>
      </w:pPr>
      <w:r w:rsidRPr="00647DC1">
        <w:rPr>
          <w:rStyle w:val="Strong"/>
          <w:rtl/>
        </w:rPr>
        <w:t>الكلمات المفتاحية</w:t>
      </w:r>
      <w:r w:rsidRPr="00647DC1">
        <w:rPr>
          <w:rStyle w:val="Strong"/>
        </w:rPr>
        <w:t>:</w:t>
      </w:r>
      <w:r w:rsidRPr="00647DC1">
        <w:t xml:space="preserve"> </w:t>
      </w:r>
      <w:r w:rsidRPr="00647DC1">
        <w:rPr>
          <w:rtl/>
        </w:rPr>
        <w:t>المقاطعة، التصدير، المنتجات المحلية، سلوك المستهلك، المنتجات البديلة، الملاءمة الثقافية، تركيا</w:t>
      </w:r>
      <w:r w:rsidRPr="00647DC1">
        <w:t>.</w:t>
      </w:r>
    </w:p>
    <w:p w14:paraId="77168DCF" w14:textId="77777777" w:rsidR="009B1217" w:rsidRPr="00647DC1" w:rsidRDefault="009B1217" w:rsidP="009B1217">
      <w:pPr>
        <w:spacing w:line="360" w:lineRule="auto"/>
        <w:jc w:val="both"/>
        <w:rPr>
          <w:rStyle w:val="Strong"/>
          <w:rFonts w:asciiTheme="majorBidi" w:hAnsiTheme="majorBidi" w:cstheme="majorBidi"/>
          <w:sz w:val="24"/>
          <w:szCs w:val="24"/>
        </w:rPr>
      </w:pPr>
      <w:r w:rsidRPr="00647DC1">
        <w:rPr>
          <w:rStyle w:val="Strong"/>
          <w:rFonts w:asciiTheme="majorBidi" w:hAnsiTheme="majorBidi" w:cstheme="majorBidi"/>
          <w:sz w:val="24"/>
          <w:szCs w:val="24"/>
        </w:rPr>
        <w:t xml:space="preserve">Résumé </w:t>
      </w:r>
    </w:p>
    <w:p w14:paraId="374B23BA" w14:textId="77777777" w:rsidR="009B1217" w:rsidRPr="00647DC1" w:rsidRDefault="009B1217" w:rsidP="009B1217">
      <w:pPr>
        <w:spacing w:line="360" w:lineRule="auto"/>
        <w:jc w:val="both"/>
        <w:rPr>
          <w:rFonts w:asciiTheme="majorBidi" w:hAnsiTheme="majorBidi" w:cstheme="majorBidi"/>
          <w:b/>
          <w:bCs/>
          <w:sz w:val="24"/>
          <w:szCs w:val="24"/>
        </w:rPr>
      </w:pPr>
      <w:r>
        <w:rPr>
          <w:rFonts w:asciiTheme="majorBidi" w:hAnsiTheme="majorBidi" w:cstheme="majorBidi" w:hint="cs"/>
          <w:sz w:val="24"/>
          <w:szCs w:val="24"/>
          <w:rtl/>
        </w:rPr>
        <w:t xml:space="preserve">   </w:t>
      </w:r>
      <w:r w:rsidRPr="00647DC1">
        <w:rPr>
          <w:rFonts w:asciiTheme="majorBidi" w:hAnsiTheme="majorBidi" w:cstheme="majorBidi"/>
          <w:sz w:val="24"/>
          <w:szCs w:val="24"/>
        </w:rPr>
        <w:t xml:space="preserve">Dans un monde où les tensions politiques influencent de plus en plus les dynamiques du marché, cette dissertation explore comment les mouvements de </w:t>
      </w:r>
      <w:r w:rsidRPr="00647DC1">
        <w:rPr>
          <w:rStyle w:val="Strong"/>
          <w:rFonts w:asciiTheme="majorBidi" w:hAnsiTheme="majorBidi" w:cstheme="majorBidi"/>
          <w:b w:val="0"/>
          <w:bCs w:val="0"/>
          <w:sz w:val="24"/>
          <w:szCs w:val="24"/>
        </w:rPr>
        <w:t>boycott</w:t>
      </w:r>
      <w:r w:rsidRPr="00647DC1">
        <w:rPr>
          <w:rFonts w:asciiTheme="majorBidi" w:hAnsiTheme="majorBidi" w:cstheme="majorBidi"/>
          <w:sz w:val="24"/>
          <w:szCs w:val="24"/>
        </w:rPr>
        <w:t xml:space="preserve"> peuvent créer des opportunités inattendues pour les </w:t>
      </w:r>
      <w:r w:rsidRPr="00647DC1">
        <w:rPr>
          <w:rStyle w:val="Strong"/>
          <w:rFonts w:asciiTheme="majorBidi" w:hAnsiTheme="majorBidi" w:cstheme="majorBidi"/>
          <w:b w:val="0"/>
          <w:bCs w:val="0"/>
          <w:sz w:val="24"/>
          <w:szCs w:val="24"/>
        </w:rPr>
        <w:t>produits</w:t>
      </w:r>
      <w:r w:rsidRPr="00647DC1">
        <w:rPr>
          <w:rStyle w:val="Strong"/>
          <w:rFonts w:asciiTheme="majorBidi" w:hAnsiTheme="majorBidi" w:cstheme="majorBidi"/>
          <w:sz w:val="24"/>
          <w:szCs w:val="24"/>
        </w:rPr>
        <w:t xml:space="preserve"> </w:t>
      </w:r>
      <w:r w:rsidRPr="00647DC1">
        <w:rPr>
          <w:rStyle w:val="Strong"/>
          <w:rFonts w:asciiTheme="majorBidi" w:hAnsiTheme="majorBidi" w:cstheme="majorBidi"/>
          <w:b w:val="0"/>
          <w:bCs w:val="0"/>
          <w:sz w:val="24"/>
          <w:szCs w:val="24"/>
        </w:rPr>
        <w:t>locaux</w:t>
      </w:r>
      <w:r w:rsidRPr="00647DC1">
        <w:rPr>
          <w:rFonts w:asciiTheme="majorBidi" w:hAnsiTheme="majorBidi" w:cstheme="majorBidi"/>
          <w:sz w:val="24"/>
          <w:szCs w:val="24"/>
        </w:rPr>
        <w:t xml:space="preserve"> d’accéder à de nouveaux marchés. En se concentrant sur la </w:t>
      </w:r>
      <w:r w:rsidRPr="00647DC1">
        <w:rPr>
          <w:rStyle w:val="Strong"/>
          <w:rFonts w:asciiTheme="majorBidi" w:hAnsiTheme="majorBidi" w:cstheme="majorBidi"/>
          <w:b w:val="0"/>
          <w:bCs w:val="0"/>
          <w:sz w:val="24"/>
          <w:szCs w:val="24"/>
        </w:rPr>
        <w:t>Turquie</w:t>
      </w:r>
      <w:r w:rsidRPr="00647DC1">
        <w:rPr>
          <w:rFonts w:asciiTheme="majorBidi" w:hAnsiTheme="majorBidi" w:cstheme="majorBidi"/>
          <w:sz w:val="24"/>
          <w:szCs w:val="24"/>
        </w:rPr>
        <w:t xml:space="preserve"> comme passerelle vers l’Europe, l’étude met en lumière comment les évolutions du </w:t>
      </w:r>
      <w:r w:rsidRPr="00647DC1">
        <w:rPr>
          <w:rStyle w:val="Strong"/>
          <w:rFonts w:asciiTheme="majorBidi" w:hAnsiTheme="majorBidi" w:cstheme="majorBidi"/>
          <w:b w:val="0"/>
          <w:bCs w:val="0"/>
          <w:sz w:val="24"/>
          <w:szCs w:val="24"/>
        </w:rPr>
        <w:t>comportement</w:t>
      </w:r>
      <w:r w:rsidRPr="00647DC1">
        <w:rPr>
          <w:rStyle w:val="Strong"/>
          <w:rFonts w:asciiTheme="majorBidi" w:hAnsiTheme="majorBidi" w:cstheme="majorBidi"/>
          <w:sz w:val="24"/>
          <w:szCs w:val="24"/>
        </w:rPr>
        <w:t xml:space="preserve"> </w:t>
      </w:r>
      <w:r w:rsidRPr="00647DC1">
        <w:rPr>
          <w:rStyle w:val="Strong"/>
          <w:rFonts w:asciiTheme="majorBidi" w:hAnsiTheme="majorBidi" w:cstheme="majorBidi"/>
          <w:b w:val="0"/>
          <w:bCs w:val="0"/>
          <w:sz w:val="24"/>
          <w:szCs w:val="24"/>
        </w:rPr>
        <w:t>des</w:t>
      </w:r>
      <w:r w:rsidRPr="00647DC1">
        <w:rPr>
          <w:rStyle w:val="Strong"/>
          <w:rFonts w:asciiTheme="majorBidi" w:hAnsiTheme="majorBidi" w:cstheme="majorBidi"/>
          <w:sz w:val="24"/>
          <w:szCs w:val="24"/>
        </w:rPr>
        <w:t xml:space="preserve"> </w:t>
      </w:r>
      <w:r w:rsidRPr="00647DC1">
        <w:rPr>
          <w:rStyle w:val="Strong"/>
          <w:rFonts w:asciiTheme="majorBidi" w:hAnsiTheme="majorBidi" w:cstheme="majorBidi"/>
          <w:b w:val="0"/>
          <w:bCs w:val="0"/>
          <w:sz w:val="24"/>
          <w:szCs w:val="24"/>
        </w:rPr>
        <w:t>consommateurs</w:t>
      </w:r>
      <w:r w:rsidRPr="00647DC1">
        <w:rPr>
          <w:rFonts w:asciiTheme="majorBidi" w:hAnsiTheme="majorBidi" w:cstheme="majorBidi"/>
          <w:sz w:val="24"/>
          <w:szCs w:val="24"/>
        </w:rPr>
        <w:t xml:space="preserve">, notamment en période de protestation, peuvent favoriser l’ouverture à des </w:t>
      </w:r>
      <w:r w:rsidRPr="00647DC1">
        <w:rPr>
          <w:rStyle w:val="Strong"/>
          <w:rFonts w:asciiTheme="majorBidi" w:hAnsiTheme="majorBidi" w:cstheme="majorBidi"/>
          <w:b w:val="0"/>
          <w:bCs w:val="0"/>
          <w:sz w:val="24"/>
          <w:szCs w:val="24"/>
        </w:rPr>
        <w:t>produits</w:t>
      </w:r>
      <w:r w:rsidRPr="00647DC1">
        <w:rPr>
          <w:rStyle w:val="Strong"/>
          <w:rFonts w:asciiTheme="majorBidi" w:hAnsiTheme="majorBidi" w:cstheme="majorBidi"/>
          <w:sz w:val="24"/>
          <w:szCs w:val="24"/>
        </w:rPr>
        <w:t xml:space="preserve"> </w:t>
      </w:r>
      <w:r w:rsidRPr="00647DC1">
        <w:rPr>
          <w:rStyle w:val="Strong"/>
          <w:rFonts w:asciiTheme="majorBidi" w:hAnsiTheme="majorBidi" w:cstheme="majorBidi"/>
          <w:b w:val="0"/>
          <w:bCs w:val="0"/>
          <w:sz w:val="24"/>
          <w:szCs w:val="24"/>
        </w:rPr>
        <w:t>alternatifs</w:t>
      </w:r>
      <w:r w:rsidRPr="00647DC1">
        <w:rPr>
          <w:rFonts w:asciiTheme="majorBidi" w:hAnsiTheme="majorBidi" w:cstheme="majorBidi"/>
          <w:sz w:val="24"/>
          <w:szCs w:val="24"/>
        </w:rPr>
        <w:t xml:space="preserve"> en adéquation avec les valeurs culturelles. En combinant approches théoriques et empiriques, elle analyse comment l</w:t>
      </w:r>
      <w:r w:rsidRPr="00647DC1">
        <w:rPr>
          <w:rFonts w:asciiTheme="majorBidi" w:hAnsiTheme="majorBidi" w:cstheme="majorBidi"/>
          <w:b/>
          <w:bCs/>
          <w:sz w:val="24"/>
          <w:szCs w:val="24"/>
        </w:rPr>
        <w:t>’</w:t>
      </w:r>
      <w:r w:rsidRPr="00647DC1">
        <w:rPr>
          <w:rStyle w:val="Strong"/>
          <w:rFonts w:asciiTheme="majorBidi" w:hAnsiTheme="majorBidi" w:cstheme="majorBidi"/>
          <w:b w:val="0"/>
          <w:bCs w:val="0"/>
          <w:sz w:val="24"/>
          <w:szCs w:val="24"/>
        </w:rPr>
        <w:t>alignement</w:t>
      </w:r>
      <w:r w:rsidRPr="00647DC1">
        <w:rPr>
          <w:rStyle w:val="Strong"/>
          <w:rFonts w:asciiTheme="majorBidi" w:hAnsiTheme="majorBidi" w:cstheme="majorBidi"/>
          <w:sz w:val="24"/>
          <w:szCs w:val="24"/>
        </w:rPr>
        <w:t xml:space="preserve"> </w:t>
      </w:r>
      <w:r w:rsidRPr="00647DC1">
        <w:rPr>
          <w:rStyle w:val="Strong"/>
          <w:rFonts w:asciiTheme="majorBidi" w:hAnsiTheme="majorBidi" w:cstheme="majorBidi"/>
          <w:b w:val="0"/>
          <w:bCs w:val="0"/>
          <w:sz w:val="24"/>
          <w:szCs w:val="24"/>
        </w:rPr>
        <w:t>culturel</w:t>
      </w:r>
      <w:r w:rsidRPr="00647DC1">
        <w:rPr>
          <w:rFonts w:asciiTheme="majorBidi" w:hAnsiTheme="majorBidi" w:cstheme="majorBidi"/>
          <w:sz w:val="24"/>
          <w:szCs w:val="24"/>
        </w:rPr>
        <w:t>, la disponibilité des produits et la confiance influencent les décisions d’achat. Les résultats montrent que les boycotts, loin d’être de simples réactions, peuvent devenir des catalyseurs d’</w:t>
      </w:r>
      <w:r w:rsidRPr="00647DC1">
        <w:rPr>
          <w:rStyle w:val="Strong"/>
          <w:rFonts w:asciiTheme="majorBidi" w:hAnsiTheme="majorBidi" w:cstheme="majorBidi"/>
          <w:b w:val="0"/>
          <w:bCs w:val="0"/>
          <w:sz w:val="24"/>
          <w:szCs w:val="24"/>
        </w:rPr>
        <w:t>exportation</w:t>
      </w:r>
      <w:r w:rsidRPr="00647DC1">
        <w:rPr>
          <w:rFonts w:asciiTheme="majorBidi" w:hAnsiTheme="majorBidi" w:cstheme="majorBidi"/>
          <w:sz w:val="24"/>
          <w:szCs w:val="24"/>
        </w:rPr>
        <w:t xml:space="preserve"> lorsqu’ils sont exploités de manière stratégique. À travers le prisme des produits algériens dans les secteurs cosmétique et parapharmaceutique, cette recherche propose une vision audacieuse : les bouleversements politiques peuvent être transformés en opportunités économiques lorsque les industries locales savent s’adapter, se connecter et agir avec stratégie.</w:t>
      </w:r>
    </w:p>
    <w:p w14:paraId="58A67534" w14:textId="77777777" w:rsidR="009B1217" w:rsidRPr="00647DC1" w:rsidRDefault="009B1217" w:rsidP="009B1217">
      <w:pPr>
        <w:pStyle w:val="NormalWeb"/>
        <w:spacing w:line="360" w:lineRule="auto"/>
        <w:jc w:val="both"/>
      </w:pPr>
      <w:r w:rsidRPr="00647DC1">
        <w:rPr>
          <w:rStyle w:val="Strong"/>
        </w:rPr>
        <w:t>Mots-clés :</w:t>
      </w:r>
      <w:r w:rsidRPr="00647DC1">
        <w:t xml:space="preserve"> Boycott, exportation, produits locaux, comportement des consommateurs, produits alternatifs, alignement culturel, Turquie.</w:t>
      </w:r>
    </w:p>
    <w:p w14:paraId="04EB358B" w14:textId="77777777" w:rsidR="009B1217" w:rsidRPr="00647DC1" w:rsidRDefault="009B1217" w:rsidP="009B1217">
      <w:pPr>
        <w:pStyle w:val="NormalWeb"/>
        <w:spacing w:line="360" w:lineRule="auto"/>
        <w:jc w:val="both"/>
        <w:rPr>
          <w:b/>
          <w:bCs/>
          <w:rtl/>
          <w:lang w:bidi="ar-DZ"/>
        </w:rPr>
      </w:pPr>
      <w:r w:rsidRPr="00647DC1">
        <w:rPr>
          <w:b/>
          <w:bCs/>
          <w:lang w:bidi="ar-DZ"/>
        </w:rPr>
        <w:t>özet</w:t>
      </w:r>
    </w:p>
    <w:p w14:paraId="4E71CD51" w14:textId="77777777" w:rsidR="009B1217" w:rsidRPr="00647DC1" w:rsidRDefault="009B1217" w:rsidP="009B1217">
      <w:pPr>
        <w:pStyle w:val="NormalWeb"/>
        <w:spacing w:line="360" w:lineRule="auto"/>
        <w:jc w:val="both"/>
      </w:pPr>
      <w:r>
        <w:rPr>
          <w:rFonts w:hint="cs"/>
          <w:rtl/>
        </w:rPr>
        <w:t xml:space="preserve">   </w:t>
      </w:r>
      <w:r w:rsidRPr="00647DC1">
        <w:t xml:space="preserve">Siyasi gerilimlerin giderek daha fazla piyasa dinamiklerini şekillendirdiği bir dünyada, bu tez, </w:t>
      </w:r>
      <w:r w:rsidRPr="00FE61A5">
        <w:rPr>
          <w:rStyle w:val="Strong"/>
          <w:b w:val="0"/>
          <w:bCs w:val="0"/>
        </w:rPr>
        <w:t>boykot</w:t>
      </w:r>
      <w:r w:rsidRPr="00647DC1">
        <w:t xml:space="preserve"> hareketlerinin </w:t>
      </w:r>
      <w:r w:rsidRPr="00FE61A5">
        <w:rPr>
          <w:rStyle w:val="Strong"/>
          <w:b w:val="0"/>
          <w:bCs w:val="0"/>
        </w:rPr>
        <w:t>yerel ürünler</w:t>
      </w:r>
      <w:r w:rsidRPr="00647DC1">
        <w:t xml:space="preserve"> için yeni pazarlara açılmada beklenmedik fırsatlar yaratabileceğini incelemektedir. </w:t>
      </w:r>
      <w:r w:rsidRPr="00FE61A5">
        <w:rPr>
          <w:rStyle w:val="Strong"/>
          <w:b w:val="0"/>
          <w:bCs w:val="0"/>
        </w:rPr>
        <w:t>Avrupa’ya açılan bir kapı olarak</w:t>
      </w:r>
      <w:r w:rsidRPr="00647DC1">
        <w:rPr>
          <w:rStyle w:val="Strong"/>
        </w:rPr>
        <w:t xml:space="preserve"> </w:t>
      </w:r>
      <w:r w:rsidRPr="00FE61A5">
        <w:rPr>
          <w:rStyle w:val="Strong"/>
          <w:b w:val="0"/>
          <w:bCs w:val="0"/>
        </w:rPr>
        <w:t>Türkiye</w:t>
      </w:r>
      <w:r w:rsidRPr="00647DC1">
        <w:t xml:space="preserve">'ye odaklanan çalışma, özellikle protesto dönemlerinde </w:t>
      </w:r>
      <w:r w:rsidRPr="00FE61A5">
        <w:rPr>
          <w:rStyle w:val="Strong"/>
          <w:b w:val="0"/>
          <w:bCs w:val="0"/>
        </w:rPr>
        <w:t>tüketici davranışlarındaki</w:t>
      </w:r>
      <w:r w:rsidRPr="00647DC1">
        <w:t xml:space="preserve"> değişimlerin, kültürel değerlere uygun </w:t>
      </w:r>
      <w:r w:rsidRPr="00FE61A5">
        <w:rPr>
          <w:rStyle w:val="Strong"/>
          <w:b w:val="0"/>
          <w:bCs w:val="0"/>
        </w:rPr>
        <w:t>alternatif ürünlere</w:t>
      </w:r>
      <w:r w:rsidRPr="00647DC1">
        <w:t xml:space="preserve"> olan ilgiyi nasıl artırabildiğini ortaya koymaktadır. Teorik ve ampirik yaklaşımları birleştiren araştırma, satın alma kararlarını etkileyen </w:t>
      </w:r>
      <w:r w:rsidRPr="00FE61A5">
        <w:rPr>
          <w:rStyle w:val="Strong"/>
          <w:b w:val="0"/>
          <w:bCs w:val="0"/>
        </w:rPr>
        <w:t>kültürel uyum</w:t>
      </w:r>
      <w:r w:rsidRPr="00647DC1">
        <w:t xml:space="preserve">, ürün erişilebilirliği ve güven unsurlarını analiz etmektedir. Bulgular, boykotların yalnızca tepki niteliği taşımadığını, stratejik bir şekilde değerlendirildiklerinde </w:t>
      </w:r>
      <w:r w:rsidRPr="00FE61A5">
        <w:rPr>
          <w:rStyle w:val="Strong"/>
          <w:b w:val="0"/>
          <w:bCs w:val="0"/>
        </w:rPr>
        <w:t>ihracat</w:t>
      </w:r>
      <w:r w:rsidRPr="00647DC1">
        <w:t xml:space="preserve"> için birer itici güç olabileceklerini göstermektedir. Cezayir'in kozmetik ve parafarmasötik ürünleri merceğinden bakıldığında, bu araştırma cesur bir vizyon sunmaktadır: Politik krizler, yerel sanayilerin uyum sağlama, bağlantı kurma ve bilinçli hareket etme becerisi sayesinde ekonomik fırsatlara dönüştürülebilir.</w:t>
      </w:r>
    </w:p>
    <w:p w14:paraId="7EDE82A0" w14:textId="77777777" w:rsidR="009B1217" w:rsidRPr="00647DC1" w:rsidRDefault="009B1217" w:rsidP="009B1217">
      <w:pPr>
        <w:pStyle w:val="NormalWeb"/>
        <w:spacing w:line="360" w:lineRule="auto"/>
        <w:jc w:val="both"/>
      </w:pPr>
      <w:r w:rsidRPr="00647DC1">
        <w:rPr>
          <w:rStyle w:val="Strong"/>
        </w:rPr>
        <w:t>Anahtar kelimeler:</w:t>
      </w:r>
      <w:r w:rsidRPr="00647DC1">
        <w:t xml:space="preserve"> Boykot, ihracat, yerel ürünler, tüketici davranışı, alternatif ürünler, kültürel uyum, Türkiye.</w:t>
      </w:r>
    </w:p>
    <w:p w14:paraId="35AB30EA" w14:textId="0341B950" w:rsidR="009B1217" w:rsidRPr="009B1217" w:rsidRDefault="009B1217" w:rsidP="00BE475C">
      <w:pPr>
        <w:spacing w:line="360" w:lineRule="auto"/>
        <w:rPr>
          <w:rFonts w:asciiTheme="majorBidi" w:hAnsiTheme="majorBidi" w:cstheme="majorBidi"/>
          <w:b/>
          <w:bCs/>
          <w:sz w:val="24"/>
          <w:szCs w:val="24"/>
        </w:rPr>
        <w:sectPr w:rsidR="009B1217" w:rsidRPr="009B1217">
          <w:headerReference w:type="default" r:id="rId134"/>
          <w:pgSz w:w="11906" w:h="16838"/>
          <w:pgMar w:top="1417" w:right="1417" w:bottom="1417" w:left="1417" w:header="708" w:footer="708" w:gutter="0"/>
          <w:cols w:space="708"/>
          <w:docGrid w:linePitch="360"/>
        </w:sectPr>
      </w:pPr>
    </w:p>
    <w:p w14:paraId="3FF6E6C2" w14:textId="00CF4C11" w:rsidR="00050632" w:rsidRPr="00EB3899" w:rsidRDefault="00DC25B4">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r w:rsidRPr="00EB3899">
        <w:rPr>
          <w:rFonts w:asciiTheme="majorBidi" w:hAnsiTheme="majorBidi" w:cstheme="majorBidi"/>
          <w:b w:val="0"/>
          <w:bCs w:val="0"/>
          <w:sz w:val="36"/>
          <w:szCs w:val="36"/>
          <w:lang w:val="en-GB"/>
        </w:rPr>
        <w:fldChar w:fldCharType="begin"/>
      </w:r>
      <w:r w:rsidRPr="00EB3899">
        <w:rPr>
          <w:rFonts w:asciiTheme="majorBidi" w:hAnsiTheme="majorBidi" w:cstheme="majorBidi"/>
          <w:b w:val="0"/>
          <w:bCs w:val="0"/>
          <w:sz w:val="36"/>
          <w:szCs w:val="36"/>
          <w:lang w:val="en-GB"/>
        </w:rPr>
        <w:instrText xml:space="preserve"> TOC \o "1-6" \h \z \u </w:instrText>
      </w:r>
      <w:r w:rsidRPr="00EB3899">
        <w:rPr>
          <w:rFonts w:asciiTheme="majorBidi" w:hAnsiTheme="majorBidi" w:cstheme="majorBidi"/>
          <w:b w:val="0"/>
          <w:bCs w:val="0"/>
          <w:sz w:val="36"/>
          <w:szCs w:val="36"/>
          <w:lang w:val="en-GB"/>
        </w:rPr>
        <w:fldChar w:fldCharType="separate"/>
      </w:r>
      <w:hyperlink w:anchor="_Toc200721591" w:history="1">
        <w:r w:rsidR="00050632" w:rsidRPr="00EB3899">
          <w:rPr>
            <w:rStyle w:val="Hyperlink"/>
            <w:rFonts w:asciiTheme="majorBidi" w:hAnsiTheme="majorBidi" w:cstheme="majorBidi"/>
            <w:noProof/>
            <w:sz w:val="28"/>
            <w:szCs w:val="36"/>
          </w:rPr>
          <w:t>General introduction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_Toc200721591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w:t>
        </w:r>
        <w:r w:rsidR="00050632" w:rsidRPr="00EB3899">
          <w:rPr>
            <w:rFonts w:asciiTheme="majorBidi" w:hAnsiTheme="majorBidi" w:cstheme="majorBidi"/>
            <w:noProof/>
            <w:webHidden/>
            <w:sz w:val="28"/>
            <w:szCs w:val="36"/>
          </w:rPr>
          <w:fldChar w:fldCharType="end"/>
        </w:r>
      </w:hyperlink>
    </w:p>
    <w:p w14:paraId="7DFF8268" w14:textId="13A395F5"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592" w:history="1">
        <w:r w:rsidR="00050632" w:rsidRPr="00EB3899">
          <w:rPr>
            <w:rStyle w:val="Hyperlink"/>
            <w:rFonts w:asciiTheme="majorBidi" w:hAnsiTheme="majorBidi" w:cstheme="majorBidi"/>
            <w:noProof/>
            <w:sz w:val="28"/>
            <w:szCs w:val="36"/>
          </w:rPr>
          <w:t>Chapter 01:</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_Toc200721592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11</w:t>
        </w:r>
        <w:r w:rsidR="00050632" w:rsidRPr="00EB3899">
          <w:rPr>
            <w:rFonts w:asciiTheme="majorBidi" w:hAnsiTheme="majorBidi" w:cstheme="majorBidi"/>
            <w:noProof/>
            <w:webHidden/>
            <w:sz w:val="28"/>
            <w:szCs w:val="36"/>
          </w:rPr>
          <w:fldChar w:fldCharType="end"/>
        </w:r>
      </w:hyperlink>
    </w:p>
    <w:p w14:paraId="4E3AB921" w14:textId="2FB3D319"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593" w:history="1">
        <w:r w:rsidR="00050632" w:rsidRPr="00EB3899">
          <w:rPr>
            <w:rStyle w:val="Hyperlink"/>
            <w:rFonts w:asciiTheme="majorBidi" w:hAnsiTheme="majorBidi" w:cstheme="majorBidi"/>
            <w:noProof/>
            <w:sz w:val="28"/>
            <w:szCs w:val="36"/>
          </w:rPr>
          <w:t>Introduction: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_Toc200721593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12</w:t>
        </w:r>
        <w:r w:rsidR="00050632" w:rsidRPr="00EB3899">
          <w:rPr>
            <w:rFonts w:asciiTheme="majorBidi" w:hAnsiTheme="majorBidi" w:cstheme="majorBidi"/>
            <w:noProof/>
            <w:webHidden/>
            <w:sz w:val="28"/>
            <w:szCs w:val="36"/>
          </w:rPr>
          <w:fldChar w:fldCharType="end"/>
        </w:r>
      </w:hyperlink>
    </w:p>
    <w:p w14:paraId="3DDD0FD0" w14:textId="0AD7814F"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594" w:history="1">
        <w:r w:rsidR="00050632" w:rsidRPr="00EB3899">
          <w:rPr>
            <w:rStyle w:val="Hyperlink"/>
            <w:rFonts w:asciiTheme="majorBidi" w:hAnsiTheme="majorBidi" w:cstheme="majorBidi"/>
            <w:noProof/>
            <w:sz w:val="28"/>
            <w:szCs w:val="36"/>
          </w:rPr>
          <w:t>Section 01: introduction to boycott</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_Toc200721594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13</w:t>
        </w:r>
        <w:r w:rsidR="00050632" w:rsidRPr="00EB3899">
          <w:rPr>
            <w:rFonts w:asciiTheme="majorBidi" w:hAnsiTheme="majorBidi" w:cstheme="majorBidi"/>
            <w:noProof/>
            <w:webHidden/>
            <w:sz w:val="28"/>
            <w:szCs w:val="36"/>
          </w:rPr>
          <w:fldChar w:fldCharType="end"/>
        </w:r>
      </w:hyperlink>
    </w:p>
    <w:p w14:paraId="64B47CD2" w14:textId="773984EE"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595" w:history="1">
        <w:r w:rsidR="00050632" w:rsidRPr="00EB3899">
          <w:rPr>
            <w:rStyle w:val="Hyperlink"/>
            <w:rFonts w:asciiTheme="majorBidi" w:hAnsiTheme="majorBidi" w:cstheme="majorBidi"/>
            <w:i w:val="0"/>
            <w:iCs w:val="0"/>
            <w:noProof/>
            <w:sz w:val="28"/>
            <w:szCs w:val="36"/>
          </w:rPr>
          <w:t>1-Définition and historical background of boycott:</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_Toc200721595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13</w:t>
        </w:r>
        <w:r w:rsidR="00050632" w:rsidRPr="00EB3899">
          <w:rPr>
            <w:rFonts w:asciiTheme="majorBidi" w:hAnsiTheme="majorBidi" w:cstheme="majorBidi"/>
            <w:i w:val="0"/>
            <w:iCs w:val="0"/>
            <w:noProof/>
            <w:webHidden/>
            <w:sz w:val="28"/>
            <w:szCs w:val="36"/>
          </w:rPr>
          <w:fldChar w:fldCharType="end"/>
        </w:r>
      </w:hyperlink>
    </w:p>
    <w:p w14:paraId="7B257175" w14:textId="42D3AB3B"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596" w:history="1">
        <w:r w:rsidR="00050632" w:rsidRPr="00EB3899">
          <w:rPr>
            <w:rStyle w:val="Hyperlink"/>
            <w:rFonts w:asciiTheme="majorBidi" w:hAnsiTheme="majorBidi" w:cstheme="majorBidi"/>
            <w:noProof/>
            <w:sz w:val="24"/>
            <w:szCs w:val="28"/>
          </w:rPr>
          <w:t>1-1-Définition of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_Toc200721596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w:t>
        </w:r>
        <w:r w:rsidR="00050632" w:rsidRPr="00EB3899">
          <w:rPr>
            <w:rFonts w:asciiTheme="majorBidi" w:hAnsiTheme="majorBidi" w:cstheme="majorBidi"/>
            <w:noProof/>
            <w:webHidden/>
            <w:sz w:val="24"/>
            <w:szCs w:val="28"/>
          </w:rPr>
          <w:fldChar w:fldCharType="end"/>
        </w:r>
      </w:hyperlink>
    </w:p>
    <w:p w14:paraId="667E884B" w14:textId="7DC8926D"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597" w:history="1">
        <w:r w:rsidR="00050632" w:rsidRPr="00EB3899">
          <w:rPr>
            <w:rStyle w:val="Hyperlink"/>
            <w:rFonts w:asciiTheme="majorBidi" w:hAnsiTheme="majorBidi" w:cstheme="majorBidi"/>
            <w:noProof/>
            <w:sz w:val="24"/>
            <w:szCs w:val="28"/>
          </w:rPr>
          <w:t>1-2-Understanding the Concept of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_Toc200721597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w:t>
        </w:r>
        <w:r w:rsidR="00050632" w:rsidRPr="00EB3899">
          <w:rPr>
            <w:rFonts w:asciiTheme="majorBidi" w:hAnsiTheme="majorBidi" w:cstheme="majorBidi"/>
            <w:noProof/>
            <w:webHidden/>
            <w:sz w:val="24"/>
            <w:szCs w:val="28"/>
          </w:rPr>
          <w:fldChar w:fldCharType="end"/>
        </w:r>
      </w:hyperlink>
    </w:p>
    <w:p w14:paraId="1F3F8994" w14:textId="109CB0EB"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598" w:history="1">
        <w:r w:rsidR="00050632" w:rsidRPr="00EB3899">
          <w:rPr>
            <w:rStyle w:val="Hyperlink"/>
            <w:rFonts w:asciiTheme="majorBidi" w:hAnsiTheme="majorBidi" w:cstheme="majorBidi"/>
            <w:i w:val="0"/>
            <w:iCs w:val="0"/>
            <w:noProof/>
            <w:sz w:val="28"/>
            <w:szCs w:val="36"/>
            <w:lang w:eastAsia="fr-FR"/>
          </w:rPr>
          <w:t>2-Types of boycotts: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_Toc200721598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15</w:t>
        </w:r>
        <w:r w:rsidR="00050632" w:rsidRPr="00EB3899">
          <w:rPr>
            <w:rFonts w:asciiTheme="majorBidi" w:hAnsiTheme="majorBidi" w:cstheme="majorBidi"/>
            <w:i w:val="0"/>
            <w:iCs w:val="0"/>
            <w:noProof/>
            <w:webHidden/>
            <w:sz w:val="28"/>
            <w:szCs w:val="36"/>
          </w:rPr>
          <w:fldChar w:fldCharType="end"/>
        </w:r>
      </w:hyperlink>
    </w:p>
    <w:p w14:paraId="638DAE8E" w14:textId="203C3489"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599" w:history="1">
        <w:r w:rsidR="00050632" w:rsidRPr="00EB3899">
          <w:rPr>
            <w:rStyle w:val="Hyperlink"/>
            <w:rFonts w:asciiTheme="majorBidi" w:hAnsiTheme="majorBidi" w:cstheme="majorBidi"/>
            <w:noProof/>
            <w:sz w:val="24"/>
            <w:szCs w:val="28"/>
            <w:lang w:eastAsia="fr-FR"/>
          </w:rPr>
          <w:t>2-1. Economic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_Toc200721599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w:t>
        </w:r>
        <w:r w:rsidR="00050632" w:rsidRPr="00EB3899">
          <w:rPr>
            <w:rFonts w:asciiTheme="majorBidi" w:hAnsiTheme="majorBidi" w:cstheme="majorBidi"/>
            <w:noProof/>
            <w:webHidden/>
            <w:sz w:val="24"/>
            <w:szCs w:val="28"/>
          </w:rPr>
          <w:fldChar w:fldCharType="end"/>
        </w:r>
      </w:hyperlink>
    </w:p>
    <w:p w14:paraId="4D6E7BD7" w14:textId="7273E6FA"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0" w:history="1">
        <w:r w:rsidR="00050632" w:rsidRPr="00EB3899">
          <w:rPr>
            <w:rStyle w:val="Hyperlink"/>
            <w:rFonts w:asciiTheme="majorBidi" w:hAnsiTheme="majorBidi" w:cstheme="majorBidi"/>
            <w:noProof/>
            <w:sz w:val="24"/>
            <w:szCs w:val="28"/>
            <w:lang w:eastAsia="fr-FR"/>
          </w:rPr>
          <w:t>2-2. Political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w:t>
        </w:r>
        <w:r w:rsidR="00050632" w:rsidRPr="00EB3899">
          <w:rPr>
            <w:rFonts w:asciiTheme="majorBidi" w:hAnsiTheme="majorBidi" w:cstheme="majorBidi"/>
            <w:noProof/>
            <w:webHidden/>
            <w:sz w:val="24"/>
            <w:szCs w:val="28"/>
          </w:rPr>
          <w:fldChar w:fldCharType="end"/>
        </w:r>
      </w:hyperlink>
    </w:p>
    <w:p w14:paraId="2291C36B" w14:textId="02D49DC1"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1" w:history="1">
        <w:r w:rsidR="00050632" w:rsidRPr="00EB3899">
          <w:rPr>
            <w:rStyle w:val="Hyperlink"/>
            <w:rFonts w:asciiTheme="majorBidi" w:hAnsiTheme="majorBidi" w:cstheme="majorBidi"/>
            <w:noProof/>
            <w:sz w:val="24"/>
            <w:szCs w:val="28"/>
            <w:lang w:eastAsia="fr-FR"/>
          </w:rPr>
          <w:t>2-3. Social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w:t>
        </w:r>
        <w:r w:rsidR="00050632" w:rsidRPr="00EB3899">
          <w:rPr>
            <w:rFonts w:asciiTheme="majorBidi" w:hAnsiTheme="majorBidi" w:cstheme="majorBidi"/>
            <w:noProof/>
            <w:webHidden/>
            <w:sz w:val="24"/>
            <w:szCs w:val="28"/>
          </w:rPr>
          <w:fldChar w:fldCharType="end"/>
        </w:r>
      </w:hyperlink>
    </w:p>
    <w:p w14:paraId="4D02B151" w14:textId="7ABD1A23"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2" w:history="1">
        <w:r w:rsidR="00050632" w:rsidRPr="00EB3899">
          <w:rPr>
            <w:rStyle w:val="Hyperlink"/>
            <w:rFonts w:asciiTheme="majorBidi" w:hAnsiTheme="majorBidi" w:cstheme="majorBidi"/>
            <w:noProof/>
            <w:sz w:val="24"/>
            <w:szCs w:val="28"/>
            <w:lang w:eastAsia="fr-FR"/>
          </w:rPr>
          <w:t>2-4. Ethical/Environmental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18</w:t>
        </w:r>
        <w:r w:rsidR="00050632" w:rsidRPr="00EB3899">
          <w:rPr>
            <w:rFonts w:asciiTheme="majorBidi" w:hAnsiTheme="majorBidi" w:cstheme="majorBidi"/>
            <w:noProof/>
            <w:webHidden/>
            <w:sz w:val="24"/>
            <w:szCs w:val="28"/>
          </w:rPr>
          <w:fldChar w:fldCharType="end"/>
        </w:r>
      </w:hyperlink>
    </w:p>
    <w:p w14:paraId="7B595B45" w14:textId="0836E789"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3" w:history="1">
        <w:r w:rsidR="00050632" w:rsidRPr="00EB3899">
          <w:rPr>
            <w:rStyle w:val="Hyperlink"/>
            <w:rFonts w:asciiTheme="majorBidi" w:hAnsiTheme="majorBidi" w:cstheme="majorBidi"/>
            <w:noProof/>
            <w:sz w:val="24"/>
            <w:szCs w:val="28"/>
            <w:lang w:eastAsia="fr-FR"/>
          </w:rPr>
          <w:t>2-5. Religious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18</w:t>
        </w:r>
        <w:r w:rsidR="00050632" w:rsidRPr="00EB3899">
          <w:rPr>
            <w:rFonts w:asciiTheme="majorBidi" w:hAnsiTheme="majorBidi" w:cstheme="majorBidi"/>
            <w:noProof/>
            <w:webHidden/>
            <w:sz w:val="24"/>
            <w:szCs w:val="28"/>
          </w:rPr>
          <w:fldChar w:fldCharType="end"/>
        </w:r>
      </w:hyperlink>
    </w:p>
    <w:p w14:paraId="2E0F6705" w14:textId="370A4DA8"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4" w:history="1">
        <w:r w:rsidR="00050632" w:rsidRPr="00EB3899">
          <w:rPr>
            <w:rStyle w:val="Hyperlink"/>
            <w:rFonts w:asciiTheme="majorBidi" w:eastAsia="Times New Roman" w:hAnsiTheme="majorBidi" w:cstheme="majorBidi"/>
            <w:noProof/>
            <w:sz w:val="24"/>
            <w:szCs w:val="28"/>
            <w:lang w:eastAsia="fr-FR"/>
          </w:rPr>
          <w:t>2-</w:t>
        </w:r>
        <w:r w:rsidR="00050632" w:rsidRPr="00EB3899">
          <w:rPr>
            <w:rStyle w:val="Hyperlink"/>
            <w:rFonts w:asciiTheme="majorBidi" w:hAnsiTheme="majorBidi" w:cstheme="majorBidi"/>
            <w:noProof/>
            <w:sz w:val="24"/>
            <w:szCs w:val="28"/>
          </w:rPr>
          <w:t>6. Economic Boycotts: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19</w:t>
        </w:r>
        <w:r w:rsidR="00050632" w:rsidRPr="00EB3899">
          <w:rPr>
            <w:rFonts w:asciiTheme="majorBidi" w:hAnsiTheme="majorBidi" w:cstheme="majorBidi"/>
            <w:noProof/>
            <w:webHidden/>
            <w:sz w:val="24"/>
            <w:szCs w:val="28"/>
          </w:rPr>
          <w:fldChar w:fldCharType="end"/>
        </w:r>
      </w:hyperlink>
    </w:p>
    <w:p w14:paraId="1FEFF586" w14:textId="62BAB535"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05" w:history="1">
        <w:r w:rsidR="00050632" w:rsidRPr="00EB3899">
          <w:rPr>
            <w:rStyle w:val="Hyperlink"/>
            <w:rFonts w:asciiTheme="majorBidi" w:hAnsiTheme="majorBidi" w:cstheme="majorBidi"/>
            <w:noProof/>
            <w:sz w:val="24"/>
            <w:szCs w:val="28"/>
          </w:rPr>
          <w:t>2-7. Other different Types of Boycotts: States, Businesses, and Consumers: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_Toc200721605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19</w:t>
        </w:r>
        <w:r w:rsidR="00050632" w:rsidRPr="00EB3899">
          <w:rPr>
            <w:rFonts w:asciiTheme="majorBidi" w:hAnsiTheme="majorBidi" w:cstheme="majorBidi"/>
            <w:noProof/>
            <w:webHidden/>
            <w:sz w:val="24"/>
            <w:szCs w:val="28"/>
          </w:rPr>
          <w:fldChar w:fldCharType="end"/>
        </w:r>
      </w:hyperlink>
    </w:p>
    <w:p w14:paraId="1A3E84E6" w14:textId="709FD361"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34" w:history="1">
        <w:r w:rsidR="00050632" w:rsidRPr="00EB3899">
          <w:rPr>
            <w:rStyle w:val="Hyperlink"/>
            <w:rFonts w:asciiTheme="majorBidi" w:eastAsia="Times New Roman" w:hAnsiTheme="majorBidi" w:cstheme="majorBidi"/>
            <w:i w:val="0"/>
            <w:iCs w:val="0"/>
            <w:noProof/>
            <w:sz w:val="28"/>
            <w:szCs w:val="36"/>
            <w:lang w:eastAsia="fr-FR"/>
          </w:rPr>
          <w:t>3-</w:t>
        </w:r>
        <w:r w:rsidR="00050632" w:rsidRPr="00EB3899">
          <w:rPr>
            <w:rStyle w:val="Hyperlink"/>
            <w:rFonts w:asciiTheme="majorBidi" w:hAnsiTheme="majorBidi" w:cstheme="majorBidi"/>
            <w:i w:val="0"/>
            <w:iCs w:val="0"/>
            <w:noProof/>
            <w:sz w:val="28"/>
            <w:szCs w:val="36"/>
          </w:rPr>
          <w:t xml:space="preserve"> Motivations behind boycott:</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_Toc200721634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21</w:t>
        </w:r>
        <w:r w:rsidR="00050632" w:rsidRPr="00EB3899">
          <w:rPr>
            <w:rFonts w:asciiTheme="majorBidi" w:hAnsiTheme="majorBidi" w:cstheme="majorBidi"/>
            <w:i w:val="0"/>
            <w:iCs w:val="0"/>
            <w:noProof/>
            <w:webHidden/>
            <w:sz w:val="28"/>
            <w:szCs w:val="36"/>
          </w:rPr>
          <w:fldChar w:fldCharType="end"/>
        </w:r>
      </w:hyperlink>
    </w:p>
    <w:p w14:paraId="6B7D23C0" w14:textId="5F1AC5E0"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35" w:history="1">
        <w:r w:rsidR="00050632" w:rsidRPr="00EB3899">
          <w:rPr>
            <w:rStyle w:val="Hyperlink"/>
            <w:rFonts w:asciiTheme="majorBidi" w:hAnsiTheme="majorBidi" w:cstheme="majorBidi"/>
            <w:noProof/>
            <w:sz w:val="28"/>
            <w:szCs w:val="36"/>
          </w:rPr>
          <w:t>Section 02: Economic and social impacts of boycotts</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_Toc200721635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23</w:t>
        </w:r>
        <w:r w:rsidR="00050632" w:rsidRPr="00EB3899">
          <w:rPr>
            <w:rFonts w:asciiTheme="majorBidi" w:hAnsiTheme="majorBidi" w:cstheme="majorBidi"/>
            <w:noProof/>
            <w:webHidden/>
            <w:sz w:val="28"/>
            <w:szCs w:val="36"/>
          </w:rPr>
          <w:fldChar w:fldCharType="end"/>
        </w:r>
      </w:hyperlink>
    </w:p>
    <w:p w14:paraId="3AD15F6E" w14:textId="4A15B278"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36" w:history="1">
        <w:r w:rsidR="00050632" w:rsidRPr="00EB3899">
          <w:rPr>
            <w:rStyle w:val="Hyperlink"/>
            <w:rFonts w:asciiTheme="majorBidi" w:hAnsiTheme="majorBidi" w:cstheme="majorBidi"/>
            <w:i w:val="0"/>
            <w:iCs w:val="0"/>
            <w:noProof/>
            <w:sz w:val="28"/>
            <w:szCs w:val="36"/>
            <w:lang w:eastAsia="fr-FR"/>
          </w:rPr>
          <w:t>1. Short-Term and Long-Term Effects of Boycotts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_Toc200721636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23</w:t>
        </w:r>
        <w:r w:rsidR="00050632" w:rsidRPr="00EB3899">
          <w:rPr>
            <w:rFonts w:asciiTheme="majorBidi" w:hAnsiTheme="majorBidi" w:cstheme="majorBidi"/>
            <w:i w:val="0"/>
            <w:iCs w:val="0"/>
            <w:noProof/>
            <w:webHidden/>
            <w:sz w:val="28"/>
            <w:szCs w:val="36"/>
          </w:rPr>
          <w:fldChar w:fldCharType="end"/>
        </w:r>
      </w:hyperlink>
    </w:p>
    <w:p w14:paraId="0D46E158" w14:textId="08755F13"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37" w:history="1">
        <w:r w:rsidR="00050632" w:rsidRPr="00EB3899">
          <w:rPr>
            <w:rStyle w:val="Hyperlink"/>
            <w:rFonts w:asciiTheme="majorBidi" w:hAnsiTheme="majorBidi" w:cstheme="majorBidi"/>
            <w:noProof/>
            <w:sz w:val="24"/>
            <w:szCs w:val="28"/>
            <w:lang w:eastAsia="fr-FR"/>
          </w:rPr>
          <w:t>1.1. Short-Term Effects: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_Toc200721637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23</w:t>
        </w:r>
        <w:r w:rsidR="00050632" w:rsidRPr="00EB3899">
          <w:rPr>
            <w:rFonts w:asciiTheme="majorBidi" w:hAnsiTheme="majorBidi" w:cstheme="majorBidi"/>
            <w:noProof/>
            <w:webHidden/>
            <w:sz w:val="24"/>
            <w:szCs w:val="28"/>
          </w:rPr>
          <w:fldChar w:fldCharType="end"/>
        </w:r>
      </w:hyperlink>
    </w:p>
    <w:p w14:paraId="733FB366" w14:textId="6B7D6647"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38" w:history="1">
        <w:r w:rsidR="00050632" w:rsidRPr="00EB3899">
          <w:rPr>
            <w:rStyle w:val="Hyperlink"/>
            <w:rFonts w:asciiTheme="majorBidi" w:hAnsiTheme="majorBidi" w:cstheme="majorBidi"/>
            <w:noProof/>
            <w:sz w:val="24"/>
            <w:szCs w:val="28"/>
            <w:lang w:eastAsia="fr-FR"/>
          </w:rPr>
          <w:t>1.2. Long-Term Effects: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_Toc200721638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25</w:t>
        </w:r>
        <w:r w:rsidR="00050632" w:rsidRPr="00EB3899">
          <w:rPr>
            <w:rFonts w:asciiTheme="majorBidi" w:hAnsiTheme="majorBidi" w:cstheme="majorBidi"/>
            <w:noProof/>
            <w:webHidden/>
            <w:sz w:val="24"/>
            <w:szCs w:val="28"/>
          </w:rPr>
          <w:fldChar w:fldCharType="end"/>
        </w:r>
      </w:hyperlink>
    </w:p>
    <w:p w14:paraId="6DD2465D" w14:textId="06BBCC76"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39" w:history="1">
        <w:r w:rsidR="00050632" w:rsidRPr="00EB3899">
          <w:rPr>
            <w:rStyle w:val="Hyperlink"/>
            <w:rFonts w:asciiTheme="majorBidi" w:hAnsiTheme="majorBidi" w:cstheme="majorBidi"/>
            <w:i w:val="0"/>
            <w:iCs w:val="0"/>
            <w:noProof/>
            <w:sz w:val="28"/>
            <w:szCs w:val="36"/>
            <w:lang w:eastAsia="fr-FR"/>
          </w:rPr>
          <w:t>2. Examples of Successful Boycotts and Their Outcomes: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_Toc200721639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26</w:t>
        </w:r>
        <w:r w:rsidR="00050632" w:rsidRPr="00EB3899">
          <w:rPr>
            <w:rFonts w:asciiTheme="majorBidi" w:hAnsiTheme="majorBidi" w:cstheme="majorBidi"/>
            <w:i w:val="0"/>
            <w:iCs w:val="0"/>
            <w:noProof/>
            <w:webHidden/>
            <w:sz w:val="28"/>
            <w:szCs w:val="36"/>
          </w:rPr>
          <w:fldChar w:fldCharType="end"/>
        </w:r>
      </w:hyperlink>
    </w:p>
    <w:p w14:paraId="36E256CC" w14:textId="1BFDD94A"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0" w:history="1">
        <w:r w:rsidR="00050632" w:rsidRPr="00EB3899">
          <w:rPr>
            <w:rStyle w:val="Hyperlink"/>
            <w:rFonts w:asciiTheme="majorBidi" w:hAnsiTheme="majorBidi" w:cstheme="majorBidi"/>
            <w:noProof/>
            <w:sz w:val="24"/>
            <w:szCs w:val="28"/>
            <w:lang w:eastAsia="fr-FR"/>
          </w:rPr>
          <w:t>2.1. The Russian Trade Boycott of 1980-1981</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26</w:t>
        </w:r>
        <w:r w:rsidR="00050632" w:rsidRPr="00EB3899">
          <w:rPr>
            <w:rFonts w:asciiTheme="majorBidi" w:hAnsiTheme="majorBidi" w:cstheme="majorBidi"/>
            <w:noProof/>
            <w:webHidden/>
            <w:sz w:val="24"/>
            <w:szCs w:val="28"/>
          </w:rPr>
          <w:fldChar w:fldCharType="end"/>
        </w:r>
      </w:hyperlink>
    </w:p>
    <w:p w14:paraId="24289113" w14:textId="45A119B2"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1" w:history="1">
        <w:r w:rsidR="00050632" w:rsidRPr="00EB3899">
          <w:rPr>
            <w:rStyle w:val="Hyperlink"/>
            <w:rFonts w:asciiTheme="majorBidi" w:hAnsiTheme="majorBidi" w:cstheme="majorBidi"/>
            <w:noProof/>
            <w:sz w:val="24"/>
            <w:szCs w:val="28"/>
            <w:lang w:eastAsia="fr-FR"/>
          </w:rPr>
          <w:t>2.2. Gandhi’s Salt Boycott (Salt Satyagraha)</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27</w:t>
        </w:r>
        <w:r w:rsidR="00050632" w:rsidRPr="00EB3899">
          <w:rPr>
            <w:rFonts w:asciiTheme="majorBidi" w:hAnsiTheme="majorBidi" w:cstheme="majorBidi"/>
            <w:noProof/>
            <w:webHidden/>
            <w:sz w:val="24"/>
            <w:szCs w:val="28"/>
          </w:rPr>
          <w:fldChar w:fldCharType="end"/>
        </w:r>
      </w:hyperlink>
    </w:p>
    <w:p w14:paraId="43524BE3" w14:textId="1A3FDF4B"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2" w:history="1">
        <w:r w:rsidR="00050632" w:rsidRPr="00EB3899">
          <w:rPr>
            <w:rStyle w:val="Hyperlink"/>
            <w:rFonts w:asciiTheme="majorBidi" w:hAnsiTheme="majorBidi" w:cstheme="majorBidi"/>
            <w:noProof/>
            <w:sz w:val="24"/>
            <w:szCs w:val="28"/>
            <w:lang w:eastAsia="fr-FR"/>
          </w:rPr>
          <w:t>2.3. The WAVAW Boycotts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27</w:t>
        </w:r>
        <w:r w:rsidR="00050632" w:rsidRPr="00EB3899">
          <w:rPr>
            <w:rFonts w:asciiTheme="majorBidi" w:hAnsiTheme="majorBidi" w:cstheme="majorBidi"/>
            <w:noProof/>
            <w:webHidden/>
            <w:sz w:val="24"/>
            <w:szCs w:val="28"/>
          </w:rPr>
          <w:fldChar w:fldCharType="end"/>
        </w:r>
      </w:hyperlink>
    </w:p>
    <w:p w14:paraId="47360FF7" w14:textId="2834EFFF"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3" w:history="1">
        <w:r w:rsidR="00050632" w:rsidRPr="00EB3899">
          <w:rPr>
            <w:rStyle w:val="Hyperlink"/>
            <w:rFonts w:asciiTheme="majorBidi" w:hAnsiTheme="majorBidi" w:cstheme="majorBidi"/>
            <w:noProof/>
            <w:sz w:val="24"/>
            <w:szCs w:val="28"/>
            <w:lang w:eastAsia="fr-FR"/>
          </w:rPr>
          <w:t>2.4. The Danish Brands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28</w:t>
        </w:r>
        <w:r w:rsidR="00050632" w:rsidRPr="00EB3899">
          <w:rPr>
            <w:rFonts w:asciiTheme="majorBidi" w:hAnsiTheme="majorBidi" w:cstheme="majorBidi"/>
            <w:noProof/>
            <w:webHidden/>
            <w:sz w:val="24"/>
            <w:szCs w:val="28"/>
          </w:rPr>
          <w:fldChar w:fldCharType="end"/>
        </w:r>
      </w:hyperlink>
    </w:p>
    <w:p w14:paraId="000F6208" w14:textId="07289B58"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4" w:history="1">
        <w:r w:rsidR="00050632" w:rsidRPr="00EB3899">
          <w:rPr>
            <w:rStyle w:val="Hyperlink"/>
            <w:rFonts w:asciiTheme="majorBidi" w:hAnsiTheme="majorBidi" w:cstheme="majorBidi"/>
            <w:noProof/>
            <w:sz w:val="24"/>
            <w:szCs w:val="28"/>
            <w:lang w:eastAsia="fr-FR"/>
          </w:rPr>
          <w:t>2.5. The Apartheid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28</w:t>
        </w:r>
        <w:r w:rsidR="00050632" w:rsidRPr="00EB3899">
          <w:rPr>
            <w:rFonts w:asciiTheme="majorBidi" w:hAnsiTheme="majorBidi" w:cstheme="majorBidi"/>
            <w:noProof/>
            <w:webHidden/>
            <w:sz w:val="24"/>
            <w:szCs w:val="28"/>
          </w:rPr>
          <w:fldChar w:fldCharType="end"/>
        </w:r>
      </w:hyperlink>
    </w:p>
    <w:p w14:paraId="69308493" w14:textId="0720ECC4"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5" w:history="1">
        <w:r w:rsidR="00050632" w:rsidRPr="00EB3899">
          <w:rPr>
            <w:rStyle w:val="Hyperlink"/>
            <w:rFonts w:asciiTheme="majorBidi" w:hAnsiTheme="majorBidi" w:cstheme="majorBidi"/>
            <w:noProof/>
            <w:sz w:val="24"/>
            <w:szCs w:val="28"/>
            <w:lang w:eastAsia="fr-FR"/>
          </w:rPr>
          <w:t>2.6. The France-Turkey Boycott (2020)</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29</w:t>
        </w:r>
        <w:r w:rsidR="00050632" w:rsidRPr="00EB3899">
          <w:rPr>
            <w:rFonts w:asciiTheme="majorBidi" w:hAnsiTheme="majorBidi" w:cstheme="majorBidi"/>
            <w:noProof/>
            <w:webHidden/>
            <w:sz w:val="24"/>
            <w:szCs w:val="28"/>
          </w:rPr>
          <w:fldChar w:fldCharType="end"/>
        </w:r>
      </w:hyperlink>
    </w:p>
    <w:p w14:paraId="055AFA09" w14:textId="330E3C70" w:rsidR="00050632" w:rsidRPr="00EB3899" w:rsidRDefault="00B6520E">
      <w:pPr>
        <w:pStyle w:val="TOC3"/>
        <w:tabs>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46" w:history="1">
        <w:r w:rsidR="00050632" w:rsidRPr="00EB3899">
          <w:rPr>
            <w:rStyle w:val="Hyperlink"/>
            <w:rFonts w:asciiTheme="majorBidi" w:hAnsiTheme="majorBidi" w:cstheme="majorBidi"/>
            <w:i w:val="0"/>
            <w:iCs w:val="0"/>
            <w:noProof/>
            <w:sz w:val="28"/>
            <w:szCs w:val="36"/>
            <w:lang w:eastAsia="fr-FR"/>
          </w:rPr>
          <w:t>3. The Role of social media in amplifying boycott Movements: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_Toc200721646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30</w:t>
        </w:r>
        <w:r w:rsidR="00050632" w:rsidRPr="00EB3899">
          <w:rPr>
            <w:rFonts w:asciiTheme="majorBidi" w:hAnsiTheme="majorBidi" w:cstheme="majorBidi"/>
            <w:i w:val="0"/>
            <w:iCs w:val="0"/>
            <w:noProof/>
            <w:webHidden/>
            <w:sz w:val="28"/>
            <w:szCs w:val="36"/>
          </w:rPr>
          <w:fldChar w:fldCharType="end"/>
        </w:r>
      </w:hyperlink>
    </w:p>
    <w:p w14:paraId="0E36EB56" w14:textId="33427291"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7" w:history="1">
        <w:r w:rsidR="00050632" w:rsidRPr="00EB3899">
          <w:rPr>
            <w:rStyle w:val="Hyperlink"/>
            <w:rFonts w:asciiTheme="majorBidi" w:hAnsiTheme="majorBidi" w:cstheme="majorBidi"/>
            <w:noProof/>
            <w:sz w:val="24"/>
            <w:szCs w:val="28"/>
            <w:lang w:eastAsia="fr-FR"/>
          </w:rPr>
          <w:t>3.1. Social Media as a Catalyst for Boycott Participation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30</w:t>
        </w:r>
        <w:r w:rsidR="00050632" w:rsidRPr="00EB3899">
          <w:rPr>
            <w:rFonts w:asciiTheme="majorBidi" w:hAnsiTheme="majorBidi" w:cstheme="majorBidi"/>
            <w:noProof/>
            <w:webHidden/>
            <w:sz w:val="24"/>
            <w:szCs w:val="28"/>
          </w:rPr>
          <w:fldChar w:fldCharType="end"/>
        </w:r>
      </w:hyperlink>
    </w:p>
    <w:p w14:paraId="6BEF0154" w14:textId="7276F136"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48" w:history="1">
        <w:r w:rsidR="00050632" w:rsidRPr="00EB3899">
          <w:rPr>
            <w:rStyle w:val="Hyperlink"/>
            <w:rFonts w:asciiTheme="majorBidi" w:hAnsiTheme="majorBidi" w:cstheme="majorBidi"/>
            <w:noProof/>
            <w:sz w:val="24"/>
            <w:szCs w:val="28"/>
            <w:lang w:eastAsia="fr-FR"/>
          </w:rPr>
          <w:t>3.2. The 2018 Boycott Campaign in Morocco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_Toc200721648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31</w:t>
        </w:r>
        <w:r w:rsidR="00050632" w:rsidRPr="00EB3899">
          <w:rPr>
            <w:rFonts w:asciiTheme="majorBidi" w:hAnsiTheme="majorBidi" w:cstheme="majorBidi"/>
            <w:noProof/>
            <w:webHidden/>
            <w:sz w:val="24"/>
            <w:szCs w:val="28"/>
          </w:rPr>
          <w:fldChar w:fldCharType="end"/>
        </w:r>
      </w:hyperlink>
    </w:p>
    <w:p w14:paraId="4B12F178" w14:textId="0F3FB8AE"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49" w:history="1">
        <w:r w:rsidR="00050632" w:rsidRPr="00EB3899">
          <w:rPr>
            <w:rStyle w:val="Hyperlink"/>
            <w:rFonts w:asciiTheme="majorBidi" w:hAnsiTheme="majorBidi" w:cstheme="majorBidi"/>
            <w:noProof/>
            <w:sz w:val="28"/>
            <w:szCs w:val="36"/>
          </w:rPr>
          <w:t>Section 03: Exploring the dynamics of consumer boycotts</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_Toc200721649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33</w:t>
        </w:r>
        <w:r w:rsidR="00050632" w:rsidRPr="00EB3899">
          <w:rPr>
            <w:rFonts w:asciiTheme="majorBidi" w:hAnsiTheme="majorBidi" w:cstheme="majorBidi"/>
            <w:noProof/>
            <w:webHidden/>
            <w:sz w:val="28"/>
            <w:szCs w:val="36"/>
          </w:rPr>
          <w:fldChar w:fldCharType="end"/>
        </w:r>
      </w:hyperlink>
    </w:p>
    <w:p w14:paraId="30C66F79" w14:textId="073863D4"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50" w:history="1">
        <w:r w:rsidR="00050632" w:rsidRPr="00EB3899">
          <w:rPr>
            <w:rStyle w:val="Hyperlink"/>
            <w:rFonts w:asciiTheme="majorBidi" w:hAnsiTheme="majorBidi" w:cstheme="majorBidi"/>
            <w:i w:val="0"/>
            <w:iCs w:val="0"/>
            <w:noProof/>
            <w:sz w:val="28"/>
            <w:szCs w:val="36"/>
            <w:lang w:eastAsia="fr-FR"/>
          </w:rPr>
          <w:t>1.</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lang w:eastAsia="fr-FR"/>
          </w:rPr>
          <w:t>The importance of boycotts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_Toc200721650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33</w:t>
        </w:r>
        <w:r w:rsidR="00050632" w:rsidRPr="00EB3899">
          <w:rPr>
            <w:rFonts w:asciiTheme="majorBidi" w:hAnsiTheme="majorBidi" w:cstheme="majorBidi"/>
            <w:i w:val="0"/>
            <w:iCs w:val="0"/>
            <w:noProof/>
            <w:webHidden/>
            <w:sz w:val="28"/>
            <w:szCs w:val="36"/>
          </w:rPr>
          <w:fldChar w:fldCharType="end"/>
        </w:r>
      </w:hyperlink>
    </w:p>
    <w:p w14:paraId="47AF377E" w14:textId="3AE1C41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1" w:history="1">
        <w:r w:rsidR="00050632" w:rsidRPr="00EB3899">
          <w:rPr>
            <w:rStyle w:val="Hyperlink"/>
            <w:rFonts w:asciiTheme="majorBidi" w:hAnsiTheme="majorBidi" w:cstheme="majorBidi"/>
            <w:noProof/>
            <w:sz w:val="24"/>
            <w:szCs w:val="28"/>
          </w:rPr>
          <w:t>1.1.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Economic influence and corporate response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33</w:t>
        </w:r>
        <w:r w:rsidR="00050632" w:rsidRPr="00EB3899">
          <w:rPr>
            <w:rFonts w:asciiTheme="majorBidi" w:hAnsiTheme="majorBidi" w:cstheme="majorBidi"/>
            <w:noProof/>
            <w:webHidden/>
            <w:sz w:val="24"/>
            <w:szCs w:val="28"/>
          </w:rPr>
          <w:fldChar w:fldCharType="end"/>
        </w:r>
      </w:hyperlink>
    </w:p>
    <w:p w14:paraId="27F0C201" w14:textId="55A21AA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2" w:history="1">
        <w:r w:rsidR="00050632" w:rsidRPr="00EB3899">
          <w:rPr>
            <w:rStyle w:val="Hyperlink"/>
            <w:rFonts w:asciiTheme="majorBidi" w:eastAsia="Times New Roman" w:hAnsiTheme="majorBidi" w:cstheme="majorBidi"/>
            <w:noProof/>
            <w:sz w:val="24"/>
            <w:szCs w:val="28"/>
            <w:lang w:val="en-US" w:eastAsia="fr-FR"/>
          </w:rPr>
          <w:t>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Social awareness and ethical transformatio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34</w:t>
        </w:r>
        <w:r w:rsidR="00050632" w:rsidRPr="00EB3899">
          <w:rPr>
            <w:rFonts w:asciiTheme="majorBidi" w:hAnsiTheme="majorBidi" w:cstheme="majorBidi"/>
            <w:noProof/>
            <w:webHidden/>
            <w:sz w:val="24"/>
            <w:szCs w:val="28"/>
          </w:rPr>
          <w:fldChar w:fldCharType="end"/>
        </w:r>
      </w:hyperlink>
    </w:p>
    <w:p w14:paraId="5A4F630C" w14:textId="421FF215"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3" w:history="1">
        <w:r w:rsidR="00050632" w:rsidRPr="00EB3899">
          <w:rPr>
            <w:rStyle w:val="Hyperlink"/>
            <w:rFonts w:asciiTheme="majorBidi" w:eastAsia="Times New Roman" w:hAnsiTheme="majorBidi" w:cstheme="majorBidi"/>
            <w:noProof/>
            <w:sz w:val="24"/>
            <w:szCs w:val="28"/>
            <w:lang w:val="en-US" w:eastAsia="fr-FR"/>
          </w:rPr>
          <w:t>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Mobilization and collective actio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35</w:t>
        </w:r>
        <w:r w:rsidR="00050632" w:rsidRPr="00EB3899">
          <w:rPr>
            <w:rFonts w:asciiTheme="majorBidi" w:hAnsiTheme="majorBidi" w:cstheme="majorBidi"/>
            <w:noProof/>
            <w:webHidden/>
            <w:sz w:val="24"/>
            <w:szCs w:val="28"/>
          </w:rPr>
          <w:fldChar w:fldCharType="end"/>
        </w:r>
      </w:hyperlink>
    </w:p>
    <w:p w14:paraId="3297B686" w14:textId="5D2E81C9"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54" w:history="1">
        <w:r w:rsidR="00050632" w:rsidRPr="00EB3899">
          <w:rPr>
            <w:rStyle w:val="Hyperlink"/>
            <w:rFonts w:asciiTheme="majorBidi" w:eastAsia="Times New Roman" w:hAnsiTheme="majorBidi" w:cstheme="majorBidi"/>
            <w:i w:val="0"/>
            <w:iCs w:val="0"/>
            <w:noProof/>
            <w:sz w:val="28"/>
            <w:szCs w:val="36"/>
            <w:lang w:val="en-US" w:eastAsia="fr-FR"/>
          </w:rPr>
          <w:t>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Factors influencing boycott succes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_Toc200721654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35</w:t>
        </w:r>
        <w:r w:rsidR="00050632" w:rsidRPr="00EB3899">
          <w:rPr>
            <w:rFonts w:asciiTheme="majorBidi" w:hAnsiTheme="majorBidi" w:cstheme="majorBidi"/>
            <w:i w:val="0"/>
            <w:iCs w:val="0"/>
            <w:noProof/>
            <w:webHidden/>
            <w:sz w:val="28"/>
            <w:szCs w:val="36"/>
          </w:rPr>
          <w:fldChar w:fldCharType="end"/>
        </w:r>
      </w:hyperlink>
    </w:p>
    <w:p w14:paraId="0142137E" w14:textId="17A7F29D"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5" w:history="1">
        <w:r w:rsidR="00050632" w:rsidRPr="00EB3899">
          <w:rPr>
            <w:rStyle w:val="Hyperlink"/>
            <w:rFonts w:asciiTheme="majorBidi" w:eastAsia="Times New Roman" w:hAnsiTheme="majorBidi" w:cstheme="majorBidi"/>
            <w:noProof/>
            <w:sz w:val="24"/>
            <w:szCs w:val="28"/>
            <w:lang w:val="en-US" w:eastAsia="fr-FR"/>
          </w:rPr>
          <w:t>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Execution factors for Media-Oriented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35</w:t>
        </w:r>
        <w:r w:rsidR="00050632" w:rsidRPr="00EB3899">
          <w:rPr>
            <w:rFonts w:asciiTheme="majorBidi" w:hAnsiTheme="majorBidi" w:cstheme="majorBidi"/>
            <w:noProof/>
            <w:webHidden/>
            <w:sz w:val="24"/>
            <w:szCs w:val="28"/>
          </w:rPr>
          <w:fldChar w:fldCharType="end"/>
        </w:r>
      </w:hyperlink>
    </w:p>
    <w:p w14:paraId="5EF26FF6" w14:textId="7A26DC53"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6" w:history="1">
        <w:r w:rsidR="00050632" w:rsidRPr="00EB3899">
          <w:rPr>
            <w:rStyle w:val="Hyperlink"/>
            <w:rFonts w:asciiTheme="majorBidi" w:eastAsia="Times New Roman" w:hAnsiTheme="majorBidi" w:cstheme="majorBidi"/>
            <w:noProof/>
            <w:sz w:val="24"/>
            <w:szCs w:val="28"/>
            <w:lang w:val="en-US" w:eastAsia="fr-FR"/>
          </w:rPr>
          <w:t>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Consequence factors for Media-Oriented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36</w:t>
        </w:r>
        <w:r w:rsidR="00050632" w:rsidRPr="00EB3899">
          <w:rPr>
            <w:rFonts w:asciiTheme="majorBidi" w:hAnsiTheme="majorBidi" w:cstheme="majorBidi"/>
            <w:noProof/>
            <w:webHidden/>
            <w:sz w:val="24"/>
            <w:szCs w:val="28"/>
          </w:rPr>
          <w:fldChar w:fldCharType="end"/>
        </w:r>
      </w:hyperlink>
    </w:p>
    <w:p w14:paraId="15BE0A23" w14:textId="73044D8D"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7" w:history="1">
        <w:r w:rsidR="00050632" w:rsidRPr="00EB3899">
          <w:rPr>
            <w:rStyle w:val="Hyperlink"/>
            <w:rFonts w:asciiTheme="majorBidi" w:eastAsia="Times New Roman" w:hAnsiTheme="majorBidi" w:cstheme="majorBidi"/>
            <w:noProof/>
            <w:sz w:val="24"/>
            <w:szCs w:val="28"/>
            <w:lang w:val="en-US" w:eastAsia="fr-FR"/>
          </w:rPr>
          <w:t>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Execution factors for Marketplace-Oriented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37</w:t>
        </w:r>
        <w:r w:rsidR="00050632" w:rsidRPr="00EB3899">
          <w:rPr>
            <w:rFonts w:asciiTheme="majorBidi" w:hAnsiTheme="majorBidi" w:cstheme="majorBidi"/>
            <w:noProof/>
            <w:webHidden/>
            <w:sz w:val="24"/>
            <w:szCs w:val="28"/>
          </w:rPr>
          <w:fldChar w:fldCharType="end"/>
        </w:r>
      </w:hyperlink>
    </w:p>
    <w:p w14:paraId="36979085" w14:textId="71D4251C"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58" w:history="1">
        <w:r w:rsidR="00050632" w:rsidRPr="00EB3899">
          <w:rPr>
            <w:rStyle w:val="Hyperlink"/>
            <w:rFonts w:asciiTheme="majorBidi" w:eastAsia="Times New Roman" w:hAnsiTheme="majorBidi" w:cstheme="majorBidi"/>
            <w:noProof/>
            <w:sz w:val="24"/>
            <w:szCs w:val="28"/>
            <w:lang w:val="en-US" w:eastAsia="fr-FR"/>
          </w:rPr>
          <w:t>2.4.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Consequence factors for Marketplace-Oriented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_Toc200721658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37</w:t>
        </w:r>
        <w:r w:rsidR="00050632" w:rsidRPr="00EB3899">
          <w:rPr>
            <w:rFonts w:asciiTheme="majorBidi" w:hAnsiTheme="majorBidi" w:cstheme="majorBidi"/>
            <w:noProof/>
            <w:webHidden/>
            <w:sz w:val="24"/>
            <w:szCs w:val="28"/>
          </w:rPr>
          <w:fldChar w:fldCharType="end"/>
        </w:r>
      </w:hyperlink>
    </w:p>
    <w:p w14:paraId="6F9013CF" w14:textId="143BB325"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59" w:history="1">
        <w:r w:rsidR="00050632" w:rsidRPr="00EB3899">
          <w:rPr>
            <w:rStyle w:val="Hyperlink"/>
            <w:rFonts w:asciiTheme="majorBidi" w:eastAsia="Times New Roman" w:hAnsiTheme="majorBidi" w:cstheme="majorBidi"/>
            <w:i w:val="0"/>
            <w:iCs w:val="0"/>
            <w:noProof/>
            <w:sz w:val="28"/>
            <w:szCs w:val="36"/>
            <w:lang w:val="en-US" w:eastAsia="fr-FR"/>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Strategies for effective boycott campaign</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_Toc200721659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38</w:t>
        </w:r>
        <w:r w:rsidR="00050632" w:rsidRPr="00EB3899">
          <w:rPr>
            <w:rFonts w:asciiTheme="majorBidi" w:hAnsiTheme="majorBidi" w:cstheme="majorBidi"/>
            <w:i w:val="0"/>
            <w:iCs w:val="0"/>
            <w:noProof/>
            <w:webHidden/>
            <w:sz w:val="28"/>
            <w:szCs w:val="36"/>
          </w:rPr>
          <w:fldChar w:fldCharType="end"/>
        </w:r>
      </w:hyperlink>
    </w:p>
    <w:p w14:paraId="0554CFB5" w14:textId="29B79249"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60" w:history="1">
        <w:r w:rsidR="00050632" w:rsidRPr="00EB3899">
          <w:rPr>
            <w:rStyle w:val="Hyperlink"/>
            <w:rFonts w:asciiTheme="majorBidi" w:hAnsiTheme="majorBidi" w:cstheme="majorBidi"/>
            <w:noProof/>
            <w:sz w:val="28"/>
            <w:szCs w:val="36"/>
          </w:rPr>
          <w:t>Conclusion: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_Toc200721660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40</w:t>
        </w:r>
        <w:r w:rsidR="00050632" w:rsidRPr="00EB3899">
          <w:rPr>
            <w:rFonts w:asciiTheme="majorBidi" w:hAnsiTheme="majorBidi" w:cstheme="majorBidi"/>
            <w:noProof/>
            <w:webHidden/>
            <w:sz w:val="28"/>
            <w:szCs w:val="36"/>
          </w:rPr>
          <w:fldChar w:fldCharType="end"/>
        </w:r>
      </w:hyperlink>
    </w:p>
    <w:p w14:paraId="21B10EA0" w14:textId="2E05FD5B"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661" w:history="1">
        <w:r w:rsidR="00050632" w:rsidRPr="00EB3899">
          <w:rPr>
            <w:rStyle w:val="Hyperlink"/>
            <w:rFonts w:asciiTheme="majorBidi" w:hAnsiTheme="majorBidi" w:cstheme="majorBidi"/>
            <w:noProof/>
            <w:sz w:val="28"/>
            <w:szCs w:val="36"/>
          </w:rPr>
          <w:t>Chapter 2</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_Toc200721661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41</w:t>
        </w:r>
        <w:r w:rsidR="00050632" w:rsidRPr="00EB3899">
          <w:rPr>
            <w:rFonts w:asciiTheme="majorBidi" w:hAnsiTheme="majorBidi" w:cstheme="majorBidi"/>
            <w:noProof/>
            <w:webHidden/>
            <w:sz w:val="28"/>
            <w:szCs w:val="36"/>
          </w:rPr>
          <w:fldChar w:fldCharType="end"/>
        </w:r>
      </w:hyperlink>
    </w:p>
    <w:p w14:paraId="208AC8A0" w14:textId="346B08F4"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62" w:history="1">
        <w:r w:rsidR="00050632" w:rsidRPr="00EB3899">
          <w:rPr>
            <w:rStyle w:val="Hyperlink"/>
            <w:rFonts w:asciiTheme="majorBidi" w:hAnsiTheme="majorBidi" w:cstheme="majorBidi"/>
            <w:noProof/>
            <w:sz w:val="28"/>
            <w:szCs w:val="36"/>
          </w:rPr>
          <w:t>Introduction: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_Toc200721662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42</w:t>
        </w:r>
        <w:r w:rsidR="00050632" w:rsidRPr="00EB3899">
          <w:rPr>
            <w:rFonts w:asciiTheme="majorBidi" w:hAnsiTheme="majorBidi" w:cstheme="majorBidi"/>
            <w:noProof/>
            <w:webHidden/>
            <w:sz w:val="28"/>
            <w:szCs w:val="36"/>
          </w:rPr>
          <w:fldChar w:fldCharType="end"/>
        </w:r>
      </w:hyperlink>
    </w:p>
    <w:p w14:paraId="073F53F5" w14:textId="760AF280"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63" w:history="1">
        <w:r w:rsidR="00050632" w:rsidRPr="00EB3899">
          <w:rPr>
            <w:rStyle w:val="Hyperlink"/>
            <w:rFonts w:asciiTheme="majorBidi" w:hAnsiTheme="majorBidi" w:cstheme="majorBidi"/>
            <w:noProof/>
            <w:sz w:val="28"/>
            <w:szCs w:val="36"/>
          </w:rPr>
          <w:t>Section01: overview of international trade exportation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_Toc200721663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43</w:t>
        </w:r>
        <w:r w:rsidR="00050632" w:rsidRPr="00EB3899">
          <w:rPr>
            <w:rFonts w:asciiTheme="majorBidi" w:hAnsiTheme="majorBidi" w:cstheme="majorBidi"/>
            <w:noProof/>
            <w:webHidden/>
            <w:sz w:val="28"/>
            <w:szCs w:val="36"/>
          </w:rPr>
          <w:fldChar w:fldCharType="end"/>
        </w:r>
      </w:hyperlink>
    </w:p>
    <w:p w14:paraId="23848977" w14:textId="0C873362"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64" w:history="1">
        <w:r w:rsidR="00050632" w:rsidRPr="00EB3899">
          <w:rPr>
            <w:rStyle w:val="Hyperlink"/>
            <w:rFonts w:asciiTheme="majorBidi" w:eastAsia="Calibri" w:hAnsiTheme="majorBidi" w:cstheme="majorBidi"/>
            <w:i w:val="0"/>
            <w:iCs w:val="0"/>
            <w:noProof/>
            <w:sz w:val="28"/>
            <w:szCs w:val="36"/>
          </w:rPr>
          <w:t>1.</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Definition and importance of exportation in global trad</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_Toc200721664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43</w:t>
        </w:r>
        <w:r w:rsidR="00050632" w:rsidRPr="00EB3899">
          <w:rPr>
            <w:rFonts w:asciiTheme="majorBidi" w:hAnsiTheme="majorBidi" w:cstheme="majorBidi"/>
            <w:i w:val="0"/>
            <w:iCs w:val="0"/>
            <w:noProof/>
            <w:webHidden/>
            <w:sz w:val="28"/>
            <w:szCs w:val="36"/>
          </w:rPr>
          <w:fldChar w:fldCharType="end"/>
        </w:r>
      </w:hyperlink>
    </w:p>
    <w:p w14:paraId="2E9A5B32" w14:textId="373E018D"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65" w:history="1">
        <w:r w:rsidR="00050632" w:rsidRPr="00EB3899">
          <w:rPr>
            <w:rStyle w:val="Hyperlink"/>
            <w:rFonts w:asciiTheme="majorBidi" w:eastAsia="Calibri" w:hAnsiTheme="majorBidi" w:cstheme="majorBidi"/>
            <w:noProof/>
            <w:sz w:val="24"/>
            <w:szCs w:val="28"/>
          </w:rPr>
          <w:t>1.1.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Definition of exportatio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_Toc200721665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43</w:t>
        </w:r>
        <w:r w:rsidR="00050632" w:rsidRPr="00EB3899">
          <w:rPr>
            <w:rFonts w:asciiTheme="majorBidi" w:hAnsiTheme="majorBidi" w:cstheme="majorBidi"/>
            <w:noProof/>
            <w:webHidden/>
            <w:sz w:val="24"/>
            <w:szCs w:val="28"/>
          </w:rPr>
          <w:fldChar w:fldCharType="end"/>
        </w:r>
      </w:hyperlink>
    </w:p>
    <w:p w14:paraId="72A95325" w14:textId="67D00713"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66" w:history="1">
        <w:r w:rsidR="00050632" w:rsidRPr="00EB3899">
          <w:rPr>
            <w:rStyle w:val="Hyperlink"/>
            <w:rFonts w:asciiTheme="majorBidi" w:eastAsia="Calibri" w:hAnsiTheme="majorBidi" w:cstheme="majorBidi"/>
            <w:noProof/>
            <w:sz w:val="24"/>
            <w:szCs w:val="28"/>
          </w:rPr>
          <w:t>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Importance of exportation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_Toc200721666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46</w:t>
        </w:r>
        <w:r w:rsidR="00050632" w:rsidRPr="00EB3899">
          <w:rPr>
            <w:rFonts w:asciiTheme="majorBidi" w:hAnsiTheme="majorBidi" w:cstheme="majorBidi"/>
            <w:noProof/>
            <w:webHidden/>
            <w:sz w:val="24"/>
            <w:szCs w:val="28"/>
          </w:rPr>
          <w:fldChar w:fldCharType="end"/>
        </w:r>
      </w:hyperlink>
    </w:p>
    <w:p w14:paraId="64E7A54E" w14:textId="1A91D118"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67" w:history="1">
        <w:r w:rsidR="00050632" w:rsidRPr="00EB3899">
          <w:rPr>
            <w:rStyle w:val="Hyperlink"/>
            <w:rFonts w:asciiTheme="majorBidi" w:hAnsiTheme="majorBidi" w:cstheme="majorBidi"/>
            <w:i w:val="0"/>
            <w:iCs w:val="0"/>
            <w:noProof/>
            <w:sz w:val="28"/>
            <w:szCs w:val="36"/>
          </w:rPr>
          <w:t>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Key players in the export process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_Toc200721667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48</w:t>
        </w:r>
        <w:r w:rsidR="00050632" w:rsidRPr="00EB3899">
          <w:rPr>
            <w:rFonts w:asciiTheme="majorBidi" w:hAnsiTheme="majorBidi" w:cstheme="majorBidi"/>
            <w:i w:val="0"/>
            <w:iCs w:val="0"/>
            <w:noProof/>
            <w:webHidden/>
            <w:sz w:val="28"/>
            <w:szCs w:val="36"/>
          </w:rPr>
          <w:fldChar w:fldCharType="end"/>
        </w:r>
      </w:hyperlink>
    </w:p>
    <w:p w14:paraId="25BD8CB6" w14:textId="51E638BC"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68" w:history="1">
        <w:r w:rsidR="00050632" w:rsidRPr="00EB3899">
          <w:rPr>
            <w:rStyle w:val="Hyperlink"/>
            <w:rFonts w:asciiTheme="majorBidi" w:hAnsiTheme="majorBidi" w:cstheme="majorBidi"/>
            <w:i w:val="0"/>
            <w:iCs w:val="0"/>
            <w:noProof/>
            <w:sz w:val="28"/>
            <w:szCs w:val="36"/>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Trade argements and policies affecting Algeria-Turkey trade relation</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_Toc200721668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52</w:t>
        </w:r>
        <w:r w:rsidR="00050632" w:rsidRPr="00EB3899">
          <w:rPr>
            <w:rFonts w:asciiTheme="majorBidi" w:hAnsiTheme="majorBidi" w:cstheme="majorBidi"/>
            <w:i w:val="0"/>
            <w:iCs w:val="0"/>
            <w:noProof/>
            <w:webHidden/>
            <w:sz w:val="28"/>
            <w:szCs w:val="36"/>
          </w:rPr>
          <w:fldChar w:fldCharType="end"/>
        </w:r>
      </w:hyperlink>
    </w:p>
    <w:p w14:paraId="73CBE0C1" w14:textId="1F053EB9"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69" w:history="1">
        <w:r w:rsidR="00050632" w:rsidRPr="00EB3899">
          <w:rPr>
            <w:rStyle w:val="Hyperlink"/>
            <w:rFonts w:asciiTheme="majorBidi" w:hAnsiTheme="majorBidi" w:cstheme="majorBidi"/>
            <w:noProof/>
            <w:sz w:val="28"/>
            <w:szCs w:val="36"/>
          </w:rPr>
          <w:t>Section 02: Export Process for Algerian Local Products</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_Toc200721669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55</w:t>
        </w:r>
        <w:r w:rsidR="00050632" w:rsidRPr="00EB3899">
          <w:rPr>
            <w:rFonts w:asciiTheme="majorBidi" w:hAnsiTheme="majorBidi" w:cstheme="majorBidi"/>
            <w:noProof/>
            <w:webHidden/>
            <w:sz w:val="28"/>
            <w:szCs w:val="36"/>
          </w:rPr>
          <w:fldChar w:fldCharType="end"/>
        </w:r>
      </w:hyperlink>
    </w:p>
    <w:p w14:paraId="6F7A469E" w14:textId="76A7BF63"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0" w:history="1">
        <w:r w:rsidR="00050632" w:rsidRPr="00EB3899">
          <w:rPr>
            <w:rStyle w:val="Hyperlink"/>
            <w:rFonts w:asciiTheme="majorBidi" w:eastAsia="Times New Roman" w:hAnsiTheme="majorBidi" w:cstheme="majorBidi"/>
            <w:noProof/>
            <w:sz w:val="24"/>
            <w:szCs w:val="28"/>
            <w:lang w:val="en-US" w:eastAsia="fr-FR"/>
          </w:rPr>
          <w:t>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Make a firm commitmen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58</w:t>
        </w:r>
        <w:r w:rsidR="00050632" w:rsidRPr="00EB3899">
          <w:rPr>
            <w:rFonts w:asciiTheme="majorBidi" w:hAnsiTheme="majorBidi" w:cstheme="majorBidi"/>
            <w:noProof/>
            <w:webHidden/>
            <w:sz w:val="24"/>
            <w:szCs w:val="28"/>
          </w:rPr>
          <w:fldChar w:fldCharType="end"/>
        </w:r>
      </w:hyperlink>
    </w:p>
    <w:p w14:paraId="40F41B00" w14:textId="17B7A37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1" w:history="1">
        <w:r w:rsidR="00050632" w:rsidRPr="00EB3899">
          <w:rPr>
            <w:rStyle w:val="Hyperlink"/>
            <w:rFonts w:asciiTheme="majorBidi" w:eastAsia="Times New Roman" w:hAnsiTheme="majorBidi" w:cstheme="majorBidi"/>
            <w:noProof/>
            <w:sz w:val="24"/>
            <w:szCs w:val="28"/>
            <w:lang w:val="en-US" w:eastAsia="fr-FR"/>
          </w:rPr>
          <w:t>1.5.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Allocate necessary resource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58</w:t>
        </w:r>
        <w:r w:rsidR="00050632" w:rsidRPr="00EB3899">
          <w:rPr>
            <w:rFonts w:asciiTheme="majorBidi" w:hAnsiTheme="majorBidi" w:cstheme="majorBidi"/>
            <w:noProof/>
            <w:webHidden/>
            <w:sz w:val="24"/>
            <w:szCs w:val="28"/>
          </w:rPr>
          <w:fldChar w:fldCharType="end"/>
        </w:r>
      </w:hyperlink>
    </w:p>
    <w:p w14:paraId="6FBCB5B9" w14:textId="277D23FD"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2" w:history="1">
        <w:r w:rsidR="00050632" w:rsidRPr="00EB3899">
          <w:rPr>
            <w:rStyle w:val="Hyperlink"/>
            <w:rFonts w:asciiTheme="majorBidi" w:hAnsiTheme="majorBidi" w:cstheme="majorBidi"/>
            <w:noProof/>
            <w:sz w:val="24"/>
            <w:szCs w:val="28"/>
            <w:lang w:val="en-US"/>
          </w:rPr>
          <w:t>1.6.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Identify technical issue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58</w:t>
        </w:r>
        <w:r w:rsidR="00050632" w:rsidRPr="00EB3899">
          <w:rPr>
            <w:rFonts w:asciiTheme="majorBidi" w:hAnsiTheme="majorBidi" w:cstheme="majorBidi"/>
            <w:noProof/>
            <w:webHidden/>
            <w:sz w:val="24"/>
            <w:szCs w:val="28"/>
          </w:rPr>
          <w:fldChar w:fldCharType="end"/>
        </w:r>
      </w:hyperlink>
    </w:p>
    <w:p w14:paraId="35947B89" w14:textId="0384CD61"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3" w:history="1">
        <w:r w:rsidR="00050632" w:rsidRPr="00EB3899">
          <w:rPr>
            <w:rStyle w:val="Hyperlink"/>
            <w:rFonts w:asciiTheme="majorBidi" w:eastAsia="Times New Roman" w:hAnsiTheme="majorBidi" w:cstheme="majorBidi"/>
            <w:noProof/>
            <w:sz w:val="24"/>
            <w:szCs w:val="28"/>
            <w:lang w:val="en-US" w:eastAsia="fr-FR"/>
          </w:rPr>
          <w:t>1.7.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Develop strategic marketing pla</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59</w:t>
        </w:r>
        <w:r w:rsidR="00050632" w:rsidRPr="00EB3899">
          <w:rPr>
            <w:rFonts w:asciiTheme="majorBidi" w:hAnsiTheme="majorBidi" w:cstheme="majorBidi"/>
            <w:noProof/>
            <w:webHidden/>
            <w:sz w:val="24"/>
            <w:szCs w:val="28"/>
          </w:rPr>
          <w:fldChar w:fldCharType="end"/>
        </w:r>
      </w:hyperlink>
    </w:p>
    <w:p w14:paraId="1C53FE07" w14:textId="3FB888FB"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4" w:history="1">
        <w:r w:rsidR="00050632" w:rsidRPr="00EB3899">
          <w:rPr>
            <w:rStyle w:val="Hyperlink"/>
            <w:rFonts w:asciiTheme="majorBidi" w:hAnsiTheme="majorBidi" w:cstheme="majorBidi"/>
            <w:noProof/>
            <w:sz w:val="24"/>
            <w:szCs w:val="28"/>
            <w:lang w:val="en-US"/>
          </w:rPr>
          <w:t>1.8.</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Organize operational tea</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59</w:t>
        </w:r>
        <w:r w:rsidR="00050632" w:rsidRPr="00EB3899">
          <w:rPr>
            <w:rFonts w:asciiTheme="majorBidi" w:hAnsiTheme="majorBidi" w:cstheme="majorBidi"/>
            <w:noProof/>
            <w:webHidden/>
            <w:sz w:val="24"/>
            <w:szCs w:val="28"/>
          </w:rPr>
          <w:fldChar w:fldCharType="end"/>
        </w:r>
      </w:hyperlink>
    </w:p>
    <w:p w14:paraId="5D45226A" w14:textId="3737F0C4"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5" w:history="1">
        <w:r w:rsidR="00050632" w:rsidRPr="00EB3899">
          <w:rPr>
            <w:rStyle w:val="Hyperlink"/>
            <w:rFonts w:asciiTheme="majorBidi" w:eastAsia="Times New Roman" w:hAnsiTheme="majorBidi" w:cstheme="majorBidi"/>
            <w:noProof/>
            <w:sz w:val="24"/>
            <w:szCs w:val="28"/>
            <w:lang w:val="en-US" w:eastAsia="fr-FR"/>
          </w:rPr>
          <w:t>1.9.</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Implement marketing strateg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59</w:t>
        </w:r>
        <w:r w:rsidR="00050632" w:rsidRPr="00EB3899">
          <w:rPr>
            <w:rFonts w:asciiTheme="majorBidi" w:hAnsiTheme="majorBidi" w:cstheme="majorBidi"/>
            <w:noProof/>
            <w:webHidden/>
            <w:sz w:val="24"/>
            <w:szCs w:val="28"/>
          </w:rPr>
          <w:fldChar w:fldCharType="end"/>
        </w:r>
      </w:hyperlink>
    </w:p>
    <w:p w14:paraId="40462E79" w14:textId="72B7B688"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6" w:history="1">
        <w:r w:rsidR="00050632" w:rsidRPr="00EB3899">
          <w:rPr>
            <w:rStyle w:val="Hyperlink"/>
            <w:rFonts w:asciiTheme="majorBidi" w:eastAsia="Times New Roman" w:hAnsiTheme="majorBidi" w:cstheme="majorBidi"/>
            <w:noProof/>
            <w:sz w:val="24"/>
            <w:szCs w:val="28"/>
            <w:lang w:val="en-US" w:eastAsia="fr-FR"/>
          </w:rPr>
          <w:t>1.10.</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Evaluate and control operation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60</w:t>
        </w:r>
        <w:r w:rsidR="00050632" w:rsidRPr="00EB3899">
          <w:rPr>
            <w:rFonts w:asciiTheme="majorBidi" w:hAnsiTheme="majorBidi" w:cstheme="majorBidi"/>
            <w:noProof/>
            <w:webHidden/>
            <w:sz w:val="24"/>
            <w:szCs w:val="28"/>
          </w:rPr>
          <w:fldChar w:fldCharType="end"/>
        </w:r>
      </w:hyperlink>
    </w:p>
    <w:p w14:paraId="5F71BC5C" w14:textId="6543F813" w:rsidR="00050632" w:rsidRPr="00EB3899" w:rsidRDefault="00B6520E">
      <w:pPr>
        <w:pStyle w:val="TOC5"/>
        <w:tabs>
          <w:tab w:val="left" w:pos="176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7" w:history="1">
        <w:r w:rsidR="00050632" w:rsidRPr="00EB3899">
          <w:rPr>
            <w:rStyle w:val="Hyperlink"/>
            <w:rFonts w:asciiTheme="majorBidi" w:hAnsiTheme="majorBidi" w:cstheme="majorBidi"/>
            <w:noProof/>
            <w:sz w:val="24"/>
            <w:szCs w:val="28"/>
            <w:rtl/>
          </w:rPr>
          <w:t>3.1.1</w:t>
        </w:r>
        <w:r w:rsidR="00050632" w:rsidRPr="00EB3899">
          <w:rPr>
            <w:rStyle w:val="Hyperlink"/>
            <w:rFonts w:asciiTheme="majorBidi" w:hAnsiTheme="majorBidi" w:cstheme="majorBidi"/>
            <w:noProof/>
            <w:sz w:val="24"/>
            <w:szCs w:val="28"/>
          </w:rPr>
          <w:t>.</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Commercial document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63</w:t>
        </w:r>
        <w:r w:rsidR="00050632" w:rsidRPr="00EB3899">
          <w:rPr>
            <w:rFonts w:asciiTheme="majorBidi" w:hAnsiTheme="majorBidi" w:cstheme="majorBidi"/>
            <w:noProof/>
            <w:webHidden/>
            <w:sz w:val="24"/>
            <w:szCs w:val="28"/>
          </w:rPr>
          <w:fldChar w:fldCharType="end"/>
        </w:r>
      </w:hyperlink>
    </w:p>
    <w:p w14:paraId="2953FE8C" w14:textId="02420D33"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8" w:history="1">
        <w:r w:rsidR="00050632" w:rsidRPr="00EB3899">
          <w:rPr>
            <w:rStyle w:val="Hyperlink"/>
            <w:rFonts w:asciiTheme="majorBidi" w:hAnsiTheme="majorBidi" w:cstheme="majorBidi"/>
            <w:noProof/>
            <w:sz w:val="24"/>
            <w:szCs w:val="28"/>
          </w:rPr>
          <w:t>3.1.2.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Banking documents and payment mechanism</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64</w:t>
        </w:r>
        <w:r w:rsidR="00050632" w:rsidRPr="00EB3899">
          <w:rPr>
            <w:rFonts w:asciiTheme="majorBidi" w:hAnsiTheme="majorBidi" w:cstheme="majorBidi"/>
            <w:noProof/>
            <w:webHidden/>
            <w:sz w:val="24"/>
            <w:szCs w:val="28"/>
          </w:rPr>
          <w:fldChar w:fldCharType="end"/>
        </w:r>
      </w:hyperlink>
    </w:p>
    <w:p w14:paraId="165914A2" w14:textId="346054BE"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79" w:history="1">
        <w:r w:rsidR="00050632" w:rsidRPr="00EB3899">
          <w:rPr>
            <w:rStyle w:val="Hyperlink"/>
            <w:rFonts w:asciiTheme="majorBidi" w:hAnsiTheme="majorBidi" w:cstheme="majorBidi"/>
            <w:noProof/>
            <w:sz w:val="24"/>
            <w:szCs w:val="28"/>
          </w:rPr>
          <w:t>3.1.3.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Shipping document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_Toc200721679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64</w:t>
        </w:r>
        <w:r w:rsidR="00050632" w:rsidRPr="00EB3899">
          <w:rPr>
            <w:rFonts w:asciiTheme="majorBidi" w:hAnsiTheme="majorBidi" w:cstheme="majorBidi"/>
            <w:noProof/>
            <w:webHidden/>
            <w:sz w:val="24"/>
            <w:szCs w:val="28"/>
          </w:rPr>
          <w:fldChar w:fldCharType="end"/>
        </w:r>
      </w:hyperlink>
    </w:p>
    <w:p w14:paraId="7279412C" w14:textId="05504A78"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80" w:history="1">
        <w:r w:rsidR="00050632" w:rsidRPr="00EB3899">
          <w:rPr>
            <w:rStyle w:val="Hyperlink"/>
            <w:rFonts w:asciiTheme="majorBidi" w:hAnsiTheme="majorBidi" w:cstheme="majorBidi"/>
            <w:noProof/>
            <w:sz w:val="24"/>
            <w:szCs w:val="28"/>
          </w:rPr>
          <w:t>3.1.4.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Practical implications for algerian exporter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_Toc200721680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64</w:t>
        </w:r>
        <w:r w:rsidR="00050632" w:rsidRPr="00EB3899">
          <w:rPr>
            <w:rFonts w:asciiTheme="majorBidi" w:hAnsiTheme="majorBidi" w:cstheme="majorBidi"/>
            <w:noProof/>
            <w:webHidden/>
            <w:sz w:val="24"/>
            <w:szCs w:val="28"/>
          </w:rPr>
          <w:fldChar w:fldCharType="end"/>
        </w:r>
      </w:hyperlink>
    </w:p>
    <w:p w14:paraId="30C62946" w14:textId="2C5F6B43" w:rsidR="00050632" w:rsidRPr="00EB3899" w:rsidRDefault="00B6520E">
      <w:pPr>
        <w:pStyle w:val="TOC3"/>
        <w:tabs>
          <w:tab w:val="left" w:pos="110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81" w:history="1">
        <w:r w:rsidR="00050632" w:rsidRPr="00EB3899">
          <w:rPr>
            <w:rStyle w:val="Hyperlink"/>
            <w:rFonts w:asciiTheme="majorBidi" w:hAnsiTheme="majorBidi" w:cstheme="majorBidi"/>
            <w:i w:val="0"/>
            <w:iCs w:val="0"/>
            <w:noProof/>
            <w:sz w:val="28"/>
            <w:szCs w:val="36"/>
          </w:rPr>
          <w:t>3.2.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Customs procedures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_Toc200721681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65</w:t>
        </w:r>
        <w:r w:rsidR="00050632" w:rsidRPr="00EB3899">
          <w:rPr>
            <w:rFonts w:asciiTheme="majorBidi" w:hAnsiTheme="majorBidi" w:cstheme="majorBidi"/>
            <w:i w:val="0"/>
            <w:iCs w:val="0"/>
            <w:noProof/>
            <w:webHidden/>
            <w:sz w:val="28"/>
            <w:szCs w:val="36"/>
          </w:rPr>
          <w:fldChar w:fldCharType="end"/>
        </w:r>
      </w:hyperlink>
    </w:p>
    <w:p w14:paraId="3D2A38AC" w14:textId="766B8A47"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82" w:history="1">
        <w:r w:rsidR="00050632" w:rsidRPr="00EB3899">
          <w:rPr>
            <w:rStyle w:val="Hyperlink"/>
            <w:rFonts w:asciiTheme="majorBidi" w:hAnsiTheme="majorBidi" w:cstheme="majorBidi"/>
            <w:noProof/>
            <w:sz w:val="24"/>
            <w:szCs w:val="28"/>
          </w:rPr>
          <w:t>3.2.1.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Key customs document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_Toc200721682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65</w:t>
        </w:r>
        <w:r w:rsidR="00050632" w:rsidRPr="00EB3899">
          <w:rPr>
            <w:rFonts w:asciiTheme="majorBidi" w:hAnsiTheme="majorBidi" w:cstheme="majorBidi"/>
            <w:noProof/>
            <w:webHidden/>
            <w:sz w:val="24"/>
            <w:szCs w:val="28"/>
          </w:rPr>
          <w:fldChar w:fldCharType="end"/>
        </w:r>
      </w:hyperlink>
    </w:p>
    <w:p w14:paraId="17CCFAF3" w14:textId="46E8807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83" w:history="1">
        <w:r w:rsidR="00050632" w:rsidRPr="00EB3899">
          <w:rPr>
            <w:rStyle w:val="Hyperlink"/>
            <w:rFonts w:asciiTheme="majorBidi" w:hAnsiTheme="majorBidi" w:cstheme="majorBidi"/>
            <w:noProof/>
            <w:sz w:val="24"/>
            <w:szCs w:val="28"/>
          </w:rPr>
          <w:t>3.2.2.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Procedural steps in customs clearanc</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_Toc200721683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65</w:t>
        </w:r>
        <w:r w:rsidR="00050632" w:rsidRPr="00EB3899">
          <w:rPr>
            <w:rFonts w:asciiTheme="majorBidi" w:hAnsiTheme="majorBidi" w:cstheme="majorBidi"/>
            <w:noProof/>
            <w:webHidden/>
            <w:sz w:val="24"/>
            <w:szCs w:val="28"/>
          </w:rPr>
          <w:fldChar w:fldCharType="end"/>
        </w:r>
      </w:hyperlink>
    </w:p>
    <w:p w14:paraId="2DC3F54D" w14:textId="31811E3D"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84" w:history="1">
        <w:r w:rsidR="00050632" w:rsidRPr="00EB3899">
          <w:rPr>
            <w:rStyle w:val="Hyperlink"/>
            <w:rFonts w:asciiTheme="majorBidi" w:hAnsiTheme="majorBidi" w:cstheme="majorBidi"/>
            <w:noProof/>
            <w:sz w:val="24"/>
            <w:szCs w:val="28"/>
          </w:rPr>
          <w:t>3.2.3.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Challenges and strategic consideration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_Toc200721684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65</w:t>
        </w:r>
        <w:r w:rsidR="00050632" w:rsidRPr="00EB3899">
          <w:rPr>
            <w:rFonts w:asciiTheme="majorBidi" w:hAnsiTheme="majorBidi" w:cstheme="majorBidi"/>
            <w:noProof/>
            <w:webHidden/>
            <w:sz w:val="24"/>
            <w:szCs w:val="28"/>
          </w:rPr>
          <w:fldChar w:fldCharType="end"/>
        </w:r>
      </w:hyperlink>
    </w:p>
    <w:p w14:paraId="51A64737" w14:textId="459E6FB4"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85" w:history="1">
        <w:r w:rsidR="00050632" w:rsidRPr="00EB3899">
          <w:rPr>
            <w:rStyle w:val="Hyperlink"/>
            <w:rFonts w:asciiTheme="majorBidi" w:hAnsiTheme="majorBidi" w:cstheme="majorBidi"/>
            <w:noProof/>
            <w:sz w:val="28"/>
            <w:szCs w:val="36"/>
          </w:rPr>
          <w:t>Section 03: Challenges in exporting to turkey</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_Toc200721685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67</w:t>
        </w:r>
        <w:r w:rsidR="00050632" w:rsidRPr="00EB3899">
          <w:rPr>
            <w:rFonts w:asciiTheme="majorBidi" w:hAnsiTheme="majorBidi" w:cstheme="majorBidi"/>
            <w:noProof/>
            <w:webHidden/>
            <w:sz w:val="28"/>
            <w:szCs w:val="36"/>
          </w:rPr>
          <w:fldChar w:fldCharType="end"/>
        </w:r>
      </w:hyperlink>
    </w:p>
    <w:p w14:paraId="7306E451" w14:textId="53A4DDB3"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86" w:history="1">
        <w:r w:rsidR="00050632" w:rsidRPr="00EB3899">
          <w:rPr>
            <w:rStyle w:val="Hyperlink"/>
            <w:rFonts w:asciiTheme="majorBidi" w:hAnsiTheme="majorBidi" w:cstheme="majorBidi"/>
            <w:i w:val="0"/>
            <w:iCs w:val="0"/>
            <w:noProof/>
            <w:sz w:val="28"/>
            <w:szCs w:val="36"/>
          </w:rPr>
          <w:t>1.</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Cultural and regulatory barriers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_Toc200721686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67</w:t>
        </w:r>
        <w:r w:rsidR="00050632" w:rsidRPr="00EB3899">
          <w:rPr>
            <w:rFonts w:asciiTheme="majorBidi" w:hAnsiTheme="majorBidi" w:cstheme="majorBidi"/>
            <w:i w:val="0"/>
            <w:iCs w:val="0"/>
            <w:noProof/>
            <w:webHidden/>
            <w:sz w:val="28"/>
            <w:szCs w:val="36"/>
          </w:rPr>
          <w:fldChar w:fldCharType="end"/>
        </w:r>
      </w:hyperlink>
    </w:p>
    <w:p w14:paraId="6A71E15F" w14:textId="2569186A" w:rsidR="00050632" w:rsidRPr="00EB3899" w:rsidRDefault="00B6520E">
      <w:pPr>
        <w:pStyle w:val="TOC4"/>
        <w:tabs>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87" w:history="1">
        <w:r w:rsidR="00050632" w:rsidRPr="00EB3899">
          <w:rPr>
            <w:rStyle w:val="Hyperlink"/>
            <w:rFonts w:asciiTheme="majorBidi" w:hAnsiTheme="majorBidi" w:cstheme="majorBidi"/>
            <w:noProof/>
            <w:sz w:val="24"/>
            <w:szCs w:val="28"/>
          </w:rPr>
          <w:t>1.1.   Cultural and barriers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_Toc200721687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67</w:t>
        </w:r>
        <w:r w:rsidR="00050632" w:rsidRPr="00EB3899">
          <w:rPr>
            <w:rFonts w:asciiTheme="majorBidi" w:hAnsiTheme="majorBidi" w:cstheme="majorBidi"/>
            <w:noProof/>
            <w:webHidden/>
            <w:sz w:val="24"/>
            <w:szCs w:val="28"/>
          </w:rPr>
          <w:fldChar w:fldCharType="end"/>
        </w:r>
      </w:hyperlink>
    </w:p>
    <w:p w14:paraId="2DDFF3B9" w14:textId="12C03945"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88" w:history="1">
        <w:r w:rsidR="00050632" w:rsidRPr="00EB3899">
          <w:rPr>
            <w:rStyle w:val="Hyperlink"/>
            <w:rFonts w:asciiTheme="majorBidi" w:hAnsiTheme="majorBidi" w:cstheme="majorBidi"/>
            <w:i w:val="0"/>
            <w:iCs w:val="0"/>
            <w:noProof/>
            <w:sz w:val="28"/>
            <w:szCs w:val="36"/>
          </w:rPr>
          <w:t>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Competition from local and international products in turkey</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_Toc200721688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72</w:t>
        </w:r>
        <w:r w:rsidR="00050632" w:rsidRPr="00EB3899">
          <w:rPr>
            <w:rFonts w:asciiTheme="majorBidi" w:hAnsiTheme="majorBidi" w:cstheme="majorBidi"/>
            <w:i w:val="0"/>
            <w:iCs w:val="0"/>
            <w:noProof/>
            <w:webHidden/>
            <w:sz w:val="28"/>
            <w:szCs w:val="36"/>
          </w:rPr>
          <w:fldChar w:fldCharType="end"/>
        </w:r>
      </w:hyperlink>
    </w:p>
    <w:p w14:paraId="0395BD81" w14:textId="0B5C6260"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89" w:history="1">
        <w:r w:rsidR="00050632" w:rsidRPr="00EB3899">
          <w:rPr>
            <w:rStyle w:val="Hyperlink"/>
            <w:rFonts w:asciiTheme="majorBidi" w:hAnsiTheme="majorBidi" w:cstheme="majorBidi"/>
            <w:i w:val="0"/>
            <w:iCs w:val="0"/>
            <w:noProof/>
            <w:sz w:val="28"/>
            <w:szCs w:val="36"/>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Financial challenges to export to turkey</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_Toc200721689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76</w:t>
        </w:r>
        <w:r w:rsidR="00050632" w:rsidRPr="00EB3899">
          <w:rPr>
            <w:rFonts w:asciiTheme="majorBidi" w:hAnsiTheme="majorBidi" w:cstheme="majorBidi"/>
            <w:i w:val="0"/>
            <w:iCs w:val="0"/>
            <w:noProof/>
            <w:webHidden/>
            <w:sz w:val="28"/>
            <w:szCs w:val="36"/>
          </w:rPr>
          <w:fldChar w:fldCharType="end"/>
        </w:r>
      </w:hyperlink>
    </w:p>
    <w:p w14:paraId="2293A14E" w14:textId="35BF4DE3"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90" w:history="1">
        <w:r w:rsidR="00050632" w:rsidRPr="00EB3899">
          <w:rPr>
            <w:rStyle w:val="Hyperlink"/>
            <w:rFonts w:asciiTheme="majorBidi" w:eastAsia="Times New Roman" w:hAnsiTheme="majorBidi" w:cstheme="majorBidi"/>
            <w:noProof/>
            <w:sz w:val="24"/>
            <w:szCs w:val="28"/>
            <w:lang w:eastAsia="fr-FR"/>
          </w:rPr>
          <w:t>3.1.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Exchange rate volatility (Currency Risk)</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_Toc200721690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76</w:t>
        </w:r>
        <w:r w:rsidR="00050632" w:rsidRPr="00EB3899">
          <w:rPr>
            <w:rFonts w:asciiTheme="majorBidi" w:hAnsiTheme="majorBidi" w:cstheme="majorBidi"/>
            <w:noProof/>
            <w:webHidden/>
            <w:sz w:val="24"/>
            <w:szCs w:val="28"/>
          </w:rPr>
          <w:fldChar w:fldCharType="end"/>
        </w:r>
      </w:hyperlink>
    </w:p>
    <w:p w14:paraId="14A003F5" w14:textId="517324C4"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91" w:history="1">
        <w:r w:rsidR="00050632" w:rsidRPr="00EB3899">
          <w:rPr>
            <w:rStyle w:val="Hyperlink"/>
            <w:rFonts w:asciiTheme="majorBidi" w:hAnsiTheme="majorBidi" w:cstheme="majorBidi"/>
            <w:noProof/>
            <w:sz w:val="24"/>
            <w:szCs w:val="28"/>
          </w:rPr>
          <w:t>3.2.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Payment methods and associated risks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_Toc200721691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77</w:t>
        </w:r>
        <w:r w:rsidR="00050632" w:rsidRPr="00EB3899">
          <w:rPr>
            <w:rFonts w:asciiTheme="majorBidi" w:hAnsiTheme="majorBidi" w:cstheme="majorBidi"/>
            <w:noProof/>
            <w:webHidden/>
            <w:sz w:val="24"/>
            <w:szCs w:val="28"/>
          </w:rPr>
          <w:fldChar w:fldCharType="end"/>
        </w:r>
      </w:hyperlink>
    </w:p>
    <w:p w14:paraId="59C48094" w14:textId="115493F6"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92" w:history="1">
        <w:r w:rsidR="00050632" w:rsidRPr="00EB3899">
          <w:rPr>
            <w:rStyle w:val="Hyperlink"/>
            <w:rFonts w:asciiTheme="majorBidi" w:hAnsiTheme="majorBidi" w:cstheme="majorBidi"/>
            <w:noProof/>
            <w:sz w:val="28"/>
            <w:szCs w:val="36"/>
          </w:rPr>
          <w:t>Conclusion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_Toc200721692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79</w:t>
        </w:r>
        <w:r w:rsidR="00050632" w:rsidRPr="00EB3899">
          <w:rPr>
            <w:rFonts w:asciiTheme="majorBidi" w:hAnsiTheme="majorBidi" w:cstheme="majorBidi"/>
            <w:noProof/>
            <w:webHidden/>
            <w:sz w:val="28"/>
            <w:szCs w:val="36"/>
          </w:rPr>
          <w:fldChar w:fldCharType="end"/>
        </w:r>
      </w:hyperlink>
    </w:p>
    <w:p w14:paraId="62859EE8" w14:textId="114BE1D5"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693" w:history="1">
        <w:r w:rsidR="00050632" w:rsidRPr="00EB3899">
          <w:rPr>
            <w:rStyle w:val="Hyperlink"/>
            <w:rFonts w:asciiTheme="majorBidi" w:hAnsiTheme="majorBidi" w:cstheme="majorBidi"/>
            <w:noProof/>
            <w:sz w:val="28"/>
            <w:szCs w:val="36"/>
          </w:rPr>
          <w:t>Chapter 3</w:t>
        </w:r>
        <w:r w:rsidR="00D36F5B" w:rsidRPr="00EB3899">
          <w:rPr>
            <w:rStyle w:val="Hyperlink"/>
            <w:rFonts w:asciiTheme="majorBidi" w:hAnsiTheme="majorBidi" w:cstheme="majorBidi"/>
            <w:noProof/>
            <w:sz w:val="28"/>
            <w:szCs w:val="36"/>
          </w:rPr>
          <w:t> </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_Toc200721693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80</w:t>
        </w:r>
        <w:r w:rsidR="00050632" w:rsidRPr="00EB3899">
          <w:rPr>
            <w:rFonts w:asciiTheme="majorBidi" w:hAnsiTheme="majorBidi" w:cstheme="majorBidi"/>
            <w:noProof/>
            <w:webHidden/>
            <w:sz w:val="28"/>
            <w:szCs w:val="36"/>
          </w:rPr>
          <w:fldChar w:fldCharType="end"/>
        </w:r>
      </w:hyperlink>
    </w:p>
    <w:p w14:paraId="3B2E0EC3" w14:textId="1403212A"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94" w:history="1">
        <w:r w:rsidR="00050632" w:rsidRPr="00EB3899">
          <w:rPr>
            <w:rStyle w:val="Hyperlink"/>
            <w:rFonts w:asciiTheme="majorBidi" w:hAnsiTheme="majorBidi" w:cstheme="majorBidi"/>
            <w:noProof/>
            <w:sz w:val="28"/>
            <w:szCs w:val="36"/>
          </w:rPr>
          <w:t>Introduction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_Toc200721694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81</w:t>
        </w:r>
        <w:r w:rsidR="00050632" w:rsidRPr="00EB3899">
          <w:rPr>
            <w:rFonts w:asciiTheme="majorBidi" w:hAnsiTheme="majorBidi" w:cstheme="majorBidi"/>
            <w:noProof/>
            <w:webHidden/>
            <w:sz w:val="28"/>
            <w:szCs w:val="36"/>
          </w:rPr>
          <w:fldChar w:fldCharType="end"/>
        </w:r>
      </w:hyperlink>
    </w:p>
    <w:p w14:paraId="70F91891" w14:textId="667B79A4"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695" w:history="1">
        <w:r w:rsidR="00050632" w:rsidRPr="00EB3899">
          <w:rPr>
            <w:rStyle w:val="Hyperlink"/>
            <w:rFonts w:asciiTheme="majorBidi" w:hAnsiTheme="majorBidi" w:cstheme="majorBidi"/>
            <w:noProof/>
            <w:sz w:val="28"/>
            <w:szCs w:val="36"/>
          </w:rPr>
          <w:t>Section 01: General presentation of the host organization and methodological approach</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_Toc200721695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82</w:t>
        </w:r>
        <w:r w:rsidR="00050632" w:rsidRPr="00EB3899">
          <w:rPr>
            <w:rFonts w:asciiTheme="majorBidi" w:hAnsiTheme="majorBidi" w:cstheme="majorBidi"/>
            <w:noProof/>
            <w:webHidden/>
            <w:sz w:val="28"/>
            <w:szCs w:val="36"/>
          </w:rPr>
          <w:fldChar w:fldCharType="end"/>
        </w:r>
      </w:hyperlink>
    </w:p>
    <w:p w14:paraId="1F3068B1" w14:textId="6F215266"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696" w:history="1">
        <w:r w:rsidR="00050632" w:rsidRPr="00EB3899">
          <w:rPr>
            <w:rStyle w:val="Hyperlink"/>
            <w:rFonts w:asciiTheme="majorBidi" w:eastAsia="Times New Roman" w:hAnsiTheme="majorBidi" w:cstheme="majorBidi"/>
            <w:i w:val="0"/>
            <w:iCs w:val="0"/>
            <w:noProof/>
            <w:sz w:val="28"/>
            <w:szCs w:val="36"/>
            <w:lang w:eastAsia="fr-FR"/>
          </w:rPr>
          <w:t>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i w:val="0"/>
            <w:iCs w:val="0"/>
            <w:noProof/>
            <w:sz w:val="28"/>
            <w:szCs w:val="36"/>
            <w:lang w:eastAsia="fr-FR"/>
          </w:rPr>
          <w:t>General Presentation of the Host Organizatio</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_Toc200721696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82</w:t>
        </w:r>
        <w:r w:rsidR="00050632" w:rsidRPr="00EB3899">
          <w:rPr>
            <w:rFonts w:asciiTheme="majorBidi" w:hAnsiTheme="majorBidi" w:cstheme="majorBidi"/>
            <w:i w:val="0"/>
            <w:iCs w:val="0"/>
            <w:noProof/>
            <w:webHidden/>
            <w:sz w:val="28"/>
            <w:szCs w:val="36"/>
          </w:rPr>
          <w:fldChar w:fldCharType="end"/>
        </w:r>
      </w:hyperlink>
    </w:p>
    <w:p w14:paraId="1F2D0513" w14:textId="2DC4754C"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97" w:history="1">
        <w:r w:rsidR="00050632" w:rsidRPr="00EB3899">
          <w:rPr>
            <w:rStyle w:val="Hyperlink"/>
            <w:rFonts w:asciiTheme="majorBidi" w:eastAsia="Times New Roman" w:hAnsiTheme="majorBidi" w:cstheme="majorBidi"/>
            <w:noProof/>
            <w:sz w:val="24"/>
            <w:szCs w:val="28"/>
            <w:lang w:eastAsia="fr-FR"/>
          </w:rPr>
          <w:t>1.1.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Times New Roman" w:hAnsiTheme="majorBidi" w:cstheme="majorBidi"/>
            <w:noProof/>
            <w:sz w:val="24"/>
            <w:szCs w:val="28"/>
            <w:lang w:eastAsia="fr-FR"/>
          </w:rPr>
          <w:t>Company Introductio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_Toc200721697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82</w:t>
        </w:r>
        <w:r w:rsidR="00050632" w:rsidRPr="00EB3899">
          <w:rPr>
            <w:rFonts w:asciiTheme="majorBidi" w:hAnsiTheme="majorBidi" w:cstheme="majorBidi"/>
            <w:noProof/>
            <w:webHidden/>
            <w:sz w:val="24"/>
            <w:szCs w:val="28"/>
          </w:rPr>
          <w:fldChar w:fldCharType="end"/>
        </w:r>
      </w:hyperlink>
    </w:p>
    <w:p w14:paraId="1D287B47" w14:textId="4E33EF2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98" w:history="1">
        <w:r w:rsidR="00050632" w:rsidRPr="00EB3899">
          <w:rPr>
            <w:rStyle w:val="Hyperlink"/>
            <w:rFonts w:asciiTheme="majorBidi" w:eastAsia="Times New Roman" w:hAnsiTheme="majorBidi" w:cstheme="majorBidi"/>
            <w:noProof/>
            <w:sz w:val="24"/>
            <w:szCs w:val="28"/>
            <w:lang w:eastAsia="fr-FR"/>
          </w:rPr>
          <w:t>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Objective of PRODERMA Company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_Toc200721698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83</w:t>
        </w:r>
        <w:r w:rsidR="00050632" w:rsidRPr="00EB3899">
          <w:rPr>
            <w:rFonts w:asciiTheme="majorBidi" w:hAnsiTheme="majorBidi" w:cstheme="majorBidi"/>
            <w:noProof/>
            <w:webHidden/>
            <w:sz w:val="24"/>
            <w:szCs w:val="28"/>
          </w:rPr>
          <w:fldChar w:fldCharType="end"/>
        </w:r>
      </w:hyperlink>
    </w:p>
    <w:p w14:paraId="350E104F" w14:textId="1E1CC075"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699" w:history="1">
        <w:r w:rsidR="00050632" w:rsidRPr="00EB3899">
          <w:rPr>
            <w:rStyle w:val="Hyperlink"/>
            <w:rFonts w:asciiTheme="majorBidi" w:eastAsia="Times New Roman" w:hAnsiTheme="majorBidi" w:cstheme="majorBidi"/>
            <w:noProof/>
            <w:sz w:val="24"/>
            <w:szCs w:val="28"/>
            <w:lang w:eastAsia="fr-FR"/>
          </w:rPr>
          <w:t>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Equipment and Products Used</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_Toc200721699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83</w:t>
        </w:r>
        <w:r w:rsidR="00050632" w:rsidRPr="00EB3899">
          <w:rPr>
            <w:rFonts w:asciiTheme="majorBidi" w:hAnsiTheme="majorBidi" w:cstheme="majorBidi"/>
            <w:noProof/>
            <w:webHidden/>
            <w:sz w:val="24"/>
            <w:szCs w:val="28"/>
          </w:rPr>
          <w:fldChar w:fldCharType="end"/>
        </w:r>
      </w:hyperlink>
    </w:p>
    <w:p w14:paraId="77948568" w14:textId="11DACB7F"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0" w:history="1">
        <w:r w:rsidR="00050632" w:rsidRPr="00EB3899">
          <w:rPr>
            <w:rStyle w:val="Hyperlink"/>
            <w:rFonts w:asciiTheme="majorBidi" w:eastAsia="Times New Roman" w:hAnsiTheme="majorBidi" w:cstheme="majorBidi"/>
            <w:noProof/>
            <w:sz w:val="24"/>
            <w:szCs w:val="28"/>
            <w:lang w:eastAsia="fr-FR"/>
          </w:rPr>
          <w:t>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Company Infrastructure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83</w:t>
        </w:r>
        <w:r w:rsidR="00050632" w:rsidRPr="00EB3899">
          <w:rPr>
            <w:rFonts w:asciiTheme="majorBidi" w:hAnsiTheme="majorBidi" w:cstheme="majorBidi"/>
            <w:noProof/>
            <w:webHidden/>
            <w:sz w:val="24"/>
            <w:szCs w:val="28"/>
          </w:rPr>
          <w:fldChar w:fldCharType="end"/>
        </w:r>
      </w:hyperlink>
    </w:p>
    <w:p w14:paraId="17CED767" w14:textId="2B8EBC4C"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1" w:history="1">
        <w:r w:rsidR="00050632" w:rsidRPr="00EB3899">
          <w:rPr>
            <w:rStyle w:val="Hyperlink"/>
            <w:rFonts w:asciiTheme="majorBidi" w:hAnsiTheme="majorBidi" w:cstheme="majorBidi"/>
            <w:noProof/>
            <w:sz w:val="24"/>
            <w:szCs w:val="28"/>
            <w:rtl/>
          </w:rPr>
          <w:t>1.5.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Organizational Structure of the Company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86</w:t>
        </w:r>
        <w:r w:rsidR="00050632" w:rsidRPr="00EB3899">
          <w:rPr>
            <w:rFonts w:asciiTheme="majorBidi" w:hAnsiTheme="majorBidi" w:cstheme="majorBidi"/>
            <w:noProof/>
            <w:webHidden/>
            <w:sz w:val="24"/>
            <w:szCs w:val="28"/>
          </w:rPr>
          <w:fldChar w:fldCharType="end"/>
        </w:r>
      </w:hyperlink>
    </w:p>
    <w:p w14:paraId="752A3E31" w14:textId="6187AD17"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2" w:history="1">
        <w:r w:rsidR="00050632" w:rsidRPr="00EB3899">
          <w:rPr>
            <w:rStyle w:val="Hyperlink"/>
            <w:rFonts w:asciiTheme="majorBidi" w:hAnsiTheme="majorBidi" w:cstheme="majorBidi"/>
            <w:noProof/>
            <w:sz w:val="24"/>
            <w:szCs w:val="28"/>
          </w:rPr>
          <w:t>1.6.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Some products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87</w:t>
        </w:r>
        <w:r w:rsidR="00050632" w:rsidRPr="00EB3899">
          <w:rPr>
            <w:rFonts w:asciiTheme="majorBidi" w:hAnsiTheme="majorBidi" w:cstheme="majorBidi"/>
            <w:noProof/>
            <w:webHidden/>
            <w:sz w:val="24"/>
            <w:szCs w:val="28"/>
          </w:rPr>
          <w:fldChar w:fldCharType="end"/>
        </w:r>
      </w:hyperlink>
    </w:p>
    <w:p w14:paraId="70A0CB58" w14:textId="2D343914"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703" w:history="1">
        <w:r w:rsidR="00050632" w:rsidRPr="00EB3899">
          <w:rPr>
            <w:rStyle w:val="Hyperlink"/>
            <w:rFonts w:asciiTheme="majorBidi" w:hAnsiTheme="majorBidi" w:cstheme="majorBidi"/>
            <w:noProof/>
            <w:sz w:val="28"/>
            <w:szCs w:val="36"/>
            <w:lang w:val="en-US"/>
          </w:rPr>
          <w:t xml:space="preserve">Section 2: </w:t>
        </w:r>
        <w:r w:rsidR="00050632" w:rsidRPr="00EB3899">
          <w:rPr>
            <w:rStyle w:val="Hyperlink"/>
            <w:rFonts w:asciiTheme="majorBidi" w:hAnsiTheme="majorBidi" w:cstheme="majorBidi"/>
            <w:noProof/>
            <w:sz w:val="28"/>
            <w:szCs w:val="36"/>
          </w:rPr>
          <w:t>Market research</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_Toc200721703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93</w:t>
        </w:r>
        <w:r w:rsidR="00050632" w:rsidRPr="00EB3899">
          <w:rPr>
            <w:rFonts w:asciiTheme="majorBidi" w:hAnsiTheme="majorBidi" w:cstheme="majorBidi"/>
            <w:noProof/>
            <w:webHidden/>
            <w:sz w:val="28"/>
            <w:szCs w:val="36"/>
          </w:rPr>
          <w:fldChar w:fldCharType="end"/>
        </w:r>
      </w:hyperlink>
    </w:p>
    <w:p w14:paraId="63A5DE63" w14:textId="5A7DD1BE"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04" w:history="1">
        <w:r w:rsidR="00050632" w:rsidRPr="00EB3899">
          <w:rPr>
            <w:rStyle w:val="Hyperlink"/>
            <w:rFonts w:asciiTheme="majorBidi" w:hAnsiTheme="majorBidi" w:cstheme="majorBidi"/>
            <w:i w:val="0"/>
            <w:iCs w:val="0"/>
            <w:noProof/>
            <w:sz w:val="28"/>
            <w:szCs w:val="36"/>
            <w:lang w:val="en-US"/>
          </w:rPr>
          <w:t>1.</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Motivations of this study</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_Toc200721704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93</w:t>
        </w:r>
        <w:r w:rsidR="00050632" w:rsidRPr="00EB3899">
          <w:rPr>
            <w:rFonts w:asciiTheme="majorBidi" w:hAnsiTheme="majorBidi" w:cstheme="majorBidi"/>
            <w:i w:val="0"/>
            <w:iCs w:val="0"/>
            <w:noProof/>
            <w:webHidden/>
            <w:sz w:val="28"/>
            <w:szCs w:val="36"/>
          </w:rPr>
          <w:fldChar w:fldCharType="end"/>
        </w:r>
      </w:hyperlink>
    </w:p>
    <w:p w14:paraId="6D5159B3" w14:textId="7B2ACAAD"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05" w:history="1">
        <w:r w:rsidR="00050632" w:rsidRPr="00EB3899">
          <w:rPr>
            <w:rStyle w:val="Hyperlink"/>
            <w:rFonts w:asciiTheme="majorBidi" w:hAnsiTheme="majorBidi" w:cstheme="majorBidi"/>
            <w:i w:val="0"/>
            <w:iCs w:val="0"/>
            <w:noProof/>
            <w:sz w:val="28"/>
            <w:szCs w:val="36"/>
            <w:lang w:val="en-US"/>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Macroeconomic analysis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_Toc200721705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95</w:t>
        </w:r>
        <w:r w:rsidR="00050632" w:rsidRPr="00EB3899">
          <w:rPr>
            <w:rFonts w:asciiTheme="majorBidi" w:hAnsiTheme="majorBidi" w:cstheme="majorBidi"/>
            <w:i w:val="0"/>
            <w:iCs w:val="0"/>
            <w:noProof/>
            <w:webHidden/>
            <w:sz w:val="28"/>
            <w:szCs w:val="36"/>
          </w:rPr>
          <w:fldChar w:fldCharType="end"/>
        </w:r>
      </w:hyperlink>
    </w:p>
    <w:p w14:paraId="64EB0AC8" w14:textId="41C22FF8"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6" w:history="1">
        <w:r w:rsidR="00050632" w:rsidRPr="00EB3899">
          <w:rPr>
            <w:rStyle w:val="Hyperlink"/>
            <w:rFonts w:asciiTheme="majorBidi" w:hAnsiTheme="majorBidi" w:cstheme="majorBidi"/>
            <w:noProof/>
            <w:sz w:val="24"/>
            <w:szCs w:val="28"/>
          </w:rPr>
          <w:t>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PESTEL Analysi</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95</w:t>
        </w:r>
        <w:r w:rsidR="00050632" w:rsidRPr="00EB3899">
          <w:rPr>
            <w:rFonts w:asciiTheme="majorBidi" w:hAnsiTheme="majorBidi" w:cstheme="majorBidi"/>
            <w:noProof/>
            <w:webHidden/>
            <w:sz w:val="24"/>
            <w:szCs w:val="28"/>
          </w:rPr>
          <w:fldChar w:fldCharType="end"/>
        </w:r>
      </w:hyperlink>
    </w:p>
    <w:p w14:paraId="28098415" w14:textId="779E8481"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7" w:history="1">
        <w:r w:rsidR="00050632" w:rsidRPr="00EB3899">
          <w:rPr>
            <w:rStyle w:val="Hyperlink"/>
            <w:rFonts w:asciiTheme="majorBidi" w:hAnsiTheme="majorBidi" w:cstheme="majorBidi"/>
            <w:noProof/>
            <w:sz w:val="24"/>
            <w:szCs w:val="28"/>
            <w:lang w:val="en-US"/>
          </w:rPr>
          <w:t>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Time Series Analysis of Economic Variable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98</w:t>
        </w:r>
        <w:r w:rsidR="00050632" w:rsidRPr="00EB3899">
          <w:rPr>
            <w:rFonts w:asciiTheme="majorBidi" w:hAnsiTheme="majorBidi" w:cstheme="majorBidi"/>
            <w:noProof/>
            <w:webHidden/>
            <w:sz w:val="24"/>
            <w:szCs w:val="28"/>
          </w:rPr>
          <w:fldChar w:fldCharType="end"/>
        </w:r>
      </w:hyperlink>
    </w:p>
    <w:p w14:paraId="101CE2E9" w14:textId="2D6AB022"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8" w:history="1">
        <w:r w:rsidR="00050632" w:rsidRPr="00EB3899">
          <w:rPr>
            <w:rStyle w:val="Hyperlink"/>
            <w:rFonts w:asciiTheme="majorBidi" w:hAnsiTheme="majorBidi" w:cstheme="majorBidi"/>
            <w:noProof/>
            <w:sz w:val="24"/>
            <w:szCs w:val="28"/>
            <w:lang w:bidi="ar-DZ"/>
          </w:rPr>
          <w:t>2.2.1.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Descriptive Statistics Analysis of Economic Variable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101</w:t>
        </w:r>
        <w:r w:rsidR="00050632" w:rsidRPr="00EB3899">
          <w:rPr>
            <w:rFonts w:asciiTheme="majorBidi" w:hAnsiTheme="majorBidi" w:cstheme="majorBidi"/>
            <w:noProof/>
            <w:webHidden/>
            <w:sz w:val="24"/>
            <w:szCs w:val="28"/>
          </w:rPr>
          <w:fldChar w:fldCharType="end"/>
        </w:r>
      </w:hyperlink>
    </w:p>
    <w:p w14:paraId="3F39D0D9" w14:textId="56506DF2"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09" w:history="1">
        <w:r w:rsidR="00050632" w:rsidRPr="00EB3899">
          <w:rPr>
            <w:rStyle w:val="Hyperlink"/>
            <w:rFonts w:asciiTheme="majorBidi" w:hAnsiTheme="majorBidi" w:cstheme="majorBidi"/>
            <w:noProof/>
            <w:sz w:val="24"/>
            <w:szCs w:val="28"/>
            <w:lang w:bidi="ar-DZ"/>
          </w:rPr>
          <w:t>2.2.2.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Correlation Coefficients Between Economic Variable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_Toc200721709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103</w:t>
        </w:r>
        <w:r w:rsidR="00050632" w:rsidRPr="00EB3899">
          <w:rPr>
            <w:rFonts w:asciiTheme="majorBidi" w:hAnsiTheme="majorBidi" w:cstheme="majorBidi"/>
            <w:noProof/>
            <w:webHidden/>
            <w:sz w:val="24"/>
            <w:szCs w:val="28"/>
          </w:rPr>
          <w:fldChar w:fldCharType="end"/>
        </w:r>
      </w:hyperlink>
    </w:p>
    <w:p w14:paraId="280DE442" w14:textId="42E76E0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0" w:history="1">
        <w:r w:rsidR="00050632" w:rsidRPr="00EB3899">
          <w:rPr>
            <w:rStyle w:val="Hyperlink"/>
            <w:rFonts w:asciiTheme="majorBidi" w:hAnsiTheme="majorBidi" w:cstheme="majorBidi"/>
            <w:noProof/>
            <w:sz w:val="24"/>
            <w:szCs w:val="28"/>
          </w:rPr>
          <w:t>2.2.3.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Multiple Regression Analysis of the Impact of Economic Variables on GD</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106</w:t>
        </w:r>
        <w:r w:rsidR="00050632" w:rsidRPr="00EB3899">
          <w:rPr>
            <w:rFonts w:asciiTheme="majorBidi" w:hAnsiTheme="majorBidi" w:cstheme="majorBidi"/>
            <w:noProof/>
            <w:webHidden/>
            <w:sz w:val="24"/>
            <w:szCs w:val="28"/>
          </w:rPr>
          <w:fldChar w:fldCharType="end"/>
        </w:r>
      </w:hyperlink>
    </w:p>
    <w:p w14:paraId="37FA8022" w14:textId="527F7D26"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1" w:history="1">
        <w:r w:rsidR="00050632" w:rsidRPr="00EB3899">
          <w:rPr>
            <w:rStyle w:val="Hyperlink"/>
            <w:rFonts w:asciiTheme="majorBidi" w:eastAsia="Times New Roman" w:hAnsiTheme="majorBidi" w:cstheme="majorBidi"/>
            <w:noProof/>
            <w:sz w:val="24"/>
            <w:szCs w:val="28"/>
            <w:lang w:val="en-US" w:eastAsia="fr-FR"/>
          </w:rPr>
          <w:t>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Forecasting Economic Variables and Analyzing Future Risks until 203</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109</w:t>
        </w:r>
        <w:r w:rsidR="00050632" w:rsidRPr="00EB3899">
          <w:rPr>
            <w:rFonts w:asciiTheme="majorBidi" w:hAnsiTheme="majorBidi" w:cstheme="majorBidi"/>
            <w:noProof/>
            <w:webHidden/>
            <w:sz w:val="24"/>
            <w:szCs w:val="28"/>
          </w:rPr>
          <w:fldChar w:fldCharType="end"/>
        </w:r>
      </w:hyperlink>
    </w:p>
    <w:p w14:paraId="20126F1F" w14:textId="5AAF668F"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2" w:history="1">
        <w:r w:rsidR="00050632" w:rsidRPr="00EB3899">
          <w:rPr>
            <w:rStyle w:val="Hyperlink"/>
            <w:rFonts w:asciiTheme="majorBidi" w:hAnsiTheme="majorBidi" w:cstheme="majorBidi"/>
            <w:noProof/>
            <w:sz w:val="24"/>
            <w:szCs w:val="28"/>
          </w:rPr>
          <w:t>2.3.1.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GDP forcasting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109</w:t>
        </w:r>
        <w:r w:rsidR="00050632" w:rsidRPr="00EB3899">
          <w:rPr>
            <w:rFonts w:asciiTheme="majorBidi" w:hAnsiTheme="majorBidi" w:cstheme="majorBidi"/>
            <w:noProof/>
            <w:webHidden/>
            <w:sz w:val="24"/>
            <w:szCs w:val="28"/>
          </w:rPr>
          <w:fldChar w:fldCharType="end"/>
        </w:r>
      </w:hyperlink>
    </w:p>
    <w:p w14:paraId="7E3DB8C6" w14:textId="5BDFD904"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3" w:history="1">
        <w:r w:rsidR="00050632" w:rsidRPr="00EB3899">
          <w:rPr>
            <w:rStyle w:val="Hyperlink"/>
            <w:rFonts w:asciiTheme="majorBidi" w:hAnsiTheme="majorBidi" w:cstheme="majorBidi"/>
            <w:noProof/>
            <w:sz w:val="24"/>
            <w:szCs w:val="28"/>
            <w:lang w:val="en-US" w:bidi="ar-DZ"/>
          </w:rPr>
          <w:t>2.3.1.2.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Exponential Smoothing Model Parameters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111</w:t>
        </w:r>
        <w:r w:rsidR="00050632" w:rsidRPr="00EB3899">
          <w:rPr>
            <w:rFonts w:asciiTheme="majorBidi" w:hAnsiTheme="majorBidi" w:cstheme="majorBidi"/>
            <w:noProof/>
            <w:webHidden/>
            <w:sz w:val="24"/>
            <w:szCs w:val="28"/>
          </w:rPr>
          <w:fldChar w:fldCharType="end"/>
        </w:r>
      </w:hyperlink>
    </w:p>
    <w:p w14:paraId="20E66CD5" w14:textId="3C33E936"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4" w:history="1">
        <w:r w:rsidR="00050632" w:rsidRPr="00EB3899">
          <w:rPr>
            <w:rStyle w:val="Hyperlink"/>
            <w:rFonts w:asciiTheme="majorBidi" w:hAnsiTheme="majorBidi" w:cstheme="majorBidi"/>
            <w:noProof/>
            <w:sz w:val="24"/>
            <w:szCs w:val="28"/>
            <w:lang w:val="en-US" w:bidi="ar-DZ"/>
          </w:rPr>
          <w:t>2.3.1.3.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Chart and GDP Forecast from 2025 to 2030</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111</w:t>
        </w:r>
        <w:r w:rsidR="00050632" w:rsidRPr="00EB3899">
          <w:rPr>
            <w:rFonts w:asciiTheme="majorBidi" w:hAnsiTheme="majorBidi" w:cstheme="majorBidi"/>
            <w:noProof/>
            <w:webHidden/>
            <w:sz w:val="24"/>
            <w:szCs w:val="28"/>
          </w:rPr>
          <w:fldChar w:fldCharType="end"/>
        </w:r>
      </w:hyperlink>
    </w:p>
    <w:p w14:paraId="42E9E63E" w14:textId="79FC728E"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5" w:history="1">
        <w:r w:rsidR="00050632" w:rsidRPr="00EB3899">
          <w:rPr>
            <w:rStyle w:val="Hyperlink"/>
            <w:rFonts w:asciiTheme="majorBidi" w:hAnsiTheme="majorBidi" w:cstheme="majorBidi"/>
            <w:noProof/>
            <w:sz w:val="24"/>
            <w:szCs w:val="28"/>
            <w:lang w:val="en-US" w:bidi="ar-DZ"/>
          </w:rPr>
          <w:t>2.3.1.4.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Future Opportunities and Risks Based on the Forecasts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112</w:t>
        </w:r>
        <w:r w:rsidR="00050632" w:rsidRPr="00EB3899">
          <w:rPr>
            <w:rFonts w:asciiTheme="majorBidi" w:hAnsiTheme="majorBidi" w:cstheme="majorBidi"/>
            <w:noProof/>
            <w:webHidden/>
            <w:sz w:val="24"/>
            <w:szCs w:val="28"/>
          </w:rPr>
          <w:fldChar w:fldCharType="end"/>
        </w:r>
      </w:hyperlink>
    </w:p>
    <w:p w14:paraId="2232C193" w14:textId="41F8AA9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6" w:history="1">
        <w:r w:rsidR="00050632" w:rsidRPr="00EB3899">
          <w:rPr>
            <w:rStyle w:val="Hyperlink"/>
            <w:rFonts w:asciiTheme="majorBidi" w:hAnsiTheme="majorBidi" w:cstheme="majorBidi"/>
            <w:noProof/>
            <w:sz w:val="24"/>
            <w:szCs w:val="28"/>
            <w:lang w:bidi="ar-DZ"/>
          </w:rPr>
          <w:t>2.3.2.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Inflation forecasting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112</w:t>
        </w:r>
        <w:r w:rsidR="00050632" w:rsidRPr="00EB3899">
          <w:rPr>
            <w:rFonts w:asciiTheme="majorBidi" w:hAnsiTheme="majorBidi" w:cstheme="majorBidi"/>
            <w:noProof/>
            <w:webHidden/>
            <w:sz w:val="24"/>
            <w:szCs w:val="28"/>
          </w:rPr>
          <w:fldChar w:fldCharType="end"/>
        </w:r>
      </w:hyperlink>
    </w:p>
    <w:p w14:paraId="1038F135" w14:textId="7BC2444B"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7" w:history="1">
        <w:r w:rsidR="00050632" w:rsidRPr="00EB3899">
          <w:rPr>
            <w:rStyle w:val="Hyperlink"/>
            <w:rFonts w:asciiTheme="majorBidi" w:hAnsiTheme="majorBidi" w:cstheme="majorBidi"/>
            <w:noProof/>
            <w:sz w:val="24"/>
            <w:szCs w:val="28"/>
            <w:lang w:val="en-US"/>
          </w:rPr>
          <w:t>2.3.2.1.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Model description and model fit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112</w:t>
        </w:r>
        <w:r w:rsidR="00050632" w:rsidRPr="00EB3899">
          <w:rPr>
            <w:rFonts w:asciiTheme="majorBidi" w:hAnsiTheme="majorBidi" w:cstheme="majorBidi"/>
            <w:noProof/>
            <w:webHidden/>
            <w:sz w:val="24"/>
            <w:szCs w:val="28"/>
          </w:rPr>
          <w:fldChar w:fldCharType="end"/>
        </w:r>
      </w:hyperlink>
    </w:p>
    <w:p w14:paraId="738A38B2" w14:textId="610E8B01"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8" w:history="1">
        <w:r w:rsidR="00050632" w:rsidRPr="00EB3899">
          <w:rPr>
            <w:rStyle w:val="Hyperlink"/>
            <w:rFonts w:asciiTheme="majorBidi" w:hAnsiTheme="majorBidi" w:cstheme="majorBidi"/>
            <w:noProof/>
            <w:sz w:val="24"/>
            <w:szCs w:val="28"/>
            <w:lang w:val="en-US" w:bidi="ar-DZ"/>
          </w:rPr>
          <w:t>2.3.2.2.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Exponential Smoothing Model Parameters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113</w:t>
        </w:r>
        <w:r w:rsidR="00050632" w:rsidRPr="00EB3899">
          <w:rPr>
            <w:rFonts w:asciiTheme="majorBidi" w:hAnsiTheme="majorBidi" w:cstheme="majorBidi"/>
            <w:noProof/>
            <w:webHidden/>
            <w:sz w:val="24"/>
            <w:szCs w:val="28"/>
          </w:rPr>
          <w:fldChar w:fldCharType="end"/>
        </w:r>
      </w:hyperlink>
    </w:p>
    <w:p w14:paraId="18ADF895" w14:textId="0472CD13"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19" w:history="1">
        <w:r w:rsidR="00050632" w:rsidRPr="00EB3899">
          <w:rPr>
            <w:rStyle w:val="Hyperlink"/>
            <w:rFonts w:asciiTheme="majorBidi" w:hAnsiTheme="majorBidi" w:cstheme="majorBidi"/>
            <w:noProof/>
            <w:sz w:val="24"/>
            <w:szCs w:val="28"/>
            <w:lang w:val="en-US"/>
          </w:rPr>
          <w:t>2.3.2.3.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Chart and inflation Forecast from 2025 to 2030</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_Toc200721719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114</w:t>
        </w:r>
        <w:r w:rsidR="00050632" w:rsidRPr="00EB3899">
          <w:rPr>
            <w:rFonts w:asciiTheme="majorBidi" w:hAnsiTheme="majorBidi" w:cstheme="majorBidi"/>
            <w:noProof/>
            <w:webHidden/>
            <w:sz w:val="24"/>
            <w:szCs w:val="28"/>
          </w:rPr>
          <w:fldChar w:fldCharType="end"/>
        </w:r>
      </w:hyperlink>
    </w:p>
    <w:p w14:paraId="65261F9A" w14:textId="6EE0249C"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0" w:history="1">
        <w:r w:rsidR="00050632" w:rsidRPr="00EB3899">
          <w:rPr>
            <w:rStyle w:val="Hyperlink"/>
            <w:rFonts w:asciiTheme="majorBidi" w:hAnsiTheme="majorBidi" w:cstheme="majorBidi"/>
            <w:noProof/>
            <w:sz w:val="24"/>
            <w:szCs w:val="28"/>
            <w:lang w:val="en-US" w:bidi="ar-DZ"/>
          </w:rPr>
          <w:t>2.3.2.4.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Future Opportunities and Risks Based on the Forecasts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114</w:t>
        </w:r>
        <w:r w:rsidR="00050632" w:rsidRPr="00EB3899">
          <w:rPr>
            <w:rFonts w:asciiTheme="majorBidi" w:hAnsiTheme="majorBidi" w:cstheme="majorBidi"/>
            <w:noProof/>
            <w:webHidden/>
            <w:sz w:val="24"/>
            <w:szCs w:val="28"/>
          </w:rPr>
          <w:fldChar w:fldCharType="end"/>
        </w:r>
      </w:hyperlink>
    </w:p>
    <w:p w14:paraId="02974EFC" w14:textId="3F5E47EB"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1" w:history="1">
        <w:r w:rsidR="00050632" w:rsidRPr="00EB3899">
          <w:rPr>
            <w:rStyle w:val="Hyperlink"/>
            <w:rFonts w:asciiTheme="majorBidi" w:hAnsiTheme="majorBidi" w:cstheme="majorBidi"/>
            <w:noProof/>
            <w:sz w:val="24"/>
            <w:szCs w:val="28"/>
          </w:rPr>
          <w:t>2.3.3.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Unemployment forecasting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115</w:t>
        </w:r>
        <w:r w:rsidR="00050632" w:rsidRPr="00EB3899">
          <w:rPr>
            <w:rFonts w:asciiTheme="majorBidi" w:hAnsiTheme="majorBidi" w:cstheme="majorBidi"/>
            <w:noProof/>
            <w:webHidden/>
            <w:sz w:val="24"/>
            <w:szCs w:val="28"/>
          </w:rPr>
          <w:fldChar w:fldCharType="end"/>
        </w:r>
      </w:hyperlink>
    </w:p>
    <w:p w14:paraId="01BDCC94" w14:textId="6FCD1474"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2" w:history="1">
        <w:r w:rsidR="00050632" w:rsidRPr="00EB3899">
          <w:rPr>
            <w:rStyle w:val="Hyperlink"/>
            <w:rFonts w:asciiTheme="majorBidi" w:hAnsiTheme="majorBidi" w:cstheme="majorBidi"/>
            <w:noProof/>
            <w:sz w:val="24"/>
            <w:szCs w:val="28"/>
            <w:lang w:val="en-US"/>
          </w:rPr>
          <w:t>2.3.3.1.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Model description and model fit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115</w:t>
        </w:r>
        <w:r w:rsidR="00050632" w:rsidRPr="00EB3899">
          <w:rPr>
            <w:rFonts w:asciiTheme="majorBidi" w:hAnsiTheme="majorBidi" w:cstheme="majorBidi"/>
            <w:noProof/>
            <w:webHidden/>
            <w:sz w:val="24"/>
            <w:szCs w:val="28"/>
          </w:rPr>
          <w:fldChar w:fldCharType="end"/>
        </w:r>
      </w:hyperlink>
    </w:p>
    <w:p w14:paraId="695DF1A1" w14:textId="12C337CB"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3" w:history="1">
        <w:r w:rsidR="00050632" w:rsidRPr="00EB3899">
          <w:rPr>
            <w:rStyle w:val="Hyperlink"/>
            <w:rFonts w:asciiTheme="majorBidi" w:hAnsiTheme="majorBidi" w:cstheme="majorBidi"/>
            <w:noProof/>
            <w:sz w:val="24"/>
            <w:szCs w:val="28"/>
            <w:lang w:val="en-US" w:bidi="ar-DZ"/>
          </w:rPr>
          <w:t>2.3.3.2.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Exponential Smoothing Model Parameters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116</w:t>
        </w:r>
        <w:r w:rsidR="00050632" w:rsidRPr="00EB3899">
          <w:rPr>
            <w:rFonts w:asciiTheme="majorBidi" w:hAnsiTheme="majorBidi" w:cstheme="majorBidi"/>
            <w:noProof/>
            <w:webHidden/>
            <w:sz w:val="24"/>
            <w:szCs w:val="28"/>
          </w:rPr>
          <w:fldChar w:fldCharType="end"/>
        </w:r>
      </w:hyperlink>
    </w:p>
    <w:p w14:paraId="540B903D" w14:textId="42D37E8B"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4" w:history="1">
        <w:r w:rsidR="00050632" w:rsidRPr="00EB3899">
          <w:rPr>
            <w:rStyle w:val="Hyperlink"/>
            <w:rFonts w:asciiTheme="majorBidi" w:hAnsiTheme="majorBidi" w:cstheme="majorBidi"/>
            <w:noProof/>
            <w:sz w:val="24"/>
            <w:szCs w:val="28"/>
            <w:lang w:val="en-US"/>
          </w:rPr>
          <w:t>2.3.3.3.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Chart and Unemployment Forecast from 2025 to 2030</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116</w:t>
        </w:r>
        <w:r w:rsidR="00050632" w:rsidRPr="00EB3899">
          <w:rPr>
            <w:rFonts w:asciiTheme="majorBidi" w:hAnsiTheme="majorBidi" w:cstheme="majorBidi"/>
            <w:noProof/>
            <w:webHidden/>
            <w:sz w:val="24"/>
            <w:szCs w:val="28"/>
          </w:rPr>
          <w:fldChar w:fldCharType="end"/>
        </w:r>
      </w:hyperlink>
    </w:p>
    <w:p w14:paraId="5AA955CA" w14:textId="16A21D5F"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5" w:history="1">
        <w:r w:rsidR="00050632" w:rsidRPr="00EB3899">
          <w:rPr>
            <w:rStyle w:val="Hyperlink"/>
            <w:rFonts w:asciiTheme="majorBidi" w:hAnsiTheme="majorBidi" w:cstheme="majorBidi"/>
            <w:noProof/>
            <w:sz w:val="24"/>
            <w:szCs w:val="28"/>
            <w:lang w:val="en-US" w:bidi="ar-DZ"/>
          </w:rPr>
          <w:t>2.3.3.4.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Future Opportunities and Risks Based on the Forecasts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117</w:t>
        </w:r>
        <w:r w:rsidR="00050632" w:rsidRPr="00EB3899">
          <w:rPr>
            <w:rFonts w:asciiTheme="majorBidi" w:hAnsiTheme="majorBidi" w:cstheme="majorBidi"/>
            <w:noProof/>
            <w:webHidden/>
            <w:sz w:val="24"/>
            <w:szCs w:val="28"/>
          </w:rPr>
          <w:fldChar w:fldCharType="end"/>
        </w:r>
      </w:hyperlink>
    </w:p>
    <w:p w14:paraId="2D4D1A39" w14:textId="0BC56C7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6" w:history="1">
        <w:r w:rsidR="00050632" w:rsidRPr="00EB3899">
          <w:rPr>
            <w:rStyle w:val="Hyperlink"/>
            <w:rFonts w:asciiTheme="majorBidi" w:hAnsiTheme="majorBidi" w:cstheme="majorBidi"/>
            <w:noProof/>
            <w:sz w:val="24"/>
            <w:szCs w:val="28"/>
          </w:rPr>
          <w:t>2.3.4.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Exchange rate forecasting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117</w:t>
        </w:r>
        <w:r w:rsidR="00050632" w:rsidRPr="00EB3899">
          <w:rPr>
            <w:rFonts w:asciiTheme="majorBidi" w:hAnsiTheme="majorBidi" w:cstheme="majorBidi"/>
            <w:noProof/>
            <w:webHidden/>
            <w:sz w:val="24"/>
            <w:szCs w:val="28"/>
          </w:rPr>
          <w:fldChar w:fldCharType="end"/>
        </w:r>
      </w:hyperlink>
    </w:p>
    <w:p w14:paraId="01F3CF82" w14:textId="1C227BB2"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7" w:history="1">
        <w:r w:rsidR="00050632" w:rsidRPr="00EB3899">
          <w:rPr>
            <w:rStyle w:val="Hyperlink"/>
            <w:rFonts w:asciiTheme="majorBidi" w:hAnsiTheme="majorBidi" w:cstheme="majorBidi"/>
            <w:noProof/>
            <w:sz w:val="24"/>
            <w:szCs w:val="28"/>
            <w:lang w:val="en-US"/>
          </w:rPr>
          <w:t>2.3.4.1.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Model description and model fit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117</w:t>
        </w:r>
        <w:r w:rsidR="00050632" w:rsidRPr="00EB3899">
          <w:rPr>
            <w:rFonts w:asciiTheme="majorBidi" w:hAnsiTheme="majorBidi" w:cstheme="majorBidi"/>
            <w:noProof/>
            <w:webHidden/>
            <w:sz w:val="24"/>
            <w:szCs w:val="28"/>
          </w:rPr>
          <w:fldChar w:fldCharType="end"/>
        </w:r>
      </w:hyperlink>
    </w:p>
    <w:p w14:paraId="016C56B1" w14:textId="24DD2315"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8" w:history="1">
        <w:r w:rsidR="00050632" w:rsidRPr="00EB3899">
          <w:rPr>
            <w:rStyle w:val="Hyperlink"/>
            <w:rFonts w:asciiTheme="majorBidi" w:hAnsiTheme="majorBidi" w:cstheme="majorBidi"/>
            <w:noProof/>
            <w:sz w:val="24"/>
            <w:szCs w:val="28"/>
            <w:lang w:val="en-US" w:bidi="ar-DZ"/>
          </w:rPr>
          <w:t>2.3.4.2.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Exponential Smoothing Model Parameters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118</w:t>
        </w:r>
        <w:r w:rsidR="00050632" w:rsidRPr="00EB3899">
          <w:rPr>
            <w:rFonts w:asciiTheme="majorBidi" w:hAnsiTheme="majorBidi" w:cstheme="majorBidi"/>
            <w:noProof/>
            <w:webHidden/>
            <w:sz w:val="24"/>
            <w:szCs w:val="28"/>
          </w:rPr>
          <w:fldChar w:fldCharType="end"/>
        </w:r>
      </w:hyperlink>
    </w:p>
    <w:p w14:paraId="34467B14" w14:textId="208233CE"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29" w:history="1">
        <w:r w:rsidR="00050632" w:rsidRPr="00EB3899">
          <w:rPr>
            <w:rStyle w:val="Hyperlink"/>
            <w:rFonts w:asciiTheme="majorBidi" w:hAnsiTheme="majorBidi" w:cstheme="majorBidi"/>
            <w:noProof/>
            <w:sz w:val="24"/>
            <w:szCs w:val="28"/>
            <w:lang w:val="en-US"/>
          </w:rPr>
          <w:t>2.3.4.3.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Chart and Unemployment Forecast from 2025 to 2030</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_Toc200721729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119</w:t>
        </w:r>
        <w:r w:rsidR="00050632" w:rsidRPr="00EB3899">
          <w:rPr>
            <w:rFonts w:asciiTheme="majorBidi" w:hAnsiTheme="majorBidi" w:cstheme="majorBidi"/>
            <w:noProof/>
            <w:webHidden/>
            <w:sz w:val="24"/>
            <w:szCs w:val="28"/>
          </w:rPr>
          <w:fldChar w:fldCharType="end"/>
        </w:r>
      </w:hyperlink>
    </w:p>
    <w:p w14:paraId="0EEC7046" w14:textId="24ECDE90" w:rsidR="00050632" w:rsidRPr="00EB3899" w:rsidRDefault="00B6520E">
      <w:pPr>
        <w:pStyle w:val="TOC6"/>
        <w:tabs>
          <w:tab w:val="left" w:pos="188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0" w:history="1">
        <w:r w:rsidR="00050632" w:rsidRPr="00EB3899">
          <w:rPr>
            <w:rStyle w:val="Hyperlink"/>
            <w:rFonts w:asciiTheme="majorBidi" w:hAnsiTheme="majorBidi" w:cstheme="majorBidi"/>
            <w:noProof/>
            <w:sz w:val="24"/>
            <w:szCs w:val="28"/>
            <w:lang w:val="en-US"/>
          </w:rPr>
          <w:t>2.3.4.4.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Future Opportunities and Risks Based on the Forecasts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120</w:t>
        </w:r>
        <w:r w:rsidR="00050632" w:rsidRPr="00EB3899">
          <w:rPr>
            <w:rFonts w:asciiTheme="majorBidi" w:hAnsiTheme="majorBidi" w:cstheme="majorBidi"/>
            <w:noProof/>
            <w:webHidden/>
            <w:sz w:val="24"/>
            <w:szCs w:val="28"/>
          </w:rPr>
          <w:fldChar w:fldCharType="end"/>
        </w:r>
      </w:hyperlink>
    </w:p>
    <w:p w14:paraId="1F9BF51A" w14:textId="1102C247"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1" w:history="1">
        <w:r w:rsidR="00050632" w:rsidRPr="00EB3899">
          <w:rPr>
            <w:rStyle w:val="Hyperlink"/>
            <w:rFonts w:asciiTheme="majorBidi" w:hAnsiTheme="majorBidi" w:cstheme="majorBidi"/>
            <w:noProof/>
            <w:sz w:val="24"/>
            <w:szCs w:val="28"/>
            <w:lang w:val="en-US"/>
          </w:rPr>
          <w:t>2.4.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Analytical Report on the Development of the Skincare Products Market in Turkey and the Potential Success of Exporting Algerian Proderma Product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123</w:t>
        </w:r>
        <w:r w:rsidR="00050632" w:rsidRPr="00EB3899">
          <w:rPr>
            <w:rFonts w:asciiTheme="majorBidi" w:hAnsiTheme="majorBidi" w:cstheme="majorBidi"/>
            <w:noProof/>
            <w:webHidden/>
            <w:sz w:val="24"/>
            <w:szCs w:val="28"/>
          </w:rPr>
          <w:fldChar w:fldCharType="end"/>
        </w:r>
      </w:hyperlink>
    </w:p>
    <w:p w14:paraId="3D16A31A" w14:textId="0BA69854"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2" w:history="1">
        <w:r w:rsidR="00050632" w:rsidRPr="00EB3899">
          <w:rPr>
            <w:rStyle w:val="Hyperlink"/>
            <w:rFonts w:asciiTheme="majorBidi" w:hAnsiTheme="majorBidi" w:cstheme="majorBidi"/>
            <w:noProof/>
            <w:sz w:val="24"/>
            <w:szCs w:val="28"/>
          </w:rPr>
          <w:t>2.4.1.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Development of the Skincare Market in Turkey: Production and Consumption Market Size and Growth Rate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123</w:t>
        </w:r>
        <w:r w:rsidR="00050632" w:rsidRPr="00EB3899">
          <w:rPr>
            <w:rFonts w:asciiTheme="majorBidi" w:hAnsiTheme="majorBidi" w:cstheme="majorBidi"/>
            <w:noProof/>
            <w:webHidden/>
            <w:sz w:val="24"/>
            <w:szCs w:val="28"/>
          </w:rPr>
          <w:fldChar w:fldCharType="end"/>
        </w:r>
      </w:hyperlink>
    </w:p>
    <w:p w14:paraId="287BE491" w14:textId="4106F5E5"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3" w:history="1">
        <w:r w:rsidR="00050632" w:rsidRPr="00EB3899">
          <w:rPr>
            <w:rStyle w:val="Hyperlink"/>
            <w:rFonts w:asciiTheme="majorBidi" w:hAnsiTheme="majorBidi" w:cstheme="majorBidi"/>
            <w:noProof/>
            <w:sz w:val="24"/>
            <w:szCs w:val="28"/>
          </w:rPr>
          <w:t>2.4.2.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Channels and Trade Landscape Main Distribution Channel</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126</w:t>
        </w:r>
        <w:r w:rsidR="00050632" w:rsidRPr="00EB3899">
          <w:rPr>
            <w:rFonts w:asciiTheme="majorBidi" w:hAnsiTheme="majorBidi" w:cstheme="majorBidi"/>
            <w:noProof/>
            <w:webHidden/>
            <w:sz w:val="24"/>
            <w:szCs w:val="28"/>
          </w:rPr>
          <w:fldChar w:fldCharType="end"/>
        </w:r>
      </w:hyperlink>
    </w:p>
    <w:p w14:paraId="33FC4ED1" w14:textId="74DC23C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4" w:history="1">
        <w:r w:rsidR="00050632" w:rsidRPr="00EB3899">
          <w:rPr>
            <w:rStyle w:val="Hyperlink"/>
            <w:rFonts w:asciiTheme="majorBidi" w:hAnsiTheme="majorBidi" w:cstheme="majorBidi"/>
            <w:noProof/>
            <w:sz w:val="24"/>
            <w:szCs w:val="28"/>
            <w:lang w:val="en-US"/>
          </w:rPr>
          <w:t>2.5.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Comparative Analysis of Turkish Imports and Opportunities for Algerian Product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128</w:t>
        </w:r>
        <w:r w:rsidR="00050632" w:rsidRPr="00EB3899">
          <w:rPr>
            <w:rFonts w:asciiTheme="majorBidi" w:hAnsiTheme="majorBidi" w:cstheme="majorBidi"/>
            <w:noProof/>
            <w:webHidden/>
            <w:sz w:val="24"/>
            <w:szCs w:val="28"/>
          </w:rPr>
          <w:fldChar w:fldCharType="end"/>
        </w:r>
      </w:hyperlink>
    </w:p>
    <w:p w14:paraId="71686DFB" w14:textId="117B20AF"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5" w:history="1">
        <w:r w:rsidR="00050632" w:rsidRPr="00EB3899">
          <w:rPr>
            <w:rStyle w:val="Hyperlink"/>
            <w:rFonts w:asciiTheme="majorBidi" w:hAnsiTheme="majorBidi" w:cstheme="majorBidi"/>
            <w:noProof/>
            <w:sz w:val="24"/>
            <w:szCs w:val="28"/>
            <w:lang w:val="en-US"/>
          </w:rPr>
          <w:t>2.6.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Legal and Regulatory Framework for Cosmetic Product Expor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130</w:t>
        </w:r>
        <w:r w:rsidR="00050632" w:rsidRPr="00EB3899">
          <w:rPr>
            <w:rFonts w:asciiTheme="majorBidi" w:hAnsiTheme="majorBidi" w:cstheme="majorBidi"/>
            <w:noProof/>
            <w:webHidden/>
            <w:sz w:val="24"/>
            <w:szCs w:val="28"/>
          </w:rPr>
          <w:fldChar w:fldCharType="end"/>
        </w:r>
      </w:hyperlink>
    </w:p>
    <w:p w14:paraId="4E503004" w14:textId="3E6DEBC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6" w:history="1">
        <w:r w:rsidR="00050632" w:rsidRPr="00EB3899">
          <w:rPr>
            <w:rStyle w:val="Hyperlink"/>
            <w:rFonts w:asciiTheme="majorBidi" w:eastAsia="Times New Roman" w:hAnsiTheme="majorBidi" w:cstheme="majorBidi"/>
            <w:noProof/>
            <w:sz w:val="24"/>
            <w:szCs w:val="28"/>
            <w:lang w:eastAsia="fr-FR"/>
          </w:rPr>
          <w:t>2.7.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Key Requirements for Exporting Cosmetic Product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131</w:t>
        </w:r>
        <w:r w:rsidR="00050632" w:rsidRPr="00EB3899">
          <w:rPr>
            <w:rFonts w:asciiTheme="majorBidi" w:hAnsiTheme="majorBidi" w:cstheme="majorBidi"/>
            <w:noProof/>
            <w:webHidden/>
            <w:sz w:val="24"/>
            <w:szCs w:val="28"/>
          </w:rPr>
          <w:fldChar w:fldCharType="end"/>
        </w:r>
      </w:hyperlink>
    </w:p>
    <w:p w14:paraId="754EF0C7" w14:textId="26275E59"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37" w:history="1">
        <w:r w:rsidR="00050632" w:rsidRPr="00EB3899">
          <w:rPr>
            <w:rStyle w:val="Hyperlink"/>
            <w:rFonts w:asciiTheme="majorBidi" w:eastAsia="Calibri" w:hAnsiTheme="majorBidi" w:cstheme="majorBidi"/>
            <w:i w:val="0"/>
            <w:iCs w:val="0"/>
            <w:noProof/>
            <w:sz w:val="28"/>
            <w:szCs w:val="36"/>
            <w:lang w:val="en-US"/>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Microeconomic analysi</w:t>
        </w:r>
        <w:r w:rsidR="00DF40CC" w:rsidRPr="00EB3899">
          <w:rPr>
            <w:rStyle w:val="Hyperlink"/>
            <w:rFonts w:asciiTheme="majorBidi" w:hAnsiTheme="majorBidi" w:cstheme="majorBidi"/>
            <w:i w:val="0"/>
            <w:iCs w:val="0"/>
            <w:noProof/>
            <w:sz w:val="28"/>
            <w:szCs w:val="36"/>
          </w:rPr>
          <w:t>s</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_Toc200721737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132</w:t>
        </w:r>
        <w:r w:rsidR="00050632" w:rsidRPr="00EB3899">
          <w:rPr>
            <w:rFonts w:asciiTheme="majorBidi" w:hAnsiTheme="majorBidi" w:cstheme="majorBidi"/>
            <w:i w:val="0"/>
            <w:iCs w:val="0"/>
            <w:noProof/>
            <w:webHidden/>
            <w:sz w:val="28"/>
            <w:szCs w:val="36"/>
          </w:rPr>
          <w:fldChar w:fldCharType="end"/>
        </w:r>
      </w:hyperlink>
    </w:p>
    <w:p w14:paraId="7077EEA3" w14:textId="7D00136C"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8" w:history="1">
        <w:r w:rsidR="00050632" w:rsidRPr="00EB3899">
          <w:rPr>
            <w:rStyle w:val="Hyperlink"/>
            <w:rFonts w:asciiTheme="majorBidi" w:eastAsia="Calibri" w:hAnsiTheme="majorBidi" w:cstheme="majorBidi"/>
            <w:noProof/>
            <w:sz w:val="24"/>
            <w:szCs w:val="28"/>
            <w:lang w:val="en-US"/>
          </w:rPr>
          <w:t>3.1.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General sample dat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132</w:t>
        </w:r>
        <w:r w:rsidR="00050632" w:rsidRPr="00EB3899">
          <w:rPr>
            <w:rFonts w:asciiTheme="majorBidi" w:hAnsiTheme="majorBidi" w:cstheme="majorBidi"/>
            <w:noProof/>
            <w:webHidden/>
            <w:sz w:val="24"/>
            <w:szCs w:val="28"/>
          </w:rPr>
          <w:fldChar w:fldCharType="end"/>
        </w:r>
      </w:hyperlink>
    </w:p>
    <w:p w14:paraId="440AD63B" w14:textId="286BC82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39" w:history="1">
        <w:r w:rsidR="00050632" w:rsidRPr="00EB3899">
          <w:rPr>
            <w:rStyle w:val="Hyperlink"/>
            <w:rFonts w:asciiTheme="majorBidi" w:eastAsia="Calibri" w:hAnsiTheme="majorBidi" w:cstheme="majorBidi"/>
            <w:noProof/>
            <w:sz w:val="24"/>
            <w:szCs w:val="28"/>
          </w:rPr>
          <w:t>3.1.1.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Distribution of the research sample by age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_Toc200721739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132</w:t>
        </w:r>
        <w:r w:rsidR="00050632" w:rsidRPr="00EB3899">
          <w:rPr>
            <w:rFonts w:asciiTheme="majorBidi" w:hAnsiTheme="majorBidi" w:cstheme="majorBidi"/>
            <w:noProof/>
            <w:webHidden/>
            <w:sz w:val="24"/>
            <w:szCs w:val="28"/>
          </w:rPr>
          <w:fldChar w:fldCharType="end"/>
        </w:r>
      </w:hyperlink>
    </w:p>
    <w:p w14:paraId="6EC96860" w14:textId="464E170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0" w:history="1">
        <w:r w:rsidR="00050632" w:rsidRPr="00EB3899">
          <w:rPr>
            <w:rStyle w:val="Hyperlink"/>
            <w:rFonts w:asciiTheme="majorBidi" w:hAnsiTheme="majorBidi" w:cstheme="majorBidi"/>
            <w:noProof/>
            <w:sz w:val="24"/>
            <w:szCs w:val="28"/>
          </w:rPr>
          <w:t>3.1.2.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gender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133</w:t>
        </w:r>
        <w:r w:rsidR="00050632" w:rsidRPr="00EB3899">
          <w:rPr>
            <w:rFonts w:asciiTheme="majorBidi" w:hAnsiTheme="majorBidi" w:cstheme="majorBidi"/>
            <w:noProof/>
            <w:webHidden/>
            <w:sz w:val="24"/>
            <w:szCs w:val="28"/>
          </w:rPr>
          <w:fldChar w:fldCharType="end"/>
        </w:r>
      </w:hyperlink>
    </w:p>
    <w:p w14:paraId="3FB62E00" w14:textId="0CB509C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1" w:history="1">
        <w:r w:rsidR="00050632" w:rsidRPr="00EB3899">
          <w:rPr>
            <w:rStyle w:val="Hyperlink"/>
            <w:rFonts w:asciiTheme="majorBidi" w:hAnsiTheme="majorBidi" w:cstheme="majorBidi"/>
            <w:noProof/>
            <w:sz w:val="24"/>
            <w:szCs w:val="28"/>
          </w:rPr>
          <w:t>3.1.3.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residence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133</w:t>
        </w:r>
        <w:r w:rsidR="00050632" w:rsidRPr="00EB3899">
          <w:rPr>
            <w:rFonts w:asciiTheme="majorBidi" w:hAnsiTheme="majorBidi" w:cstheme="majorBidi"/>
            <w:noProof/>
            <w:webHidden/>
            <w:sz w:val="24"/>
            <w:szCs w:val="28"/>
          </w:rPr>
          <w:fldChar w:fldCharType="end"/>
        </w:r>
      </w:hyperlink>
    </w:p>
    <w:p w14:paraId="4B0F8B0B" w14:textId="00CD5936"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2" w:history="1">
        <w:r w:rsidR="00050632" w:rsidRPr="00EB3899">
          <w:rPr>
            <w:rStyle w:val="Hyperlink"/>
            <w:rFonts w:asciiTheme="majorBidi" w:hAnsiTheme="majorBidi" w:cstheme="majorBidi"/>
            <w:noProof/>
            <w:sz w:val="24"/>
            <w:szCs w:val="28"/>
          </w:rPr>
          <w:t>3.1.4.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employment status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134</w:t>
        </w:r>
        <w:r w:rsidR="00050632" w:rsidRPr="00EB3899">
          <w:rPr>
            <w:rFonts w:asciiTheme="majorBidi" w:hAnsiTheme="majorBidi" w:cstheme="majorBidi"/>
            <w:noProof/>
            <w:webHidden/>
            <w:sz w:val="24"/>
            <w:szCs w:val="28"/>
          </w:rPr>
          <w:fldChar w:fldCharType="end"/>
        </w:r>
      </w:hyperlink>
    </w:p>
    <w:p w14:paraId="2E56050E" w14:textId="2A3FEF70"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3" w:history="1">
        <w:r w:rsidR="00050632" w:rsidRPr="00EB3899">
          <w:rPr>
            <w:rStyle w:val="Hyperlink"/>
            <w:rFonts w:asciiTheme="majorBidi" w:hAnsiTheme="majorBidi" w:cstheme="majorBidi"/>
            <w:noProof/>
            <w:sz w:val="24"/>
            <w:szCs w:val="28"/>
          </w:rPr>
          <w:t>3.1.5.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incomes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135</w:t>
        </w:r>
        <w:r w:rsidR="00050632" w:rsidRPr="00EB3899">
          <w:rPr>
            <w:rFonts w:asciiTheme="majorBidi" w:hAnsiTheme="majorBidi" w:cstheme="majorBidi"/>
            <w:noProof/>
            <w:webHidden/>
            <w:sz w:val="24"/>
            <w:szCs w:val="28"/>
          </w:rPr>
          <w:fldChar w:fldCharType="end"/>
        </w:r>
      </w:hyperlink>
    </w:p>
    <w:p w14:paraId="350CBEAE" w14:textId="0894306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4" w:history="1">
        <w:r w:rsidR="00050632" w:rsidRPr="00EB3899">
          <w:rPr>
            <w:rStyle w:val="Hyperlink"/>
            <w:rFonts w:asciiTheme="majorBidi" w:hAnsiTheme="majorBidi" w:cstheme="majorBidi"/>
            <w:noProof/>
            <w:sz w:val="24"/>
            <w:szCs w:val="28"/>
          </w:rPr>
          <w:t>3.1.6.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marital status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135</w:t>
        </w:r>
        <w:r w:rsidR="00050632" w:rsidRPr="00EB3899">
          <w:rPr>
            <w:rFonts w:asciiTheme="majorBidi" w:hAnsiTheme="majorBidi" w:cstheme="majorBidi"/>
            <w:noProof/>
            <w:webHidden/>
            <w:sz w:val="24"/>
            <w:szCs w:val="28"/>
          </w:rPr>
          <w:fldChar w:fldCharType="end"/>
        </w:r>
      </w:hyperlink>
    </w:p>
    <w:p w14:paraId="44FBF5D3" w14:textId="717CC8A2"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5" w:history="1">
        <w:r w:rsidR="00050632" w:rsidRPr="00EB3899">
          <w:rPr>
            <w:rStyle w:val="Hyperlink"/>
            <w:rFonts w:asciiTheme="majorBidi" w:hAnsiTheme="majorBidi" w:cstheme="majorBidi"/>
            <w:noProof/>
            <w:sz w:val="24"/>
            <w:szCs w:val="28"/>
          </w:rPr>
          <w:t>3.1.7.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family number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136</w:t>
        </w:r>
        <w:r w:rsidR="00050632" w:rsidRPr="00EB3899">
          <w:rPr>
            <w:rFonts w:asciiTheme="majorBidi" w:hAnsiTheme="majorBidi" w:cstheme="majorBidi"/>
            <w:noProof/>
            <w:webHidden/>
            <w:sz w:val="24"/>
            <w:szCs w:val="28"/>
          </w:rPr>
          <w:fldChar w:fldCharType="end"/>
        </w:r>
      </w:hyperlink>
    </w:p>
    <w:p w14:paraId="1112669D" w14:textId="72E17C8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6" w:history="1">
        <w:r w:rsidR="00050632" w:rsidRPr="00EB3899">
          <w:rPr>
            <w:rStyle w:val="Hyperlink"/>
            <w:rFonts w:asciiTheme="majorBidi" w:hAnsiTheme="majorBidi" w:cstheme="majorBidi"/>
            <w:noProof/>
            <w:sz w:val="24"/>
            <w:szCs w:val="28"/>
          </w:rPr>
          <w:t>3.1.8.</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Distribution of the research sample by purchase place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136</w:t>
        </w:r>
        <w:r w:rsidR="00050632" w:rsidRPr="00EB3899">
          <w:rPr>
            <w:rFonts w:asciiTheme="majorBidi" w:hAnsiTheme="majorBidi" w:cstheme="majorBidi"/>
            <w:noProof/>
            <w:webHidden/>
            <w:sz w:val="24"/>
            <w:szCs w:val="28"/>
          </w:rPr>
          <w:fldChar w:fldCharType="end"/>
        </w:r>
      </w:hyperlink>
    </w:p>
    <w:p w14:paraId="09F7490A" w14:textId="208D62CB"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7" w:history="1">
        <w:r w:rsidR="00050632" w:rsidRPr="00EB3899">
          <w:rPr>
            <w:rStyle w:val="Hyperlink"/>
            <w:rFonts w:asciiTheme="majorBidi" w:hAnsiTheme="majorBidi" w:cstheme="majorBidi"/>
            <w:noProof/>
            <w:sz w:val="24"/>
            <w:szCs w:val="28"/>
            <w:lang w:val="en-US"/>
          </w:rPr>
          <w:t>3.2.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Data analysis regarding the boycott part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138</w:t>
        </w:r>
        <w:r w:rsidR="00050632" w:rsidRPr="00EB3899">
          <w:rPr>
            <w:rFonts w:asciiTheme="majorBidi" w:hAnsiTheme="majorBidi" w:cstheme="majorBidi"/>
            <w:noProof/>
            <w:webHidden/>
            <w:sz w:val="24"/>
            <w:szCs w:val="28"/>
          </w:rPr>
          <w:fldChar w:fldCharType="end"/>
        </w:r>
      </w:hyperlink>
    </w:p>
    <w:p w14:paraId="6EB9BA5B" w14:textId="72E00165"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8" w:history="1">
        <w:r w:rsidR="00050632" w:rsidRPr="00EB3899">
          <w:rPr>
            <w:rStyle w:val="Hyperlink"/>
            <w:rFonts w:asciiTheme="majorBidi" w:hAnsiTheme="majorBidi" w:cstheme="majorBidi"/>
            <w:noProof/>
            <w:sz w:val="24"/>
            <w:szCs w:val="28"/>
          </w:rPr>
          <w:t>3.2.1.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Axis reliability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138</w:t>
        </w:r>
        <w:r w:rsidR="00050632" w:rsidRPr="00EB3899">
          <w:rPr>
            <w:rFonts w:asciiTheme="majorBidi" w:hAnsiTheme="majorBidi" w:cstheme="majorBidi"/>
            <w:noProof/>
            <w:webHidden/>
            <w:sz w:val="24"/>
            <w:szCs w:val="28"/>
          </w:rPr>
          <w:fldChar w:fldCharType="end"/>
        </w:r>
      </w:hyperlink>
    </w:p>
    <w:p w14:paraId="662F17F6" w14:textId="73DA7CE2"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49" w:history="1">
        <w:r w:rsidR="00050632" w:rsidRPr="00EB3899">
          <w:rPr>
            <w:rStyle w:val="Hyperlink"/>
            <w:rFonts w:asciiTheme="majorBidi" w:hAnsiTheme="majorBidi" w:cstheme="majorBidi"/>
            <w:noProof/>
            <w:sz w:val="24"/>
            <w:szCs w:val="28"/>
          </w:rPr>
          <w:t>3.2.2.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individuals' response</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_Toc200721749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138</w:t>
        </w:r>
        <w:r w:rsidR="00050632" w:rsidRPr="00EB3899">
          <w:rPr>
            <w:rFonts w:asciiTheme="majorBidi" w:hAnsiTheme="majorBidi" w:cstheme="majorBidi"/>
            <w:noProof/>
            <w:webHidden/>
            <w:sz w:val="24"/>
            <w:szCs w:val="28"/>
          </w:rPr>
          <w:fldChar w:fldCharType="end"/>
        </w:r>
      </w:hyperlink>
    </w:p>
    <w:p w14:paraId="37B72F94" w14:textId="3627FB28" w:rsidR="00050632" w:rsidRPr="00183CEB" w:rsidRDefault="00B6520E">
      <w:pPr>
        <w:pStyle w:val="TOC6"/>
        <w:tabs>
          <w:tab w:val="left" w:pos="1880"/>
          <w:tab w:val="right" w:leader="dot" w:pos="9062"/>
        </w:tabs>
        <w:rPr>
          <w:rFonts w:asciiTheme="majorBidi" w:eastAsiaTheme="minorEastAsia" w:hAnsiTheme="majorBidi" w:cstheme="majorBidi"/>
          <w:noProof/>
          <w:kern w:val="2"/>
          <w:sz w:val="32"/>
          <w:szCs w:val="32"/>
          <w:lang w:val="en-GB" w:eastAsia="en-GB"/>
          <w14:ligatures w14:val="standardContextual"/>
        </w:rPr>
      </w:pPr>
      <w:hyperlink w:anchor="_Toc200721750" w:history="1">
        <w:r w:rsidR="00050632" w:rsidRPr="00183CEB">
          <w:rPr>
            <w:rStyle w:val="Hyperlink"/>
            <w:rFonts w:asciiTheme="majorBidi" w:hAnsiTheme="majorBidi" w:cstheme="majorBidi"/>
            <w:noProof/>
            <w:sz w:val="22"/>
            <w:szCs w:val="24"/>
            <w:lang w:val="en-US"/>
          </w:rPr>
          <w:t>3.2.2.1.</w:t>
        </w:r>
        <w:r w:rsidR="00050632" w:rsidRPr="00183CEB">
          <w:rPr>
            <w:rFonts w:asciiTheme="majorBidi" w:eastAsiaTheme="minorEastAsia" w:hAnsiTheme="majorBidi" w:cstheme="majorBidi"/>
            <w:noProof/>
            <w:kern w:val="2"/>
            <w:sz w:val="32"/>
            <w:szCs w:val="32"/>
            <w:lang w:val="en-GB" w:eastAsia="en-GB"/>
            <w14:ligatures w14:val="standardContextual"/>
          </w:rPr>
          <w:tab/>
        </w:r>
        <w:r w:rsidR="00050632" w:rsidRPr="00183CEB">
          <w:rPr>
            <w:rStyle w:val="Hyperlink"/>
            <w:rFonts w:asciiTheme="majorBidi" w:hAnsiTheme="majorBidi" w:cstheme="majorBidi"/>
            <w:noProof/>
            <w:sz w:val="22"/>
            <w:szCs w:val="24"/>
          </w:rPr>
          <w:t>Analysis of individuals' responses regarding the measurement of boycot</w:t>
        </w:r>
        <w:r w:rsidR="00050632" w:rsidRPr="00183CEB">
          <w:rPr>
            <w:rFonts w:asciiTheme="majorBidi" w:hAnsiTheme="majorBidi" w:cstheme="majorBidi"/>
            <w:noProof/>
            <w:webHidden/>
            <w:sz w:val="22"/>
            <w:szCs w:val="24"/>
          </w:rPr>
          <w:tab/>
        </w:r>
        <w:r w:rsidR="00050632" w:rsidRPr="00183CEB">
          <w:rPr>
            <w:rFonts w:asciiTheme="majorBidi" w:hAnsiTheme="majorBidi" w:cstheme="majorBidi"/>
            <w:noProof/>
            <w:webHidden/>
            <w:sz w:val="22"/>
            <w:szCs w:val="24"/>
          </w:rPr>
          <w:fldChar w:fldCharType="begin"/>
        </w:r>
        <w:r w:rsidR="00050632" w:rsidRPr="00183CEB">
          <w:rPr>
            <w:rFonts w:asciiTheme="majorBidi" w:hAnsiTheme="majorBidi" w:cstheme="majorBidi"/>
            <w:noProof/>
            <w:webHidden/>
            <w:sz w:val="22"/>
            <w:szCs w:val="24"/>
          </w:rPr>
          <w:instrText xml:space="preserve"> PAGEREF _Toc200721750 \h </w:instrText>
        </w:r>
        <w:r w:rsidR="00050632" w:rsidRPr="00183CEB">
          <w:rPr>
            <w:rFonts w:asciiTheme="majorBidi" w:hAnsiTheme="majorBidi" w:cstheme="majorBidi"/>
            <w:noProof/>
            <w:webHidden/>
            <w:sz w:val="22"/>
            <w:szCs w:val="24"/>
          </w:rPr>
        </w:r>
        <w:r w:rsidR="00050632" w:rsidRPr="00183CEB">
          <w:rPr>
            <w:rFonts w:asciiTheme="majorBidi" w:hAnsiTheme="majorBidi" w:cstheme="majorBidi"/>
            <w:noProof/>
            <w:webHidden/>
            <w:sz w:val="22"/>
            <w:szCs w:val="24"/>
          </w:rPr>
          <w:fldChar w:fldCharType="separate"/>
        </w:r>
        <w:r w:rsidR="00A10E08">
          <w:rPr>
            <w:rFonts w:asciiTheme="majorBidi" w:hAnsiTheme="majorBidi" w:cstheme="majorBidi"/>
            <w:noProof/>
            <w:webHidden/>
            <w:sz w:val="22"/>
            <w:szCs w:val="24"/>
          </w:rPr>
          <w:t>138</w:t>
        </w:r>
        <w:r w:rsidR="00050632" w:rsidRPr="00183CEB">
          <w:rPr>
            <w:rFonts w:asciiTheme="majorBidi" w:hAnsiTheme="majorBidi" w:cstheme="majorBidi"/>
            <w:noProof/>
            <w:webHidden/>
            <w:sz w:val="22"/>
            <w:szCs w:val="24"/>
          </w:rPr>
          <w:fldChar w:fldCharType="end"/>
        </w:r>
      </w:hyperlink>
    </w:p>
    <w:p w14:paraId="09A91A3C" w14:textId="0CF5AAD5" w:rsidR="00050632" w:rsidRPr="00183CEB" w:rsidRDefault="00B6520E">
      <w:pPr>
        <w:pStyle w:val="TOC6"/>
        <w:tabs>
          <w:tab w:val="left" w:pos="2015"/>
          <w:tab w:val="right" w:leader="dot" w:pos="9062"/>
        </w:tabs>
        <w:rPr>
          <w:rFonts w:asciiTheme="majorBidi" w:eastAsiaTheme="minorEastAsia" w:hAnsiTheme="majorBidi" w:cstheme="majorBidi"/>
          <w:noProof/>
          <w:kern w:val="2"/>
          <w:sz w:val="32"/>
          <w:szCs w:val="32"/>
          <w:lang w:val="en-GB" w:eastAsia="en-GB"/>
          <w14:ligatures w14:val="standardContextual"/>
        </w:rPr>
      </w:pPr>
      <w:hyperlink w:anchor="_Toc200721751" w:history="1">
        <w:r w:rsidR="00050632" w:rsidRPr="00183CEB">
          <w:rPr>
            <w:rStyle w:val="Hyperlink"/>
            <w:rFonts w:asciiTheme="majorBidi" w:hAnsiTheme="majorBidi" w:cstheme="majorBidi"/>
            <w:noProof/>
            <w:sz w:val="22"/>
            <w:szCs w:val="24"/>
            <w:lang w:val="en-US"/>
          </w:rPr>
          <w:t>3.2.2.1.2.</w:t>
        </w:r>
        <w:r w:rsidR="00050632" w:rsidRPr="00183CEB">
          <w:rPr>
            <w:rFonts w:asciiTheme="majorBidi" w:eastAsiaTheme="minorEastAsia" w:hAnsiTheme="majorBidi" w:cstheme="majorBidi"/>
            <w:noProof/>
            <w:kern w:val="2"/>
            <w:sz w:val="32"/>
            <w:szCs w:val="32"/>
            <w:lang w:val="en-GB" w:eastAsia="en-GB"/>
            <w14:ligatures w14:val="standardContextual"/>
          </w:rPr>
          <w:tab/>
        </w:r>
        <w:r w:rsidR="00050632" w:rsidRPr="00183CEB">
          <w:rPr>
            <w:rStyle w:val="Hyperlink"/>
            <w:rFonts w:asciiTheme="majorBidi" w:hAnsiTheme="majorBidi" w:cstheme="majorBidi"/>
            <w:noProof/>
            <w:sz w:val="22"/>
            <w:szCs w:val="24"/>
          </w:rPr>
          <w:t>Analysis of the second axis the consumer motivation for boycott</w:t>
        </w:r>
        <w:r w:rsidR="00050632" w:rsidRPr="00183CEB">
          <w:rPr>
            <w:rFonts w:asciiTheme="majorBidi" w:hAnsiTheme="majorBidi" w:cstheme="majorBidi"/>
            <w:noProof/>
            <w:webHidden/>
            <w:sz w:val="22"/>
            <w:szCs w:val="24"/>
          </w:rPr>
          <w:tab/>
        </w:r>
        <w:r w:rsidR="00050632" w:rsidRPr="00183CEB">
          <w:rPr>
            <w:rFonts w:asciiTheme="majorBidi" w:hAnsiTheme="majorBidi" w:cstheme="majorBidi"/>
            <w:noProof/>
            <w:webHidden/>
            <w:sz w:val="22"/>
            <w:szCs w:val="24"/>
          </w:rPr>
          <w:fldChar w:fldCharType="begin"/>
        </w:r>
        <w:r w:rsidR="00050632" w:rsidRPr="00183CEB">
          <w:rPr>
            <w:rFonts w:asciiTheme="majorBidi" w:hAnsiTheme="majorBidi" w:cstheme="majorBidi"/>
            <w:noProof/>
            <w:webHidden/>
            <w:sz w:val="22"/>
            <w:szCs w:val="24"/>
          </w:rPr>
          <w:instrText xml:space="preserve"> PAGEREF _Toc200721751 \h </w:instrText>
        </w:r>
        <w:r w:rsidR="00050632" w:rsidRPr="00183CEB">
          <w:rPr>
            <w:rFonts w:asciiTheme="majorBidi" w:hAnsiTheme="majorBidi" w:cstheme="majorBidi"/>
            <w:noProof/>
            <w:webHidden/>
            <w:sz w:val="22"/>
            <w:szCs w:val="24"/>
          </w:rPr>
        </w:r>
        <w:r w:rsidR="00050632" w:rsidRPr="00183CEB">
          <w:rPr>
            <w:rFonts w:asciiTheme="majorBidi" w:hAnsiTheme="majorBidi" w:cstheme="majorBidi"/>
            <w:noProof/>
            <w:webHidden/>
            <w:sz w:val="22"/>
            <w:szCs w:val="24"/>
          </w:rPr>
          <w:fldChar w:fldCharType="separate"/>
        </w:r>
        <w:r w:rsidR="00A10E08">
          <w:rPr>
            <w:rFonts w:asciiTheme="majorBidi" w:hAnsiTheme="majorBidi" w:cstheme="majorBidi"/>
            <w:noProof/>
            <w:webHidden/>
            <w:sz w:val="22"/>
            <w:szCs w:val="24"/>
          </w:rPr>
          <w:t>140</w:t>
        </w:r>
        <w:r w:rsidR="00050632" w:rsidRPr="00183CEB">
          <w:rPr>
            <w:rFonts w:asciiTheme="majorBidi" w:hAnsiTheme="majorBidi" w:cstheme="majorBidi"/>
            <w:noProof/>
            <w:webHidden/>
            <w:sz w:val="22"/>
            <w:szCs w:val="24"/>
          </w:rPr>
          <w:fldChar w:fldCharType="end"/>
        </w:r>
      </w:hyperlink>
    </w:p>
    <w:p w14:paraId="37601EA1" w14:textId="7B9A5EF6" w:rsidR="00050632" w:rsidRPr="00183CEB" w:rsidRDefault="00B6520E">
      <w:pPr>
        <w:pStyle w:val="TOC6"/>
        <w:tabs>
          <w:tab w:val="left" w:pos="2015"/>
          <w:tab w:val="right" w:leader="dot" w:pos="9062"/>
        </w:tabs>
        <w:rPr>
          <w:rFonts w:asciiTheme="majorBidi" w:eastAsiaTheme="minorEastAsia" w:hAnsiTheme="majorBidi" w:cstheme="majorBidi"/>
          <w:noProof/>
          <w:kern w:val="2"/>
          <w:sz w:val="32"/>
          <w:szCs w:val="32"/>
          <w:lang w:val="en-GB" w:eastAsia="en-GB"/>
          <w14:ligatures w14:val="standardContextual"/>
        </w:rPr>
      </w:pPr>
      <w:hyperlink w:anchor="_Toc200721752" w:history="1">
        <w:r w:rsidR="00050632" w:rsidRPr="00183CEB">
          <w:rPr>
            <w:rStyle w:val="Hyperlink"/>
            <w:rFonts w:asciiTheme="majorBidi" w:hAnsiTheme="majorBidi" w:cstheme="majorBidi"/>
            <w:noProof/>
            <w:sz w:val="22"/>
            <w:szCs w:val="24"/>
            <w:lang w:val="en-US"/>
          </w:rPr>
          <w:t>3.2.2.1.3.</w:t>
        </w:r>
        <w:r w:rsidR="00050632" w:rsidRPr="00183CEB">
          <w:rPr>
            <w:rFonts w:asciiTheme="majorBidi" w:eastAsiaTheme="minorEastAsia" w:hAnsiTheme="majorBidi" w:cstheme="majorBidi"/>
            <w:noProof/>
            <w:kern w:val="2"/>
            <w:sz w:val="32"/>
            <w:szCs w:val="32"/>
            <w:lang w:val="en-GB" w:eastAsia="en-GB"/>
            <w14:ligatures w14:val="standardContextual"/>
          </w:rPr>
          <w:tab/>
        </w:r>
        <w:r w:rsidR="00050632" w:rsidRPr="00183CEB">
          <w:rPr>
            <w:rStyle w:val="Hyperlink"/>
            <w:rFonts w:asciiTheme="majorBidi" w:hAnsiTheme="majorBidi" w:cstheme="majorBidi"/>
            <w:noProof/>
            <w:sz w:val="22"/>
            <w:szCs w:val="24"/>
          </w:rPr>
          <w:t>Analysis of the third axis the trust in alternative products</w:t>
        </w:r>
        <w:r w:rsidR="00050632" w:rsidRPr="00183CEB">
          <w:rPr>
            <w:rFonts w:asciiTheme="majorBidi" w:hAnsiTheme="majorBidi" w:cstheme="majorBidi"/>
            <w:noProof/>
            <w:webHidden/>
            <w:sz w:val="22"/>
            <w:szCs w:val="24"/>
          </w:rPr>
          <w:tab/>
        </w:r>
        <w:r w:rsidR="00050632" w:rsidRPr="00183CEB">
          <w:rPr>
            <w:rFonts w:asciiTheme="majorBidi" w:hAnsiTheme="majorBidi" w:cstheme="majorBidi"/>
            <w:noProof/>
            <w:webHidden/>
            <w:sz w:val="22"/>
            <w:szCs w:val="24"/>
          </w:rPr>
          <w:fldChar w:fldCharType="begin"/>
        </w:r>
        <w:r w:rsidR="00050632" w:rsidRPr="00183CEB">
          <w:rPr>
            <w:rFonts w:asciiTheme="majorBidi" w:hAnsiTheme="majorBidi" w:cstheme="majorBidi"/>
            <w:noProof/>
            <w:webHidden/>
            <w:sz w:val="22"/>
            <w:szCs w:val="24"/>
          </w:rPr>
          <w:instrText xml:space="preserve"> PAGEREF _Toc200721752 \h </w:instrText>
        </w:r>
        <w:r w:rsidR="00050632" w:rsidRPr="00183CEB">
          <w:rPr>
            <w:rFonts w:asciiTheme="majorBidi" w:hAnsiTheme="majorBidi" w:cstheme="majorBidi"/>
            <w:noProof/>
            <w:webHidden/>
            <w:sz w:val="22"/>
            <w:szCs w:val="24"/>
          </w:rPr>
        </w:r>
        <w:r w:rsidR="00050632" w:rsidRPr="00183CEB">
          <w:rPr>
            <w:rFonts w:asciiTheme="majorBidi" w:hAnsiTheme="majorBidi" w:cstheme="majorBidi"/>
            <w:noProof/>
            <w:webHidden/>
            <w:sz w:val="22"/>
            <w:szCs w:val="24"/>
          </w:rPr>
          <w:fldChar w:fldCharType="separate"/>
        </w:r>
        <w:r w:rsidR="00A10E08">
          <w:rPr>
            <w:rFonts w:asciiTheme="majorBidi" w:hAnsiTheme="majorBidi" w:cstheme="majorBidi"/>
            <w:noProof/>
            <w:webHidden/>
            <w:sz w:val="22"/>
            <w:szCs w:val="24"/>
          </w:rPr>
          <w:t>141</w:t>
        </w:r>
        <w:r w:rsidR="00050632" w:rsidRPr="00183CEB">
          <w:rPr>
            <w:rFonts w:asciiTheme="majorBidi" w:hAnsiTheme="majorBidi" w:cstheme="majorBidi"/>
            <w:noProof/>
            <w:webHidden/>
            <w:sz w:val="22"/>
            <w:szCs w:val="24"/>
          </w:rPr>
          <w:fldChar w:fldCharType="end"/>
        </w:r>
      </w:hyperlink>
    </w:p>
    <w:p w14:paraId="7D83CE1E" w14:textId="05748EB9" w:rsidR="00050632" w:rsidRPr="00EB3899" w:rsidRDefault="00B6520E">
      <w:pPr>
        <w:pStyle w:val="TOC6"/>
        <w:tabs>
          <w:tab w:val="left" w:pos="2015"/>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3" w:history="1">
        <w:r w:rsidR="00050632" w:rsidRPr="00183CEB">
          <w:rPr>
            <w:rStyle w:val="Hyperlink"/>
            <w:rFonts w:asciiTheme="majorBidi" w:hAnsiTheme="majorBidi" w:cstheme="majorBidi"/>
            <w:noProof/>
            <w:sz w:val="22"/>
            <w:szCs w:val="24"/>
            <w:lang w:val="en-US"/>
          </w:rPr>
          <w:t>3.2.2.1.4.</w:t>
        </w:r>
        <w:r w:rsidR="00050632" w:rsidRPr="00183CEB">
          <w:rPr>
            <w:rFonts w:asciiTheme="majorBidi" w:eastAsiaTheme="minorEastAsia" w:hAnsiTheme="majorBidi" w:cstheme="majorBidi"/>
            <w:noProof/>
            <w:kern w:val="2"/>
            <w:sz w:val="32"/>
            <w:szCs w:val="32"/>
            <w:lang w:val="en-GB" w:eastAsia="en-GB"/>
            <w14:ligatures w14:val="standardContextual"/>
          </w:rPr>
          <w:tab/>
        </w:r>
        <w:r w:rsidR="00050632" w:rsidRPr="00183CEB">
          <w:rPr>
            <w:rStyle w:val="Hyperlink"/>
            <w:rFonts w:asciiTheme="majorBidi" w:hAnsiTheme="majorBidi" w:cstheme="majorBidi"/>
            <w:noProof/>
            <w:sz w:val="22"/>
            <w:szCs w:val="24"/>
          </w:rPr>
          <w:t>Analysis of the fourth axis the effectiveness of boycott in changing habits</w:t>
        </w:r>
        <w:r w:rsidR="00050632" w:rsidRPr="00183CEB">
          <w:rPr>
            <w:rFonts w:asciiTheme="majorBidi" w:hAnsiTheme="majorBidi" w:cstheme="majorBidi"/>
            <w:noProof/>
            <w:webHidden/>
            <w:sz w:val="22"/>
            <w:szCs w:val="24"/>
          </w:rPr>
          <w:tab/>
        </w:r>
        <w:r w:rsidR="00050632" w:rsidRPr="00183CEB">
          <w:rPr>
            <w:rFonts w:asciiTheme="majorBidi" w:hAnsiTheme="majorBidi" w:cstheme="majorBidi"/>
            <w:noProof/>
            <w:webHidden/>
            <w:sz w:val="22"/>
            <w:szCs w:val="24"/>
          </w:rPr>
          <w:fldChar w:fldCharType="begin"/>
        </w:r>
        <w:r w:rsidR="00050632" w:rsidRPr="00183CEB">
          <w:rPr>
            <w:rFonts w:asciiTheme="majorBidi" w:hAnsiTheme="majorBidi" w:cstheme="majorBidi"/>
            <w:noProof/>
            <w:webHidden/>
            <w:sz w:val="22"/>
            <w:szCs w:val="24"/>
          </w:rPr>
          <w:instrText xml:space="preserve"> PAGEREF _Toc200721753 \h </w:instrText>
        </w:r>
        <w:r w:rsidR="00050632" w:rsidRPr="00183CEB">
          <w:rPr>
            <w:rFonts w:asciiTheme="majorBidi" w:hAnsiTheme="majorBidi" w:cstheme="majorBidi"/>
            <w:noProof/>
            <w:webHidden/>
            <w:sz w:val="22"/>
            <w:szCs w:val="24"/>
          </w:rPr>
        </w:r>
        <w:r w:rsidR="00050632" w:rsidRPr="00183CEB">
          <w:rPr>
            <w:rFonts w:asciiTheme="majorBidi" w:hAnsiTheme="majorBidi" w:cstheme="majorBidi"/>
            <w:noProof/>
            <w:webHidden/>
            <w:sz w:val="22"/>
            <w:szCs w:val="24"/>
          </w:rPr>
          <w:fldChar w:fldCharType="separate"/>
        </w:r>
        <w:r w:rsidR="00A10E08">
          <w:rPr>
            <w:rFonts w:asciiTheme="majorBidi" w:hAnsiTheme="majorBidi" w:cstheme="majorBidi"/>
            <w:noProof/>
            <w:webHidden/>
            <w:sz w:val="22"/>
            <w:szCs w:val="24"/>
          </w:rPr>
          <w:t>142</w:t>
        </w:r>
        <w:r w:rsidR="00050632" w:rsidRPr="00183CEB">
          <w:rPr>
            <w:rFonts w:asciiTheme="majorBidi" w:hAnsiTheme="majorBidi" w:cstheme="majorBidi"/>
            <w:noProof/>
            <w:webHidden/>
            <w:sz w:val="22"/>
            <w:szCs w:val="24"/>
          </w:rPr>
          <w:fldChar w:fldCharType="end"/>
        </w:r>
      </w:hyperlink>
    </w:p>
    <w:p w14:paraId="4487479D" w14:textId="4009C75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4" w:history="1">
        <w:r w:rsidR="00050632" w:rsidRPr="00EB3899">
          <w:rPr>
            <w:rStyle w:val="Hyperlink"/>
            <w:rFonts w:asciiTheme="majorBidi" w:hAnsiTheme="majorBidi" w:cstheme="majorBidi"/>
            <w:noProof/>
            <w:sz w:val="24"/>
            <w:szCs w:val="28"/>
          </w:rPr>
          <w:t>3.2.3.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Overall degree of boycot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143</w:t>
        </w:r>
        <w:r w:rsidR="00050632" w:rsidRPr="00EB3899">
          <w:rPr>
            <w:rFonts w:asciiTheme="majorBidi" w:hAnsiTheme="majorBidi" w:cstheme="majorBidi"/>
            <w:noProof/>
            <w:webHidden/>
            <w:sz w:val="24"/>
            <w:szCs w:val="28"/>
          </w:rPr>
          <w:fldChar w:fldCharType="end"/>
        </w:r>
      </w:hyperlink>
    </w:p>
    <w:p w14:paraId="14D32F79" w14:textId="1FA1FDC7"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5" w:history="1">
        <w:r w:rsidR="00050632" w:rsidRPr="00EB3899">
          <w:rPr>
            <w:rStyle w:val="Hyperlink"/>
            <w:rFonts w:asciiTheme="majorBidi" w:hAnsiTheme="majorBidi" w:cstheme="majorBidi"/>
            <w:noProof/>
            <w:sz w:val="24"/>
            <w:szCs w:val="28"/>
            <w:lang w:val="en-US"/>
          </w:rPr>
          <w:t>3.3.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Data analysis regarding the alternative product appeal part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144</w:t>
        </w:r>
        <w:r w:rsidR="00050632" w:rsidRPr="00EB3899">
          <w:rPr>
            <w:rFonts w:asciiTheme="majorBidi" w:hAnsiTheme="majorBidi" w:cstheme="majorBidi"/>
            <w:noProof/>
            <w:webHidden/>
            <w:sz w:val="24"/>
            <w:szCs w:val="28"/>
          </w:rPr>
          <w:fldChar w:fldCharType="end"/>
        </w:r>
      </w:hyperlink>
    </w:p>
    <w:p w14:paraId="04D0FBD8" w14:textId="7AE8C683"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6" w:history="1">
        <w:r w:rsidR="00050632" w:rsidRPr="00EB3899">
          <w:rPr>
            <w:rStyle w:val="Hyperlink"/>
            <w:rFonts w:asciiTheme="majorBidi" w:eastAsia="Calibri" w:hAnsiTheme="majorBidi" w:cstheme="majorBidi"/>
            <w:noProof/>
            <w:sz w:val="24"/>
            <w:szCs w:val="28"/>
          </w:rPr>
          <w:t>3.3.1.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Axis reliability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144</w:t>
        </w:r>
        <w:r w:rsidR="00050632" w:rsidRPr="00EB3899">
          <w:rPr>
            <w:rFonts w:asciiTheme="majorBidi" w:hAnsiTheme="majorBidi" w:cstheme="majorBidi"/>
            <w:noProof/>
            <w:webHidden/>
            <w:sz w:val="24"/>
            <w:szCs w:val="28"/>
          </w:rPr>
          <w:fldChar w:fldCharType="end"/>
        </w:r>
      </w:hyperlink>
    </w:p>
    <w:p w14:paraId="605A3A80" w14:textId="5F6D981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7" w:history="1">
        <w:r w:rsidR="00050632" w:rsidRPr="00EB3899">
          <w:rPr>
            <w:rStyle w:val="Hyperlink"/>
            <w:rFonts w:asciiTheme="majorBidi" w:eastAsia="Calibri" w:hAnsiTheme="majorBidi" w:cstheme="majorBidi"/>
            <w:noProof/>
            <w:sz w:val="24"/>
            <w:szCs w:val="28"/>
          </w:rPr>
          <w:t>3.3.2.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product quality perception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145</w:t>
        </w:r>
        <w:r w:rsidR="00050632" w:rsidRPr="00EB3899">
          <w:rPr>
            <w:rFonts w:asciiTheme="majorBidi" w:hAnsiTheme="majorBidi" w:cstheme="majorBidi"/>
            <w:noProof/>
            <w:webHidden/>
            <w:sz w:val="24"/>
            <w:szCs w:val="28"/>
          </w:rPr>
          <w:fldChar w:fldCharType="end"/>
        </w:r>
      </w:hyperlink>
    </w:p>
    <w:p w14:paraId="008320B6" w14:textId="774A2E68"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8" w:history="1">
        <w:r w:rsidR="00050632" w:rsidRPr="00EB3899">
          <w:rPr>
            <w:rStyle w:val="Hyperlink"/>
            <w:rFonts w:asciiTheme="majorBidi" w:eastAsia="Calibri" w:hAnsiTheme="majorBidi" w:cstheme="majorBidi"/>
            <w:noProof/>
            <w:sz w:val="24"/>
            <w:szCs w:val="28"/>
          </w:rPr>
          <w:t>3.3.3.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price competition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146</w:t>
        </w:r>
        <w:r w:rsidR="00050632" w:rsidRPr="00EB3899">
          <w:rPr>
            <w:rFonts w:asciiTheme="majorBidi" w:hAnsiTheme="majorBidi" w:cstheme="majorBidi"/>
            <w:noProof/>
            <w:webHidden/>
            <w:sz w:val="24"/>
            <w:szCs w:val="28"/>
          </w:rPr>
          <w:fldChar w:fldCharType="end"/>
        </w:r>
      </w:hyperlink>
    </w:p>
    <w:p w14:paraId="418AA249" w14:textId="705D0615"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59" w:history="1">
        <w:r w:rsidR="00050632" w:rsidRPr="00EB3899">
          <w:rPr>
            <w:rStyle w:val="Hyperlink"/>
            <w:rFonts w:asciiTheme="majorBidi" w:eastAsia="Calibri" w:hAnsiTheme="majorBidi" w:cstheme="majorBidi"/>
            <w:noProof/>
            <w:sz w:val="24"/>
            <w:szCs w:val="28"/>
          </w:rPr>
          <w:t>3.3.4.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cultural alignment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_Toc200721759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147</w:t>
        </w:r>
        <w:r w:rsidR="00050632" w:rsidRPr="00EB3899">
          <w:rPr>
            <w:rFonts w:asciiTheme="majorBidi" w:hAnsiTheme="majorBidi" w:cstheme="majorBidi"/>
            <w:noProof/>
            <w:webHidden/>
            <w:sz w:val="24"/>
            <w:szCs w:val="28"/>
          </w:rPr>
          <w:fldChar w:fldCharType="end"/>
        </w:r>
      </w:hyperlink>
    </w:p>
    <w:p w14:paraId="7E809EE3" w14:textId="36675F7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0" w:history="1">
        <w:r w:rsidR="00050632" w:rsidRPr="00EB3899">
          <w:rPr>
            <w:rStyle w:val="Hyperlink"/>
            <w:rFonts w:asciiTheme="majorBidi" w:eastAsia="Calibri" w:hAnsiTheme="majorBidi" w:cstheme="majorBidi"/>
            <w:noProof/>
            <w:sz w:val="24"/>
            <w:szCs w:val="28"/>
          </w:rPr>
          <w:t>3.3.5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availability and accessibility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148</w:t>
        </w:r>
        <w:r w:rsidR="00050632" w:rsidRPr="00EB3899">
          <w:rPr>
            <w:rFonts w:asciiTheme="majorBidi" w:hAnsiTheme="majorBidi" w:cstheme="majorBidi"/>
            <w:noProof/>
            <w:webHidden/>
            <w:sz w:val="24"/>
            <w:szCs w:val="28"/>
          </w:rPr>
          <w:fldChar w:fldCharType="end"/>
        </w:r>
      </w:hyperlink>
    </w:p>
    <w:p w14:paraId="275C6400" w14:textId="73F8F7F3"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1" w:history="1">
        <w:r w:rsidR="00050632" w:rsidRPr="00EB3899">
          <w:rPr>
            <w:rStyle w:val="Hyperlink"/>
            <w:rFonts w:asciiTheme="majorBidi" w:hAnsiTheme="majorBidi" w:cstheme="majorBidi"/>
            <w:noProof/>
            <w:sz w:val="24"/>
            <w:szCs w:val="28"/>
          </w:rPr>
          <w:t>3.3.5.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Overall degree of alternative product appea</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149</w:t>
        </w:r>
        <w:r w:rsidR="00050632" w:rsidRPr="00EB3899">
          <w:rPr>
            <w:rFonts w:asciiTheme="majorBidi" w:hAnsiTheme="majorBidi" w:cstheme="majorBidi"/>
            <w:noProof/>
            <w:webHidden/>
            <w:sz w:val="24"/>
            <w:szCs w:val="28"/>
          </w:rPr>
          <w:fldChar w:fldCharType="end"/>
        </w:r>
      </w:hyperlink>
    </w:p>
    <w:p w14:paraId="1E751F75" w14:textId="73D53D32"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2" w:history="1">
        <w:r w:rsidR="00050632" w:rsidRPr="00EB3899">
          <w:rPr>
            <w:rStyle w:val="Hyperlink"/>
            <w:rFonts w:asciiTheme="majorBidi" w:hAnsiTheme="majorBidi" w:cstheme="majorBidi"/>
            <w:noProof/>
            <w:sz w:val="24"/>
            <w:szCs w:val="28"/>
            <w:lang w:val="en-US"/>
          </w:rPr>
          <w:t>3.4.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Data analysis regarding the Turkish consumer behavior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150</w:t>
        </w:r>
        <w:r w:rsidR="00050632" w:rsidRPr="00EB3899">
          <w:rPr>
            <w:rFonts w:asciiTheme="majorBidi" w:hAnsiTheme="majorBidi" w:cstheme="majorBidi"/>
            <w:noProof/>
            <w:webHidden/>
            <w:sz w:val="24"/>
            <w:szCs w:val="28"/>
          </w:rPr>
          <w:fldChar w:fldCharType="end"/>
        </w:r>
      </w:hyperlink>
    </w:p>
    <w:p w14:paraId="0E447B9C" w14:textId="5C49DA6A"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3" w:history="1">
        <w:r w:rsidR="00050632" w:rsidRPr="00EB3899">
          <w:rPr>
            <w:rStyle w:val="Hyperlink"/>
            <w:rFonts w:asciiTheme="majorBidi" w:eastAsia="Calibri" w:hAnsiTheme="majorBidi" w:cstheme="majorBidi"/>
            <w:noProof/>
            <w:sz w:val="24"/>
            <w:szCs w:val="28"/>
          </w:rPr>
          <w:t>3.4.1.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axis reliability</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150</w:t>
        </w:r>
        <w:r w:rsidR="00050632" w:rsidRPr="00EB3899">
          <w:rPr>
            <w:rFonts w:asciiTheme="majorBidi" w:hAnsiTheme="majorBidi" w:cstheme="majorBidi"/>
            <w:noProof/>
            <w:webHidden/>
            <w:sz w:val="24"/>
            <w:szCs w:val="28"/>
          </w:rPr>
          <w:fldChar w:fldCharType="end"/>
        </w:r>
      </w:hyperlink>
    </w:p>
    <w:p w14:paraId="7446DAAC" w14:textId="5B0A365F"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4" w:history="1">
        <w:r w:rsidR="00050632" w:rsidRPr="00EB3899">
          <w:rPr>
            <w:rStyle w:val="Hyperlink"/>
            <w:rFonts w:asciiTheme="majorBidi" w:eastAsia="Calibri" w:hAnsiTheme="majorBidi" w:cstheme="majorBidi"/>
            <w:noProof/>
            <w:sz w:val="24"/>
            <w:szCs w:val="28"/>
          </w:rPr>
          <w:t>3.4.2.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pre-boycott habits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151</w:t>
        </w:r>
        <w:r w:rsidR="00050632" w:rsidRPr="00EB3899">
          <w:rPr>
            <w:rFonts w:asciiTheme="majorBidi" w:hAnsiTheme="majorBidi" w:cstheme="majorBidi"/>
            <w:noProof/>
            <w:webHidden/>
            <w:sz w:val="24"/>
            <w:szCs w:val="28"/>
          </w:rPr>
          <w:fldChar w:fldCharType="end"/>
        </w:r>
      </w:hyperlink>
    </w:p>
    <w:p w14:paraId="5D3FF1DE" w14:textId="4BD4E74D"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5" w:history="1">
        <w:r w:rsidR="00050632" w:rsidRPr="00EB3899">
          <w:rPr>
            <w:rStyle w:val="Hyperlink"/>
            <w:rFonts w:asciiTheme="majorBidi" w:eastAsia="Calibri" w:hAnsiTheme="majorBidi" w:cstheme="majorBidi"/>
            <w:noProof/>
            <w:sz w:val="24"/>
            <w:szCs w:val="28"/>
          </w:rPr>
          <w:t>3.4.3.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willingness to try new alternatives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152</w:t>
        </w:r>
        <w:r w:rsidR="00050632" w:rsidRPr="00EB3899">
          <w:rPr>
            <w:rFonts w:asciiTheme="majorBidi" w:hAnsiTheme="majorBidi" w:cstheme="majorBidi"/>
            <w:noProof/>
            <w:webHidden/>
            <w:sz w:val="24"/>
            <w:szCs w:val="28"/>
          </w:rPr>
          <w:fldChar w:fldCharType="end"/>
        </w:r>
      </w:hyperlink>
    </w:p>
    <w:p w14:paraId="792EB560" w14:textId="24AD64E2"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6" w:history="1">
        <w:r w:rsidR="00050632" w:rsidRPr="00EB3899">
          <w:rPr>
            <w:rStyle w:val="Hyperlink"/>
            <w:rFonts w:asciiTheme="majorBidi" w:eastAsia="Calibri" w:hAnsiTheme="majorBidi" w:cstheme="majorBidi"/>
            <w:noProof/>
            <w:sz w:val="24"/>
            <w:szCs w:val="28"/>
          </w:rPr>
          <w:t>3.4.4.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eastAsia="Calibri" w:hAnsiTheme="majorBidi" w:cstheme="majorBidi"/>
            <w:noProof/>
            <w:sz w:val="24"/>
            <w:szCs w:val="28"/>
          </w:rPr>
          <w:t>Analysis of the key decision-making factors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153</w:t>
        </w:r>
        <w:r w:rsidR="00050632" w:rsidRPr="00EB3899">
          <w:rPr>
            <w:rFonts w:asciiTheme="majorBidi" w:hAnsiTheme="majorBidi" w:cstheme="majorBidi"/>
            <w:noProof/>
            <w:webHidden/>
            <w:sz w:val="24"/>
            <w:szCs w:val="28"/>
          </w:rPr>
          <w:fldChar w:fldCharType="end"/>
        </w:r>
      </w:hyperlink>
    </w:p>
    <w:p w14:paraId="0FF11B04" w14:textId="4FEA0C2B"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7" w:history="1">
        <w:r w:rsidR="00050632" w:rsidRPr="00EB3899">
          <w:rPr>
            <w:rStyle w:val="Hyperlink"/>
            <w:rFonts w:asciiTheme="majorBidi" w:hAnsiTheme="majorBidi" w:cstheme="majorBidi"/>
            <w:noProof/>
            <w:sz w:val="24"/>
            <w:szCs w:val="28"/>
          </w:rPr>
          <w:t>3.4.5.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overall degree of 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154</w:t>
        </w:r>
        <w:r w:rsidR="00050632" w:rsidRPr="00EB3899">
          <w:rPr>
            <w:rFonts w:asciiTheme="majorBidi" w:hAnsiTheme="majorBidi" w:cstheme="majorBidi"/>
            <w:noProof/>
            <w:webHidden/>
            <w:sz w:val="24"/>
            <w:szCs w:val="28"/>
          </w:rPr>
          <w:fldChar w:fldCharType="end"/>
        </w:r>
      </w:hyperlink>
    </w:p>
    <w:p w14:paraId="2FA614BD" w14:textId="4E6EAE2E"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8" w:history="1">
        <w:r w:rsidR="00050632" w:rsidRPr="00EB3899">
          <w:rPr>
            <w:rStyle w:val="Hyperlink"/>
            <w:rFonts w:asciiTheme="majorBidi" w:hAnsiTheme="majorBidi" w:cstheme="majorBidi"/>
            <w:noProof/>
            <w:sz w:val="24"/>
            <w:szCs w:val="28"/>
          </w:rPr>
          <w:t>3.5.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Analysis of the Relationship</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155</w:t>
        </w:r>
        <w:r w:rsidR="00050632" w:rsidRPr="00EB3899">
          <w:rPr>
            <w:rFonts w:asciiTheme="majorBidi" w:hAnsiTheme="majorBidi" w:cstheme="majorBidi"/>
            <w:noProof/>
            <w:webHidden/>
            <w:sz w:val="24"/>
            <w:szCs w:val="28"/>
          </w:rPr>
          <w:fldChar w:fldCharType="end"/>
        </w:r>
      </w:hyperlink>
    </w:p>
    <w:p w14:paraId="1176578D" w14:textId="0056CEF0"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69" w:history="1">
        <w:r w:rsidR="00050632" w:rsidRPr="00EB3899">
          <w:rPr>
            <w:rStyle w:val="Hyperlink"/>
            <w:rFonts w:asciiTheme="majorBidi" w:eastAsia="Calibri" w:hAnsiTheme="majorBidi" w:cstheme="majorBidi"/>
            <w:noProof/>
            <w:sz w:val="24"/>
            <w:szCs w:val="28"/>
            <w:lang w:val="en-US"/>
          </w:rPr>
          <w:t>3.6.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Correlation coefficient and regression coefficients analysis</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_Toc200721769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156</w:t>
        </w:r>
        <w:r w:rsidR="00050632" w:rsidRPr="00EB3899">
          <w:rPr>
            <w:rFonts w:asciiTheme="majorBidi" w:hAnsiTheme="majorBidi" w:cstheme="majorBidi"/>
            <w:noProof/>
            <w:webHidden/>
            <w:sz w:val="24"/>
            <w:szCs w:val="28"/>
          </w:rPr>
          <w:fldChar w:fldCharType="end"/>
        </w:r>
      </w:hyperlink>
    </w:p>
    <w:p w14:paraId="04097B3E" w14:textId="401FF903"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0" w:history="1">
        <w:r w:rsidR="00050632" w:rsidRPr="00EB3899">
          <w:rPr>
            <w:rStyle w:val="Hyperlink"/>
            <w:rFonts w:asciiTheme="majorBidi" w:hAnsiTheme="majorBidi" w:cstheme="majorBidi"/>
            <w:noProof/>
            <w:sz w:val="24"/>
            <w:szCs w:val="28"/>
          </w:rPr>
          <w:t>3.6.1.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Boycott-Turkish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156</w:t>
        </w:r>
        <w:r w:rsidR="00050632" w:rsidRPr="00EB3899">
          <w:rPr>
            <w:rFonts w:asciiTheme="majorBidi" w:hAnsiTheme="majorBidi" w:cstheme="majorBidi"/>
            <w:noProof/>
            <w:webHidden/>
            <w:sz w:val="24"/>
            <w:szCs w:val="28"/>
          </w:rPr>
          <w:fldChar w:fldCharType="end"/>
        </w:r>
      </w:hyperlink>
    </w:p>
    <w:p w14:paraId="7AC9A3C8" w14:textId="212E90CD"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1" w:history="1">
        <w:r w:rsidR="00050632" w:rsidRPr="00EB3899">
          <w:rPr>
            <w:rStyle w:val="Hyperlink"/>
            <w:rFonts w:asciiTheme="majorBidi" w:hAnsiTheme="majorBidi" w:cstheme="majorBidi"/>
            <w:noProof/>
            <w:sz w:val="24"/>
            <w:szCs w:val="28"/>
          </w:rPr>
          <w:t>3.6.2.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Boycott-Willigness to try new alternativ</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157</w:t>
        </w:r>
        <w:r w:rsidR="00050632" w:rsidRPr="00EB3899">
          <w:rPr>
            <w:rFonts w:asciiTheme="majorBidi" w:hAnsiTheme="majorBidi" w:cstheme="majorBidi"/>
            <w:noProof/>
            <w:webHidden/>
            <w:sz w:val="24"/>
            <w:szCs w:val="28"/>
          </w:rPr>
          <w:fldChar w:fldCharType="end"/>
        </w:r>
      </w:hyperlink>
    </w:p>
    <w:p w14:paraId="249D1A95" w14:textId="4D6FA024"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2" w:history="1">
        <w:r w:rsidR="00050632" w:rsidRPr="00EB3899">
          <w:rPr>
            <w:rStyle w:val="Hyperlink"/>
            <w:rFonts w:asciiTheme="majorBidi" w:hAnsiTheme="majorBidi" w:cstheme="majorBidi"/>
            <w:noProof/>
            <w:sz w:val="24"/>
            <w:szCs w:val="28"/>
          </w:rPr>
          <w:t>3.6.3.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Product quality-Turkish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158</w:t>
        </w:r>
        <w:r w:rsidR="00050632" w:rsidRPr="00EB3899">
          <w:rPr>
            <w:rFonts w:asciiTheme="majorBidi" w:hAnsiTheme="majorBidi" w:cstheme="majorBidi"/>
            <w:noProof/>
            <w:webHidden/>
            <w:sz w:val="24"/>
            <w:szCs w:val="28"/>
          </w:rPr>
          <w:fldChar w:fldCharType="end"/>
        </w:r>
      </w:hyperlink>
    </w:p>
    <w:p w14:paraId="3A118166" w14:textId="3E447276"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3" w:history="1">
        <w:r w:rsidR="00050632" w:rsidRPr="00EB3899">
          <w:rPr>
            <w:rStyle w:val="Hyperlink"/>
            <w:rFonts w:asciiTheme="majorBidi" w:hAnsiTheme="majorBidi" w:cstheme="majorBidi"/>
            <w:noProof/>
            <w:sz w:val="24"/>
            <w:szCs w:val="28"/>
          </w:rPr>
          <w:t>3.6.4.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Price competition-Turkish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160</w:t>
        </w:r>
        <w:r w:rsidR="00050632" w:rsidRPr="00EB3899">
          <w:rPr>
            <w:rFonts w:asciiTheme="majorBidi" w:hAnsiTheme="majorBidi" w:cstheme="majorBidi"/>
            <w:noProof/>
            <w:webHidden/>
            <w:sz w:val="24"/>
            <w:szCs w:val="28"/>
          </w:rPr>
          <w:fldChar w:fldCharType="end"/>
        </w:r>
      </w:hyperlink>
    </w:p>
    <w:p w14:paraId="4C9DF388" w14:textId="78C3EB00"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4" w:history="1">
        <w:r w:rsidR="00050632" w:rsidRPr="00EB3899">
          <w:rPr>
            <w:rStyle w:val="Hyperlink"/>
            <w:rFonts w:asciiTheme="majorBidi" w:hAnsiTheme="majorBidi" w:cstheme="majorBidi"/>
            <w:noProof/>
            <w:sz w:val="24"/>
            <w:szCs w:val="28"/>
          </w:rPr>
          <w:t>3.6.5.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Cultural alignment-Turkish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_Toc200721774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161</w:t>
        </w:r>
        <w:r w:rsidR="00050632" w:rsidRPr="00EB3899">
          <w:rPr>
            <w:rFonts w:asciiTheme="majorBidi" w:hAnsiTheme="majorBidi" w:cstheme="majorBidi"/>
            <w:noProof/>
            <w:webHidden/>
            <w:sz w:val="24"/>
            <w:szCs w:val="28"/>
          </w:rPr>
          <w:fldChar w:fldCharType="end"/>
        </w:r>
      </w:hyperlink>
    </w:p>
    <w:p w14:paraId="62947B33" w14:textId="245D2AE3"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5" w:history="1">
        <w:r w:rsidR="00050632" w:rsidRPr="00EB3899">
          <w:rPr>
            <w:rStyle w:val="Hyperlink"/>
            <w:rFonts w:asciiTheme="majorBidi" w:hAnsiTheme="majorBidi" w:cstheme="majorBidi"/>
            <w:noProof/>
            <w:sz w:val="24"/>
            <w:szCs w:val="28"/>
          </w:rPr>
          <w:t>3.6.6.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Availibility and accessibility-Turkish consumer behavio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_Toc200721775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162</w:t>
        </w:r>
        <w:r w:rsidR="00050632" w:rsidRPr="00EB3899">
          <w:rPr>
            <w:rFonts w:asciiTheme="majorBidi" w:hAnsiTheme="majorBidi" w:cstheme="majorBidi"/>
            <w:noProof/>
            <w:webHidden/>
            <w:sz w:val="24"/>
            <w:szCs w:val="28"/>
          </w:rPr>
          <w:fldChar w:fldCharType="end"/>
        </w:r>
      </w:hyperlink>
    </w:p>
    <w:p w14:paraId="754748B6" w14:textId="1B15C3B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6" w:history="1">
        <w:r w:rsidR="00050632" w:rsidRPr="00EB3899">
          <w:rPr>
            <w:rStyle w:val="Hyperlink"/>
            <w:rFonts w:asciiTheme="majorBidi" w:hAnsiTheme="majorBidi" w:cstheme="majorBidi"/>
            <w:noProof/>
            <w:sz w:val="24"/>
            <w:szCs w:val="28"/>
          </w:rPr>
          <w:t>3.6.7.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Product quality-Willigness to try new alternativ</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163</w:t>
        </w:r>
        <w:r w:rsidR="00050632" w:rsidRPr="00EB3899">
          <w:rPr>
            <w:rFonts w:asciiTheme="majorBidi" w:hAnsiTheme="majorBidi" w:cstheme="majorBidi"/>
            <w:noProof/>
            <w:webHidden/>
            <w:sz w:val="24"/>
            <w:szCs w:val="28"/>
          </w:rPr>
          <w:fldChar w:fldCharType="end"/>
        </w:r>
      </w:hyperlink>
    </w:p>
    <w:p w14:paraId="4ABD719E" w14:textId="1F23BA7D"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7" w:history="1">
        <w:r w:rsidR="00050632" w:rsidRPr="00EB3899">
          <w:rPr>
            <w:rStyle w:val="Hyperlink"/>
            <w:rFonts w:asciiTheme="majorBidi" w:hAnsiTheme="majorBidi" w:cstheme="majorBidi"/>
            <w:noProof/>
            <w:sz w:val="24"/>
            <w:szCs w:val="28"/>
          </w:rPr>
          <w:t>3.6.8.</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Price competitiveness-Willigness to try new alternativ</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165</w:t>
        </w:r>
        <w:r w:rsidR="00050632" w:rsidRPr="00EB3899">
          <w:rPr>
            <w:rFonts w:asciiTheme="majorBidi" w:hAnsiTheme="majorBidi" w:cstheme="majorBidi"/>
            <w:noProof/>
            <w:webHidden/>
            <w:sz w:val="24"/>
            <w:szCs w:val="28"/>
          </w:rPr>
          <w:fldChar w:fldCharType="end"/>
        </w:r>
      </w:hyperlink>
    </w:p>
    <w:p w14:paraId="60BC8BD8" w14:textId="3E0CBF6F"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8" w:history="1">
        <w:r w:rsidR="00050632" w:rsidRPr="00EB3899">
          <w:rPr>
            <w:rStyle w:val="Hyperlink"/>
            <w:rFonts w:asciiTheme="majorBidi" w:hAnsiTheme="majorBidi" w:cstheme="majorBidi"/>
            <w:noProof/>
            <w:sz w:val="24"/>
            <w:szCs w:val="28"/>
          </w:rPr>
          <w:t>3.6.9.</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Cultural alignment-Willigness to try new alternativ</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166</w:t>
        </w:r>
        <w:r w:rsidR="00050632" w:rsidRPr="00EB3899">
          <w:rPr>
            <w:rFonts w:asciiTheme="majorBidi" w:hAnsiTheme="majorBidi" w:cstheme="majorBidi"/>
            <w:noProof/>
            <w:webHidden/>
            <w:sz w:val="24"/>
            <w:szCs w:val="28"/>
          </w:rPr>
          <w:fldChar w:fldCharType="end"/>
        </w:r>
      </w:hyperlink>
    </w:p>
    <w:p w14:paraId="3C4DC851" w14:textId="749E1DCD" w:rsidR="00050632" w:rsidRPr="00EB3899" w:rsidRDefault="00B6520E">
      <w:pPr>
        <w:pStyle w:val="TOC5"/>
        <w:tabs>
          <w:tab w:val="left" w:pos="176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79" w:history="1">
        <w:r w:rsidR="00050632" w:rsidRPr="00EB3899">
          <w:rPr>
            <w:rStyle w:val="Hyperlink"/>
            <w:rFonts w:asciiTheme="majorBidi" w:hAnsiTheme="majorBidi" w:cstheme="majorBidi"/>
            <w:noProof/>
            <w:sz w:val="24"/>
            <w:szCs w:val="28"/>
          </w:rPr>
          <w:t>3.6.10.</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Availibility- Willigness to try new alternativ</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_Toc200721779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167</w:t>
        </w:r>
        <w:r w:rsidR="00050632" w:rsidRPr="00EB3899">
          <w:rPr>
            <w:rFonts w:asciiTheme="majorBidi" w:hAnsiTheme="majorBidi" w:cstheme="majorBidi"/>
            <w:noProof/>
            <w:webHidden/>
            <w:sz w:val="24"/>
            <w:szCs w:val="28"/>
          </w:rPr>
          <w:fldChar w:fldCharType="end"/>
        </w:r>
      </w:hyperlink>
    </w:p>
    <w:p w14:paraId="0F0AA604" w14:textId="64C408BB"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0" w:history="1">
        <w:r w:rsidR="00050632" w:rsidRPr="00EB3899">
          <w:rPr>
            <w:rStyle w:val="Hyperlink"/>
            <w:rFonts w:asciiTheme="majorBidi" w:hAnsiTheme="majorBidi" w:cstheme="majorBidi"/>
            <w:noProof/>
            <w:sz w:val="24"/>
            <w:szCs w:val="28"/>
            <w:lang w:val="en-US"/>
          </w:rPr>
          <w:t>3.7.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Justification and Description of the Selected Product for Expor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168</w:t>
        </w:r>
        <w:r w:rsidR="00050632" w:rsidRPr="00EB3899">
          <w:rPr>
            <w:rFonts w:asciiTheme="majorBidi" w:hAnsiTheme="majorBidi" w:cstheme="majorBidi"/>
            <w:noProof/>
            <w:webHidden/>
            <w:sz w:val="24"/>
            <w:szCs w:val="28"/>
          </w:rPr>
          <w:fldChar w:fldCharType="end"/>
        </w:r>
      </w:hyperlink>
    </w:p>
    <w:p w14:paraId="268FB215" w14:textId="5B1ABB26"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1" w:history="1">
        <w:r w:rsidR="00050632" w:rsidRPr="00EB3899">
          <w:rPr>
            <w:rStyle w:val="Hyperlink"/>
            <w:rFonts w:asciiTheme="majorBidi" w:hAnsiTheme="majorBidi" w:cstheme="majorBidi"/>
            <w:noProof/>
            <w:sz w:val="24"/>
            <w:szCs w:val="28"/>
          </w:rPr>
          <w:t>3.7.1.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Justification for Selecting Polydermyl as the Export Produc</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168</w:t>
        </w:r>
        <w:r w:rsidR="00050632" w:rsidRPr="00EB3899">
          <w:rPr>
            <w:rFonts w:asciiTheme="majorBidi" w:hAnsiTheme="majorBidi" w:cstheme="majorBidi"/>
            <w:noProof/>
            <w:webHidden/>
            <w:sz w:val="24"/>
            <w:szCs w:val="28"/>
          </w:rPr>
          <w:fldChar w:fldCharType="end"/>
        </w:r>
      </w:hyperlink>
    </w:p>
    <w:p w14:paraId="71AFA62B" w14:textId="7F41678D"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2" w:history="1">
        <w:r w:rsidR="00050632" w:rsidRPr="00EB3899">
          <w:rPr>
            <w:rStyle w:val="Hyperlink"/>
            <w:rFonts w:asciiTheme="majorBidi" w:hAnsiTheme="majorBidi" w:cstheme="majorBidi"/>
            <w:noProof/>
            <w:sz w:val="24"/>
            <w:szCs w:val="28"/>
          </w:rPr>
          <w:t>3.7.2.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Product description : Polydermyl Crème Émolliente M.</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169</w:t>
        </w:r>
        <w:r w:rsidR="00050632" w:rsidRPr="00EB3899">
          <w:rPr>
            <w:rFonts w:asciiTheme="majorBidi" w:hAnsiTheme="majorBidi" w:cstheme="majorBidi"/>
            <w:noProof/>
            <w:webHidden/>
            <w:sz w:val="24"/>
            <w:szCs w:val="28"/>
          </w:rPr>
          <w:fldChar w:fldCharType="end"/>
        </w:r>
      </w:hyperlink>
    </w:p>
    <w:p w14:paraId="1D4C010E" w14:textId="144C7DA8" w:rsidR="00050632" w:rsidRPr="00183CEB" w:rsidRDefault="00B6520E" w:rsidP="00183CEB">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3" w:history="1">
        <w:r w:rsidR="00050632" w:rsidRPr="00EB3899">
          <w:rPr>
            <w:rStyle w:val="Hyperlink"/>
            <w:rFonts w:asciiTheme="majorBidi" w:hAnsiTheme="majorBidi" w:cstheme="majorBidi"/>
            <w:noProof/>
            <w:sz w:val="24"/>
            <w:szCs w:val="28"/>
          </w:rPr>
          <w:t>3.7.3.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Available Formats and Pricing (Domestic Market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170</w:t>
        </w:r>
        <w:r w:rsidR="00050632" w:rsidRPr="00EB3899">
          <w:rPr>
            <w:rFonts w:asciiTheme="majorBidi" w:hAnsiTheme="majorBidi" w:cstheme="majorBidi"/>
            <w:noProof/>
            <w:webHidden/>
            <w:sz w:val="24"/>
            <w:szCs w:val="28"/>
          </w:rPr>
          <w:fldChar w:fldCharType="end"/>
        </w:r>
      </w:hyperlink>
    </w:p>
    <w:p w14:paraId="07D141D8" w14:textId="4506548B"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85" w:history="1">
        <w:r w:rsidR="00050632" w:rsidRPr="00EB3899">
          <w:rPr>
            <w:rStyle w:val="Hyperlink"/>
            <w:rFonts w:asciiTheme="majorBidi" w:hAnsiTheme="majorBidi" w:cstheme="majorBidi"/>
            <w:i w:val="0"/>
            <w:iCs w:val="0"/>
            <w:noProof/>
            <w:sz w:val="28"/>
            <w:szCs w:val="36"/>
          </w:rPr>
          <w:t>4.</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Competitor analysi</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_Toc200721785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171</w:t>
        </w:r>
        <w:r w:rsidR="00050632" w:rsidRPr="00EB3899">
          <w:rPr>
            <w:rFonts w:asciiTheme="majorBidi" w:hAnsiTheme="majorBidi" w:cstheme="majorBidi"/>
            <w:i w:val="0"/>
            <w:iCs w:val="0"/>
            <w:noProof/>
            <w:webHidden/>
            <w:sz w:val="28"/>
            <w:szCs w:val="36"/>
          </w:rPr>
          <w:fldChar w:fldCharType="end"/>
        </w:r>
      </w:hyperlink>
    </w:p>
    <w:p w14:paraId="01D7A116" w14:textId="7DDE592A" w:rsidR="00050632" w:rsidRPr="00EB3899" w:rsidRDefault="00B6520E">
      <w:pPr>
        <w:pStyle w:val="TOC4"/>
        <w:tabs>
          <w:tab w:val="left" w:pos="132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6" w:history="1">
        <w:r w:rsidR="00050632" w:rsidRPr="00EB3899">
          <w:rPr>
            <w:rStyle w:val="Hyperlink"/>
            <w:rFonts w:asciiTheme="majorBidi" w:hAnsiTheme="majorBidi" w:cstheme="majorBidi"/>
            <w:noProof/>
            <w:sz w:val="24"/>
            <w:szCs w:val="28"/>
            <w:lang w:eastAsia="fr-FR"/>
          </w:rPr>
          <w:t>4.1.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Opportunities for Proderma Based on Survey Result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_Toc200721786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172</w:t>
        </w:r>
        <w:r w:rsidR="00050632" w:rsidRPr="00EB3899">
          <w:rPr>
            <w:rFonts w:asciiTheme="majorBidi" w:hAnsiTheme="majorBidi" w:cstheme="majorBidi"/>
            <w:noProof/>
            <w:webHidden/>
            <w:sz w:val="24"/>
            <w:szCs w:val="28"/>
          </w:rPr>
          <w:fldChar w:fldCharType="end"/>
        </w:r>
      </w:hyperlink>
    </w:p>
    <w:p w14:paraId="484B8383" w14:textId="2F5DCE45"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7" w:history="1">
        <w:r w:rsidR="00050632" w:rsidRPr="00EB3899">
          <w:rPr>
            <w:rStyle w:val="Hyperlink"/>
            <w:rFonts w:asciiTheme="majorBidi" w:hAnsiTheme="majorBidi" w:cstheme="majorBidi"/>
            <w:noProof/>
            <w:sz w:val="24"/>
            <w:szCs w:val="28"/>
            <w:lang w:val="en-GB"/>
          </w:rPr>
          <w:t>4.1.1.</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Openness to Alternatives Due to Boycott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_Toc200721787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172</w:t>
        </w:r>
        <w:r w:rsidR="00050632" w:rsidRPr="00EB3899">
          <w:rPr>
            <w:rFonts w:asciiTheme="majorBidi" w:hAnsiTheme="majorBidi" w:cstheme="majorBidi"/>
            <w:noProof/>
            <w:webHidden/>
            <w:sz w:val="24"/>
            <w:szCs w:val="28"/>
          </w:rPr>
          <w:fldChar w:fldCharType="end"/>
        </w:r>
      </w:hyperlink>
    </w:p>
    <w:p w14:paraId="14010D1D" w14:textId="05597C66"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8" w:history="1">
        <w:r w:rsidR="00050632" w:rsidRPr="00EB3899">
          <w:rPr>
            <w:rStyle w:val="Hyperlink"/>
            <w:rFonts w:asciiTheme="majorBidi" w:hAnsiTheme="majorBidi" w:cstheme="majorBidi"/>
            <w:noProof/>
            <w:sz w:val="24"/>
            <w:szCs w:val="28"/>
            <w:lang w:val="en-GB"/>
          </w:rPr>
          <w:t>4.1.2.</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Influence of Recommendation</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_Toc200721788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172</w:t>
        </w:r>
        <w:r w:rsidR="00050632" w:rsidRPr="00EB3899">
          <w:rPr>
            <w:rFonts w:asciiTheme="majorBidi" w:hAnsiTheme="majorBidi" w:cstheme="majorBidi"/>
            <w:noProof/>
            <w:webHidden/>
            <w:sz w:val="24"/>
            <w:szCs w:val="28"/>
          </w:rPr>
          <w:fldChar w:fldCharType="end"/>
        </w:r>
      </w:hyperlink>
    </w:p>
    <w:p w14:paraId="0760D7D2" w14:textId="652E67CE"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89" w:history="1">
        <w:r w:rsidR="00050632" w:rsidRPr="00EB3899">
          <w:rPr>
            <w:rStyle w:val="Hyperlink"/>
            <w:rFonts w:asciiTheme="majorBidi" w:hAnsiTheme="majorBidi" w:cstheme="majorBidi"/>
            <w:noProof/>
            <w:sz w:val="24"/>
            <w:szCs w:val="28"/>
            <w:lang w:val="en-GB"/>
          </w:rPr>
          <w:t>4.1.3.</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Need for Strong Marketing Strateg</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_Toc200721789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172</w:t>
        </w:r>
        <w:r w:rsidR="00050632" w:rsidRPr="00EB3899">
          <w:rPr>
            <w:rFonts w:asciiTheme="majorBidi" w:hAnsiTheme="majorBidi" w:cstheme="majorBidi"/>
            <w:noProof/>
            <w:webHidden/>
            <w:sz w:val="24"/>
            <w:szCs w:val="28"/>
          </w:rPr>
          <w:fldChar w:fldCharType="end"/>
        </w:r>
      </w:hyperlink>
    </w:p>
    <w:p w14:paraId="2944554D" w14:textId="09785479"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90" w:history="1">
        <w:r w:rsidR="00050632" w:rsidRPr="00EB3899">
          <w:rPr>
            <w:rStyle w:val="Hyperlink"/>
            <w:rFonts w:asciiTheme="majorBidi" w:hAnsiTheme="majorBidi" w:cstheme="majorBidi"/>
            <w:noProof/>
            <w:sz w:val="24"/>
            <w:szCs w:val="28"/>
            <w:lang w:val="en-GB"/>
          </w:rPr>
          <w:t>4.1.4.</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Willingness to Pay More for Qualit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_Toc200721790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172</w:t>
        </w:r>
        <w:r w:rsidR="00050632" w:rsidRPr="00EB3899">
          <w:rPr>
            <w:rFonts w:asciiTheme="majorBidi" w:hAnsiTheme="majorBidi" w:cstheme="majorBidi"/>
            <w:noProof/>
            <w:webHidden/>
            <w:sz w:val="24"/>
            <w:szCs w:val="28"/>
          </w:rPr>
          <w:fldChar w:fldCharType="end"/>
        </w:r>
      </w:hyperlink>
    </w:p>
    <w:p w14:paraId="3D8945C9" w14:textId="7A2AABF8"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91" w:history="1">
        <w:r w:rsidR="00050632" w:rsidRPr="00EB3899">
          <w:rPr>
            <w:rStyle w:val="Hyperlink"/>
            <w:rFonts w:asciiTheme="majorBidi" w:hAnsiTheme="majorBidi" w:cstheme="majorBidi"/>
            <w:noProof/>
            <w:sz w:val="24"/>
            <w:szCs w:val="28"/>
            <w:lang w:val="en-GB"/>
          </w:rPr>
          <w:t>4.1.5.</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Price vs. Quality and Brand Recognitio</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_Toc200721791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173</w:t>
        </w:r>
        <w:r w:rsidR="00050632" w:rsidRPr="00EB3899">
          <w:rPr>
            <w:rFonts w:asciiTheme="majorBidi" w:hAnsiTheme="majorBidi" w:cstheme="majorBidi"/>
            <w:noProof/>
            <w:webHidden/>
            <w:sz w:val="24"/>
            <w:szCs w:val="28"/>
          </w:rPr>
          <w:fldChar w:fldCharType="end"/>
        </w:r>
      </w:hyperlink>
    </w:p>
    <w:p w14:paraId="56470F8D" w14:textId="6C307E41"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92" w:history="1">
        <w:r w:rsidR="00050632" w:rsidRPr="00EB3899">
          <w:rPr>
            <w:rStyle w:val="Hyperlink"/>
            <w:rFonts w:asciiTheme="majorBidi" w:hAnsiTheme="majorBidi" w:cstheme="majorBidi"/>
            <w:noProof/>
            <w:sz w:val="24"/>
            <w:szCs w:val="28"/>
            <w:lang w:val="en-GB"/>
          </w:rPr>
          <w:t>4.1.6.</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Product Origin Matter</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_Toc200721792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173</w:t>
        </w:r>
        <w:r w:rsidR="00050632" w:rsidRPr="00EB3899">
          <w:rPr>
            <w:rFonts w:asciiTheme="majorBidi" w:hAnsiTheme="majorBidi" w:cstheme="majorBidi"/>
            <w:noProof/>
            <w:webHidden/>
            <w:sz w:val="24"/>
            <w:szCs w:val="28"/>
          </w:rPr>
          <w:fldChar w:fldCharType="end"/>
        </w:r>
      </w:hyperlink>
    </w:p>
    <w:p w14:paraId="7F2C84C3" w14:textId="0E7415DA" w:rsidR="00050632" w:rsidRPr="00EB3899" w:rsidRDefault="00B6520E">
      <w:pPr>
        <w:pStyle w:val="TOC5"/>
        <w:tabs>
          <w:tab w:val="left" w:pos="1540"/>
          <w:tab w:val="right" w:leader="dot" w:pos="9062"/>
        </w:tabs>
        <w:rPr>
          <w:rFonts w:asciiTheme="majorBidi" w:eastAsiaTheme="minorEastAsia" w:hAnsiTheme="majorBidi" w:cstheme="majorBidi"/>
          <w:noProof/>
          <w:kern w:val="2"/>
          <w:sz w:val="36"/>
          <w:szCs w:val="36"/>
          <w:lang w:val="en-GB" w:eastAsia="en-GB"/>
          <w14:ligatures w14:val="standardContextual"/>
        </w:rPr>
      </w:pPr>
      <w:hyperlink w:anchor="_Toc200721793" w:history="1">
        <w:r w:rsidR="00050632" w:rsidRPr="00EB3899">
          <w:rPr>
            <w:rStyle w:val="Hyperlink"/>
            <w:rFonts w:asciiTheme="majorBidi" w:hAnsiTheme="majorBidi" w:cstheme="majorBidi"/>
            <w:noProof/>
            <w:sz w:val="24"/>
            <w:szCs w:val="28"/>
            <w:lang w:val="en-GB"/>
          </w:rPr>
          <w:t>4.1.7.</w:t>
        </w:r>
        <w:r w:rsidR="00050632" w:rsidRPr="00EB3899">
          <w:rPr>
            <w:rFonts w:asciiTheme="majorBidi" w:eastAsiaTheme="minorEastAsia" w:hAnsiTheme="majorBidi" w:cstheme="majorBidi"/>
            <w:noProof/>
            <w:kern w:val="2"/>
            <w:sz w:val="36"/>
            <w:szCs w:val="36"/>
            <w:lang w:val="en-GB" w:eastAsia="en-GB"/>
            <w14:ligatures w14:val="standardContextual"/>
          </w:rPr>
          <w:tab/>
        </w:r>
        <w:r w:rsidR="00050632" w:rsidRPr="00EB3899">
          <w:rPr>
            <w:rStyle w:val="Hyperlink"/>
            <w:rFonts w:asciiTheme="majorBidi" w:hAnsiTheme="majorBidi" w:cstheme="majorBidi"/>
            <w:noProof/>
            <w:sz w:val="24"/>
            <w:szCs w:val="28"/>
          </w:rPr>
          <w:t>Interest in Ethical and Sustainable Product</w:t>
        </w:r>
        <w:r w:rsidR="00050632" w:rsidRPr="00EB3899">
          <w:rPr>
            <w:rFonts w:asciiTheme="majorBidi" w:hAnsiTheme="majorBidi" w:cstheme="majorBidi"/>
            <w:noProof/>
            <w:webHidden/>
            <w:sz w:val="24"/>
            <w:szCs w:val="28"/>
          </w:rPr>
          <w:tab/>
        </w:r>
        <w:r w:rsidR="00050632" w:rsidRPr="00EB3899">
          <w:rPr>
            <w:rFonts w:asciiTheme="majorBidi" w:hAnsiTheme="majorBidi" w:cstheme="majorBidi"/>
            <w:noProof/>
            <w:webHidden/>
            <w:sz w:val="24"/>
            <w:szCs w:val="28"/>
          </w:rPr>
          <w:fldChar w:fldCharType="begin"/>
        </w:r>
        <w:r w:rsidR="00050632" w:rsidRPr="00EB3899">
          <w:rPr>
            <w:rFonts w:asciiTheme="majorBidi" w:hAnsiTheme="majorBidi" w:cstheme="majorBidi"/>
            <w:noProof/>
            <w:webHidden/>
            <w:sz w:val="24"/>
            <w:szCs w:val="28"/>
          </w:rPr>
          <w:instrText xml:space="preserve"> PAGEREF _Toc200721793 \h </w:instrText>
        </w:r>
        <w:r w:rsidR="00050632" w:rsidRPr="00EB3899">
          <w:rPr>
            <w:rFonts w:asciiTheme="majorBidi" w:hAnsiTheme="majorBidi" w:cstheme="majorBidi"/>
            <w:noProof/>
            <w:webHidden/>
            <w:sz w:val="24"/>
            <w:szCs w:val="28"/>
          </w:rPr>
        </w:r>
        <w:r w:rsidR="00050632" w:rsidRPr="00EB3899">
          <w:rPr>
            <w:rFonts w:asciiTheme="majorBidi" w:hAnsiTheme="majorBidi" w:cstheme="majorBidi"/>
            <w:noProof/>
            <w:webHidden/>
            <w:sz w:val="24"/>
            <w:szCs w:val="28"/>
          </w:rPr>
          <w:fldChar w:fldCharType="separate"/>
        </w:r>
        <w:r w:rsidR="00A10E08">
          <w:rPr>
            <w:rFonts w:asciiTheme="majorBidi" w:hAnsiTheme="majorBidi" w:cstheme="majorBidi"/>
            <w:noProof/>
            <w:webHidden/>
            <w:sz w:val="24"/>
            <w:szCs w:val="28"/>
          </w:rPr>
          <w:t>173</w:t>
        </w:r>
        <w:r w:rsidR="00050632" w:rsidRPr="00EB3899">
          <w:rPr>
            <w:rFonts w:asciiTheme="majorBidi" w:hAnsiTheme="majorBidi" w:cstheme="majorBidi"/>
            <w:noProof/>
            <w:webHidden/>
            <w:sz w:val="24"/>
            <w:szCs w:val="28"/>
          </w:rPr>
          <w:fldChar w:fldCharType="end"/>
        </w:r>
      </w:hyperlink>
    </w:p>
    <w:p w14:paraId="69EE264C" w14:textId="70C7BDCC"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794" w:history="1">
        <w:r w:rsidR="00050632" w:rsidRPr="00EB3899">
          <w:rPr>
            <w:rStyle w:val="Hyperlink"/>
            <w:rFonts w:asciiTheme="majorBidi" w:hAnsiTheme="majorBidi" w:cstheme="majorBidi"/>
            <w:noProof/>
            <w:sz w:val="28"/>
            <w:szCs w:val="36"/>
          </w:rPr>
          <w:t>Section 3: Analysis and Interpretation of Results</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_Toc200721794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174</w:t>
        </w:r>
        <w:r w:rsidR="00050632" w:rsidRPr="00EB3899">
          <w:rPr>
            <w:rFonts w:asciiTheme="majorBidi" w:hAnsiTheme="majorBidi" w:cstheme="majorBidi"/>
            <w:noProof/>
            <w:webHidden/>
            <w:sz w:val="28"/>
            <w:szCs w:val="36"/>
          </w:rPr>
          <w:fldChar w:fldCharType="end"/>
        </w:r>
      </w:hyperlink>
    </w:p>
    <w:p w14:paraId="70401C61" w14:textId="75ADB7FC"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95" w:history="1">
        <w:r w:rsidR="00050632" w:rsidRPr="00EB3899">
          <w:rPr>
            <w:rStyle w:val="Hyperlink"/>
            <w:rFonts w:asciiTheme="majorBidi" w:hAnsiTheme="majorBidi" w:cstheme="majorBidi"/>
            <w:i w:val="0"/>
            <w:iCs w:val="0"/>
            <w:noProof/>
            <w:sz w:val="28"/>
            <w:szCs w:val="36"/>
            <w:lang w:val="en-US"/>
          </w:rPr>
          <w:t>1.</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Hypotheses of the macroeconomic analysi</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_Toc200721795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174</w:t>
        </w:r>
        <w:r w:rsidR="00050632" w:rsidRPr="00EB3899">
          <w:rPr>
            <w:rFonts w:asciiTheme="majorBidi" w:hAnsiTheme="majorBidi" w:cstheme="majorBidi"/>
            <w:i w:val="0"/>
            <w:iCs w:val="0"/>
            <w:noProof/>
            <w:webHidden/>
            <w:sz w:val="28"/>
            <w:szCs w:val="36"/>
          </w:rPr>
          <w:fldChar w:fldCharType="end"/>
        </w:r>
      </w:hyperlink>
    </w:p>
    <w:p w14:paraId="668DAF38" w14:textId="32DE4B27"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96" w:history="1">
        <w:r w:rsidR="00050632" w:rsidRPr="00EB3899">
          <w:rPr>
            <w:rStyle w:val="Hyperlink"/>
            <w:rFonts w:asciiTheme="majorBidi" w:hAnsiTheme="majorBidi" w:cstheme="majorBidi"/>
            <w:i w:val="0"/>
            <w:iCs w:val="0"/>
            <w:noProof/>
            <w:sz w:val="28"/>
            <w:szCs w:val="36"/>
            <w:lang w:val="en-US"/>
          </w:rPr>
          <w:t>2.</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Hypotheses of the microeconomic analysi</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_Toc200721796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174</w:t>
        </w:r>
        <w:r w:rsidR="00050632" w:rsidRPr="00EB3899">
          <w:rPr>
            <w:rFonts w:asciiTheme="majorBidi" w:hAnsiTheme="majorBidi" w:cstheme="majorBidi"/>
            <w:i w:val="0"/>
            <w:iCs w:val="0"/>
            <w:noProof/>
            <w:webHidden/>
            <w:sz w:val="28"/>
            <w:szCs w:val="36"/>
          </w:rPr>
          <w:fldChar w:fldCharType="end"/>
        </w:r>
      </w:hyperlink>
    </w:p>
    <w:p w14:paraId="6487EC74" w14:textId="380C63D8" w:rsidR="00050632" w:rsidRPr="00EB3899" w:rsidRDefault="00B6520E">
      <w:pPr>
        <w:pStyle w:val="TOC3"/>
        <w:tabs>
          <w:tab w:val="left" w:pos="880"/>
          <w:tab w:val="right" w:leader="dot" w:pos="9062"/>
        </w:tabs>
        <w:rPr>
          <w:rFonts w:asciiTheme="majorBidi" w:eastAsiaTheme="minorEastAsia" w:hAnsiTheme="majorBidi" w:cstheme="majorBidi"/>
          <w:i w:val="0"/>
          <w:iCs w:val="0"/>
          <w:noProof/>
          <w:kern w:val="2"/>
          <w:sz w:val="36"/>
          <w:szCs w:val="36"/>
          <w:lang w:val="en-GB" w:eastAsia="en-GB"/>
          <w14:ligatures w14:val="standardContextual"/>
        </w:rPr>
      </w:pPr>
      <w:hyperlink w:anchor="_Toc200721797" w:history="1">
        <w:r w:rsidR="00050632" w:rsidRPr="00EB3899">
          <w:rPr>
            <w:rStyle w:val="Hyperlink"/>
            <w:rFonts w:asciiTheme="majorBidi" w:hAnsiTheme="majorBidi" w:cstheme="majorBidi"/>
            <w:i w:val="0"/>
            <w:iCs w:val="0"/>
            <w:noProof/>
            <w:sz w:val="28"/>
            <w:szCs w:val="36"/>
            <w:lang w:val="en-US"/>
          </w:rPr>
          <w:t>3.</w:t>
        </w:r>
        <w:r w:rsidR="00050632" w:rsidRPr="00EB3899">
          <w:rPr>
            <w:rFonts w:asciiTheme="majorBidi" w:eastAsiaTheme="minorEastAsia" w:hAnsiTheme="majorBidi" w:cstheme="majorBidi"/>
            <w:i w:val="0"/>
            <w:iCs w:val="0"/>
            <w:noProof/>
            <w:kern w:val="2"/>
            <w:sz w:val="36"/>
            <w:szCs w:val="36"/>
            <w:lang w:val="en-GB" w:eastAsia="en-GB"/>
            <w14:ligatures w14:val="standardContextual"/>
          </w:rPr>
          <w:tab/>
        </w:r>
        <w:r w:rsidR="00050632" w:rsidRPr="00EB3899">
          <w:rPr>
            <w:rStyle w:val="Hyperlink"/>
            <w:rFonts w:asciiTheme="majorBidi" w:hAnsiTheme="majorBidi" w:cstheme="majorBidi"/>
            <w:i w:val="0"/>
            <w:iCs w:val="0"/>
            <w:noProof/>
            <w:sz w:val="28"/>
            <w:szCs w:val="36"/>
          </w:rPr>
          <w:t>Testing Macroeconomic Hypothese</w:t>
        </w:r>
        <w:r w:rsidR="00050632" w:rsidRPr="00EB3899">
          <w:rPr>
            <w:rFonts w:asciiTheme="majorBidi" w:hAnsiTheme="majorBidi" w:cstheme="majorBidi"/>
            <w:i w:val="0"/>
            <w:iCs w:val="0"/>
            <w:noProof/>
            <w:webHidden/>
            <w:sz w:val="28"/>
            <w:szCs w:val="36"/>
          </w:rPr>
          <w:tab/>
        </w:r>
        <w:r w:rsidR="00050632" w:rsidRPr="00EB3899">
          <w:rPr>
            <w:rFonts w:asciiTheme="majorBidi" w:hAnsiTheme="majorBidi" w:cstheme="majorBidi"/>
            <w:i w:val="0"/>
            <w:iCs w:val="0"/>
            <w:noProof/>
            <w:webHidden/>
            <w:sz w:val="28"/>
            <w:szCs w:val="36"/>
          </w:rPr>
          <w:fldChar w:fldCharType="begin"/>
        </w:r>
        <w:r w:rsidR="00050632" w:rsidRPr="00EB3899">
          <w:rPr>
            <w:rFonts w:asciiTheme="majorBidi" w:hAnsiTheme="majorBidi" w:cstheme="majorBidi"/>
            <w:i w:val="0"/>
            <w:iCs w:val="0"/>
            <w:noProof/>
            <w:webHidden/>
            <w:sz w:val="28"/>
            <w:szCs w:val="36"/>
          </w:rPr>
          <w:instrText xml:space="preserve"> PAGEREF _Toc200721797 \h </w:instrText>
        </w:r>
        <w:r w:rsidR="00050632" w:rsidRPr="00EB3899">
          <w:rPr>
            <w:rFonts w:asciiTheme="majorBidi" w:hAnsiTheme="majorBidi" w:cstheme="majorBidi"/>
            <w:i w:val="0"/>
            <w:iCs w:val="0"/>
            <w:noProof/>
            <w:webHidden/>
            <w:sz w:val="28"/>
            <w:szCs w:val="36"/>
          </w:rPr>
        </w:r>
        <w:r w:rsidR="00050632" w:rsidRPr="00EB3899">
          <w:rPr>
            <w:rFonts w:asciiTheme="majorBidi" w:hAnsiTheme="majorBidi" w:cstheme="majorBidi"/>
            <w:i w:val="0"/>
            <w:iCs w:val="0"/>
            <w:noProof/>
            <w:webHidden/>
            <w:sz w:val="28"/>
            <w:szCs w:val="36"/>
          </w:rPr>
          <w:fldChar w:fldCharType="separate"/>
        </w:r>
        <w:r w:rsidR="00A10E08">
          <w:rPr>
            <w:rFonts w:asciiTheme="majorBidi" w:hAnsiTheme="majorBidi" w:cstheme="majorBidi"/>
            <w:i w:val="0"/>
            <w:iCs w:val="0"/>
            <w:noProof/>
            <w:webHidden/>
            <w:sz w:val="28"/>
            <w:szCs w:val="36"/>
          </w:rPr>
          <w:t>175</w:t>
        </w:r>
        <w:r w:rsidR="00050632" w:rsidRPr="00EB3899">
          <w:rPr>
            <w:rFonts w:asciiTheme="majorBidi" w:hAnsiTheme="majorBidi" w:cstheme="majorBidi"/>
            <w:i w:val="0"/>
            <w:iCs w:val="0"/>
            <w:noProof/>
            <w:webHidden/>
            <w:sz w:val="28"/>
            <w:szCs w:val="36"/>
          </w:rPr>
          <w:fldChar w:fldCharType="end"/>
        </w:r>
      </w:hyperlink>
    </w:p>
    <w:p w14:paraId="4D871AAC" w14:textId="30934A51" w:rsidR="00050632" w:rsidRPr="00EB3899" w:rsidRDefault="00B6520E">
      <w:pPr>
        <w:pStyle w:val="TOC2"/>
        <w:tabs>
          <w:tab w:val="right" w:leader="dot" w:pos="9062"/>
        </w:tabs>
        <w:rPr>
          <w:rFonts w:asciiTheme="majorBidi" w:eastAsiaTheme="minorEastAsia" w:hAnsiTheme="majorBidi" w:cstheme="majorBidi"/>
          <w:smallCaps w:val="0"/>
          <w:noProof/>
          <w:kern w:val="2"/>
          <w:sz w:val="36"/>
          <w:szCs w:val="36"/>
          <w:lang w:val="en-GB" w:eastAsia="en-GB"/>
          <w14:ligatures w14:val="standardContextual"/>
        </w:rPr>
      </w:pPr>
      <w:hyperlink w:anchor="_Toc200721798" w:history="1">
        <w:r w:rsidR="00050632" w:rsidRPr="00EB3899">
          <w:rPr>
            <w:rStyle w:val="Hyperlink"/>
            <w:rFonts w:asciiTheme="majorBidi" w:hAnsiTheme="majorBidi" w:cstheme="majorBidi"/>
            <w:noProof/>
            <w:sz w:val="28"/>
            <w:szCs w:val="36"/>
          </w:rPr>
          <w:t>Conclusion</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_Toc200721798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179</w:t>
        </w:r>
        <w:r w:rsidR="00050632" w:rsidRPr="00EB3899">
          <w:rPr>
            <w:rFonts w:asciiTheme="majorBidi" w:hAnsiTheme="majorBidi" w:cstheme="majorBidi"/>
            <w:noProof/>
            <w:webHidden/>
            <w:sz w:val="28"/>
            <w:szCs w:val="36"/>
          </w:rPr>
          <w:fldChar w:fldCharType="end"/>
        </w:r>
      </w:hyperlink>
    </w:p>
    <w:p w14:paraId="53170DFA" w14:textId="3FE6268A"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799" w:history="1">
        <w:r w:rsidR="00050632" w:rsidRPr="00EB3899">
          <w:rPr>
            <w:rStyle w:val="Hyperlink"/>
            <w:rFonts w:asciiTheme="majorBidi" w:hAnsiTheme="majorBidi" w:cstheme="majorBidi"/>
            <w:noProof/>
            <w:sz w:val="28"/>
            <w:szCs w:val="36"/>
          </w:rPr>
          <w:t>General ConclusionE</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_Toc200721799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181</w:t>
        </w:r>
        <w:r w:rsidR="00050632" w:rsidRPr="00EB3899">
          <w:rPr>
            <w:rFonts w:asciiTheme="majorBidi" w:hAnsiTheme="majorBidi" w:cstheme="majorBidi"/>
            <w:noProof/>
            <w:webHidden/>
            <w:sz w:val="28"/>
            <w:szCs w:val="36"/>
          </w:rPr>
          <w:fldChar w:fldCharType="end"/>
        </w:r>
      </w:hyperlink>
    </w:p>
    <w:p w14:paraId="36801353" w14:textId="5FE9E61A"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800" w:history="1">
        <w:r w:rsidR="00050632" w:rsidRPr="00EB3899">
          <w:rPr>
            <w:rStyle w:val="Hyperlink"/>
            <w:rFonts w:asciiTheme="majorBidi" w:hAnsiTheme="majorBidi" w:cstheme="majorBidi"/>
            <w:noProof/>
            <w:sz w:val="28"/>
            <w:szCs w:val="36"/>
          </w:rPr>
          <w:t>BibliographY</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_Toc200721800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185</w:t>
        </w:r>
        <w:r w:rsidR="00050632" w:rsidRPr="00EB3899">
          <w:rPr>
            <w:rFonts w:asciiTheme="majorBidi" w:hAnsiTheme="majorBidi" w:cstheme="majorBidi"/>
            <w:noProof/>
            <w:webHidden/>
            <w:sz w:val="28"/>
            <w:szCs w:val="36"/>
          </w:rPr>
          <w:fldChar w:fldCharType="end"/>
        </w:r>
      </w:hyperlink>
    </w:p>
    <w:p w14:paraId="6A723962" w14:textId="06A11CAD" w:rsidR="00050632" w:rsidRPr="00EB3899" w:rsidRDefault="00B6520E">
      <w:pPr>
        <w:pStyle w:val="TOC1"/>
        <w:tabs>
          <w:tab w:val="right" w:leader="dot" w:pos="9062"/>
        </w:tabs>
        <w:rPr>
          <w:rFonts w:asciiTheme="majorBidi" w:eastAsiaTheme="minorEastAsia" w:hAnsiTheme="majorBidi" w:cstheme="majorBidi"/>
          <w:b w:val="0"/>
          <w:bCs w:val="0"/>
          <w:caps w:val="0"/>
          <w:noProof/>
          <w:kern w:val="2"/>
          <w:sz w:val="36"/>
          <w:szCs w:val="36"/>
          <w:lang w:val="en-GB" w:eastAsia="en-GB"/>
          <w14:ligatures w14:val="standardContextual"/>
        </w:rPr>
      </w:pPr>
      <w:hyperlink w:anchor="_Toc200721801" w:history="1">
        <w:r w:rsidR="00050632" w:rsidRPr="00EB3899">
          <w:rPr>
            <w:rStyle w:val="Hyperlink"/>
            <w:rFonts w:asciiTheme="majorBidi" w:hAnsiTheme="majorBidi" w:cstheme="majorBidi"/>
            <w:noProof/>
            <w:sz w:val="28"/>
            <w:szCs w:val="36"/>
          </w:rPr>
          <w:t>AppendiX</w:t>
        </w:r>
        <w:r w:rsidR="00050632" w:rsidRPr="00EB3899">
          <w:rPr>
            <w:rFonts w:asciiTheme="majorBidi" w:hAnsiTheme="majorBidi" w:cstheme="majorBidi"/>
            <w:noProof/>
            <w:webHidden/>
            <w:sz w:val="28"/>
            <w:szCs w:val="36"/>
          </w:rPr>
          <w:tab/>
        </w:r>
        <w:r w:rsidR="00050632" w:rsidRPr="00EB3899">
          <w:rPr>
            <w:rFonts w:asciiTheme="majorBidi" w:hAnsiTheme="majorBidi" w:cstheme="majorBidi"/>
            <w:noProof/>
            <w:webHidden/>
            <w:sz w:val="28"/>
            <w:szCs w:val="36"/>
          </w:rPr>
          <w:fldChar w:fldCharType="begin"/>
        </w:r>
        <w:r w:rsidR="00050632" w:rsidRPr="00EB3899">
          <w:rPr>
            <w:rFonts w:asciiTheme="majorBidi" w:hAnsiTheme="majorBidi" w:cstheme="majorBidi"/>
            <w:noProof/>
            <w:webHidden/>
            <w:sz w:val="28"/>
            <w:szCs w:val="36"/>
          </w:rPr>
          <w:instrText xml:space="preserve"> PAGEREF _Toc200721801 \h </w:instrText>
        </w:r>
        <w:r w:rsidR="00050632" w:rsidRPr="00EB3899">
          <w:rPr>
            <w:rFonts w:asciiTheme="majorBidi" w:hAnsiTheme="majorBidi" w:cstheme="majorBidi"/>
            <w:noProof/>
            <w:webHidden/>
            <w:sz w:val="28"/>
            <w:szCs w:val="36"/>
          </w:rPr>
        </w:r>
        <w:r w:rsidR="00050632" w:rsidRPr="00EB3899">
          <w:rPr>
            <w:rFonts w:asciiTheme="majorBidi" w:hAnsiTheme="majorBidi" w:cstheme="majorBidi"/>
            <w:noProof/>
            <w:webHidden/>
            <w:sz w:val="28"/>
            <w:szCs w:val="36"/>
          </w:rPr>
          <w:fldChar w:fldCharType="separate"/>
        </w:r>
        <w:r w:rsidR="00A10E08">
          <w:rPr>
            <w:rFonts w:asciiTheme="majorBidi" w:hAnsiTheme="majorBidi" w:cstheme="majorBidi"/>
            <w:noProof/>
            <w:webHidden/>
            <w:sz w:val="28"/>
            <w:szCs w:val="36"/>
          </w:rPr>
          <w:t>195</w:t>
        </w:r>
        <w:r w:rsidR="00050632" w:rsidRPr="00EB3899">
          <w:rPr>
            <w:rFonts w:asciiTheme="majorBidi" w:hAnsiTheme="majorBidi" w:cstheme="majorBidi"/>
            <w:noProof/>
            <w:webHidden/>
            <w:sz w:val="28"/>
            <w:szCs w:val="36"/>
          </w:rPr>
          <w:fldChar w:fldCharType="end"/>
        </w:r>
      </w:hyperlink>
    </w:p>
    <w:p w14:paraId="2E512E63" w14:textId="3B104376" w:rsidR="00520D2C" w:rsidRPr="00EB3899" w:rsidRDefault="00DC25B4" w:rsidP="00BE475C">
      <w:pPr>
        <w:spacing w:line="360" w:lineRule="auto"/>
        <w:rPr>
          <w:rFonts w:asciiTheme="majorBidi" w:hAnsiTheme="majorBidi" w:cstheme="majorBidi"/>
          <w:b/>
          <w:bCs/>
          <w:sz w:val="24"/>
          <w:szCs w:val="24"/>
          <w:lang w:val="en-GB"/>
        </w:rPr>
      </w:pPr>
      <w:r w:rsidRPr="00EB3899">
        <w:rPr>
          <w:rFonts w:asciiTheme="majorBidi" w:hAnsiTheme="majorBidi" w:cstheme="majorBidi"/>
          <w:b/>
          <w:bCs/>
          <w:sz w:val="36"/>
          <w:szCs w:val="36"/>
          <w:lang w:val="en-GB"/>
        </w:rPr>
        <w:fldChar w:fldCharType="end"/>
      </w:r>
    </w:p>
    <w:sectPr w:rsidR="00520D2C" w:rsidRPr="00EB3899">
      <w:headerReference w:type="default" r:id="rId1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B2B50" w14:textId="77777777" w:rsidR="00B6520E" w:rsidRDefault="00B6520E" w:rsidP="00DC2EB3">
      <w:pPr>
        <w:spacing w:after="0" w:line="240" w:lineRule="auto"/>
      </w:pPr>
      <w:r>
        <w:separator/>
      </w:r>
    </w:p>
  </w:endnote>
  <w:endnote w:type="continuationSeparator" w:id="0">
    <w:p w14:paraId="330DEF80" w14:textId="77777777" w:rsidR="00B6520E" w:rsidRDefault="00B6520E" w:rsidP="00DC2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panose1 w:val="00000000000000000000"/>
    <w:charset w:val="00"/>
    <w:family w:val="roman"/>
    <w:notTrueType/>
    <w:pitch w:val="default"/>
  </w:font>
  <w:font w:name="Edwardian Script ITC">
    <w:panose1 w:val="030303020407070D0804"/>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913381"/>
      <w:docPartObj>
        <w:docPartGallery w:val="Page Numbers (Bottom of Page)"/>
        <w:docPartUnique/>
      </w:docPartObj>
    </w:sdtPr>
    <w:sdtEndPr/>
    <w:sdtContent>
      <w:p w14:paraId="1C30CACF" w14:textId="677A3364" w:rsidR="00C401F5" w:rsidRDefault="00C401F5">
        <w:pPr>
          <w:pStyle w:val="Footer"/>
        </w:pPr>
        <w:r>
          <w:rPr>
            <w:noProof/>
          </w:rPr>
          <mc:AlternateContent>
            <mc:Choice Requires="wpg">
              <w:drawing>
                <wp:anchor distT="0" distB="0" distL="114300" distR="114300" simplePos="0" relativeHeight="251659264" behindDoc="0" locked="0" layoutInCell="0" allowOverlap="1" wp14:anchorId="3583955D" wp14:editId="3AD5D646">
                  <wp:simplePos x="0" y="0"/>
                  <wp:positionH relativeFrom="margin">
                    <wp:align>center</wp:align>
                  </wp:positionH>
                  <wp:positionV relativeFrom="bottomMargin">
                    <wp:align>center</wp:align>
                  </wp:positionV>
                  <wp:extent cx="419100" cy="321945"/>
                  <wp:effectExtent l="0" t="19050" r="0" b="1143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86"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5DD5D"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89" name="Group 91"/>
                          <wpg:cNvGrpSpPr>
                            <a:grpSpLocks/>
                          </wpg:cNvGrpSpPr>
                          <wpg:grpSpPr bwMode="auto">
                            <a:xfrm>
                              <a:off x="1775" y="14647"/>
                              <a:ext cx="571" cy="314"/>
                              <a:chOff x="1705" y="14935"/>
                              <a:chExt cx="682" cy="375"/>
                            </a:xfrm>
                          </wpg:grpSpPr>
                          <wps:wsp>
                            <wps:cNvPr id="90"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83955D" id="Group 84" o:spid="_x0000_s1046" style="position:absolute;margin-left:0;margin-top:0;width:33pt;height:25.35pt;z-index:251659264;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" o:allowincell="f">
                  <v:shapetype id="_x0000_t4" coordsize="21600,21600" o:spt="4" path="m10800,l,10800,10800,21600,21600,10800xe">
                    <v:stroke joinstyle="miter"/>
                    <v:path gradientshapeok="t" o:connecttype="rect" textboxrect="5400,5400,16200,16200"/>
                  </v:shapetype>
                  <v:shape id="AutoShape 88" o:spid="_x0000_s1047"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" filled="f" strokecolor="#a5a5a5"/>
                  <v:rect id="Rectangle 89" o:spid="_x0000_s1048"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" filled="f" strokecolor="#a5a5a5"/>
                  <v:shapetype id="_x0000_t202" coordsize="21600,21600" o:spt="202" path="m,l,21600r21600,l21600,xe">
                    <v:stroke joinstyle="miter"/>
                    <v:path gradientshapeok="t" o:connecttype="rect"/>
                  </v:shapetype>
                  <v:shape id="Text Box 90" o:spid="_x0000_s1049"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" filled="f" stroked="f">
                    <v:textbox inset="0,2.16pt,0,0">
                      <w:txbxContent>
                        <w:p w14:paraId="1405DD5D"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50"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AutoShape 92" o:spid="_x0000_s1051"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" path="m,l5400,21600r10800,l21600,,,xe" filled="f" strokecolor="#a5a5a5">
                      <v:stroke joinstyle="miter"/>
                      <v:path o:connecttype="custom" o:connectlocs="6,7;3,13;1,7;3,0" o:connectangles="0,0,0,0" textboxrect="4493,4483,17107,17117"/>
                    </v:shape>
                    <v:shape id="AutoShape 93" o:spid="_x0000_s1052"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10462"/>
      <w:docPartObj>
        <w:docPartGallery w:val="Page Numbers (Bottom of Page)"/>
        <w:docPartUnique/>
      </w:docPartObj>
    </w:sdtPr>
    <w:sdtEndPr/>
    <w:sdtContent>
      <w:p w14:paraId="3E0E8DDE" w14:textId="0323A917" w:rsidR="00C401F5" w:rsidRDefault="00B6520E">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896687"/>
      <w:docPartObj>
        <w:docPartGallery w:val="Page Numbers (Bottom of Page)"/>
        <w:docPartUnique/>
      </w:docPartObj>
    </w:sdtPr>
    <w:sdtEndPr/>
    <w:sdtContent>
      <w:p w14:paraId="0BEE863B" w14:textId="77777777" w:rsidR="00C401F5" w:rsidRDefault="00C401F5">
        <w:pPr>
          <w:pStyle w:val="Footer"/>
        </w:pPr>
        <w:r>
          <w:rPr>
            <w:noProof/>
          </w:rPr>
          <mc:AlternateContent>
            <mc:Choice Requires="wpg">
              <w:drawing>
                <wp:anchor distT="0" distB="0" distL="114300" distR="114300" simplePos="0" relativeHeight="251663360" behindDoc="0" locked="0" layoutInCell="0" allowOverlap="1" wp14:anchorId="58A03529" wp14:editId="15245AC9">
                  <wp:simplePos x="0" y="0"/>
                  <wp:positionH relativeFrom="margin">
                    <wp:align>center</wp:align>
                  </wp:positionH>
                  <wp:positionV relativeFrom="bottomMargin">
                    <wp:align>center</wp:align>
                  </wp:positionV>
                  <wp:extent cx="419100" cy="321945"/>
                  <wp:effectExtent l="0" t="19050" r="0" b="1143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00"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ED908"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03" name="Group 91"/>
                          <wpg:cNvGrpSpPr>
                            <a:grpSpLocks/>
                          </wpg:cNvGrpSpPr>
                          <wpg:grpSpPr bwMode="auto">
                            <a:xfrm>
                              <a:off x="1775" y="14647"/>
                              <a:ext cx="571" cy="314"/>
                              <a:chOff x="1705" y="14935"/>
                              <a:chExt cx="682" cy="375"/>
                            </a:xfrm>
                          </wpg:grpSpPr>
                          <wps:wsp>
                            <wps:cNvPr id="104"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A03529" id="Group 99" o:spid="_x0000_s1053" style="position:absolute;margin-left:0;margin-top:0;width:33pt;height:25.35pt;z-index:251663360;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" o:allowincell="f">
                  <v:shapetype id="_x0000_t4" coordsize="21600,21600" o:spt="4" path="m10800,l,10800,10800,21600,21600,10800xe">
                    <v:stroke joinstyle="miter"/>
                    <v:path gradientshapeok="t" o:connecttype="rect" textboxrect="5400,5400,16200,16200"/>
                  </v:shapetype>
                  <v:shape id="AutoShape 88" o:spid="_x0000_s1054"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" filled="f" strokecolor="#a5a5a5"/>
                  <v:rect id="Rectangle 89" o:spid="_x0000_s1055"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" filled="f" strokecolor="#a5a5a5"/>
                  <v:shapetype id="_x0000_t202" coordsize="21600,21600" o:spt="202" path="m,l,21600r21600,l21600,xe">
                    <v:stroke joinstyle="miter"/>
                    <v:path gradientshapeok="t" o:connecttype="rect"/>
                  </v:shapetype>
                  <v:shape id="Text Box 90" o:spid="_x0000_s1056"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" filled="f" stroked="f">
                    <v:textbox inset="0,2.16pt,0,0">
                      <w:txbxContent>
                        <w:p w14:paraId="4E1ED908"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57"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AutoShape 92" o:spid="_x0000_s1058"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" path="m,l5400,21600r10800,l21600,,,xe" filled="f" strokecolor="#a5a5a5">
                      <v:stroke joinstyle="miter"/>
                      <v:path o:connecttype="custom" o:connectlocs="6,7;3,13;1,7;3,0" o:connectangles="0,0,0,0" textboxrect="4493,4483,17107,17117"/>
                    </v:shape>
                    <v:shape id="AutoShape 93" o:spid="_x0000_s1059"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825680"/>
      <w:docPartObj>
        <w:docPartGallery w:val="Page Numbers (Bottom of Page)"/>
        <w:docPartUnique/>
      </w:docPartObj>
    </w:sdtPr>
    <w:sdtEndPr/>
    <w:sdtContent>
      <w:p w14:paraId="5F72A0F7" w14:textId="2EE99742" w:rsidR="00C401F5" w:rsidRDefault="00B6520E">
        <w:pPr>
          <w:pStyle w:val="Foote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810897"/>
      <w:docPartObj>
        <w:docPartGallery w:val="Page Numbers (Bottom of Page)"/>
        <w:docPartUnique/>
      </w:docPartObj>
    </w:sdtPr>
    <w:sdtEndPr/>
    <w:sdtContent>
      <w:p w14:paraId="1F939A38" w14:textId="77777777" w:rsidR="00C401F5" w:rsidRDefault="00C401F5">
        <w:pPr>
          <w:pStyle w:val="Footer"/>
        </w:pPr>
        <w:r>
          <w:rPr>
            <w:noProof/>
          </w:rPr>
          <mc:AlternateContent>
            <mc:Choice Requires="wpg">
              <w:drawing>
                <wp:anchor distT="0" distB="0" distL="114300" distR="114300" simplePos="0" relativeHeight="251667456" behindDoc="0" locked="0" layoutInCell="0" allowOverlap="1" wp14:anchorId="7C900878" wp14:editId="3CA1D14A">
                  <wp:simplePos x="0" y="0"/>
                  <wp:positionH relativeFrom="margin">
                    <wp:align>center</wp:align>
                  </wp:positionH>
                  <wp:positionV relativeFrom="bottomMargin">
                    <wp:align>center</wp:align>
                  </wp:positionV>
                  <wp:extent cx="419100" cy="321945"/>
                  <wp:effectExtent l="0" t="19050" r="0" b="1143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14"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63666"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17" name="Group 91"/>
                          <wpg:cNvGrpSpPr>
                            <a:grpSpLocks/>
                          </wpg:cNvGrpSpPr>
                          <wpg:grpSpPr bwMode="auto">
                            <a:xfrm>
                              <a:off x="1775" y="14647"/>
                              <a:ext cx="571" cy="314"/>
                              <a:chOff x="1705" y="14935"/>
                              <a:chExt cx="682" cy="375"/>
                            </a:xfrm>
                          </wpg:grpSpPr>
                          <wps:wsp>
                            <wps:cNvPr id="118"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900878" id="Group 113" o:spid="_x0000_s1060" style="position:absolute;margin-left:0;margin-top:0;width:33pt;height:25.35pt;z-index:251667456;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" o:allowincell="f">
                  <v:shapetype id="_x0000_t4" coordsize="21600,21600" o:spt="4" path="m10800,l,10800,10800,21600,21600,10800xe">
                    <v:stroke joinstyle="miter"/>
                    <v:path gradientshapeok="t" o:connecttype="rect" textboxrect="5400,5400,16200,16200"/>
                  </v:shapetype>
                  <v:shape id="AutoShape 88" o:spid="_x0000_s1061"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" filled="f" strokecolor="#a5a5a5"/>
                  <v:rect id="Rectangle 89" o:spid="_x0000_s1062"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" filled="f" strokecolor="#a5a5a5"/>
                  <v:shapetype id="_x0000_t202" coordsize="21600,21600" o:spt="202" path="m,l,21600r21600,l21600,xe">
                    <v:stroke joinstyle="miter"/>
                    <v:path gradientshapeok="t" o:connecttype="rect"/>
                  </v:shapetype>
                  <v:shape id="Text Box 90" o:spid="_x0000_s1063"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" filled="f" stroked="f">
                    <v:textbox inset="0,2.16pt,0,0">
                      <w:txbxContent>
                        <w:p w14:paraId="04B63666"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64"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AutoShape 92" o:spid="_x0000_s1065"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" path="m,l5400,21600r10800,l21600,,,xe" filled="f" strokecolor="#a5a5a5">
                      <v:stroke joinstyle="miter"/>
                      <v:path o:connecttype="custom" o:connectlocs="6,7;3,13;1,7;3,0" o:connectangles="0,0,0,0" textboxrect="4493,4483,17107,17117"/>
                    </v:shape>
                    <v:shape id="AutoShape 93" o:spid="_x0000_s1066"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958510"/>
      <w:docPartObj>
        <w:docPartGallery w:val="Page Numbers (Bottom of Page)"/>
        <w:docPartUnique/>
      </w:docPartObj>
    </w:sdtPr>
    <w:sdtEndPr/>
    <w:sdtContent>
      <w:p w14:paraId="7311F286" w14:textId="28023FBD" w:rsidR="00C401F5" w:rsidRDefault="00B6520E">
        <w:pPr>
          <w:pStyle w:val="Foote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024496"/>
      <w:docPartObj>
        <w:docPartGallery w:val="Page Numbers (Bottom of Page)"/>
        <w:docPartUnique/>
      </w:docPartObj>
    </w:sdtPr>
    <w:sdtEndPr/>
    <w:sdtContent>
      <w:p w14:paraId="0B25FC5F" w14:textId="77777777" w:rsidR="00C401F5" w:rsidRDefault="00C401F5">
        <w:pPr>
          <w:pStyle w:val="Footer"/>
        </w:pPr>
        <w:r>
          <w:rPr>
            <w:noProof/>
          </w:rPr>
          <mc:AlternateContent>
            <mc:Choice Requires="wpg">
              <w:drawing>
                <wp:anchor distT="0" distB="0" distL="114300" distR="114300" simplePos="0" relativeHeight="251671552" behindDoc="0" locked="0" layoutInCell="0" allowOverlap="1" wp14:anchorId="4B4F80A2" wp14:editId="4406A290">
                  <wp:simplePos x="0" y="0"/>
                  <wp:positionH relativeFrom="margin">
                    <wp:align>center</wp:align>
                  </wp:positionH>
                  <wp:positionV relativeFrom="bottomMargin">
                    <wp:align>center</wp:align>
                  </wp:positionV>
                  <wp:extent cx="419100" cy="321945"/>
                  <wp:effectExtent l="0" t="19050" r="0" b="1143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28"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4C3C7"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31" name="Group 91"/>
                          <wpg:cNvGrpSpPr>
                            <a:grpSpLocks/>
                          </wpg:cNvGrpSpPr>
                          <wpg:grpSpPr bwMode="auto">
                            <a:xfrm>
                              <a:off x="1775" y="14647"/>
                              <a:ext cx="571" cy="314"/>
                              <a:chOff x="1705" y="14935"/>
                              <a:chExt cx="682" cy="375"/>
                            </a:xfrm>
                          </wpg:grpSpPr>
                          <wps:wsp>
                            <wps:cNvPr id="132"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4F80A2" id="Group 127" o:spid="_x0000_s1067" style="position:absolute;margin-left:0;margin-top:0;width:33pt;height:25.35pt;z-index:251671552;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" o:allowincell="f">
                  <v:shapetype id="_x0000_t4" coordsize="21600,21600" o:spt="4" path="m10800,l,10800,10800,21600,21600,10800xe">
                    <v:stroke joinstyle="miter"/>
                    <v:path gradientshapeok="t" o:connecttype="rect" textboxrect="5400,5400,16200,16200"/>
                  </v:shapetype>
                  <v:shape id="AutoShape 88" o:spid="_x0000_s1068"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" filled="f" strokecolor="#a5a5a5"/>
                  <v:rect id="Rectangle 89" o:spid="_x0000_s1069"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" filled="f" strokecolor="#a5a5a5"/>
                  <v:shapetype id="_x0000_t202" coordsize="21600,21600" o:spt="202" path="m,l,21600r21600,l21600,xe">
                    <v:stroke joinstyle="miter"/>
                    <v:path gradientshapeok="t" o:connecttype="rect"/>
                  </v:shapetype>
                  <v:shape id="Text Box 90" o:spid="_x0000_s1070"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" filled="f" stroked="f">
                    <v:textbox inset="0,2.16pt,0,0">
                      <w:txbxContent>
                        <w:p w14:paraId="3774C3C7"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71"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AutoShape 92" o:spid="_x0000_s1072"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" path="m,l5400,21600r10800,l21600,,,xe" filled="f" strokecolor="#a5a5a5">
                      <v:stroke joinstyle="miter"/>
                      <v:path o:connecttype="custom" o:connectlocs="6,7;3,13;1,7;3,0" o:connectangles="0,0,0,0" textboxrect="4493,4483,17107,17117"/>
                    </v:shape>
                    <v:shape id="AutoShape 93" o:spid="_x0000_s1073"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931974"/>
      <w:docPartObj>
        <w:docPartGallery w:val="Page Numbers (Bottom of Page)"/>
        <w:docPartUnique/>
      </w:docPartObj>
    </w:sdtPr>
    <w:sdtEndPr/>
    <w:sdtContent>
      <w:p w14:paraId="26D88046" w14:textId="6ABD8A24" w:rsidR="00C401F5" w:rsidRDefault="00B6520E">
        <w:pPr>
          <w:pStyle w:val="Foote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859573"/>
      <w:docPartObj>
        <w:docPartGallery w:val="Page Numbers (Bottom of Page)"/>
        <w:docPartUnique/>
      </w:docPartObj>
    </w:sdtPr>
    <w:sdtEndPr/>
    <w:sdtContent>
      <w:p w14:paraId="1560F185" w14:textId="77777777" w:rsidR="00C401F5" w:rsidRDefault="00C401F5">
        <w:pPr>
          <w:pStyle w:val="Footer"/>
        </w:pPr>
        <w:r>
          <w:rPr>
            <w:noProof/>
          </w:rPr>
          <mc:AlternateContent>
            <mc:Choice Requires="wpg">
              <w:drawing>
                <wp:anchor distT="0" distB="0" distL="114300" distR="114300" simplePos="0" relativeHeight="251675648" behindDoc="0" locked="0" layoutInCell="0" allowOverlap="1" wp14:anchorId="431E486B" wp14:editId="7BCD072F">
                  <wp:simplePos x="0" y="0"/>
                  <wp:positionH relativeFrom="margin">
                    <wp:align>center</wp:align>
                  </wp:positionH>
                  <wp:positionV relativeFrom="bottomMargin">
                    <wp:align>center</wp:align>
                  </wp:positionV>
                  <wp:extent cx="419100" cy="321945"/>
                  <wp:effectExtent l="0" t="19050" r="0" b="1143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42"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6410"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45" name="Group 91"/>
                          <wpg:cNvGrpSpPr>
                            <a:grpSpLocks/>
                          </wpg:cNvGrpSpPr>
                          <wpg:grpSpPr bwMode="auto">
                            <a:xfrm>
                              <a:off x="1775" y="14647"/>
                              <a:ext cx="571" cy="314"/>
                              <a:chOff x="1705" y="14935"/>
                              <a:chExt cx="682" cy="375"/>
                            </a:xfrm>
                          </wpg:grpSpPr>
                          <wps:wsp>
                            <wps:cNvPr id="146"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1E486B" id="Group 141" o:spid="_x0000_s1074" style="position:absolute;margin-left:0;margin-top:0;width:33pt;height:25.35pt;z-index:251675648;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" o:allowincell="f">
                  <v:shapetype id="_x0000_t4" coordsize="21600,21600" o:spt="4" path="m10800,l,10800,10800,21600,21600,10800xe">
                    <v:stroke joinstyle="miter"/>
                    <v:path gradientshapeok="t" o:connecttype="rect" textboxrect="5400,5400,16200,16200"/>
                  </v:shapetype>
                  <v:shape id="AutoShape 88" o:spid="_x0000_s1075"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" filled="f" strokecolor="#a5a5a5"/>
                  <v:rect id="Rectangle 89" o:spid="_x0000_s1076"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" filled="f" strokecolor="#a5a5a5"/>
                  <v:shapetype id="_x0000_t202" coordsize="21600,21600" o:spt="202" path="m,l,21600r21600,l21600,xe">
                    <v:stroke joinstyle="miter"/>
                    <v:path gradientshapeok="t" o:connecttype="rect"/>
                  </v:shapetype>
                  <v:shape id="Text Box 90" o:spid="_x0000_s1077"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" filled="f" stroked="f">
                    <v:textbox inset="0,2.16pt,0,0">
                      <w:txbxContent>
                        <w:p w14:paraId="04106410"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78"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AutoShape 92" o:spid="_x0000_s1079"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" path="m,l5400,21600r10800,l21600,,,xe" filled="f" strokecolor="#a5a5a5">
                      <v:stroke joinstyle="miter"/>
                      <v:path o:connecttype="custom" o:connectlocs="6,7;3,13;1,7;3,0" o:connectangles="0,0,0,0" textboxrect="4493,4483,17107,17117"/>
                    </v:shape>
                    <v:shape id="AutoShape 93" o:spid="_x0000_s1080"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985405"/>
      <w:docPartObj>
        <w:docPartGallery w:val="Page Numbers (Bottom of Page)"/>
        <w:docPartUnique/>
      </w:docPartObj>
    </w:sdtPr>
    <w:sdtEndPr/>
    <w:sdtContent>
      <w:p w14:paraId="01829DBC" w14:textId="47629D1A" w:rsidR="00C401F5" w:rsidRDefault="00B6520E">
        <w:pPr>
          <w:pStyle w:val="Footer"/>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80883"/>
      <w:docPartObj>
        <w:docPartGallery w:val="Page Numbers (Bottom of Page)"/>
        <w:docPartUnique/>
      </w:docPartObj>
    </w:sdtPr>
    <w:sdtEndPr/>
    <w:sdtContent>
      <w:p w14:paraId="082911DC" w14:textId="77777777" w:rsidR="00C401F5" w:rsidRDefault="00C401F5">
        <w:pPr>
          <w:pStyle w:val="Footer"/>
        </w:pPr>
        <w:r>
          <w:rPr>
            <w:noProof/>
          </w:rPr>
          <mc:AlternateContent>
            <mc:Choice Requires="wpg">
              <w:drawing>
                <wp:anchor distT="0" distB="0" distL="114300" distR="114300" simplePos="0" relativeHeight="251679744" behindDoc="0" locked="0" layoutInCell="0" allowOverlap="1" wp14:anchorId="2A9EDD58" wp14:editId="2B9E4A31">
                  <wp:simplePos x="0" y="0"/>
                  <wp:positionH relativeFrom="margin">
                    <wp:align>center</wp:align>
                  </wp:positionH>
                  <wp:positionV relativeFrom="bottomMargin">
                    <wp:align>center</wp:align>
                  </wp:positionV>
                  <wp:extent cx="419100" cy="321945"/>
                  <wp:effectExtent l="0" t="19050" r="0" b="1143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56"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95DB5"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59" name="Group 91"/>
                          <wpg:cNvGrpSpPr>
                            <a:grpSpLocks/>
                          </wpg:cNvGrpSpPr>
                          <wpg:grpSpPr bwMode="auto">
                            <a:xfrm>
                              <a:off x="1775" y="14647"/>
                              <a:ext cx="571" cy="314"/>
                              <a:chOff x="1705" y="14935"/>
                              <a:chExt cx="682" cy="375"/>
                            </a:xfrm>
                          </wpg:grpSpPr>
                          <wps:wsp>
                            <wps:cNvPr id="160"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9EDD58" id="Group 155" o:spid="_x0000_s1081" style="position:absolute;margin-left:0;margin-top:0;width:33pt;height:25.35pt;z-index:251679744;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" o:allowincell="f">
                  <v:shapetype id="_x0000_t4" coordsize="21600,21600" o:spt="4" path="m10800,l,10800,10800,21600,21600,10800xe">
                    <v:stroke joinstyle="miter"/>
                    <v:path gradientshapeok="t" o:connecttype="rect" textboxrect="5400,5400,16200,16200"/>
                  </v:shapetype>
                  <v:shape id="AutoShape 88" o:spid="_x0000_s1082"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" filled="f" strokecolor="#a5a5a5"/>
                  <v:rect id="Rectangle 89" o:spid="_x0000_s1083"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" filled="f" strokecolor="#a5a5a5"/>
                  <v:shapetype id="_x0000_t202" coordsize="21600,21600" o:spt="202" path="m,l,21600r21600,l21600,xe">
                    <v:stroke joinstyle="miter"/>
                    <v:path gradientshapeok="t" o:connecttype="rect"/>
                  </v:shapetype>
                  <v:shape id="Text Box 90" o:spid="_x0000_s1084"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" filled="f" stroked="f">
                    <v:textbox inset="0,2.16pt,0,0">
                      <w:txbxContent>
                        <w:p w14:paraId="60F95DB5"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85"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AutoShape 92" o:spid="_x0000_s1086"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" path="m,l5400,21600r10800,l21600,,,xe" filled="f" strokecolor="#a5a5a5">
                      <v:stroke joinstyle="miter"/>
                      <v:path o:connecttype="custom" o:connectlocs="6,7;3,13;1,7;3,0" o:connectangles="0,0,0,0" textboxrect="4493,4483,17107,17117"/>
                    </v:shape>
                    <v:shape id="AutoShape 93" o:spid="_x0000_s1087"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51548"/>
      <w:docPartObj>
        <w:docPartGallery w:val="Page Numbers (Bottom of Page)"/>
        <w:docPartUnique/>
      </w:docPartObj>
    </w:sdtPr>
    <w:sdtEndPr/>
    <w:sdtContent>
      <w:p w14:paraId="2FE97627" w14:textId="083BD698" w:rsidR="00C401F5" w:rsidRDefault="00B6520E">
        <w:pPr>
          <w:pStyle w:val="Foote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9115242"/>
      <w:docPartObj>
        <w:docPartGallery w:val="Page Numbers (Bottom of Page)"/>
        <w:docPartUnique/>
      </w:docPartObj>
    </w:sdtPr>
    <w:sdtEndPr/>
    <w:sdtContent>
      <w:p w14:paraId="2F1E1129" w14:textId="77777777" w:rsidR="00C401F5" w:rsidRDefault="00C401F5">
        <w:pPr>
          <w:pStyle w:val="Footer"/>
        </w:pPr>
        <w:r>
          <w:rPr>
            <w:noProof/>
          </w:rPr>
          <mc:AlternateContent>
            <mc:Choice Requires="wpg">
              <w:drawing>
                <wp:anchor distT="0" distB="0" distL="114300" distR="114300" simplePos="0" relativeHeight="251683840" behindDoc="0" locked="0" layoutInCell="0" allowOverlap="1" wp14:anchorId="2F85158E" wp14:editId="1F98C340">
                  <wp:simplePos x="0" y="0"/>
                  <wp:positionH relativeFrom="margin">
                    <wp:align>center</wp:align>
                  </wp:positionH>
                  <wp:positionV relativeFrom="bottomMargin">
                    <wp:align>center</wp:align>
                  </wp:positionV>
                  <wp:extent cx="419100" cy="321945"/>
                  <wp:effectExtent l="0" t="19050" r="0" b="1143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70"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7E862"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73" name="Group 91"/>
                          <wpg:cNvGrpSpPr>
                            <a:grpSpLocks/>
                          </wpg:cNvGrpSpPr>
                          <wpg:grpSpPr bwMode="auto">
                            <a:xfrm>
                              <a:off x="1775" y="14647"/>
                              <a:ext cx="571" cy="314"/>
                              <a:chOff x="1705" y="14935"/>
                              <a:chExt cx="682" cy="375"/>
                            </a:xfrm>
                          </wpg:grpSpPr>
                          <wps:wsp>
                            <wps:cNvPr id="174"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85158E" id="Group 169" o:spid="_x0000_s1088" style="position:absolute;margin-left:0;margin-top:0;width:33pt;height:25.35pt;z-index:251683840;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" o:allowincell="f">
                  <v:shapetype id="_x0000_t4" coordsize="21600,21600" o:spt="4" path="m10800,l,10800,10800,21600,21600,10800xe">
                    <v:stroke joinstyle="miter"/>
                    <v:path gradientshapeok="t" o:connecttype="rect" textboxrect="5400,5400,16200,16200"/>
                  </v:shapetype>
                  <v:shape id="AutoShape 88" o:spid="_x0000_s1089"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" filled="f" strokecolor="#a5a5a5"/>
                  <v:rect id="Rectangle 89" o:spid="_x0000_s1090"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" filled="f" strokecolor="#a5a5a5"/>
                  <v:shapetype id="_x0000_t202" coordsize="21600,21600" o:spt="202" path="m,l,21600r21600,l21600,xe">
                    <v:stroke joinstyle="miter"/>
                    <v:path gradientshapeok="t" o:connecttype="rect"/>
                  </v:shapetype>
                  <v:shape id="Text Box 90" o:spid="_x0000_s1091"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" filled="f" stroked="f">
                    <v:textbox inset="0,2.16pt,0,0">
                      <w:txbxContent>
                        <w:p w14:paraId="3947E862"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92"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AutoShape 92" o:spid="_x0000_s1093"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" path="m,l5400,21600r10800,l21600,,,xe" filled="f" strokecolor="#a5a5a5">
                      <v:stroke joinstyle="miter"/>
                      <v:path o:connecttype="custom" o:connectlocs="6,7;3,13;1,7;3,0" o:connectangles="0,0,0,0" textboxrect="4493,4483,17107,17117"/>
                    </v:shape>
                    <v:shape id="AutoShape 93" o:spid="_x0000_s1094"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275525"/>
      <w:docPartObj>
        <w:docPartGallery w:val="Page Numbers (Bottom of Page)"/>
        <w:docPartUnique/>
      </w:docPartObj>
    </w:sdtPr>
    <w:sdtEndPr/>
    <w:sdtContent>
      <w:p w14:paraId="70F7ECD9" w14:textId="37294407" w:rsidR="00C401F5" w:rsidRDefault="00B6520E">
        <w:pPr>
          <w:pStyle w:val="Footer"/>
        </w:pP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081130"/>
      <w:docPartObj>
        <w:docPartGallery w:val="Page Numbers (Bottom of Page)"/>
        <w:docPartUnique/>
      </w:docPartObj>
    </w:sdtPr>
    <w:sdtEndPr/>
    <w:sdtContent>
      <w:p w14:paraId="368F167A" w14:textId="77777777" w:rsidR="00C401F5" w:rsidRDefault="00C401F5">
        <w:pPr>
          <w:pStyle w:val="Footer"/>
        </w:pPr>
        <w:r>
          <w:rPr>
            <w:noProof/>
          </w:rPr>
          <mc:AlternateContent>
            <mc:Choice Requires="wpg">
              <w:drawing>
                <wp:anchor distT="0" distB="0" distL="114300" distR="114300" simplePos="0" relativeHeight="251687936" behindDoc="0" locked="0" layoutInCell="0" allowOverlap="1" wp14:anchorId="2A5E1DC3" wp14:editId="77A89AB4">
                  <wp:simplePos x="0" y="0"/>
                  <wp:positionH relativeFrom="margin">
                    <wp:align>center</wp:align>
                  </wp:positionH>
                  <wp:positionV relativeFrom="bottomMargin">
                    <wp:align>center</wp:align>
                  </wp:positionV>
                  <wp:extent cx="419100" cy="321945"/>
                  <wp:effectExtent l="0" t="19050" r="0" b="1143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84"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Text Box 90"/>
                          <wps:cNvSpPr txBox="1">
                            <a:spLocks noChangeArrowheads="1"/>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DF99A"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wps:txbx>
                          <wps:bodyPr rot="0" vert="horz" wrap="square" lIns="0" tIns="27432" rIns="0" bIns="0" anchor="t" anchorCtr="0" upright="1">
                            <a:noAutofit/>
                          </wps:bodyPr>
                        </wps:wsp>
                        <wpg:grpSp>
                          <wpg:cNvPr id="187" name="Group 91"/>
                          <wpg:cNvGrpSpPr>
                            <a:grpSpLocks/>
                          </wpg:cNvGrpSpPr>
                          <wpg:grpSpPr bwMode="auto">
                            <a:xfrm>
                              <a:off x="1775" y="14647"/>
                              <a:ext cx="571" cy="314"/>
                              <a:chOff x="1705" y="14935"/>
                              <a:chExt cx="682" cy="375"/>
                            </a:xfrm>
                          </wpg:grpSpPr>
                          <wps:wsp>
                            <wps:cNvPr id="188" name="AutoShape 92"/>
                            <wps:cNvSpPr>
                              <a:spLocks noChangeArrowheads="1"/>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AutoShape 93"/>
                            <wps:cNvSpPr>
                              <a:spLocks noChangeArrowheads="1"/>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5E1DC3" id="Group 183" o:spid="_x0000_s1095" style="position:absolute;margin-left:0;margin-top:0;width:33pt;height:25.35pt;z-index:251687936;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" o:allowincell="f">
                  <v:shapetype id="_x0000_t4" coordsize="21600,21600" o:spt="4" path="m10800,l,10800,10800,21600,21600,10800xe">
                    <v:stroke joinstyle="miter"/>
                    <v:path gradientshapeok="t" o:connecttype="rect" textboxrect="5400,5400,16200,16200"/>
                  </v:shapetype>
                  <v:shape id="AutoShape 88" o:spid="_x0000_s1096" type="#_x0000_t4" style="position:absolute;left:1793;top:14550;width:536;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" filled="f" strokecolor="#a5a5a5"/>
                  <v:rect id="Rectangle 89" o:spid="_x0000_s1097" style="position:absolute;left:1848;top:14616;width:42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" filled="f" strokecolor="#a5a5a5"/>
                  <v:shapetype id="_x0000_t202" coordsize="21600,21600" o:spt="202" path="m,l,21600r21600,l21600,xe">
                    <v:stroke joinstyle="miter"/>
                    <v:path gradientshapeok="t" o:connecttype="rect"/>
                  </v:shapetype>
                  <v:shape id="Text Box 90" o:spid="_x0000_s1098" type="#_x0000_t202" style="position:absolute;left:1731;top:14639;width:6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" filled="f" stroked="f">
                    <v:textbox inset="0,2.16pt,0,0">
                      <w:txbxContent>
                        <w:p w14:paraId="167DF99A" w14:textId="77777777" w:rsidR="00C401F5" w:rsidRDefault="00C401F5">
                          <w:pPr>
                            <w:spacing w:after="0" w:line="240" w:lineRule="auto"/>
                            <w:jc w:val="center"/>
                            <w:rPr>
                              <w:color w:val="323E4F" w:themeColor="text2" w:themeShade="BF"/>
                              <w:sz w:val="16"/>
                              <w:szCs w:val="16"/>
                            </w:rPr>
                          </w:pPr>
                          <w:r>
                            <w:fldChar w:fldCharType="begin"/>
                          </w:r>
                          <w:r>
                            <w:instrText xml:space="preserve"> PAGE   \* MERGEFORMAT </w:instrText>
                          </w:r>
                          <w:r>
                            <w:fldChar w:fldCharType="separate"/>
                          </w:r>
                          <w:r>
                            <w:rPr>
                              <w:noProof/>
                              <w:color w:val="323E4F" w:themeColor="text2" w:themeShade="BF"/>
                              <w:sz w:val="16"/>
                              <w:szCs w:val="16"/>
                            </w:rPr>
                            <w:t>2</w:t>
                          </w:r>
                          <w:r>
                            <w:rPr>
                              <w:noProof/>
                              <w:color w:val="323E4F" w:themeColor="text2" w:themeShade="BF"/>
                              <w:sz w:val="16"/>
                              <w:szCs w:val="16"/>
                            </w:rPr>
                            <w:fldChar w:fldCharType="end"/>
                          </w:r>
                        </w:p>
                      </w:txbxContent>
                    </v:textbox>
                  </v:shape>
                  <v:group id="Group 91" o:spid="_x0000_s1099" style="position:absolute;left:1775;top:14647;width:571;height:314" coordorigin="1705,14935" coordsize="68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AutoShape 92" o:spid="_x0000_s1100" style="position:absolute;left:1782;top:14858;width:375;height:53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" path="m,l5400,21600r10800,l21600,,,xe" filled="f" strokecolor="#a5a5a5">
                      <v:stroke joinstyle="miter"/>
                      <v:path o:connecttype="custom" o:connectlocs="6,7;3,13;1,7;3,0" o:connectangles="0,0,0,0" textboxrect="4493,4483,17107,17117"/>
                    </v:shape>
                    <v:shape id="AutoShape 93" o:spid="_x0000_s1101" style="position:absolute;left:1934;top:14858;width:375;height:530;rotation:-9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" path="m,l5400,21600r10800,l21600,,,xe" filled="f" strokecolor="#a5a5a5">
                      <v:stroke joinstyle="miter"/>
                      <v:path o:connecttype="custom" o:connectlocs="6,7;3,13;1,7;3,0" o:connectangles="0,0,0,0" textboxrect="4493,4483,17107,17117"/>
                    </v:shape>
                  </v:group>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7DF25" w14:textId="77777777" w:rsidR="00B6520E" w:rsidRDefault="00B6520E" w:rsidP="00DC2EB3">
      <w:pPr>
        <w:spacing w:after="0" w:line="240" w:lineRule="auto"/>
      </w:pPr>
      <w:r>
        <w:separator/>
      </w:r>
    </w:p>
  </w:footnote>
  <w:footnote w:type="continuationSeparator" w:id="0">
    <w:p w14:paraId="73ABC734" w14:textId="77777777" w:rsidR="00B6520E" w:rsidRDefault="00B6520E" w:rsidP="00DC2EB3">
      <w:pPr>
        <w:spacing w:after="0" w:line="240" w:lineRule="auto"/>
      </w:pPr>
      <w:r>
        <w:continuationSeparator/>
      </w:r>
    </w:p>
  </w:footnote>
  <w:footnote w:id="1">
    <w:p w14:paraId="63684FDC" w14:textId="4A1BFE11" w:rsidR="00DC2EB3" w:rsidRPr="00FC7ADD" w:rsidRDefault="00DC2EB3" w:rsidP="008C235E">
      <w:pPr>
        <w:spacing w:line="240" w:lineRule="auto"/>
        <w:jc w:val="both"/>
        <w:rPr>
          <w:rFonts w:asciiTheme="majorBidi" w:hAnsiTheme="majorBidi" w:cstheme="majorBidi"/>
          <w:sz w:val="20"/>
          <w:szCs w:val="20"/>
          <w:lang w:val="en-GB"/>
        </w:rPr>
      </w:pPr>
      <w:r w:rsidRPr="00FC7ADD">
        <w:rPr>
          <w:rStyle w:val="FootnoteReference"/>
          <w:rFonts w:asciiTheme="majorBidi" w:hAnsiTheme="majorBidi" w:cstheme="majorBidi"/>
          <w:sz w:val="20"/>
          <w:szCs w:val="20"/>
        </w:rPr>
        <w:footnoteRef/>
      </w:r>
      <w:r w:rsidRPr="00FC7ADD">
        <w:rPr>
          <w:rFonts w:asciiTheme="majorBidi" w:hAnsiTheme="majorBidi" w:cstheme="majorBidi"/>
          <w:sz w:val="20"/>
          <w:szCs w:val="20"/>
          <w:lang w:val="en-GB"/>
        </w:rPr>
        <w:t xml:space="preserve"> </w:t>
      </w:r>
      <w:bookmarkStart w:id="3" w:name="_Hlk199847293"/>
      <w:r w:rsidR="00FC7ADD" w:rsidRPr="00FC7ADD">
        <w:rPr>
          <w:rFonts w:asciiTheme="majorBidi" w:hAnsiTheme="majorBidi" w:cstheme="majorBidi"/>
          <w:sz w:val="20"/>
          <w:szCs w:val="20"/>
          <w:lang w:val="en-GB"/>
        </w:rPr>
        <w:t xml:space="preserve">Marinette Amirault-Thebault, </w:t>
      </w:r>
      <w:r w:rsidR="00FC7ADD" w:rsidRPr="00FC7ADD">
        <w:rPr>
          <w:rStyle w:val="Emphasis"/>
          <w:rFonts w:asciiTheme="majorBidi" w:hAnsiTheme="majorBidi" w:cstheme="majorBidi"/>
          <w:sz w:val="20"/>
          <w:szCs w:val="20"/>
          <w:lang w:val="en-GB"/>
        </w:rPr>
        <w:t>The Boycott: Conceptual Analysis and Modeling</w:t>
      </w:r>
      <w:r w:rsidR="00FC7ADD" w:rsidRPr="00FC7ADD">
        <w:rPr>
          <w:rFonts w:asciiTheme="majorBidi" w:hAnsiTheme="majorBidi" w:cstheme="majorBidi"/>
          <w:sz w:val="20"/>
          <w:szCs w:val="20"/>
          <w:lang w:val="en-GB"/>
        </w:rPr>
        <w:t xml:space="preserve"> (PhD diss., University of La Réunion, 1999).</w:t>
      </w:r>
    </w:p>
    <w:bookmarkEnd w:id="3"/>
  </w:footnote>
  <w:footnote w:id="2">
    <w:p w14:paraId="33CC90FA" w14:textId="4F33CD51" w:rsidR="00DC2EB3" w:rsidRPr="00FC7ADD" w:rsidRDefault="00DC2EB3" w:rsidP="00AA14A3">
      <w:pPr>
        <w:spacing w:line="240" w:lineRule="auto"/>
        <w:jc w:val="both"/>
        <w:rPr>
          <w:rFonts w:asciiTheme="majorBidi" w:eastAsia="Times New Roman" w:hAnsiTheme="majorBidi" w:cstheme="majorBidi"/>
          <w:sz w:val="20"/>
          <w:szCs w:val="20"/>
          <w:lang w:val="en-GB" w:eastAsia="fr-FR"/>
        </w:rPr>
      </w:pPr>
      <w:r w:rsidRPr="00FC7ADD">
        <w:rPr>
          <w:rStyle w:val="FootnoteReference"/>
          <w:rFonts w:asciiTheme="majorBidi" w:hAnsiTheme="majorBidi" w:cstheme="majorBidi"/>
          <w:sz w:val="20"/>
          <w:szCs w:val="20"/>
        </w:rPr>
        <w:footnoteRef/>
      </w:r>
      <w:r w:rsidRPr="00FC7ADD">
        <w:rPr>
          <w:rFonts w:asciiTheme="majorBidi" w:hAnsiTheme="majorBidi" w:cstheme="majorBidi"/>
          <w:sz w:val="20"/>
          <w:szCs w:val="20"/>
          <w:lang w:val="en-GB"/>
        </w:rPr>
        <w:t xml:space="preserve"> </w:t>
      </w:r>
      <w:r w:rsidR="00FC7ADD" w:rsidRPr="00FC7ADD">
        <w:rPr>
          <w:rFonts w:asciiTheme="majorBidi" w:hAnsiTheme="majorBidi" w:cstheme="majorBidi"/>
          <w:sz w:val="20"/>
          <w:szCs w:val="20"/>
          <w:lang w:val="en-GB"/>
        </w:rPr>
        <w:t xml:space="preserve">John G. Klein, N. Craig Smith, and Andrew John, "Why We Boycott: Consumer Motivations for Boycott Participation," </w:t>
      </w:r>
      <w:r w:rsidR="00FC7ADD" w:rsidRPr="00FC7ADD">
        <w:rPr>
          <w:rStyle w:val="Emphasis"/>
          <w:rFonts w:asciiTheme="majorBidi" w:hAnsiTheme="majorBidi" w:cstheme="majorBidi"/>
          <w:sz w:val="20"/>
          <w:szCs w:val="20"/>
          <w:lang w:val="en-GB"/>
        </w:rPr>
        <w:t>Journal of Marketing</w:t>
      </w:r>
      <w:r w:rsidR="00FC7ADD" w:rsidRPr="00FC7ADD">
        <w:rPr>
          <w:rFonts w:asciiTheme="majorBidi" w:hAnsiTheme="majorBidi" w:cstheme="majorBidi"/>
          <w:sz w:val="20"/>
          <w:szCs w:val="20"/>
          <w:lang w:val="en-GB"/>
        </w:rPr>
        <w:t xml:space="preserve"> 68, no. 3 (2004): 92–109.</w:t>
      </w:r>
    </w:p>
    <w:p w14:paraId="49E2896E" w14:textId="77777777" w:rsidR="00DC2EB3" w:rsidRPr="00FC7ADD" w:rsidRDefault="00DC2EB3">
      <w:pPr>
        <w:pStyle w:val="FootnoteText"/>
        <w:rPr>
          <w:lang w:val="en-GB"/>
        </w:rPr>
      </w:pPr>
    </w:p>
  </w:footnote>
  <w:footnote w:id="3">
    <w:p w14:paraId="34DDF5BB" w14:textId="4228D861" w:rsidR="00451381" w:rsidRPr="00451381" w:rsidRDefault="00451381" w:rsidP="00451381">
      <w:pPr>
        <w:pStyle w:val="NormalWeb"/>
        <w:rPr>
          <w:rFonts w:asciiTheme="majorBidi" w:hAnsiTheme="majorBidi" w:cstheme="majorBidi"/>
          <w:sz w:val="20"/>
          <w:szCs w:val="20"/>
          <w:lang w:val="en-GB"/>
        </w:rPr>
      </w:pPr>
      <w:r w:rsidRPr="00454ADB">
        <w:rPr>
          <w:rStyle w:val="FootnoteReference"/>
          <w:rFonts w:asciiTheme="majorBidi" w:hAnsiTheme="majorBidi" w:cstheme="majorBidi"/>
          <w:sz w:val="20"/>
          <w:szCs w:val="20"/>
        </w:rPr>
        <w:footnoteRef/>
      </w:r>
      <w:r w:rsidRPr="00454ADB">
        <w:rPr>
          <w:rFonts w:asciiTheme="majorBidi" w:hAnsiTheme="majorBidi" w:cstheme="majorBidi"/>
          <w:sz w:val="20"/>
          <w:szCs w:val="20"/>
        </w:rPr>
        <w:t xml:space="preserve"> Arrouche, N. 2017. "Accompagnement des entreprises algériennes à l’export : Portées et limites." </w:t>
      </w:r>
      <w:r w:rsidRPr="00451381">
        <w:rPr>
          <w:rStyle w:val="Emphasis"/>
          <w:rFonts w:asciiTheme="majorBidi" w:hAnsiTheme="majorBidi" w:cstheme="majorBidi"/>
          <w:sz w:val="20"/>
          <w:szCs w:val="20"/>
          <w:lang w:val="en-GB"/>
        </w:rPr>
        <w:t>Revue Performance des Entreprises Algériennes</w:t>
      </w:r>
      <w:r w:rsidRPr="00451381">
        <w:rPr>
          <w:rFonts w:asciiTheme="majorBidi" w:hAnsiTheme="majorBidi" w:cstheme="majorBidi"/>
          <w:sz w:val="20"/>
          <w:szCs w:val="20"/>
          <w:lang w:val="en-GB"/>
        </w:rPr>
        <w:t xml:space="preserve"> 6, no. 2: 47–60.</w:t>
      </w:r>
    </w:p>
  </w:footnote>
  <w:footnote w:id="4">
    <w:p w14:paraId="38F0F05A" w14:textId="77777777" w:rsidR="00451381" w:rsidRPr="00451381" w:rsidRDefault="00451381" w:rsidP="00451381">
      <w:pPr>
        <w:pStyle w:val="FootnoteText"/>
        <w:rPr>
          <w:rFonts w:asciiTheme="majorBidi" w:hAnsiTheme="majorBidi" w:cstheme="majorBidi"/>
          <w:lang w:val="en-GB"/>
        </w:rPr>
      </w:pPr>
      <w:r w:rsidRPr="0098433E">
        <w:rPr>
          <w:rStyle w:val="FootnoteReference"/>
          <w:rFonts w:asciiTheme="majorBidi" w:hAnsiTheme="majorBidi" w:cstheme="majorBidi"/>
        </w:rPr>
        <w:footnoteRef/>
      </w:r>
      <w:r w:rsidRPr="0098433E">
        <w:rPr>
          <w:rFonts w:asciiTheme="majorBidi" w:hAnsiTheme="majorBidi" w:cstheme="majorBidi"/>
          <w:lang w:val="en-GB"/>
        </w:rPr>
        <w:t xml:space="preserve"> Jung, Ha-Joon, and Joonhyung Lee. 2021. </w:t>
      </w:r>
      <w:r w:rsidRPr="0098433E">
        <w:rPr>
          <w:rStyle w:val="Emphasis"/>
          <w:rFonts w:asciiTheme="majorBidi" w:hAnsiTheme="majorBidi" w:cstheme="majorBidi"/>
          <w:lang w:val="en-GB"/>
        </w:rPr>
        <w:t>The Impact of Export Controls on International Trade: Evidence from the Japan–Korea Trade Dispute in the Semiconductor Industry</w:t>
      </w:r>
      <w:r w:rsidRPr="0098433E">
        <w:rPr>
          <w:rFonts w:asciiTheme="majorBidi" w:hAnsiTheme="majorBidi" w:cstheme="majorBidi"/>
          <w:lang w:val="en-GB"/>
        </w:rPr>
        <w:t xml:space="preserve">. </w:t>
      </w:r>
      <w:r w:rsidRPr="00451381">
        <w:rPr>
          <w:rFonts w:asciiTheme="majorBidi" w:hAnsiTheme="majorBidi" w:cstheme="majorBidi"/>
          <w:lang w:val="en-GB"/>
        </w:rPr>
        <w:t>Journal of International Economics, Volume 131, 103456.</w:t>
      </w:r>
    </w:p>
  </w:footnote>
  <w:footnote w:id="5">
    <w:p w14:paraId="5BD8AB48" w14:textId="2CAF5354" w:rsidR="00DC2EB3" w:rsidRPr="00451381" w:rsidRDefault="00DC2EB3" w:rsidP="00451381">
      <w:pPr>
        <w:spacing w:line="240" w:lineRule="auto"/>
        <w:jc w:val="both"/>
        <w:rPr>
          <w:rFonts w:asciiTheme="majorBidi" w:hAnsiTheme="majorBidi" w:cstheme="majorBidi"/>
          <w:sz w:val="20"/>
          <w:szCs w:val="20"/>
          <w:lang w:val="en-GB"/>
        </w:rPr>
      </w:pPr>
      <w:r w:rsidRPr="000D3225">
        <w:rPr>
          <w:rStyle w:val="FootnoteReference"/>
          <w:rFonts w:asciiTheme="majorBidi" w:hAnsiTheme="majorBidi" w:cstheme="majorBidi"/>
          <w:sz w:val="20"/>
          <w:szCs w:val="20"/>
        </w:rPr>
        <w:footnoteRef/>
      </w:r>
      <w:r w:rsidRPr="000D3225">
        <w:rPr>
          <w:rFonts w:asciiTheme="majorBidi" w:hAnsiTheme="majorBidi" w:cstheme="majorBidi"/>
          <w:sz w:val="20"/>
          <w:szCs w:val="20"/>
          <w:lang w:val="en-GB"/>
        </w:rPr>
        <w:t xml:space="preserve"> </w:t>
      </w:r>
      <w:r w:rsidR="000D3225" w:rsidRPr="000D3225">
        <w:rPr>
          <w:rFonts w:asciiTheme="majorBidi" w:hAnsiTheme="majorBidi" w:cstheme="majorBidi"/>
          <w:sz w:val="20"/>
          <w:szCs w:val="20"/>
          <w:lang w:val="en-GB"/>
        </w:rPr>
        <w:t xml:space="preserve">R. Yahi and A. Menana, </w:t>
      </w:r>
      <w:r w:rsidR="000D3225" w:rsidRPr="000D3225">
        <w:rPr>
          <w:rStyle w:val="Emphasis"/>
          <w:rFonts w:asciiTheme="majorBidi" w:hAnsiTheme="majorBidi" w:cstheme="majorBidi"/>
          <w:sz w:val="20"/>
          <w:szCs w:val="20"/>
          <w:lang w:val="en-GB"/>
        </w:rPr>
        <w:t>Risk Management in Foreign Trade Operations: Case of BEA</w:t>
      </w:r>
      <w:r w:rsidR="000D3225" w:rsidRPr="000D3225">
        <w:rPr>
          <w:rFonts w:asciiTheme="majorBidi" w:hAnsiTheme="majorBidi" w:cstheme="majorBidi"/>
          <w:sz w:val="20"/>
          <w:szCs w:val="20"/>
          <w:lang w:val="en-GB"/>
        </w:rPr>
        <w:t xml:space="preserve"> (master’s thesis, University of Mouloud Mammeri of Tizi-Ouzou, Faculty of Economic, Commercial and Management Sciences, Department of Commercial Sciences, 2022).</w:t>
      </w:r>
    </w:p>
  </w:footnote>
  <w:footnote w:id="6">
    <w:p w14:paraId="5A9FEFBE" w14:textId="77777777" w:rsidR="00451381" w:rsidRPr="000D3225" w:rsidRDefault="00451381" w:rsidP="00451381">
      <w:pPr>
        <w:spacing w:line="360" w:lineRule="auto"/>
        <w:jc w:val="both"/>
        <w:rPr>
          <w:rFonts w:asciiTheme="majorBidi" w:hAnsiTheme="majorBidi" w:cstheme="majorBidi"/>
          <w:sz w:val="20"/>
          <w:szCs w:val="20"/>
          <w:lang w:val="en-GB"/>
        </w:rPr>
      </w:pPr>
      <w:r w:rsidRPr="000D3225">
        <w:rPr>
          <w:rStyle w:val="FootnoteReference"/>
          <w:rFonts w:asciiTheme="majorBidi" w:hAnsiTheme="majorBidi" w:cstheme="majorBidi"/>
          <w:sz w:val="20"/>
          <w:szCs w:val="20"/>
        </w:rPr>
        <w:footnoteRef/>
      </w:r>
      <w:r w:rsidRPr="000D3225">
        <w:rPr>
          <w:rFonts w:asciiTheme="majorBidi" w:hAnsiTheme="majorBidi" w:cstheme="majorBidi"/>
          <w:sz w:val="20"/>
          <w:szCs w:val="20"/>
          <w:lang w:val="en-GB"/>
        </w:rPr>
        <w:t xml:space="preserve"> O. Azaz Rahmani and A. Benghida, </w:t>
      </w:r>
      <w:r w:rsidRPr="000D3225">
        <w:rPr>
          <w:rStyle w:val="Emphasis"/>
          <w:rFonts w:asciiTheme="majorBidi" w:hAnsiTheme="majorBidi" w:cstheme="majorBidi"/>
          <w:sz w:val="20"/>
          <w:szCs w:val="20"/>
          <w:lang w:val="en-GB"/>
        </w:rPr>
        <w:t>The Impact of Boycott on the Brand-Customer Relationship: Case of the Company SARL Famili Shop</w:t>
      </w:r>
      <w:r w:rsidRPr="000D3225">
        <w:rPr>
          <w:rFonts w:asciiTheme="majorBidi" w:hAnsiTheme="majorBidi" w:cstheme="majorBidi"/>
          <w:sz w:val="20"/>
          <w:szCs w:val="20"/>
          <w:lang w:val="en-GB"/>
        </w:rPr>
        <w:t xml:space="preserve"> (master’s thesis, École Supérieure de Commerce, Algiers, 2024), ESC Alger.</w:t>
      </w:r>
    </w:p>
  </w:footnote>
  <w:footnote w:id="7">
    <w:p w14:paraId="5288C854" w14:textId="05EE14C5" w:rsidR="00DC2EB3" w:rsidRPr="00765D11" w:rsidRDefault="00DC2EB3">
      <w:pPr>
        <w:spacing w:line="240" w:lineRule="auto"/>
        <w:rPr>
          <w:rFonts w:asciiTheme="majorBidi" w:hAnsiTheme="majorBidi" w:cstheme="majorBidi"/>
          <w:color w:val="000000" w:themeColor="text1"/>
          <w:sz w:val="20"/>
          <w:szCs w:val="20"/>
          <w:lang w:val="en-GB"/>
        </w:rPr>
      </w:pPr>
      <w:r w:rsidRPr="00765D11">
        <w:rPr>
          <w:rStyle w:val="FootnoteReference"/>
          <w:rFonts w:asciiTheme="majorBidi" w:hAnsiTheme="majorBidi" w:cstheme="majorBidi"/>
          <w:sz w:val="20"/>
          <w:szCs w:val="20"/>
        </w:rPr>
        <w:footnoteRef/>
      </w:r>
      <w:r w:rsidRPr="00BD2EAB">
        <w:rPr>
          <w:rFonts w:asciiTheme="majorBidi" w:hAnsiTheme="majorBidi" w:cstheme="majorBidi"/>
          <w:sz w:val="20"/>
          <w:szCs w:val="20"/>
          <w:lang w:val="en-US"/>
        </w:rPr>
        <w:t xml:space="preserve"> </w:t>
      </w:r>
      <w:r w:rsidR="00454ADB" w:rsidRPr="00BD2EAB">
        <w:rPr>
          <w:rFonts w:asciiTheme="majorBidi" w:hAnsiTheme="majorBidi" w:cstheme="majorBidi"/>
          <w:sz w:val="20"/>
          <w:szCs w:val="20"/>
          <w:lang w:val="en-US"/>
        </w:rPr>
        <w:t xml:space="preserve">Oxford Learner’s Dictionaries.“Boycott.” </w:t>
      </w:r>
      <w:r w:rsidR="00454ADB" w:rsidRPr="00765D11">
        <w:rPr>
          <w:rFonts w:asciiTheme="majorBidi" w:hAnsiTheme="majorBidi" w:cstheme="majorBidi"/>
          <w:sz w:val="20"/>
          <w:szCs w:val="20"/>
          <w:lang w:val="en-GB"/>
        </w:rPr>
        <w:t xml:space="preserve">In </w:t>
      </w:r>
      <w:r w:rsidR="00454ADB" w:rsidRPr="00765D11">
        <w:rPr>
          <w:rStyle w:val="Emphasis"/>
          <w:rFonts w:asciiTheme="majorBidi" w:hAnsiTheme="majorBidi" w:cstheme="majorBidi"/>
          <w:sz w:val="20"/>
          <w:szCs w:val="20"/>
          <w:lang w:val="en-GB"/>
        </w:rPr>
        <w:t>Oxford Learner’s Dictionaries</w:t>
      </w:r>
      <w:r w:rsidR="00765D11" w:rsidRPr="00765D11">
        <w:rPr>
          <w:rFonts w:asciiTheme="majorBidi" w:hAnsiTheme="majorBidi" w:cstheme="majorBidi"/>
          <w:sz w:val="20"/>
          <w:szCs w:val="20"/>
          <w:lang w:val="en-GB"/>
        </w:rPr>
        <w:t xml:space="preserve">. </w:t>
      </w:r>
      <w:r w:rsidR="00454ADB" w:rsidRPr="00765D11">
        <w:rPr>
          <w:rFonts w:asciiTheme="majorBidi" w:hAnsiTheme="majorBidi" w:cstheme="majorBidi"/>
          <w:sz w:val="20"/>
          <w:szCs w:val="20"/>
          <w:lang w:val="en-GB"/>
        </w:rPr>
        <w:t xml:space="preserve">Accessed February 9, 2025. </w:t>
      </w:r>
      <w:hyperlink r:id="rId1" w:tgtFrame="_new" w:history="1">
        <w:r w:rsidR="00454ADB" w:rsidRPr="00765D11">
          <w:rPr>
            <w:rStyle w:val="Hyperlink"/>
            <w:rFonts w:asciiTheme="majorBidi" w:hAnsiTheme="majorBidi" w:cstheme="majorBidi"/>
            <w:sz w:val="20"/>
            <w:szCs w:val="20"/>
            <w:lang w:val="en-GB"/>
          </w:rPr>
          <w:t>https://www.oxfordlearnersdictionaries.com/definition/english/boycott</w:t>
        </w:r>
      </w:hyperlink>
      <w:r w:rsidR="00454ADB" w:rsidRPr="00765D11">
        <w:rPr>
          <w:rFonts w:asciiTheme="majorBidi" w:hAnsiTheme="majorBidi" w:cstheme="majorBidi"/>
          <w:sz w:val="20"/>
          <w:szCs w:val="20"/>
          <w:lang w:val="en-GB"/>
        </w:rPr>
        <w:t>.</w:t>
      </w:r>
    </w:p>
  </w:footnote>
  <w:footnote w:id="8">
    <w:p w14:paraId="647A331A" w14:textId="257AD1AE" w:rsidR="00DC2EB3" w:rsidRPr="00765D11" w:rsidRDefault="00DC2EB3">
      <w:pPr>
        <w:spacing w:line="240" w:lineRule="auto"/>
        <w:rPr>
          <w:rFonts w:asciiTheme="majorBidi" w:eastAsia="Times New Roman" w:hAnsiTheme="majorBidi" w:cstheme="majorBidi"/>
          <w:color w:val="000000" w:themeColor="text1"/>
          <w:sz w:val="20"/>
          <w:szCs w:val="20"/>
          <w:lang w:val="en-GB" w:eastAsia="fr-FR"/>
        </w:rPr>
      </w:pPr>
      <w:r w:rsidRPr="00765D11">
        <w:rPr>
          <w:rStyle w:val="FootnoteReference"/>
          <w:rFonts w:asciiTheme="majorBidi" w:hAnsiTheme="majorBidi" w:cstheme="majorBidi"/>
          <w:sz w:val="20"/>
          <w:szCs w:val="20"/>
        </w:rPr>
        <w:footnoteRef/>
      </w:r>
      <w:r w:rsidRPr="00765D11">
        <w:rPr>
          <w:rFonts w:asciiTheme="majorBidi" w:hAnsiTheme="majorBidi" w:cstheme="majorBidi"/>
          <w:sz w:val="20"/>
          <w:szCs w:val="20"/>
          <w:lang w:val="en-GB"/>
        </w:rPr>
        <w:t xml:space="preserve"> </w:t>
      </w:r>
      <w:r w:rsidR="00765D11" w:rsidRPr="00765D11">
        <w:rPr>
          <w:rFonts w:asciiTheme="majorBidi" w:hAnsiTheme="majorBidi" w:cstheme="majorBidi"/>
          <w:sz w:val="20"/>
          <w:szCs w:val="20"/>
          <w:lang w:val="en-GB"/>
        </w:rPr>
        <w:t xml:space="preserve">Merriam-Webster Dictionary. “Boycott.” In </w:t>
      </w:r>
      <w:r w:rsidR="00765D11" w:rsidRPr="00765D11">
        <w:rPr>
          <w:rStyle w:val="Emphasis"/>
          <w:rFonts w:asciiTheme="majorBidi" w:hAnsiTheme="majorBidi" w:cstheme="majorBidi"/>
          <w:sz w:val="20"/>
          <w:szCs w:val="20"/>
          <w:lang w:val="en-GB"/>
        </w:rPr>
        <w:t>Merriam-Webster.com Dictionary</w:t>
      </w:r>
      <w:r w:rsidR="00765D11" w:rsidRPr="00765D11">
        <w:rPr>
          <w:rFonts w:asciiTheme="majorBidi" w:hAnsiTheme="majorBidi" w:cstheme="majorBidi"/>
          <w:sz w:val="20"/>
          <w:szCs w:val="20"/>
          <w:lang w:val="en-GB"/>
        </w:rPr>
        <w:t xml:space="preserve">. Accessed February 9, 2025. </w:t>
      </w:r>
      <w:hyperlink r:id="rId2" w:tgtFrame="_new" w:history="1">
        <w:r w:rsidR="00765D11" w:rsidRPr="00765D11">
          <w:rPr>
            <w:rStyle w:val="Hyperlink"/>
            <w:rFonts w:asciiTheme="majorBidi" w:hAnsiTheme="majorBidi" w:cstheme="majorBidi"/>
            <w:sz w:val="20"/>
            <w:szCs w:val="20"/>
            <w:lang w:val="en-GB"/>
          </w:rPr>
          <w:t>https://www.merriam-webster.com/dictionary/boycott</w:t>
        </w:r>
      </w:hyperlink>
      <w:r w:rsidR="00765D11" w:rsidRPr="00765D11">
        <w:rPr>
          <w:rFonts w:asciiTheme="majorBidi" w:hAnsiTheme="majorBidi" w:cstheme="majorBidi"/>
          <w:sz w:val="20"/>
          <w:szCs w:val="20"/>
          <w:lang w:val="en-GB"/>
        </w:rPr>
        <w:t>.</w:t>
      </w:r>
    </w:p>
  </w:footnote>
  <w:footnote w:id="9">
    <w:p w14:paraId="3F075E90" w14:textId="25B17FA6" w:rsidR="00DC2EB3" w:rsidRPr="00765D11" w:rsidRDefault="00DC2EB3">
      <w:pPr>
        <w:spacing w:line="240" w:lineRule="auto"/>
        <w:rPr>
          <w:rFonts w:asciiTheme="majorBidi" w:hAnsiTheme="majorBidi" w:cstheme="majorBidi"/>
          <w:color w:val="000000" w:themeColor="text1"/>
          <w:sz w:val="20"/>
          <w:szCs w:val="20"/>
          <w:lang w:val="en-GB"/>
        </w:rPr>
      </w:pPr>
      <w:r w:rsidRPr="00765D11">
        <w:rPr>
          <w:rStyle w:val="FootnoteReference"/>
          <w:rFonts w:asciiTheme="majorBidi" w:hAnsiTheme="majorBidi" w:cstheme="majorBidi"/>
          <w:sz w:val="20"/>
          <w:szCs w:val="20"/>
        </w:rPr>
        <w:footnoteRef/>
      </w:r>
      <w:r w:rsidRPr="00765D11">
        <w:rPr>
          <w:rFonts w:asciiTheme="majorBidi" w:hAnsiTheme="majorBidi" w:cstheme="majorBidi"/>
          <w:sz w:val="20"/>
          <w:szCs w:val="20"/>
          <w:lang w:val="en-GB"/>
        </w:rPr>
        <w:t xml:space="preserve"> </w:t>
      </w:r>
      <w:r w:rsidR="00765D11" w:rsidRPr="00765D11">
        <w:rPr>
          <w:rFonts w:asciiTheme="majorBidi" w:hAnsiTheme="majorBidi" w:cstheme="majorBidi"/>
          <w:sz w:val="20"/>
          <w:szCs w:val="20"/>
          <w:lang w:val="en-GB"/>
        </w:rPr>
        <w:t xml:space="preserve">Cambridge Dictionary. “Boycott.” In </w:t>
      </w:r>
      <w:r w:rsidR="00765D11" w:rsidRPr="00765D11">
        <w:rPr>
          <w:rStyle w:val="Emphasis"/>
          <w:rFonts w:asciiTheme="majorBidi" w:hAnsiTheme="majorBidi" w:cstheme="majorBidi"/>
          <w:sz w:val="20"/>
          <w:szCs w:val="20"/>
          <w:lang w:val="en-GB"/>
        </w:rPr>
        <w:t>Cambridge Dictionary Online</w:t>
      </w:r>
      <w:r w:rsidR="00765D11" w:rsidRPr="00765D11">
        <w:rPr>
          <w:rFonts w:asciiTheme="majorBidi" w:hAnsiTheme="majorBidi" w:cstheme="majorBidi"/>
          <w:sz w:val="20"/>
          <w:szCs w:val="20"/>
          <w:lang w:val="en-GB"/>
        </w:rPr>
        <w:t xml:space="preserve">. Accessed February 9, 2025. </w:t>
      </w:r>
      <w:hyperlink r:id="rId3" w:tgtFrame="_new" w:history="1">
        <w:r w:rsidR="00765D11" w:rsidRPr="00765D11">
          <w:rPr>
            <w:rStyle w:val="Hyperlink"/>
            <w:rFonts w:asciiTheme="majorBidi" w:hAnsiTheme="majorBidi" w:cstheme="majorBidi"/>
            <w:sz w:val="20"/>
            <w:szCs w:val="20"/>
            <w:lang w:val="en-GB"/>
          </w:rPr>
          <w:t>https://dictionary.cambridge.org/dictionary/english/boycott</w:t>
        </w:r>
      </w:hyperlink>
      <w:r w:rsidR="00765D11" w:rsidRPr="00765D11">
        <w:rPr>
          <w:rFonts w:asciiTheme="majorBidi" w:hAnsiTheme="majorBidi" w:cstheme="majorBidi"/>
          <w:sz w:val="20"/>
          <w:szCs w:val="20"/>
          <w:lang w:val="en-GB"/>
        </w:rPr>
        <w:t>.</w:t>
      </w:r>
    </w:p>
  </w:footnote>
  <w:footnote w:id="10">
    <w:p w14:paraId="18C3864B" w14:textId="783EB9B3" w:rsidR="00DC2EB3" w:rsidRPr="00765D11" w:rsidRDefault="00DC2EB3">
      <w:pPr>
        <w:spacing w:line="240" w:lineRule="auto"/>
        <w:rPr>
          <w:rFonts w:asciiTheme="majorBidi" w:hAnsiTheme="majorBidi" w:cstheme="majorBidi"/>
          <w:color w:val="FF0000"/>
          <w:lang w:val="en-GB"/>
        </w:rPr>
      </w:pPr>
      <w:r w:rsidRPr="00765D11">
        <w:rPr>
          <w:rStyle w:val="FootnoteReference"/>
          <w:rFonts w:asciiTheme="majorBidi" w:hAnsiTheme="majorBidi" w:cstheme="majorBidi"/>
          <w:sz w:val="20"/>
          <w:szCs w:val="20"/>
        </w:rPr>
        <w:footnoteRef/>
      </w:r>
      <w:r w:rsidRPr="00765D11">
        <w:rPr>
          <w:rFonts w:asciiTheme="majorBidi" w:hAnsiTheme="majorBidi" w:cstheme="majorBidi"/>
          <w:sz w:val="20"/>
          <w:szCs w:val="20"/>
          <w:lang w:val="en-GB"/>
        </w:rPr>
        <w:t xml:space="preserve"> </w:t>
      </w:r>
      <w:r w:rsidR="00765D11" w:rsidRPr="00765D11">
        <w:rPr>
          <w:rFonts w:asciiTheme="majorBidi" w:hAnsiTheme="majorBidi" w:cstheme="majorBidi"/>
          <w:sz w:val="20"/>
          <w:szCs w:val="20"/>
          <w:lang w:val="en-GB"/>
        </w:rPr>
        <w:t xml:space="preserve">Britannica Dictionary. n.d. “Boycott.” In </w:t>
      </w:r>
      <w:r w:rsidR="00765D11" w:rsidRPr="00765D11">
        <w:rPr>
          <w:rStyle w:val="Emphasis"/>
          <w:rFonts w:asciiTheme="majorBidi" w:hAnsiTheme="majorBidi" w:cstheme="majorBidi"/>
          <w:sz w:val="20"/>
          <w:szCs w:val="20"/>
          <w:lang w:val="en-GB"/>
        </w:rPr>
        <w:t>Britannica Dictionary Online</w:t>
      </w:r>
      <w:r w:rsidR="00765D11" w:rsidRPr="00765D11">
        <w:rPr>
          <w:rFonts w:asciiTheme="majorBidi" w:hAnsiTheme="majorBidi" w:cstheme="majorBidi"/>
          <w:sz w:val="20"/>
          <w:szCs w:val="20"/>
          <w:lang w:val="en-GB"/>
        </w:rPr>
        <w:t xml:space="preserve">. Accessed February 9, 2025. </w:t>
      </w:r>
      <w:hyperlink r:id="rId4" w:tgtFrame="_new" w:history="1">
        <w:r w:rsidR="00765D11" w:rsidRPr="00765D11">
          <w:rPr>
            <w:rStyle w:val="Hyperlink"/>
            <w:rFonts w:asciiTheme="majorBidi" w:hAnsiTheme="majorBidi" w:cstheme="majorBidi"/>
            <w:sz w:val="20"/>
            <w:szCs w:val="20"/>
            <w:lang w:val="en-GB"/>
          </w:rPr>
          <w:t>https://www.britannica.com/dictionary/boycott</w:t>
        </w:r>
      </w:hyperlink>
      <w:r w:rsidR="00765D11" w:rsidRPr="00765D11">
        <w:rPr>
          <w:rFonts w:asciiTheme="majorBidi" w:hAnsiTheme="majorBidi" w:cstheme="majorBidi"/>
          <w:sz w:val="20"/>
          <w:szCs w:val="20"/>
          <w:lang w:val="en-GB"/>
        </w:rPr>
        <w:t>.</w:t>
      </w:r>
    </w:p>
  </w:footnote>
  <w:footnote w:id="11">
    <w:p w14:paraId="2003A5C4" w14:textId="2D55D623" w:rsidR="00DC2EB3" w:rsidRPr="00765D11" w:rsidRDefault="00DC2EB3">
      <w:pPr>
        <w:pStyle w:val="FootnoteText"/>
        <w:rPr>
          <w:rStyle w:val="15"/>
          <w:lang w:val="en-GB"/>
        </w:rPr>
      </w:pPr>
      <w:r w:rsidRPr="00765D11">
        <w:rPr>
          <w:rStyle w:val="15"/>
        </w:rPr>
        <w:footnoteRef/>
      </w:r>
      <w:r w:rsidRPr="00765D11">
        <w:rPr>
          <w:rStyle w:val="15"/>
          <w:lang w:val="en-GB"/>
        </w:rPr>
        <w:t xml:space="preserve"> </w:t>
      </w:r>
      <w:r w:rsidR="00765D11" w:rsidRPr="00765D11">
        <w:rPr>
          <w:rFonts w:asciiTheme="majorBidi" w:hAnsiTheme="majorBidi" w:cstheme="majorBidi"/>
          <w:lang w:val="en-GB"/>
        </w:rPr>
        <w:t xml:space="preserve">Yunus, A. M., W. M. Y. W. Chik, N. Abd Wahid, K. A. Daud, and M. N. Abd Hamid. "The Concept of Boycott: A General Introduction." </w:t>
      </w:r>
      <w:r w:rsidR="00765D11" w:rsidRPr="00765D11">
        <w:rPr>
          <w:rStyle w:val="Emphasis"/>
          <w:rFonts w:asciiTheme="majorBidi" w:hAnsiTheme="majorBidi" w:cstheme="majorBidi"/>
          <w:lang w:val="en-GB"/>
        </w:rPr>
        <w:t>International Journal of Academic Research in Business and Social Sciences</w:t>
      </w:r>
      <w:r w:rsidR="00765D11" w:rsidRPr="00765D11">
        <w:rPr>
          <w:rFonts w:asciiTheme="majorBidi" w:hAnsiTheme="majorBidi" w:cstheme="majorBidi"/>
          <w:lang w:val="en-GB"/>
        </w:rPr>
        <w:t xml:space="preserve"> 10, no. 9 (2020): 962-971.</w:t>
      </w:r>
    </w:p>
  </w:footnote>
  <w:footnote w:id="12">
    <w:p w14:paraId="46FB24B9" w14:textId="0E0C84C1" w:rsidR="00DC2EB3" w:rsidRPr="002E5550" w:rsidRDefault="00DC2EB3" w:rsidP="00765D11">
      <w:pPr>
        <w:pStyle w:val="NormalWeb"/>
        <w:rPr>
          <w:sz w:val="20"/>
          <w:szCs w:val="20"/>
          <w:lang w:val="en-US"/>
        </w:rPr>
      </w:pPr>
      <w:r w:rsidRPr="00765D11">
        <w:rPr>
          <w:rStyle w:val="FootnoteReference"/>
          <w:sz w:val="20"/>
          <w:szCs w:val="20"/>
        </w:rPr>
        <w:footnoteRef/>
      </w:r>
      <w:r w:rsidRPr="00765D11">
        <w:rPr>
          <w:sz w:val="20"/>
          <w:szCs w:val="20"/>
          <w:lang w:val="en-GB"/>
        </w:rPr>
        <w:t xml:space="preserve"> </w:t>
      </w:r>
      <w:r w:rsidR="00765D11" w:rsidRPr="00765D11">
        <w:rPr>
          <w:sz w:val="20"/>
          <w:szCs w:val="20"/>
          <w:lang w:val="en-GB"/>
        </w:rPr>
        <w:t xml:space="preserve">Friedman, Milton. </w:t>
      </w:r>
      <w:r w:rsidR="00765D11" w:rsidRPr="00765D11">
        <w:rPr>
          <w:rStyle w:val="Emphasis"/>
          <w:sz w:val="20"/>
          <w:szCs w:val="20"/>
          <w:lang w:val="en-GB"/>
        </w:rPr>
        <w:t>Consumer Boycotts: Effecting Change Through the Marketplace and the Media</w:t>
      </w:r>
      <w:r w:rsidR="00765D11" w:rsidRPr="00765D11">
        <w:rPr>
          <w:sz w:val="20"/>
          <w:szCs w:val="20"/>
          <w:lang w:val="en-GB"/>
        </w:rPr>
        <w:t xml:space="preserve">. </w:t>
      </w:r>
      <w:r w:rsidR="00765D11" w:rsidRPr="002E5550">
        <w:rPr>
          <w:sz w:val="20"/>
          <w:szCs w:val="20"/>
          <w:lang w:val="en-US"/>
        </w:rPr>
        <w:t>New York: Routledge, 1999.</w:t>
      </w:r>
    </w:p>
    <w:p w14:paraId="2BBCA2DA" w14:textId="77777777" w:rsidR="00DC2EB3" w:rsidRDefault="00DC2EB3">
      <w:pPr>
        <w:pStyle w:val="FootnoteText"/>
        <w:rPr>
          <w:lang w:val="en-GB"/>
        </w:rPr>
      </w:pPr>
    </w:p>
  </w:footnote>
  <w:footnote w:id="13">
    <w:p w14:paraId="32D4676B" w14:textId="6047B135" w:rsidR="00DC2EB3" w:rsidRPr="002E5550" w:rsidRDefault="00DC2EB3" w:rsidP="00985712">
      <w:pPr>
        <w:pStyle w:val="NormalWeb"/>
        <w:rPr>
          <w:sz w:val="20"/>
          <w:szCs w:val="20"/>
          <w:lang w:val="en-US"/>
        </w:rPr>
      </w:pPr>
      <w:r w:rsidRPr="00985712">
        <w:rPr>
          <w:rStyle w:val="FootnoteReference"/>
          <w:rFonts w:asciiTheme="majorBidi" w:hAnsiTheme="majorBidi" w:cstheme="majorBidi"/>
          <w:sz w:val="20"/>
          <w:szCs w:val="20"/>
        </w:rPr>
        <w:footnoteRef/>
      </w:r>
      <w:r w:rsidRPr="00985712">
        <w:rPr>
          <w:rFonts w:asciiTheme="majorBidi" w:hAnsiTheme="majorBidi" w:cstheme="majorBidi"/>
          <w:sz w:val="20"/>
          <w:szCs w:val="20"/>
          <w:lang w:val="en-GB"/>
        </w:rPr>
        <w:t xml:space="preserve"> </w:t>
      </w:r>
      <w:r w:rsidR="00985712" w:rsidRPr="00985712">
        <w:rPr>
          <w:sz w:val="20"/>
          <w:szCs w:val="20"/>
          <w:lang w:val="en-GB"/>
        </w:rPr>
        <w:t xml:space="preserve">Smith, N. C. </w:t>
      </w:r>
      <w:r w:rsidR="00985712" w:rsidRPr="00985712">
        <w:rPr>
          <w:rStyle w:val="Emphasis"/>
          <w:sz w:val="20"/>
          <w:szCs w:val="20"/>
          <w:lang w:val="en-GB"/>
        </w:rPr>
        <w:t>Morality and the Market: Consumer Pressure for Corporate Accountability</w:t>
      </w:r>
      <w:r w:rsidR="00985712" w:rsidRPr="00985712">
        <w:rPr>
          <w:sz w:val="20"/>
          <w:szCs w:val="20"/>
          <w:lang w:val="en-GB"/>
        </w:rPr>
        <w:t xml:space="preserve">. </w:t>
      </w:r>
      <w:r w:rsidR="00985712" w:rsidRPr="002E5550">
        <w:rPr>
          <w:sz w:val="20"/>
          <w:szCs w:val="20"/>
          <w:lang w:val="en-US"/>
        </w:rPr>
        <w:t>New York: Routledge, 1990.</w:t>
      </w:r>
    </w:p>
  </w:footnote>
  <w:footnote w:id="14">
    <w:p w14:paraId="1990538F" w14:textId="45DB5C40" w:rsidR="00DC2EB3" w:rsidRPr="00985712" w:rsidRDefault="00DC2EB3" w:rsidP="003D6FB5">
      <w:pPr>
        <w:spacing w:before="100" w:beforeAutospacing="1" w:after="100" w:afterAutospacing="1" w:line="240" w:lineRule="auto"/>
        <w:rPr>
          <w:rFonts w:asciiTheme="majorBidi" w:eastAsia="Times New Roman" w:hAnsiTheme="majorBidi" w:cstheme="majorBidi"/>
          <w:color w:val="FF0000"/>
          <w:sz w:val="20"/>
          <w:szCs w:val="20"/>
          <w:lang w:val="en-GB" w:eastAsia="fr-FR"/>
        </w:rPr>
      </w:pPr>
      <w:r w:rsidRPr="003D6FB5">
        <w:rPr>
          <w:rStyle w:val="FootnoteReference"/>
          <w:rFonts w:asciiTheme="majorBidi" w:hAnsiTheme="majorBidi" w:cstheme="majorBidi"/>
          <w:sz w:val="20"/>
          <w:szCs w:val="20"/>
        </w:rPr>
        <w:footnoteRef/>
      </w:r>
      <w:r w:rsidRPr="003D6FB5">
        <w:rPr>
          <w:rFonts w:asciiTheme="majorBidi" w:hAnsiTheme="majorBidi" w:cstheme="majorBidi"/>
          <w:sz w:val="20"/>
          <w:szCs w:val="20"/>
          <w:lang w:val="en-GB"/>
        </w:rPr>
        <w:t xml:space="preserve"> </w:t>
      </w:r>
      <w:r w:rsidR="00985712" w:rsidRPr="00985712">
        <w:rPr>
          <w:rFonts w:asciiTheme="majorBidi" w:hAnsiTheme="majorBidi" w:cstheme="majorBidi"/>
          <w:sz w:val="20"/>
          <w:szCs w:val="20"/>
          <w:lang w:val="en-GB"/>
        </w:rPr>
        <w:t xml:space="preserve">Klein, J. G., N. C. Smith, and A. John. "Why We Boycott: Consumer Motivations for Boycott Participation." </w:t>
      </w:r>
      <w:r w:rsidR="00985712" w:rsidRPr="00985712">
        <w:rPr>
          <w:rStyle w:val="Emphasis"/>
          <w:rFonts w:asciiTheme="majorBidi" w:hAnsiTheme="majorBidi" w:cstheme="majorBidi"/>
          <w:sz w:val="20"/>
          <w:szCs w:val="20"/>
          <w:lang w:val="en-GB"/>
        </w:rPr>
        <w:t>Journal of Marketing</w:t>
      </w:r>
      <w:r w:rsidR="00985712" w:rsidRPr="00985712">
        <w:rPr>
          <w:rFonts w:asciiTheme="majorBidi" w:hAnsiTheme="majorBidi" w:cstheme="majorBidi"/>
          <w:sz w:val="20"/>
          <w:szCs w:val="20"/>
          <w:lang w:val="en-GB"/>
        </w:rPr>
        <w:t xml:space="preserve"> 68, no. 3 (2004): 92-109.</w:t>
      </w:r>
    </w:p>
  </w:footnote>
  <w:footnote w:id="15">
    <w:p w14:paraId="50E246B3" w14:textId="7F3C73A6" w:rsidR="00DC2EB3" w:rsidRPr="003D6FB5" w:rsidRDefault="00DC2EB3">
      <w:pPr>
        <w:pStyle w:val="FootnoteText"/>
        <w:spacing w:before="240" w:after="240"/>
        <w:rPr>
          <w:rFonts w:asciiTheme="majorBidi" w:hAnsiTheme="majorBidi" w:cstheme="majorBidi"/>
          <w:color w:val="000000" w:themeColor="text1"/>
          <w:lang w:val="en-GB"/>
        </w:rPr>
      </w:pPr>
      <w:r w:rsidRPr="00985712">
        <w:rPr>
          <w:rStyle w:val="FootnoteReference"/>
          <w:rFonts w:asciiTheme="majorBidi" w:hAnsiTheme="majorBidi" w:cstheme="majorBidi"/>
        </w:rPr>
        <w:footnoteRef/>
      </w:r>
      <w:r w:rsidRPr="00985712">
        <w:rPr>
          <w:rFonts w:asciiTheme="majorBidi" w:hAnsiTheme="majorBidi" w:cstheme="majorBidi"/>
          <w:lang w:val="en-GB"/>
        </w:rPr>
        <w:t xml:space="preserve"> </w:t>
      </w:r>
      <w:r w:rsidR="00985712" w:rsidRPr="00985712">
        <w:rPr>
          <w:rFonts w:asciiTheme="majorBidi" w:hAnsiTheme="majorBidi" w:cstheme="majorBidi"/>
          <w:lang w:val="en-GB"/>
        </w:rPr>
        <w:t xml:space="preserve">Soule, Sarah A. </w:t>
      </w:r>
      <w:r w:rsidR="00985712" w:rsidRPr="00985712">
        <w:rPr>
          <w:rStyle w:val="Emphasis"/>
          <w:rFonts w:asciiTheme="majorBidi" w:hAnsiTheme="majorBidi" w:cstheme="majorBidi"/>
          <w:lang w:val="en-GB"/>
        </w:rPr>
        <w:t>Contestation and Corporate Responsibility</w:t>
      </w:r>
      <w:r w:rsidR="00985712" w:rsidRPr="00985712">
        <w:rPr>
          <w:rFonts w:asciiTheme="majorBidi" w:hAnsiTheme="majorBidi" w:cstheme="majorBidi"/>
          <w:lang w:val="en-GB"/>
        </w:rPr>
        <w:t>. Cambridge: Cambridge University Press, 2009.</w:t>
      </w:r>
    </w:p>
  </w:footnote>
  <w:footnote w:id="16">
    <w:p w14:paraId="28F75FF9" w14:textId="200CFA02" w:rsidR="00DC2EB3" w:rsidRPr="006B1405" w:rsidRDefault="00DC2EB3" w:rsidP="006B1405">
      <w:pPr>
        <w:spacing w:after="0" w:line="240" w:lineRule="auto"/>
        <w:rPr>
          <w:rFonts w:asciiTheme="majorBidi" w:eastAsia="Times New Roman" w:hAnsiTheme="majorBidi" w:cstheme="majorBidi"/>
          <w:color w:val="000000" w:themeColor="text1"/>
          <w:sz w:val="20"/>
          <w:szCs w:val="20"/>
          <w:lang w:val="en-GB" w:eastAsia="fr-FR"/>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Friedman, Milton. "Consumer Boycotts in the United States, 1970–1980: Contemporary Events in Historical Perspective." </w:t>
      </w:r>
      <w:r w:rsidR="00985712" w:rsidRPr="00985712">
        <w:rPr>
          <w:rStyle w:val="Emphasis"/>
          <w:rFonts w:asciiTheme="majorBidi" w:hAnsiTheme="majorBidi" w:cstheme="majorBidi"/>
          <w:sz w:val="20"/>
          <w:szCs w:val="20"/>
          <w:lang w:val="en-GB"/>
        </w:rPr>
        <w:t>Journal of Consumer Affairs</w:t>
      </w:r>
      <w:r w:rsidR="00985712" w:rsidRPr="00985712">
        <w:rPr>
          <w:rFonts w:asciiTheme="majorBidi" w:hAnsiTheme="majorBidi" w:cstheme="majorBidi"/>
          <w:sz w:val="20"/>
          <w:szCs w:val="20"/>
          <w:lang w:val="en-GB"/>
        </w:rPr>
        <w:t xml:space="preserve"> 19, no. 1 (1985): </w:t>
      </w:r>
      <w:r w:rsidR="00985712">
        <w:rPr>
          <w:rFonts w:asciiTheme="majorBidi" w:hAnsiTheme="majorBidi" w:cstheme="majorBidi"/>
          <w:sz w:val="20"/>
          <w:szCs w:val="20"/>
          <w:lang w:val="en-GB"/>
        </w:rPr>
        <w:t>p</w:t>
      </w:r>
      <w:r w:rsidR="00985712" w:rsidRPr="00985712">
        <w:rPr>
          <w:rFonts w:asciiTheme="majorBidi" w:hAnsiTheme="majorBidi" w:cstheme="majorBidi"/>
          <w:sz w:val="20"/>
          <w:szCs w:val="20"/>
          <w:lang w:val="en-GB"/>
        </w:rPr>
        <w:t>96-117.</w:t>
      </w:r>
    </w:p>
  </w:footnote>
  <w:footnote w:id="17">
    <w:p w14:paraId="35299911" w14:textId="12970D98" w:rsidR="00DC2EB3" w:rsidRPr="00985712" w:rsidRDefault="00DC2EB3">
      <w:pPr>
        <w:spacing w:before="100" w:beforeAutospacing="1" w:after="100" w:afterAutospacing="1" w:line="240" w:lineRule="auto"/>
        <w:rPr>
          <w:rFonts w:asciiTheme="majorBidi" w:eastAsia="Times New Roman" w:hAnsiTheme="majorBidi" w:cstheme="majorBidi"/>
          <w:b/>
          <w:bCs/>
          <w:color w:val="FF0000"/>
          <w:sz w:val="20"/>
          <w:szCs w:val="20"/>
          <w:lang w:val="en-GB" w:eastAsia="fr-FR"/>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World Alliance for Breastfeeding Action. </w:t>
      </w:r>
      <w:r w:rsidR="00985712" w:rsidRPr="00985712">
        <w:rPr>
          <w:rStyle w:val="Emphasis"/>
          <w:rFonts w:asciiTheme="majorBidi" w:hAnsiTheme="majorBidi" w:cstheme="majorBidi"/>
          <w:sz w:val="20"/>
          <w:szCs w:val="20"/>
          <w:lang w:val="en-GB"/>
        </w:rPr>
        <w:t>The Boycott Book</w:t>
      </w:r>
      <w:r w:rsidR="00985712" w:rsidRPr="00985712">
        <w:rPr>
          <w:rFonts w:asciiTheme="majorBidi" w:hAnsiTheme="majorBidi" w:cstheme="majorBidi"/>
          <w:sz w:val="20"/>
          <w:szCs w:val="20"/>
          <w:lang w:val="en-GB"/>
        </w:rPr>
        <w:t xml:space="preserve">, n.d., </w:t>
      </w:r>
      <w:r w:rsidR="00985712">
        <w:rPr>
          <w:rFonts w:asciiTheme="majorBidi" w:hAnsiTheme="majorBidi" w:cstheme="majorBidi"/>
          <w:sz w:val="20"/>
          <w:szCs w:val="20"/>
          <w:lang w:val="en-GB"/>
        </w:rPr>
        <w:t>p</w:t>
      </w:r>
      <w:r w:rsidR="00985712" w:rsidRPr="00985712">
        <w:rPr>
          <w:rFonts w:asciiTheme="majorBidi" w:hAnsiTheme="majorBidi" w:cstheme="majorBidi"/>
          <w:sz w:val="20"/>
          <w:szCs w:val="20"/>
          <w:lang w:val="en-GB"/>
        </w:rPr>
        <w:t>6.</w:t>
      </w:r>
    </w:p>
    <w:p w14:paraId="17E1F134" w14:textId="77777777" w:rsidR="00DC2EB3" w:rsidRDefault="00DC2EB3">
      <w:pPr>
        <w:pStyle w:val="FootnoteText"/>
        <w:rPr>
          <w:lang w:val="en-GB"/>
        </w:rPr>
      </w:pPr>
    </w:p>
  </w:footnote>
  <w:footnote w:id="18">
    <w:p w14:paraId="51EF0B11" w14:textId="2E24EDBD" w:rsidR="00DC2EB3" w:rsidRPr="00C802CC" w:rsidRDefault="00DC2EB3">
      <w:pPr>
        <w:rPr>
          <w:rFonts w:asciiTheme="majorBidi" w:hAnsiTheme="majorBidi" w:cstheme="majorBidi"/>
          <w:color w:val="000000" w:themeColor="text1"/>
          <w:sz w:val="18"/>
          <w:szCs w:val="18"/>
          <w:lang w:val="en-GB"/>
        </w:rPr>
      </w:pPr>
      <w:r>
        <w:rPr>
          <w:rStyle w:val="FootnoteReference"/>
        </w:rPr>
        <w:footnoteRef/>
      </w:r>
      <w:r w:rsidRPr="00C802CC">
        <w:rPr>
          <w:lang w:val="en-GB"/>
        </w:rPr>
        <w:t xml:space="preserve"> </w:t>
      </w:r>
      <w:r w:rsidRPr="00C802CC">
        <w:rPr>
          <w:rFonts w:asciiTheme="majorBidi" w:hAnsiTheme="majorBidi" w:cstheme="majorBidi"/>
          <w:color w:val="000000" w:themeColor="text1"/>
          <w:sz w:val="18"/>
          <w:szCs w:val="18"/>
          <w:lang w:val="en-GB"/>
        </w:rPr>
        <w:t xml:space="preserve">Marinette Amirault-Thebault. </w:t>
      </w:r>
      <w:r w:rsidR="00C802CC" w:rsidRPr="00C802CC">
        <w:rPr>
          <w:rFonts w:asciiTheme="majorBidi" w:hAnsiTheme="majorBidi" w:cstheme="majorBidi"/>
          <w:color w:val="000000" w:themeColor="text1"/>
          <w:sz w:val="18"/>
          <w:szCs w:val="18"/>
          <w:lang w:val="en-GB"/>
        </w:rPr>
        <w:t>op.cit</w:t>
      </w:r>
      <w:r w:rsidRPr="00C802CC">
        <w:rPr>
          <w:rFonts w:asciiTheme="majorBidi" w:hAnsiTheme="majorBidi" w:cstheme="majorBidi"/>
          <w:color w:val="000000" w:themeColor="text1"/>
          <w:sz w:val="18"/>
          <w:szCs w:val="18"/>
          <w:lang w:val="en-GB"/>
        </w:rPr>
        <w:t>, p42</w:t>
      </w:r>
    </w:p>
  </w:footnote>
  <w:footnote w:id="19">
    <w:p w14:paraId="5A886756" w14:textId="4BA1A07F" w:rsidR="00DC2EB3" w:rsidRDefault="00DC2EB3">
      <w:pPr>
        <w:spacing w:before="100" w:beforeAutospacing="1" w:after="100" w:afterAutospacing="1" w:line="240" w:lineRule="auto"/>
        <w:rPr>
          <w:rFonts w:ascii="Times New Roman" w:eastAsia="Times New Roman" w:hAnsi="Times New Roman" w:cs="Times New Roman"/>
          <w:color w:val="FF0000"/>
          <w:sz w:val="24"/>
          <w:szCs w:val="24"/>
          <w:lang w:val="en-GB" w:eastAsia="fr-FR"/>
        </w:rPr>
      </w:pPr>
      <w:r>
        <w:rPr>
          <w:rStyle w:val="FootnoteReference"/>
        </w:rPr>
        <w:footnoteRef/>
      </w:r>
      <w:r>
        <w:rPr>
          <w:lang w:val="en-GB"/>
        </w:rPr>
        <w:t xml:space="preserve"> </w:t>
      </w:r>
      <w:r>
        <w:rPr>
          <w:rFonts w:ascii="Times New Roman" w:eastAsia="Times New Roman" w:hAnsi="Times New Roman" w:cs="Times New Roman"/>
          <w:b/>
          <w:bCs/>
          <w:color w:val="000000" w:themeColor="text1"/>
          <w:sz w:val="18"/>
          <w:szCs w:val="18"/>
          <w:lang w:val="en-GB" w:eastAsia="fr-FR"/>
        </w:rPr>
        <w:t>Klein, J. G., Smith, N. C., &amp; John, A. (2004).</w:t>
      </w:r>
      <w:r>
        <w:rPr>
          <w:rFonts w:ascii="Times New Roman" w:eastAsia="Times New Roman" w:hAnsi="Times New Roman" w:cs="Times New Roman"/>
          <w:color w:val="000000" w:themeColor="text1"/>
          <w:sz w:val="18"/>
          <w:szCs w:val="18"/>
          <w:lang w:val="en-GB" w:eastAsia="fr-FR"/>
        </w:rPr>
        <w:t xml:space="preserve"> </w:t>
      </w:r>
      <w:r w:rsidR="00985712">
        <w:rPr>
          <w:rFonts w:ascii="Times New Roman" w:eastAsia="Times New Roman" w:hAnsi="Times New Roman" w:cs="Times New Roman"/>
          <w:color w:val="000000" w:themeColor="text1"/>
          <w:sz w:val="18"/>
          <w:szCs w:val="18"/>
          <w:lang w:val="en-GB" w:eastAsia="fr-FR"/>
        </w:rPr>
        <w:t>o</w:t>
      </w:r>
      <w:r>
        <w:rPr>
          <w:rFonts w:ascii="Times New Roman" w:eastAsia="Times New Roman" w:hAnsi="Times New Roman" w:cs="Times New Roman"/>
          <w:color w:val="000000" w:themeColor="text1"/>
          <w:sz w:val="18"/>
          <w:szCs w:val="18"/>
          <w:lang w:val="en-GB" w:eastAsia="fr-FR"/>
        </w:rPr>
        <w:t xml:space="preserve">p.cit </w:t>
      </w:r>
    </w:p>
  </w:footnote>
  <w:footnote w:id="20">
    <w:p w14:paraId="3DF1381E" w14:textId="77777777" w:rsidR="00DC2EB3" w:rsidRPr="00D816EB" w:rsidRDefault="00DC2EB3" w:rsidP="00D816EB">
      <w:pPr>
        <w:spacing w:line="240" w:lineRule="auto"/>
        <w:jc w:val="both"/>
        <w:rPr>
          <w:rFonts w:asciiTheme="majorBidi" w:hAnsiTheme="majorBidi" w:cstheme="majorBidi"/>
          <w:color w:val="FF0000"/>
          <w:sz w:val="20"/>
          <w:szCs w:val="20"/>
          <w:lang w:val="en-US"/>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Qionglei Yu, Richard McManus, Dorothy A. Yen and Xiang (Robert) Li , “ Tourism boycotts and animosity: A study of seven events”, Annals of Tourism Research Volume 80, January 2020, 102792, p 03.</w:t>
      </w:r>
    </w:p>
  </w:footnote>
  <w:footnote w:id="21">
    <w:p w14:paraId="6A02A39F" w14:textId="77777777" w:rsidR="00DC2EB3" w:rsidRPr="00D816EB" w:rsidRDefault="00DC2EB3" w:rsidP="00D816EB">
      <w:pPr>
        <w:spacing w:line="240" w:lineRule="auto"/>
        <w:jc w:val="both"/>
        <w:rPr>
          <w:rFonts w:asciiTheme="majorBidi" w:hAnsiTheme="majorBidi" w:cstheme="majorBidi"/>
          <w:color w:val="FF0000"/>
          <w:sz w:val="20"/>
          <w:szCs w:val="20"/>
          <w:lang w:val="en-US"/>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Mohamed Buheji, Dunya Ahmed, “ KEEPING THE BOYCOTT MOMENTUM- FROM ‘WAR ON GAZA’ TILL ‘FREE-PALESTINE’ “,  International Journal of Management (IJM), Volume 14, Issue 7, Nov-Dec 2023, p 211.</w:t>
      </w:r>
    </w:p>
  </w:footnote>
  <w:footnote w:id="22">
    <w:p w14:paraId="3A4D7767" w14:textId="2F988871" w:rsidR="00DC2EB3" w:rsidRPr="00DE00F9" w:rsidRDefault="00DC2EB3" w:rsidP="00DE00F9">
      <w:pPr>
        <w:spacing w:line="240"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w:t>
      </w:r>
      <w:r w:rsidR="00DE00F9" w:rsidRPr="00D816EB">
        <w:rPr>
          <w:rFonts w:asciiTheme="majorBidi" w:hAnsiTheme="majorBidi" w:cstheme="majorBidi"/>
          <w:sz w:val="20"/>
          <w:szCs w:val="20"/>
          <w:lang w:val="en-US"/>
        </w:rPr>
        <w:t>- Mohamed Buheji, Dunya Ahmed,</w:t>
      </w:r>
      <w:r w:rsidR="00DE00F9">
        <w:rPr>
          <w:rFonts w:asciiTheme="majorBidi" w:hAnsiTheme="majorBidi" w:cstheme="majorBidi"/>
          <w:sz w:val="20"/>
          <w:szCs w:val="20"/>
          <w:lang w:val="en-US"/>
        </w:rPr>
        <w:t xml:space="preserve"> op.cit</w:t>
      </w:r>
      <w:r w:rsidRPr="00D816EB">
        <w:rPr>
          <w:rFonts w:asciiTheme="majorBidi" w:eastAsia="Times New Roman" w:hAnsiTheme="majorBidi" w:cstheme="majorBidi"/>
          <w:sz w:val="20"/>
          <w:szCs w:val="20"/>
          <w:lang w:val="en-US" w:eastAsia="fr-FR"/>
        </w:rPr>
        <w:t>, p 213.</w:t>
      </w:r>
    </w:p>
  </w:footnote>
  <w:footnote w:id="23">
    <w:p w14:paraId="48EA83CF" w14:textId="77777777" w:rsidR="00DC2EB3" w:rsidRPr="00D816EB" w:rsidRDefault="00DC2EB3" w:rsidP="00D816EB">
      <w:pPr>
        <w:spacing w:line="240"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ibid, p 215.</w:t>
      </w:r>
    </w:p>
  </w:footnote>
  <w:footnote w:id="24">
    <w:p w14:paraId="67CF816D" w14:textId="77777777" w:rsidR="00DC2EB3" w:rsidRDefault="00DC2EB3" w:rsidP="00D816EB">
      <w:pPr>
        <w:spacing w:line="240" w:lineRule="auto"/>
        <w:jc w:val="both"/>
        <w:rPr>
          <w:rFonts w:asciiTheme="majorBidi" w:eastAsia="Times New Roman" w:hAnsiTheme="majorBidi" w:cstheme="majorBidi"/>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SALEH AL SHEBIL, ABDUL A RASHEED, HUSSAM AL-SHAMMARI, “Coping with boycotts: An analysis and framework,” JOURNAL OF MANAGEMENT &amp; ORGANIZATION, Volume 17, Issue 3, May 2011, p 386-387.</w:t>
      </w:r>
    </w:p>
  </w:footnote>
  <w:footnote w:id="25">
    <w:p w14:paraId="1EA51BA6" w14:textId="77777777"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HÅVARD SANDLAND KRISTENSEN, MARIT GARLI LANGEDAL, “The why, what, and how of Brand Boycott Reasons, Outcomes and Responding Strategies,” Master’s thesis, Faculty of Business and Law, Department of Economics and Finance, University of Agder, 2024, P60-63.</w:t>
      </w:r>
    </w:p>
  </w:footnote>
  <w:footnote w:id="26">
    <w:p w14:paraId="3F227C1B" w14:textId="77777777"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U.S. International Trade Commission. Effects of the Arab League Boycott of Israel on U.S. Businesses. Investigation No. 332-349. Publication 2827. Washington, DC: U.S. International Trade Commission, November 1994, p 25-26.</w:t>
      </w:r>
    </w:p>
  </w:footnote>
  <w:footnote w:id="27">
    <w:p w14:paraId="28FFF89E" w14:textId="66EC63E1"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ibid</w:t>
      </w:r>
      <w:r w:rsidR="00DE00F9">
        <w:rPr>
          <w:rFonts w:asciiTheme="majorBidi" w:eastAsia="Times New Roman" w:hAnsiTheme="majorBidi" w:cstheme="majorBidi"/>
          <w:sz w:val="20"/>
          <w:szCs w:val="20"/>
          <w:lang w:val="en-US" w:eastAsia="fr-FR"/>
        </w:rPr>
        <w:t xml:space="preserve"> p</w:t>
      </w:r>
      <w:r w:rsidR="00D06CBA">
        <w:rPr>
          <w:rFonts w:asciiTheme="majorBidi" w:eastAsia="Times New Roman" w:hAnsiTheme="majorBidi" w:cstheme="majorBidi"/>
          <w:sz w:val="20"/>
          <w:szCs w:val="20"/>
          <w:lang w:val="en-US" w:eastAsia="fr-FR"/>
        </w:rPr>
        <w:t xml:space="preserve"> 25-26</w:t>
      </w:r>
    </w:p>
  </w:footnote>
  <w:footnote w:id="28">
    <w:p w14:paraId="7EF192F2" w14:textId="77777777"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HÅVARD SANDLAND KRISTENSEN, MARIT GARLI LANGEDAL, op.cit</w:t>
      </w:r>
    </w:p>
  </w:footnote>
  <w:footnote w:id="29">
    <w:p w14:paraId="149F4E0B" w14:textId="77777777"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SALEH AL SHEBIL, ABDUL A RASHEED, HUSSAM AL-SHAMMARI, op.cit</w:t>
      </w:r>
    </w:p>
  </w:footnote>
  <w:footnote w:id="30">
    <w:p w14:paraId="3E81C6DA" w14:textId="77777777" w:rsidR="00DC2EB3" w:rsidRPr="00D816EB" w:rsidRDefault="00DC2EB3">
      <w:pPr>
        <w:spacing w:line="276" w:lineRule="auto"/>
        <w:jc w:val="both"/>
        <w:rPr>
          <w:rFonts w:asciiTheme="majorBidi" w:eastAsia="Times New Roman" w:hAnsiTheme="majorBidi" w:cstheme="majorBidi"/>
          <w:sz w:val="20"/>
          <w:szCs w:val="20"/>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 </w:t>
      </w:r>
      <w:r w:rsidRPr="00D816EB">
        <w:rPr>
          <w:rFonts w:asciiTheme="majorBidi" w:eastAsia="Times New Roman" w:hAnsiTheme="majorBidi" w:cstheme="majorBidi"/>
          <w:sz w:val="20"/>
          <w:szCs w:val="20"/>
          <w:lang w:val="en-US" w:eastAsia="fr-FR"/>
        </w:rPr>
        <w:t>Mohamed Buheji, Dunya Ahmed, op.cit p 215.</w:t>
      </w:r>
    </w:p>
  </w:footnote>
  <w:footnote w:id="31">
    <w:p w14:paraId="13B65E48" w14:textId="77777777" w:rsidR="00DC2EB3" w:rsidRDefault="00DC2EB3">
      <w:pPr>
        <w:spacing w:line="276" w:lineRule="auto"/>
        <w:jc w:val="both"/>
        <w:rPr>
          <w:rFonts w:asciiTheme="majorBidi" w:eastAsia="Times New Roman" w:hAnsiTheme="majorBidi" w:cstheme="majorBidi"/>
          <w:sz w:val="18"/>
          <w:szCs w:val="18"/>
          <w:lang w:val="en-US" w:eastAsia="fr-FR"/>
        </w:rPr>
      </w:pPr>
      <w:r w:rsidRPr="00D816EB">
        <w:rPr>
          <w:rStyle w:val="FootnoteReference"/>
          <w:rFonts w:asciiTheme="majorBidi" w:hAnsiTheme="majorBidi" w:cstheme="majorBidi"/>
          <w:sz w:val="20"/>
          <w:szCs w:val="20"/>
        </w:rPr>
        <w:footnoteRef/>
      </w:r>
      <w:r w:rsidRPr="00D816EB">
        <w:rPr>
          <w:rFonts w:asciiTheme="majorBidi" w:hAnsiTheme="majorBidi" w:cstheme="majorBidi"/>
          <w:sz w:val="20"/>
          <w:szCs w:val="20"/>
          <w:lang w:val="en-US"/>
        </w:rPr>
        <w:t xml:space="preserve"> -</w:t>
      </w:r>
      <w:r w:rsidRPr="00D816EB">
        <w:rPr>
          <w:rFonts w:asciiTheme="majorBidi" w:hAnsiTheme="majorBidi" w:cstheme="majorBidi"/>
          <w:sz w:val="20"/>
          <w:szCs w:val="20"/>
          <w:lang w:val="en-GB"/>
        </w:rPr>
        <w:t>ibid</w:t>
      </w:r>
      <w:r w:rsidRPr="00D816EB">
        <w:rPr>
          <w:rFonts w:asciiTheme="majorBidi" w:eastAsia="Times New Roman" w:hAnsiTheme="majorBidi" w:cstheme="majorBidi"/>
          <w:sz w:val="20"/>
          <w:szCs w:val="20"/>
          <w:lang w:val="en-US" w:eastAsia="fr-FR"/>
        </w:rPr>
        <w:t xml:space="preserve"> p 213.</w:t>
      </w:r>
    </w:p>
  </w:footnote>
  <w:footnote w:id="32">
    <w:p w14:paraId="564BB5C3" w14:textId="77777777" w:rsidR="00DC2EB3" w:rsidRPr="00D54777" w:rsidRDefault="00DC2EB3" w:rsidP="00D54777">
      <w:pPr>
        <w:spacing w:line="240"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w:t>
      </w:r>
      <w:r w:rsidRPr="00D54777">
        <w:rPr>
          <w:rFonts w:asciiTheme="majorBidi" w:hAnsiTheme="majorBidi" w:cstheme="majorBidi"/>
          <w:sz w:val="20"/>
          <w:szCs w:val="20"/>
          <w:lang w:val="en-GB"/>
        </w:rPr>
        <w:t>ibid</w:t>
      </w:r>
      <w:r w:rsidRPr="00D54777">
        <w:rPr>
          <w:rFonts w:asciiTheme="majorBidi" w:eastAsia="Times New Roman" w:hAnsiTheme="majorBidi" w:cstheme="majorBidi"/>
          <w:sz w:val="20"/>
          <w:szCs w:val="20"/>
          <w:lang w:val="en-US" w:eastAsia="fr-FR"/>
        </w:rPr>
        <w:t xml:space="preserve"> p 211.</w:t>
      </w:r>
    </w:p>
  </w:footnote>
  <w:footnote w:id="33">
    <w:p w14:paraId="3188F03A" w14:textId="77777777" w:rsidR="00DC2EB3" w:rsidRDefault="00DC2EB3" w:rsidP="00D54777">
      <w:pPr>
        <w:spacing w:line="240" w:lineRule="auto"/>
        <w:jc w:val="both"/>
        <w:rPr>
          <w:rFonts w:ascii="Times New Roman" w:eastAsia="Times New Roman" w:hAnsi="Times New Roman" w:cs="Times New Roman"/>
          <w:sz w:val="24"/>
          <w:szCs w:val="24"/>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Qionglei Yu, Richard McManus, Dorothy A. Yen and Xiang (Robert) Li, op.cit, p 03.</w:t>
      </w:r>
    </w:p>
  </w:footnote>
  <w:footnote w:id="34">
    <w:p w14:paraId="6D74BA9B"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34" w:name="_Hlk199631064"/>
      <w:r w:rsidRPr="00D54777">
        <w:rPr>
          <w:rStyle w:val="FootnoteReference"/>
          <w:sz w:val="20"/>
          <w:szCs w:val="20"/>
        </w:rPr>
        <w:footnoteRef/>
      </w:r>
      <w:r w:rsidRPr="00D54777">
        <w:rPr>
          <w:sz w:val="20"/>
          <w:szCs w:val="20"/>
          <w:lang w:val="en-US"/>
        </w:rPr>
        <w:t xml:space="preserve"> </w:t>
      </w:r>
      <w:r w:rsidRPr="00D54777">
        <w:rPr>
          <w:sz w:val="20"/>
          <w:szCs w:val="20"/>
          <w:lang w:val="en-US" w:bidi="ar-DZ"/>
        </w:rPr>
        <w:t xml:space="preserve">- </w:t>
      </w:r>
      <w:r w:rsidRPr="00D54777">
        <w:rPr>
          <w:rFonts w:ascii="Times New Roman" w:eastAsia="Times New Roman" w:hAnsi="Times New Roman" w:cs="Times New Roman"/>
          <w:sz w:val="20"/>
          <w:szCs w:val="20"/>
          <w:lang w:val="en-US" w:eastAsia="fr-FR"/>
        </w:rPr>
        <w:t>Ger</w:t>
      </w:r>
      <w:r w:rsidRPr="00D54777">
        <w:rPr>
          <w:rFonts w:asciiTheme="majorBidi" w:eastAsia="Times New Roman" w:hAnsiTheme="majorBidi" w:cstheme="majorBidi"/>
          <w:sz w:val="20"/>
          <w:szCs w:val="20"/>
          <w:lang w:val="en-US" w:eastAsia="fr-FR"/>
        </w:rPr>
        <w:t>ald L. Jr. Maatman, “Protest Boycotts and Federal Labor Laws: The Russian Trade Boycott,” Northwestern Journal of International Law &amp; Business, Volume 3, Issue 1 Spring, Spring 1981, p 227-235.</w:t>
      </w:r>
      <w:bookmarkEnd w:id="134"/>
    </w:p>
  </w:footnote>
  <w:footnote w:id="35">
    <w:p w14:paraId="3227CED6" w14:textId="77777777" w:rsidR="00DC2EB3" w:rsidRPr="00D54777" w:rsidRDefault="00DC2EB3" w:rsidP="00D54777">
      <w:pPr>
        <w:spacing w:line="240"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Mohamed Buheji, Dunya Ahmed, op.cit, p 208.</w:t>
      </w:r>
    </w:p>
  </w:footnote>
  <w:footnote w:id="36">
    <w:p w14:paraId="3C36AB67" w14:textId="77777777" w:rsidR="00DC2EB3" w:rsidRDefault="00DC2EB3" w:rsidP="00D54777">
      <w:pPr>
        <w:spacing w:line="240" w:lineRule="auto"/>
        <w:jc w:val="both"/>
        <w:rPr>
          <w:rFonts w:asciiTheme="majorBidi" w:eastAsia="Times New Roman" w:hAnsiTheme="majorBidi" w:cstheme="majorBidi"/>
          <w:lang w:val="en-US" w:eastAsia="fr-FR"/>
        </w:rPr>
      </w:pPr>
      <w:bookmarkStart w:id="139" w:name="_Hlk199631117"/>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Monroe Friedman, “Consumer Boycotts: Effecting Change Through the Marketplace and the Media,” Routledge, New York and London, 1999, p 153-155.</w:t>
      </w:r>
      <w:bookmarkEnd w:id="139"/>
    </w:p>
  </w:footnote>
  <w:footnote w:id="37">
    <w:p w14:paraId="185A6915"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42" w:name="_Hlk199631151"/>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Omar Al Serhan, “The Impact of Religiously Motivated Boycotts on Brand Loyalty among Transnational Consumers,” doctoral thesis, Cardiff Metropolitan University, 2016, p 15-16.</w:t>
      </w:r>
      <w:bookmarkEnd w:id="142"/>
    </w:p>
  </w:footnote>
  <w:footnote w:id="38">
    <w:p w14:paraId="5F7E1C39" w14:textId="77777777" w:rsidR="00DC2EB3" w:rsidRDefault="00DC2EB3">
      <w:pPr>
        <w:spacing w:line="276" w:lineRule="auto"/>
        <w:jc w:val="both"/>
        <w:rPr>
          <w:rFonts w:asciiTheme="majorBidi" w:eastAsia="Times New Roman" w:hAnsiTheme="majorBidi" w:cstheme="majorBidi"/>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Mohamed Buheji, Dunya Ahmed, op.cit, p 212.</w:t>
      </w:r>
    </w:p>
  </w:footnote>
  <w:footnote w:id="39">
    <w:p w14:paraId="040DAF7F"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47" w:name="_Hlk199631175"/>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Ashutosh Pandey, “Boycott Call Tests France-Turkey Trade Relations,” DW, October 27</w:t>
      </w:r>
      <w:r w:rsidRPr="00D54777">
        <w:rPr>
          <w:rFonts w:asciiTheme="majorBidi" w:eastAsia="Times New Roman" w:hAnsiTheme="majorBidi" w:cstheme="majorBidi"/>
          <w:sz w:val="20"/>
          <w:szCs w:val="20"/>
          <w:vertAlign w:val="superscript"/>
          <w:lang w:val="en-US" w:eastAsia="fr-FR"/>
        </w:rPr>
        <w:t>th</w:t>
      </w:r>
      <w:r w:rsidRPr="00D54777">
        <w:rPr>
          <w:rFonts w:asciiTheme="majorBidi" w:eastAsia="Times New Roman" w:hAnsiTheme="majorBidi" w:cstheme="majorBidi"/>
          <w:sz w:val="20"/>
          <w:szCs w:val="20"/>
          <w:lang w:val="en-US" w:eastAsia="fr-FR"/>
        </w:rPr>
        <w:t xml:space="preserve">, 2020, </w:t>
      </w:r>
      <w:hyperlink r:id="rId5" w:history="1">
        <w:r w:rsidRPr="00D54777">
          <w:rPr>
            <w:rStyle w:val="Hyperlink"/>
            <w:rFonts w:asciiTheme="majorBidi" w:eastAsia="Times New Roman" w:hAnsiTheme="majorBidi" w:cstheme="majorBidi"/>
            <w:sz w:val="20"/>
            <w:szCs w:val="20"/>
            <w:lang w:val="en-US" w:eastAsia="fr-FR"/>
          </w:rPr>
          <w:t>https://www.dw.com/en/boycott-call-tests-france-turkey-trade-relations/a-55411445</w:t>
        </w:r>
      </w:hyperlink>
      <w:r w:rsidRPr="00D54777">
        <w:rPr>
          <w:rFonts w:asciiTheme="majorBidi" w:eastAsia="Times New Roman" w:hAnsiTheme="majorBidi" w:cstheme="majorBidi"/>
          <w:sz w:val="20"/>
          <w:szCs w:val="20"/>
          <w:lang w:val="en-US" w:eastAsia="fr-FR"/>
        </w:rPr>
        <w:t>, accessed 25/02/2025 18:15.</w:t>
      </w:r>
      <w:bookmarkEnd w:id="147"/>
    </w:p>
  </w:footnote>
  <w:footnote w:id="40">
    <w:p w14:paraId="1C12471F"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52" w:name="_Hlk199631197"/>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w:t>
      </w:r>
      <w:r w:rsidRPr="00D54777">
        <w:rPr>
          <w:rFonts w:asciiTheme="majorBidi" w:hAnsiTheme="majorBidi" w:cstheme="majorBidi"/>
          <w:sz w:val="20"/>
          <w:szCs w:val="20"/>
          <w:lang w:val="en-US" w:bidi="ar-DZ"/>
        </w:rPr>
        <w:t xml:space="preserve">- </w:t>
      </w:r>
      <w:r w:rsidRPr="00D54777">
        <w:rPr>
          <w:rFonts w:asciiTheme="majorBidi" w:eastAsia="Times New Roman" w:hAnsiTheme="majorBidi" w:cstheme="majorBidi"/>
          <w:sz w:val="20"/>
          <w:szCs w:val="20"/>
          <w:lang w:val="en-US" w:eastAsia="fr-FR"/>
        </w:rPr>
        <w:t>Ibrahim Avci, “Factors Influencing the Boycott Intentions of Turkish Consumers amid the Israel-Palestine Conflict,” Revista Brasileira de Gestão de Negócios 26, no. 4 (2024): e20240035, p 4-5.</w:t>
      </w:r>
      <w:bookmarkEnd w:id="152"/>
    </w:p>
  </w:footnote>
  <w:footnote w:id="41">
    <w:p w14:paraId="043F3BA5"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55" w:name="_Hlk199631217"/>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Echine Ayyad, “Social Media and Social Mobility: Exploring the Role of Social Networks in the 2018 Boycott Campaign in Morocco,” Journal of Cyberspace Studies, Volume 3, No. 1, January 2019, p 65-66.</w:t>
      </w:r>
      <w:bookmarkEnd w:id="155"/>
    </w:p>
  </w:footnote>
  <w:footnote w:id="42">
    <w:p w14:paraId="08DFD215"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w:t>
      </w:r>
      <w:r w:rsidRPr="00D54777">
        <w:rPr>
          <w:rFonts w:asciiTheme="majorBidi" w:hAnsiTheme="majorBidi" w:cstheme="majorBidi"/>
          <w:sz w:val="20"/>
          <w:szCs w:val="20"/>
          <w:lang w:val="en-US" w:bidi="ar-DZ"/>
        </w:rPr>
        <w:t xml:space="preserve">- </w:t>
      </w:r>
      <w:r w:rsidRPr="00D54777">
        <w:rPr>
          <w:rFonts w:asciiTheme="majorBidi" w:eastAsia="Times New Roman" w:hAnsiTheme="majorBidi" w:cstheme="majorBidi"/>
          <w:sz w:val="20"/>
          <w:szCs w:val="20"/>
          <w:lang w:val="en-US" w:eastAsia="fr-FR"/>
        </w:rPr>
        <w:t>Areeg Barakat, Faten Moussa, “Using the Expectancy Theory Framework to Explain the Motivation to Participate in a Consumer,” Journal of Marketing Development and Competitiveness Vol. 11(3) 2017, p 33.</w:t>
      </w:r>
    </w:p>
  </w:footnote>
  <w:footnote w:id="43">
    <w:p w14:paraId="0D8B1865"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Jeon Hyang-ran, Seo Jung-hee, “</w:t>
      </w:r>
      <w:r w:rsidRPr="00D54777">
        <w:rPr>
          <w:rFonts w:asciiTheme="majorBidi" w:eastAsia="Batang" w:hAnsiTheme="majorBidi" w:cstheme="majorBidi"/>
          <w:sz w:val="20"/>
          <w:szCs w:val="20"/>
          <w:lang w:eastAsia="fr-FR"/>
        </w:rPr>
        <w:t>소비자</w:t>
      </w:r>
      <w:r w:rsidRPr="00D54777">
        <w:rPr>
          <w:rFonts w:asciiTheme="majorBidi" w:eastAsia="Times New Roman" w:hAnsiTheme="majorBidi" w:cstheme="majorBidi"/>
          <w:sz w:val="20"/>
          <w:szCs w:val="20"/>
          <w:lang w:val="en-US" w:eastAsia="fr-FR"/>
        </w:rPr>
        <w:t xml:space="preserve"> </w:t>
      </w:r>
      <w:r w:rsidRPr="00D54777">
        <w:rPr>
          <w:rFonts w:asciiTheme="majorBidi" w:eastAsia="Batang" w:hAnsiTheme="majorBidi" w:cstheme="majorBidi"/>
          <w:sz w:val="20"/>
          <w:szCs w:val="20"/>
          <w:lang w:eastAsia="fr-FR"/>
        </w:rPr>
        <w:t>불매운동에</w:t>
      </w:r>
      <w:r w:rsidRPr="00D54777">
        <w:rPr>
          <w:rFonts w:asciiTheme="majorBidi" w:eastAsia="Times New Roman" w:hAnsiTheme="majorBidi" w:cstheme="majorBidi"/>
          <w:sz w:val="20"/>
          <w:szCs w:val="20"/>
          <w:lang w:val="en-US" w:eastAsia="fr-FR"/>
        </w:rPr>
        <w:t xml:space="preserve"> </w:t>
      </w:r>
      <w:r w:rsidRPr="00D54777">
        <w:rPr>
          <w:rFonts w:asciiTheme="majorBidi" w:eastAsia="Batang" w:hAnsiTheme="majorBidi" w:cstheme="majorBidi"/>
          <w:sz w:val="20"/>
          <w:szCs w:val="20"/>
          <w:lang w:eastAsia="fr-FR"/>
        </w:rPr>
        <w:t>대한</w:t>
      </w:r>
      <w:r w:rsidRPr="00D54777">
        <w:rPr>
          <w:rFonts w:asciiTheme="majorBidi" w:eastAsia="Times New Roman" w:hAnsiTheme="majorBidi" w:cstheme="majorBidi"/>
          <w:sz w:val="20"/>
          <w:szCs w:val="20"/>
          <w:lang w:val="en-US" w:eastAsia="fr-FR"/>
        </w:rPr>
        <w:t xml:space="preserve"> </w:t>
      </w:r>
      <w:r w:rsidRPr="00D54777">
        <w:rPr>
          <w:rFonts w:asciiTheme="majorBidi" w:eastAsia="Batang" w:hAnsiTheme="majorBidi" w:cstheme="majorBidi"/>
          <w:sz w:val="20"/>
          <w:szCs w:val="20"/>
          <w:lang w:eastAsia="fr-FR"/>
        </w:rPr>
        <w:t>인식유형과</w:t>
      </w:r>
      <w:r w:rsidRPr="00D54777">
        <w:rPr>
          <w:rFonts w:asciiTheme="majorBidi" w:eastAsia="Times New Roman" w:hAnsiTheme="majorBidi" w:cstheme="majorBidi"/>
          <w:sz w:val="20"/>
          <w:szCs w:val="20"/>
          <w:lang w:val="en-US" w:eastAsia="fr-FR"/>
        </w:rPr>
        <w:t xml:space="preserve"> </w:t>
      </w:r>
      <w:r w:rsidRPr="00D54777">
        <w:rPr>
          <w:rFonts w:asciiTheme="majorBidi" w:eastAsia="Batang" w:hAnsiTheme="majorBidi" w:cstheme="majorBidi"/>
          <w:sz w:val="20"/>
          <w:szCs w:val="20"/>
          <w:lang w:eastAsia="fr-FR"/>
        </w:rPr>
        <w:t>참여의도와의</w:t>
      </w:r>
      <w:r w:rsidRPr="00D54777">
        <w:rPr>
          <w:rFonts w:asciiTheme="majorBidi" w:eastAsia="Times New Roman" w:hAnsiTheme="majorBidi" w:cstheme="majorBidi"/>
          <w:sz w:val="20"/>
          <w:szCs w:val="20"/>
          <w:lang w:val="en-US" w:eastAsia="fr-FR"/>
        </w:rPr>
        <w:t xml:space="preserve"> </w:t>
      </w:r>
      <w:r w:rsidRPr="00D54777">
        <w:rPr>
          <w:rFonts w:asciiTheme="majorBidi" w:eastAsia="Batang" w:hAnsiTheme="majorBidi" w:cstheme="majorBidi"/>
          <w:sz w:val="20"/>
          <w:szCs w:val="20"/>
          <w:lang w:eastAsia="fr-FR"/>
        </w:rPr>
        <w:t>관련성</w:t>
      </w:r>
      <w:r w:rsidRPr="00D54777">
        <w:rPr>
          <w:rFonts w:asciiTheme="majorBidi" w:eastAsia="Times New Roman" w:hAnsiTheme="majorBidi" w:cstheme="majorBidi"/>
          <w:sz w:val="20"/>
          <w:szCs w:val="20"/>
          <w:lang w:val="en-US" w:eastAsia="fr-FR"/>
        </w:rPr>
        <w:t>”;</w:t>
      </w:r>
      <w:r w:rsidRPr="00D54777">
        <w:rPr>
          <w:rFonts w:asciiTheme="majorBidi" w:hAnsiTheme="majorBidi" w:cstheme="majorBidi"/>
          <w:sz w:val="20"/>
          <w:szCs w:val="20"/>
          <w:lang w:val="en-GB"/>
        </w:rPr>
        <w:t xml:space="preserve"> "The Relationship Between Types of Perception of Consumer Boycotts and the Intention to Participate"</w:t>
      </w:r>
      <w:r w:rsidRPr="00D54777">
        <w:rPr>
          <w:rFonts w:asciiTheme="majorBidi" w:eastAsia="Times New Roman" w:hAnsiTheme="majorBidi" w:cstheme="majorBidi"/>
          <w:sz w:val="20"/>
          <w:szCs w:val="20"/>
          <w:lang w:val="en-US" w:eastAsia="fr-FR"/>
        </w:rPr>
        <w:t xml:space="preserve"> Fam. Environ. Res. Vol. 53, No. 2, April 2015, p 144.</w:t>
      </w:r>
    </w:p>
  </w:footnote>
  <w:footnote w:id="44">
    <w:p w14:paraId="2C3386FA"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w:t>
      </w:r>
      <w:r w:rsidRPr="00D54777">
        <w:rPr>
          <w:rFonts w:asciiTheme="majorBidi" w:hAnsiTheme="majorBidi" w:cstheme="majorBidi"/>
          <w:sz w:val="20"/>
          <w:szCs w:val="20"/>
          <w:lang w:val="en-US" w:bidi="ar-DZ"/>
        </w:rPr>
        <w:t xml:space="preserve">- </w:t>
      </w:r>
      <w:r w:rsidRPr="00D54777">
        <w:rPr>
          <w:rFonts w:asciiTheme="majorBidi" w:eastAsia="Times New Roman" w:hAnsiTheme="majorBidi" w:cstheme="majorBidi"/>
          <w:sz w:val="20"/>
          <w:szCs w:val="20"/>
          <w:lang w:val="en-US" w:eastAsia="fr-FR"/>
        </w:rPr>
        <w:t xml:space="preserve">Areeg Barakat, Faten Moussa, </w:t>
      </w:r>
      <w:r>
        <w:rPr>
          <w:rFonts w:asciiTheme="majorBidi" w:eastAsia="Times New Roman" w:hAnsiTheme="majorBidi" w:cstheme="majorBidi"/>
          <w:sz w:val="20"/>
          <w:szCs w:val="20"/>
          <w:lang w:val="en-US" w:eastAsia="fr-FR"/>
        </w:rPr>
        <w:t xml:space="preserve">op.cit </w:t>
      </w:r>
    </w:p>
  </w:footnote>
  <w:footnote w:id="45">
    <w:p w14:paraId="4FCDE5B5" w14:textId="77777777" w:rsidR="00DC2EB3" w:rsidRDefault="00DC2EB3">
      <w:pPr>
        <w:spacing w:line="276" w:lineRule="auto"/>
        <w:jc w:val="both"/>
        <w:rPr>
          <w:rFonts w:asciiTheme="majorBidi" w:eastAsia="Times New Roman" w:hAnsiTheme="majorBidi" w:cstheme="majorBidi"/>
          <w:lang w:val="en-US" w:eastAsia="fr-FR"/>
        </w:rPr>
      </w:pPr>
      <w:bookmarkStart w:id="164" w:name="_Hlk199631314"/>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Allam, Kyla R. et al., “Unmasking Consumer Behavior: A Deep Dive into Brand Boycotts in the Social Media Age – Exploring Filipino Demographic Variances, Perceptual Constructs, and Activist Actions,” International Journal of Current Science Research and Review, Volume 07, Issue 05, May 2024, p 2566-2567.</w:t>
      </w:r>
      <w:bookmarkEnd w:id="164"/>
    </w:p>
  </w:footnote>
  <w:footnote w:id="46">
    <w:p w14:paraId="28F23622" w14:textId="77777777" w:rsidR="00DC2EB3" w:rsidRPr="00D54777" w:rsidRDefault="00DC2EB3">
      <w:pPr>
        <w:spacing w:line="276" w:lineRule="auto"/>
        <w:jc w:val="both"/>
        <w:rPr>
          <w:rFonts w:asciiTheme="majorBidi" w:eastAsia="Times New Roman" w:hAnsiTheme="majorBidi" w:cstheme="majorBidi"/>
          <w:sz w:val="20"/>
          <w:szCs w:val="20"/>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Jeon Hyang-ran, Seo Jung-hee, op.cit</w:t>
      </w:r>
    </w:p>
  </w:footnote>
  <w:footnote w:id="47">
    <w:p w14:paraId="6F1386F9" w14:textId="77777777" w:rsidR="00DC2EB3" w:rsidRPr="00D54777" w:rsidRDefault="00DC2EB3">
      <w:pPr>
        <w:spacing w:line="276" w:lineRule="auto"/>
        <w:jc w:val="both"/>
        <w:rPr>
          <w:rFonts w:ascii="Times New Roman" w:eastAsia="Times New Roman" w:hAnsi="Times New Roman" w:cs="Times New Roman"/>
          <w:lang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rPr>
        <w:t xml:space="preserve"> - </w:t>
      </w:r>
      <w:r w:rsidRPr="00D54777">
        <w:rPr>
          <w:rFonts w:asciiTheme="majorBidi" w:eastAsia="Times New Roman" w:hAnsiTheme="majorBidi" w:cstheme="majorBidi"/>
          <w:sz w:val="20"/>
          <w:szCs w:val="20"/>
          <w:lang w:eastAsia="fr-FR"/>
        </w:rPr>
        <w:t>Allam, Kyla R. et al., op.cit</w:t>
      </w:r>
    </w:p>
  </w:footnote>
  <w:footnote w:id="48">
    <w:p w14:paraId="5B2DE961" w14:textId="0D9101B2" w:rsidR="00DC2EB3" w:rsidRPr="00D54777" w:rsidRDefault="00DC2EB3">
      <w:pPr>
        <w:spacing w:line="276" w:lineRule="auto"/>
        <w:jc w:val="both"/>
        <w:rPr>
          <w:rFonts w:asciiTheme="majorBidi" w:eastAsia="Times New Roman" w:hAnsiTheme="majorBidi" w:cstheme="majorBidi"/>
          <w:sz w:val="20"/>
          <w:szCs w:val="20"/>
          <w:lang w:val="en-US" w:eastAsia="fr-FR"/>
        </w:rPr>
      </w:pPr>
      <w:bookmarkStart w:id="171" w:name="_Hlk199631350"/>
      <w:r w:rsidRPr="00D54777">
        <w:rPr>
          <w:rStyle w:val="FootnoteReference"/>
          <w:sz w:val="20"/>
          <w:szCs w:val="20"/>
        </w:rPr>
        <w:footnoteRef/>
      </w:r>
      <w:r w:rsidRPr="00D54777">
        <w:rPr>
          <w:sz w:val="20"/>
          <w:szCs w:val="20"/>
          <w:lang w:val="en-US"/>
        </w:rPr>
        <w:t xml:space="preserve">- </w:t>
      </w:r>
      <w:r w:rsidRPr="00D54777">
        <w:rPr>
          <w:rFonts w:ascii="Times New Roman" w:eastAsia="Times New Roman" w:hAnsi="Times New Roman" w:cs="Times New Roman"/>
          <w:sz w:val="20"/>
          <w:szCs w:val="20"/>
          <w:lang w:val="en-US" w:eastAsia="fr-FR"/>
        </w:rPr>
        <w:t>Monro</w:t>
      </w:r>
      <w:r w:rsidRPr="00D54777">
        <w:rPr>
          <w:rFonts w:asciiTheme="majorBidi" w:eastAsia="Times New Roman" w:hAnsiTheme="majorBidi" w:cstheme="majorBidi"/>
          <w:sz w:val="20"/>
          <w:szCs w:val="20"/>
          <w:lang w:val="en-US" w:eastAsia="fr-FR"/>
        </w:rPr>
        <w:t xml:space="preserve">e Friedman, </w:t>
      </w:r>
      <w:r w:rsidR="00C802CC">
        <w:rPr>
          <w:rFonts w:asciiTheme="majorBidi" w:eastAsia="Times New Roman" w:hAnsiTheme="majorBidi" w:cstheme="majorBidi"/>
          <w:sz w:val="20"/>
          <w:szCs w:val="20"/>
          <w:lang w:val="en-US" w:eastAsia="fr-FR"/>
        </w:rPr>
        <w:t>op.cit</w:t>
      </w:r>
      <w:r w:rsidRPr="00D54777">
        <w:rPr>
          <w:rFonts w:asciiTheme="majorBidi" w:eastAsia="Times New Roman" w:hAnsiTheme="majorBidi" w:cstheme="majorBidi"/>
          <w:sz w:val="20"/>
          <w:szCs w:val="20"/>
          <w:lang w:val="en-US" w:eastAsia="fr-FR"/>
        </w:rPr>
        <w:t>, p 24-26.</w:t>
      </w:r>
      <w:bookmarkEnd w:id="171"/>
    </w:p>
  </w:footnote>
  <w:footnote w:id="49">
    <w:p w14:paraId="0B5F0FE0" w14:textId="77777777" w:rsidR="00DC2EB3" w:rsidRDefault="00DC2EB3">
      <w:pPr>
        <w:spacing w:line="276" w:lineRule="auto"/>
        <w:jc w:val="both"/>
        <w:rPr>
          <w:rFonts w:asciiTheme="majorBidi" w:eastAsia="Times New Roman" w:hAnsiTheme="majorBidi" w:cstheme="majorBidi"/>
          <w:lang w:val="en-US" w:eastAsia="fr-FR"/>
        </w:rPr>
      </w:pPr>
      <w:r w:rsidRPr="00D54777">
        <w:rPr>
          <w:rStyle w:val="FootnoteReference"/>
          <w:rFonts w:asciiTheme="majorBidi" w:hAnsiTheme="majorBidi" w:cstheme="majorBidi"/>
          <w:sz w:val="20"/>
          <w:szCs w:val="20"/>
        </w:rPr>
        <w:footnoteRef/>
      </w:r>
      <w:r w:rsidRPr="00D54777">
        <w:rPr>
          <w:rFonts w:asciiTheme="majorBidi" w:hAnsiTheme="majorBidi" w:cstheme="majorBidi"/>
          <w:sz w:val="20"/>
          <w:szCs w:val="20"/>
          <w:lang w:val="en-US"/>
        </w:rPr>
        <w:t xml:space="preserve"> - </w:t>
      </w:r>
      <w:r w:rsidRPr="00D54777">
        <w:rPr>
          <w:rFonts w:asciiTheme="majorBidi" w:eastAsia="Times New Roman" w:hAnsiTheme="majorBidi" w:cstheme="majorBidi"/>
          <w:sz w:val="20"/>
          <w:szCs w:val="20"/>
          <w:lang w:val="en-US" w:eastAsia="fr-FR"/>
        </w:rPr>
        <w:t>ibid, p 26-28.</w:t>
      </w:r>
    </w:p>
  </w:footnote>
  <w:footnote w:id="50">
    <w:p w14:paraId="58F0AB7D" w14:textId="77777777" w:rsidR="00DC2EB3" w:rsidRPr="00985712" w:rsidRDefault="00DC2EB3">
      <w:pPr>
        <w:spacing w:line="276" w:lineRule="auto"/>
        <w:jc w:val="both"/>
        <w:rPr>
          <w:rFonts w:asciiTheme="majorBidi" w:eastAsia="Times New Roman" w:hAnsiTheme="majorBidi" w:cstheme="majorBidi"/>
          <w:sz w:val="20"/>
          <w:szCs w:val="20"/>
          <w:lang w:val="en-US" w:eastAsia="fr-FR"/>
        </w:rPr>
      </w:pPr>
      <w:r w:rsidRPr="00985712">
        <w:rPr>
          <w:rStyle w:val="FootnoteReference"/>
          <w:rFonts w:asciiTheme="majorBidi" w:hAnsiTheme="majorBidi" w:cstheme="majorBidi"/>
          <w:sz w:val="20"/>
          <w:szCs w:val="20"/>
        </w:rPr>
        <w:footnoteRef/>
      </w:r>
      <w:r w:rsidRPr="00985712">
        <w:rPr>
          <w:rFonts w:asciiTheme="majorBidi" w:hAnsiTheme="majorBidi" w:cstheme="majorBidi"/>
          <w:sz w:val="20"/>
          <w:szCs w:val="20"/>
          <w:lang w:val="en-US"/>
        </w:rPr>
        <w:t xml:space="preserve"> - </w:t>
      </w:r>
      <w:r w:rsidRPr="00985712">
        <w:rPr>
          <w:rFonts w:asciiTheme="majorBidi" w:eastAsia="Times New Roman" w:hAnsiTheme="majorBidi" w:cstheme="majorBidi"/>
          <w:sz w:val="20"/>
          <w:szCs w:val="20"/>
          <w:lang w:val="en-US" w:eastAsia="fr-FR"/>
        </w:rPr>
        <w:t>Areeg Barakat, Faten Moussa, op.cit, p 35.</w:t>
      </w:r>
    </w:p>
  </w:footnote>
  <w:footnote w:id="51">
    <w:p w14:paraId="23EFAD35" w14:textId="77777777" w:rsidR="00DC2EB3" w:rsidRPr="00985712" w:rsidRDefault="00DC2EB3">
      <w:pPr>
        <w:spacing w:line="276" w:lineRule="auto"/>
        <w:jc w:val="both"/>
        <w:rPr>
          <w:rFonts w:asciiTheme="majorBidi" w:eastAsia="Times New Roman" w:hAnsiTheme="majorBidi" w:cstheme="majorBidi"/>
          <w:sz w:val="20"/>
          <w:szCs w:val="20"/>
          <w:lang w:val="en-US" w:eastAsia="fr-FR"/>
        </w:rPr>
      </w:pPr>
      <w:r w:rsidRPr="00985712">
        <w:rPr>
          <w:rStyle w:val="FootnoteReference"/>
          <w:rFonts w:asciiTheme="majorBidi" w:hAnsiTheme="majorBidi" w:cstheme="majorBidi"/>
          <w:sz w:val="20"/>
          <w:szCs w:val="20"/>
        </w:rPr>
        <w:footnoteRef/>
      </w:r>
      <w:r w:rsidRPr="00985712">
        <w:rPr>
          <w:rFonts w:asciiTheme="majorBidi" w:hAnsiTheme="majorBidi" w:cstheme="majorBidi"/>
          <w:sz w:val="20"/>
          <w:szCs w:val="20"/>
          <w:lang w:val="en-US"/>
        </w:rPr>
        <w:t xml:space="preserve"> - </w:t>
      </w:r>
      <w:r w:rsidRPr="00985712">
        <w:rPr>
          <w:rFonts w:asciiTheme="majorBidi" w:eastAsia="Times New Roman" w:hAnsiTheme="majorBidi" w:cstheme="majorBidi"/>
          <w:sz w:val="20"/>
          <w:szCs w:val="20"/>
          <w:lang w:val="en-US" w:eastAsia="fr-FR"/>
        </w:rPr>
        <w:t>Monroe Friedman, op.cit, p 28-30.</w:t>
      </w:r>
    </w:p>
  </w:footnote>
  <w:footnote w:id="52">
    <w:p w14:paraId="3CD49914" w14:textId="77777777" w:rsidR="00DC2EB3" w:rsidRPr="00985712" w:rsidRDefault="00DC2EB3">
      <w:pPr>
        <w:spacing w:line="276" w:lineRule="auto"/>
        <w:jc w:val="both"/>
        <w:rPr>
          <w:rFonts w:asciiTheme="majorBidi" w:eastAsia="Times New Roman" w:hAnsiTheme="majorBidi" w:cstheme="majorBidi"/>
          <w:sz w:val="20"/>
          <w:szCs w:val="20"/>
          <w:lang w:val="en-US" w:eastAsia="fr-FR"/>
        </w:rPr>
      </w:pPr>
      <w:r w:rsidRPr="00985712">
        <w:rPr>
          <w:rStyle w:val="FootnoteReference"/>
          <w:rFonts w:asciiTheme="majorBidi" w:hAnsiTheme="majorBidi" w:cstheme="majorBidi"/>
          <w:sz w:val="20"/>
          <w:szCs w:val="20"/>
        </w:rPr>
        <w:footnoteRef/>
      </w:r>
      <w:r w:rsidRPr="00985712">
        <w:rPr>
          <w:rFonts w:asciiTheme="majorBidi" w:hAnsiTheme="majorBidi" w:cstheme="majorBidi"/>
          <w:sz w:val="20"/>
          <w:szCs w:val="20"/>
          <w:lang w:val="en-US"/>
        </w:rPr>
        <w:t xml:space="preserve"> - </w:t>
      </w:r>
      <w:r w:rsidRPr="00985712">
        <w:rPr>
          <w:rFonts w:asciiTheme="majorBidi" w:eastAsia="Times New Roman" w:hAnsiTheme="majorBidi" w:cstheme="majorBidi"/>
          <w:sz w:val="20"/>
          <w:szCs w:val="20"/>
          <w:lang w:val="en-US" w:eastAsia="fr-FR"/>
        </w:rPr>
        <w:t>Areeg Barakat, Faten Moussa, op.cit, p 36.</w:t>
      </w:r>
    </w:p>
  </w:footnote>
  <w:footnote w:id="53">
    <w:p w14:paraId="43017167" w14:textId="77777777" w:rsidR="00DC2EB3" w:rsidRDefault="00DC2EB3">
      <w:pPr>
        <w:spacing w:line="276" w:lineRule="auto"/>
        <w:jc w:val="both"/>
        <w:rPr>
          <w:rFonts w:asciiTheme="majorBidi" w:eastAsia="Times New Roman" w:hAnsiTheme="majorBidi" w:cstheme="majorBidi"/>
          <w:highlight w:val="yellow"/>
          <w:lang w:val="en-US" w:eastAsia="fr-FR"/>
        </w:rPr>
      </w:pPr>
      <w:r w:rsidRPr="00985712">
        <w:rPr>
          <w:rStyle w:val="FootnoteReference"/>
          <w:rFonts w:asciiTheme="majorBidi" w:hAnsiTheme="majorBidi" w:cstheme="majorBidi"/>
          <w:sz w:val="20"/>
          <w:szCs w:val="20"/>
        </w:rPr>
        <w:footnoteRef/>
      </w:r>
      <w:r w:rsidRPr="00985712">
        <w:rPr>
          <w:rFonts w:asciiTheme="majorBidi" w:hAnsiTheme="majorBidi" w:cstheme="majorBidi"/>
          <w:sz w:val="20"/>
          <w:szCs w:val="20"/>
          <w:lang w:val="en-US"/>
        </w:rPr>
        <w:t xml:space="preserve"> - </w:t>
      </w:r>
      <w:r w:rsidRPr="00985712">
        <w:rPr>
          <w:rFonts w:asciiTheme="majorBidi" w:eastAsia="Times New Roman" w:hAnsiTheme="majorBidi" w:cstheme="majorBidi"/>
          <w:sz w:val="20"/>
          <w:szCs w:val="20"/>
          <w:lang w:val="en-US" w:eastAsia="fr-FR"/>
        </w:rPr>
        <w:t>Monroe Friedman, op</w:t>
      </w:r>
      <w:r w:rsidRPr="00985712">
        <w:rPr>
          <w:rFonts w:asciiTheme="majorBidi" w:hAnsiTheme="majorBidi" w:cstheme="majorBidi"/>
          <w:sz w:val="20"/>
          <w:szCs w:val="20"/>
          <w:lang w:val="en-GB"/>
        </w:rPr>
        <w:t>.cit</w:t>
      </w:r>
      <w:r w:rsidRPr="00985712">
        <w:rPr>
          <w:rFonts w:asciiTheme="majorBidi" w:eastAsia="Times New Roman" w:hAnsiTheme="majorBidi" w:cstheme="majorBidi"/>
          <w:sz w:val="20"/>
          <w:szCs w:val="20"/>
          <w:lang w:val="en-US" w:eastAsia="fr-FR"/>
        </w:rPr>
        <w:t>, p 30-31.</w:t>
      </w:r>
    </w:p>
  </w:footnote>
  <w:footnote w:id="54">
    <w:p w14:paraId="29684DCB" w14:textId="77777777" w:rsidR="00DC2EB3" w:rsidRDefault="00DC2EB3">
      <w:pPr>
        <w:spacing w:line="276" w:lineRule="auto"/>
        <w:jc w:val="both"/>
        <w:rPr>
          <w:rFonts w:ascii="Times New Roman" w:eastAsia="Times New Roman" w:hAnsi="Times New Roman" w:cs="Times New Roman"/>
          <w:lang w:val="en-US" w:eastAsia="fr-FR"/>
        </w:rPr>
      </w:pPr>
      <w:r w:rsidRPr="002E27F5">
        <w:rPr>
          <w:rStyle w:val="FootnoteReference"/>
          <w:rFonts w:asciiTheme="majorBidi" w:hAnsiTheme="majorBidi" w:cstheme="majorBidi"/>
        </w:rPr>
        <w:footnoteRef/>
      </w:r>
      <w:r w:rsidRPr="002E27F5">
        <w:rPr>
          <w:rFonts w:asciiTheme="majorBidi" w:hAnsiTheme="majorBidi" w:cstheme="majorBidi"/>
          <w:lang w:val="en-US"/>
        </w:rPr>
        <w:t xml:space="preserve"> - </w:t>
      </w:r>
      <w:r w:rsidRPr="002E27F5">
        <w:rPr>
          <w:rFonts w:asciiTheme="majorBidi" w:eastAsia="Times New Roman" w:hAnsiTheme="majorBidi" w:cstheme="majorBidi"/>
          <w:lang w:val="en-US" w:eastAsia="fr-FR"/>
        </w:rPr>
        <w:t>Areeg Barakat, Faten Moussa, op.cit, p 35-36.</w:t>
      </w:r>
    </w:p>
  </w:footnote>
  <w:footnote w:id="55">
    <w:p w14:paraId="217D2244" w14:textId="77777777" w:rsidR="00DC2EB3" w:rsidRPr="00BB5D76" w:rsidRDefault="00DC2EB3">
      <w:pPr>
        <w:spacing w:line="276" w:lineRule="auto"/>
        <w:jc w:val="both"/>
        <w:rPr>
          <w:rFonts w:ascii="Times New Roman" w:eastAsia="Times New Roman" w:hAnsi="Times New Roman" w:cs="Times New Roman"/>
          <w:sz w:val="20"/>
          <w:szCs w:val="20"/>
          <w:highlight w:val="yellow"/>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Herry Mulyono, Benediktus Rolando, “Consumer Boycott Movements: Impact on Brand Reputation and Business Performance in the Digital Age,” Multidisciplinary Reviews Vol. 8, March 26th, 2025, p 15.</w:t>
      </w:r>
    </w:p>
  </w:footnote>
  <w:footnote w:id="56">
    <w:p w14:paraId="5898430C" w14:textId="77777777" w:rsidR="00DC2EB3" w:rsidRPr="00BB5D76" w:rsidRDefault="00DC2EB3">
      <w:pPr>
        <w:spacing w:line="276" w:lineRule="auto"/>
        <w:jc w:val="both"/>
        <w:rPr>
          <w:rFonts w:ascii="Times New Roman" w:eastAsia="Times New Roman" w:hAnsi="Times New Roman" w:cs="Times New Roman"/>
          <w:sz w:val="20"/>
          <w:szCs w:val="20"/>
          <w:highlight w:val="yellow"/>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Amelia Yeza Pradhipta, Lingga Yonita, Sarah Ayu Putri Novaria, “Crisis Communication Strategy in the Face of Consumer Boycott: Exploring the Boycott Case of Israel-affiliated Companies and Brands,” Advances in Social Science, Education and Humanities Research Vol. 894, 2024, p 147.</w:t>
      </w:r>
    </w:p>
  </w:footnote>
  <w:footnote w:id="57">
    <w:p w14:paraId="645113FA" w14:textId="77777777" w:rsidR="00DC2EB3" w:rsidRPr="00BB5D76" w:rsidRDefault="00DC2EB3">
      <w:pPr>
        <w:spacing w:line="276" w:lineRule="auto"/>
        <w:jc w:val="both"/>
        <w:rPr>
          <w:rFonts w:ascii="Times New Roman" w:eastAsia="Times New Roman" w:hAnsi="Times New Roman" w:cs="Times New Roman"/>
          <w:sz w:val="20"/>
          <w:szCs w:val="20"/>
          <w:highlight w:val="yellow"/>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Herry Mulyono, Benediktus Rolando, op.cit</w:t>
      </w:r>
    </w:p>
  </w:footnote>
  <w:footnote w:id="58">
    <w:p w14:paraId="157837E3" w14:textId="747E39F6" w:rsidR="00DC2EB3" w:rsidRPr="00BB5D76" w:rsidRDefault="00DC2EB3">
      <w:pPr>
        <w:spacing w:line="276" w:lineRule="auto"/>
        <w:jc w:val="both"/>
        <w:rPr>
          <w:rFonts w:ascii="Times New Roman" w:eastAsia="Times New Roman" w:hAnsi="Times New Roman" w:cs="Times New Roman"/>
          <w:sz w:val="20"/>
          <w:szCs w:val="20"/>
          <w:highlight w:val="yellow"/>
          <w:lang w:val="en-US" w:eastAsia="fr-FR"/>
        </w:rPr>
      </w:pPr>
      <w:r w:rsidRPr="00BB5D76">
        <w:rPr>
          <w:rStyle w:val="FootnoteReference"/>
          <w:sz w:val="20"/>
          <w:szCs w:val="20"/>
        </w:rPr>
        <w:footnoteRef/>
      </w:r>
      <w:r w:rsidRPr="00BB5D76">
        <w:rPr>
          <w:sz w:val="20"/>
          <w:szCs w:val="20"/>
          <w:lang w:val="en-US"/>
        </w:rPr>
        <w:t xml:space="preserve"> - </w:t>
      </w:r>
      <w:r w:rsidR="00CE064A">
        <w:rPr>
          <w:rFonts w:ascii="Times New Roman" w:eastAsia="Times New Roman" w:hAnsi="Times New Roman" w:cs="Times New Roman"/>
          <w:sz w:val="20"/>
          <w:szCs w:val="20"/>
          <w:lang w:val="en-US" w:eastAsia="fr-FR"/>
        </w:rPr>
        <w:t>Ibid</w:t>
      </w:r>
      <w:r w:rsidRPr="00BB5D76">
        <w:rPr>
          <w:rFonts w:ascii="Times New Roman" w:eastAsia="Times New Roman" w:hAnsi="Times New Roman" w:cs="Times New Roman"/>
          <w:sz w:val="20"/>
          <w:szCs w:val="20"/>
          <w:lang w:val="en-US" w:eastAsia="fr-FR"/>
        </w:rPr>
        <w:t>, p 12.</w:t>
      </w:r>
    </w:p>
  </w:footnote>
  <w:footnote w:id="59">
    <w:p w14:paraId="4004BFAE" w14:textId="77777777" w:rsidR="00DC2EB3" w:rsidRPr="00BB5D76" w:rsidRDefault="00DC2EB3">
      <w:pPr>
        <w:spacing w:line="276" w:lineRule="auto"/>
        <w:jc w:val="both"/>
        <w:rPr>
          <w:rFonts w:ascii="Times New Roman" w:eastAsia="Times New Roman" w:hAnsi="Times New Roman" w:cs="Times New Roman"/>
          <w:sz w:val="20"/>
          <w:szCs w:val="20"/>
          <w:highlight w:val="yellow"/>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Amelia Yeza Pradhipta, Lingga Yonita, Sarah Ayu Putri Novaria, op.cit, p 142.</w:t>
      </w:r>
    </w:p>
  </w:footnote>
  <w:footnote w:id="60">
    <w:p w14:paraId="113A433E" w14:textId="77777777" w:rsidR="00DC2EB3" w:rsidRDefault="00DC2EB3">
      <w:pPr>
        <w:spacing w:line="276" w:lineRule="auto"/>
        <w:jc w:val="both"/>
        <w:rPr>
          <w:rFonts w:ascii="Times New Roman" w:eastAsia="Times New Roman" w:hAnsi="Times New Roman" w:cs="Times New Roman"/>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Herry Mulyono, Benediktus Rolando,op.cit p 15.</w:t>
      </w:r>
    </w:p>
  </w:footnote>
  <w:footnote w:id="61">
    <w:p w14:paraId="03324A83" w14:textId="77777777" w:rsidR="00DC2EB3" w:rsidRPr="00BB5D76" w:rsidRDefault="00DC2EB3">
      <w:pPr>
        <w:spacing w:line="276" w:lineRule="auto"/>
        <w:jc w:val="both"/>
        <w:rPr>
          <w:rFonts w:ascii="Times New Roman" w:eastAsia="Times New Roman" w:hAnsi="Times New Roman" w:cs="Times New Roman"/>
          <w:sz w:val="20"/>
          <w:szCs w:val="20"/>
          <w:lang w:eastAsia="fr-FR"/>
        </w:rPr>
      </w:pPr>
      <w:r w:rsidRPr="00BB5D76">
        <w:rPr>
          <w:rStyle w:val="FootnoteReference"/>
          <w:sz w:val="20"/>
          <w:szCs w:val="20"/>
        </w:rPr>
        <w:footnoteRef/>
      </w:r>
      <w:r w:rsidRPr="00BB5D76">
        <w:rPr>
          <w:sz w:val="20"/>
          <w:szCs w:val="20"/>
        </w:rPr>
        <w:t xml:space="preserve"> - </w:t>
      </w:r>
      <w:r w:rsidRPr="00BB5D76">
        <w:rPr>
          <w:rFonts w:ascii="Times New Roman" w:eastAsia="Times New Roman" w:hAnsi="Times New Roman" w:cs="Times New Roman"/>
          <w:sz w:val="20"/>
          <w:szCs w:val="20"/>
          <w:lang w:eastAsia="fr-FR"/>
        </w:rPr>
        <w:t>Kyla R. Allam et al., op.cit.</w:t>
      </w:r>
    </w:p>
  </w:footnote>
  <w:footnote w:id="62">
    <w:p w14:paraId="3B6144C7" w14:textId="77777777" w:rsidR="00DC2EB3" w:rsidRPr="00BB5D76" w:rsidRDefault="00DC2EB3">
      <w:pPr>
        <w:spacing w:line="276" w:lineRule="auto"/>
        <w:jc w:val="both"/>
        <w:rPr>
          <w:rFonts w:ascii="Times New Roman" w:eastAsia="Times New Roman" w:hAnsi="Times New Roman" w:cs="Times New Roman"/>
          <w:sz w:val="20"/>
          <w:szCs w:val="20"/>
          <w:lang w:val="en-US" w:eastAsia="fr-FR"/>
        </w:rPr>
      </w:pPr>
      <w:r w:rsidRPr="00BB5D76">
        <w:rPr>
          <w:rStyle w:val="FootnoteReference"/>
          <w:sz w:val="20"/>
          <w:szCs w:val="20"/>
        </w:rPr>
        <w:footnoteRef/>
      </w:r>
      <w:r w:rsidRPr="00BB5D76">
        <w:rPr>
          <w:sz w:val="20"/>
          <w:szCs w:val="20"/>
          <w:lang w:val="en-US"/>
        </w:rPr>
        <w:t xml:space="preserve"> - </w:t>
      </w:r>
      <w:r w:rsidRPr="00BB5D76">
        <w:rPr>
          <w:rFonts w:ascii="Times New Roman" w:eastAsia="Times New Roman" w:hAnsi="Times New Roman" w:cs="Times New Roman"/>
          <w:sz w:val="20"/>
          <w:szCs w:val="20"/>
          <w:lang w:val="en-US" w:eastAsia="fr-FR"/>
        </w:rPr>
        <w:t xml:space="preserve"> Herry Mulyono, Benediktus Rolando op.cit p 17.</w:t>
      </w:r>
    </w:p>
  </w:footnote>
  <w:footnote w:id="63">
    <w:p w14:paraId="1D986130" w14:textId="77777777" w:rsidR="00DC2EB3" w:rsidRPr="000A3430" w:rsidRDefault="00DC2EB3">
      <w:pPr>
        <w:spacing w:line="276" w:lineRule="auto"/>
        <w:jc w:val="both"/>
        <w:rPr>
          <w:rFonts w:ascii="Times New Roman" w:eastAsia="Times New Roman" w:hAnsi="Times New Roman" w:cs="Times New Roman"/>
          <w:sz w:val="24"/>
          <w:szCs w:val="24"/>
          <w:lang w:eastAsia="fr-FR"/>
        </w:rPr>
      </w:pPr>
      <w:r w:rsidRPr="00BB5D76">
        <w:rPr>
          <w:rStyle w:val="FootnoteReference"/>
          <w:sz w:val="20"/>
          <w:szCs w:val="20"/>
        </w:rPr>
        <w:footnoteRef/>
      </w:r>
      <w:r w:rsidRPr="00BB5D76">
        <w:rPr>
          <w:sz w:val="20"/>
          <w:szCs w:val="20"/>
        </w:rPr>
        <w:t xml:space="preserve"> - </w:t>
      </w:r>
      <w:r w:rsidRPr="00BB5D76">
        <w:rPr>
          <w:rFonts w:ascii="Times New Roman" w:eastAsia="Times New Roman" w:hAnsi="Times New Roman" w:cs="Times New Roman"/>
          <w:sz w:val="20"/>
          <w:szCs w:val="20"/>
          <w:lang w:eastAsia="fr-FR"/>
        </w:rPr>
        <w:t xml:space="preserve"> Kyla R. Allam et al. op.cit, p 2567.</w:t>
      </w:r>
    </w:p>
  </w:footnote>
  <w:footnote w:id="64">
    <w:p w14:paraId="4C482E9F" w14:textId="73CA2EC9" w:rsidR="0077354A" w:rsidRPr="00985712" w:rsidRDefault="0077354A" w:rsidP="00985712">
      <w:pPr>
        <w:spacing w:after="0" w:line="240" w:lineRule="auto"/>
        <w:jc w:val="both"/>
        <w:rPr>
          <w:rFonts w:asciiTheme="majorBidi" w:hAnsiTheme="majorBidi" w:cstheme="majorBidi"/>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Merriam-Webster. "Exportation." </w:t>
      </w:r>
      <w:r w:rsidR="00985712" w:rsidRPr="00985712">
        <w:rPr>
          <w:rStyle w:val="Emphasis"/>
          <w:rFonts w:asciiTheme="majorBidi" w:hAnsiTheme="majorBidi" w:cstheme="majorBidi"/>
          <w:sz w:val="20"/>
          <w:szCs w:val="20"/>
          <w:lang w:val="en-GB"/>
        </w:rPr>
        <w:t>Merriam-Webster.com Dictionary</w:t>
      </w:r>
      <w:r w:rsidR="00985712" w:rsidRPr="00985712">
        <w:rPr>
          <w:rFonts w:asciiTheme="majorBidi" w:hAnsiTheme="majorBidi" w:cstheme="majorBidi"/>
          <w:sz w:val="20"/>
          <w:szCs w:val="20"/>
          <w:lang w:val="en-GB"/>
        </w:rPr>
        <w:t xml:space="preserve">. Accessed March 24, 2025. </w:t>
      </w:r>
      <w:hyperlink r:id="rId6" w:tgtFrame="_new" w:history="1">
        <w:r w:rsidR="00985712" w:rsidRPr="00985712">
          <w:rPr>
            <w:rStyle w:val="Hyperlink"/>
            <w:rFonts w:asciiTheme="majorBidi" w:hAnsiTheme="majorBidi" w:cstheme="majorBidi"/>
            <w:sz w:val="20"/>
            <w:szCs w:val="20"/>
            <w:lang w:val="en-GB"/>
          </w:rPr>
          <w:t>https://www.merriam-webster.com/dictionary/exportation</w:t>
        </w:r>
      </w:hyperlink>
      <w:r w:rsidR="00985712" w:rsidRPr="00985712">
        <w:rPr>
          <w:rFonts w:asciiTheme="majorBidi" w:hAnsiTheme="majorBidi" w:cstheme="majorBidi"/>
          <w:sz w:val="20"/>
          <w:szCs w:val="20"/>
          <w:lang w:val="en-GB"/>
        </w:rPr>
        <w:t>.</w:t>
      </w:r>
    </w:p>
  </w:footnote>
  <w:footnote w:id="65">
    <w:p w14:paraId="6D3C34C8" w14:textId="6F5550A6" w:rsidR="0077354A" w:rsidRPr="00985712" w:rsidRDefault="0077354A" w:rsidP="00985712">
      <w:pPr>
        <w:spacing w:after="0" w:line="240" w:lineRule="auto"/>
        <w:jc w:val="both"/>
        <w:rPr>
          <w:rFonts w:asciiTheme="majorBidi" w:eastAsia="Calibri" w:hAnsiTheme="majorBidi" w:cstheme="majorBidi"/>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Cambridge University Press. "Exportation." </w:t>
      </w:r>
      <w:r w:rsidR="00985712" w:rsidRPr="00985712">
        <w:rPr>
          <w:rStyle w:val="Emphasis"/>
          <w:rFonts w:asciiTheme="majorBidi" w:hAnsiTheme="majorBidi" w:cstheme="majorBidi"/>
          <w:sz w:val="20"/>
          <w:szCs w:val="20"/>
          <w:lang w:val="en-GB"/>
        </w:rPr>
        <w:t>Cambridge Dictionary</w:t>
      </w:r>
      <w:r w:rsidR="00985712" w:rsidRPr="00985712">
        <w:rPr>
          <w:rFonts w:asciiTheme="majorBidi" w:hAnsiTheme="majorBidi" w:cstheme="majorBidi"/>
          <w:sz w:val="20"/>
          <w:szCs w:val="20"/>
          <w:lang w:val="en-GB"/>
        </w:rPr>
        <w:t xml:space="preserve">. Accessed March 24, 2025. </w:t>
      </w:r>
      <w:hyperlink r:id="rId7" w:tgtFrame="_new" w:history="1">
        <w:r w:rsidR="00985712" w:rsidRPr="00985712">
          <w:rPr>
            <w:rStyle w:val="Hyperlink"/>
            <w:rFonts w:asciiTheme="majorBidi" w:hAnsiTheme="majorBidi" w:cstheme="majorBidi"/>
            <w:sz w:val="20"/>
            <w:szCs w:val="20"/>
            <w:lang w:val="en-GB"/>
          </w:rPr>
          <w:t>https://dictionary.cambridge.org/dictionary/english/exportation</w:t>
        </w:r>
      </w:hyperlink>
      <w:r w:rsidR="00985712" w:rsidRPr="00985712">
        <w:rPr>
          <w:rFonts w:asciiTheme="majorBidi" w:hAnsiTheme="majorBidi" w:cstheme="majorBidi"/>
          <w:sz w:val="20"/>
          <w:szCs w:val="20"/>
          <w:lang w:val="en-GB"/>
        </w:rPr>
        <w:t>.</w:t>
      </w:r>
    </w:p>
  </w:footnote>
  <w:footnote w:id="66">
    <w:p w14:paraId="39C1D91D" w14:textId="7FF389FD" w:rsidR="0077354A" w:rsidRPr="00985712" w:rsidRDefault="0077354A" w:rsidP="00041B0D">
      <w:pPr>
        <w:spacing w:after="0" w:line="240" w:lineRule="auto"/>
        <w:jc w:val="both"/>
        <w:rPr>
          <w:rStyle w:val="16"/>
          <w:rFonts w:asciiTheme="majorBidi" w:eastAsia="Calibri" w:hAnsiTheme="majorBidi" w:cstheme="majorBidi"/>
          <w:b w:val="0"/>
          <w:bCs w:val="0"/>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Oxford University Press. "Exportation." </w:t>
      </w:r>
      <w:r w:rsidR="00985712" w:rsidRPr="00985712">
        <w:rPr>
          <w:rStyle w:val="Emphasis"/>
          <w:rFonts w:asciiTheme="majorBidi" w:hAnsiTheme="majorBidi" w:cstheme="majorBidi"/>
          <w:sz w:val="20"/>
          <w:szCs w:val="20"/>
          <w:lang w:val="en-GB"/>
        </w:rPr>
        <w:t>Oxford Learner’s Dictionaries</w:t>
      </w:r>
      <w:r w:rsidR="00985712" w:rsidRPr="00985712">
        <w:rPr>
          <w:rFonts w:asciiTheme="majorBidi" w:hAnsiTheme="majorBidi" w:cstheme="majorBidi"/>
          <w:sz w:val="20"/>
          <w:szCs w:val="20"/>
          <w:lang w:val="en-GB"/>
        </w:rPr>
        <w:t xml:space="preserve">. Accessed March 24, 2025. </w:t>
      </w:r>
      <w:hyperlink r:id="rId8" w:tgtFrame="_new" w:history="1">
        <w:r w:rsidR="00985712" w:rsidRPr="002E5550">
          <w:rPr>
            <w:rStyle w:val="Hyperlink"/>
            <w:rFonts w:asciiTheme="majorBidi" w:hAnsiTheme="majorBidi" w:cstheme="majorBidi"/>
            <w:sz w:val="20"/>
            <w:szCs w:val="20"/>
            <w:lang w:val="en-US"/>
          </w:rPr>
          <w:t>https://www.oxfordlearnersdictionaries.com/definition/english/exportation</w:t>
        </w:r>
      </w:hyperlink>
      <w:r w:rsidR="00985712" w:rsidRPr="002E5550">
        <w:rPr>
          <w:rFonts w:asciiTheme="majorBidi" w:hAnsiTheme="majorBidi" w:cstheme="majorBidi"/>
          <w:sz w:val="20"/>
          <w:szCs w:val="20"/>
          <w:lang w:val="en-US"/>
        </w:rPr>
        <w:t>.</w:t>
      </w:r>
    </w:p>
    <w:p w14:paraId="5CB2FC22" w14:textId="77777777" w:rsidR="0077354A" w:rsidRDefault="0077354A" w:rsidP="003F0D54">
      <w:pPr>
        <w:pStyle w:val="FootnoteText"/>
        <w:jc w:val="both"/>
        <w:rPr>
          <w:rFonts w:asciiTheme="majorBidi" w:hAnsiTheme="majorBidi" w:cstheme="majorBidi"/>
          <w:color w:val="000000" w:themeColor="text1"/>
          <w:lang w:val="en-GB"/>
        </w:rPr>
      </w:pPr>
    </w:p>
    <w:p w14:paraId="2BF80AF1" w14:textId="77777777" w:rsidR="00985712" w:rsidRDefault="00985712" w:rsidP="003F0D54">
      <w:pPr>
        <w:pStyle w:val="FootnoteText"/>
        <w:jc w:val="both"/>
        <w:rPr>
          <w:rFonts w:asciiTheme="majorBidi" w:hAnsiTheme="majorBidi" w:cstheme="majorBidi"/>
          <w:color w:val="000000" w:themeColor="text1"/>
          <w:lang w:val="en-GB"/>
        </w:rPr>
      </w:pPr>
    </w:p>
  </w:footnote>
  <w:footnote w:id="67">
    <w:p w14:paraId="0E352BA7" w14:textId="078F6F85" w:rsidR="0077354A" w:rsidRPr="00985712" w:rsidRDefault="0077354A" w:rsidP="00985712">
      <w:pPr>
        <w:spacing w:after="0" w:line="240" w:lineRule="auto"/>
        <w:jc w:val="both"/>
        <w:rPr>
          <w:rFonts w:asciiTheme="majorBidi" w:eastAsia="Calibri" w:hAnsiTheme="majorBidi" w:cstheme="majorBidi"/>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00985712" w:rsidRPr="00985712">
        <w:rPr>
          <w:rFonts w:asciiTheme="majorBidi" w:hAnsiTheme="majorBidi" w:cstheme="majorBidi"/>
          <w:sz w:val="20"/>
          <w:szCs w:val="20"/>
          <w:lang w:val="en-GB"/>
        </w:rPr>
        <w:t xml:space="preserve">HarperCollins Publishers. "Exportation." </w:t>
      </w:r>
      <w:r w:rsidR="00985712" w:rsidRPr="00985712">
        <w:rPr>
          <w:rStyle w:val="Emphasis"/>
          <w:rFonts w:asciiTheme="majorBidi" w:hAnsiTheme="majorBidi" w:cstheme="majorBidi"/>
          <w:sz w:val="20"/>
          <w:szCs w:val="20"/>
          <w:lang w:val="en-GB"/>
        </w:rPr>
        <w:t>Collins English Dictionary</w:t>
      </w:r>
      <w:r w:rsidR="00985712" w:rsidRPr="00985712">
        <w:rPr>
          <w:rFonts w:asciiTheme="majorBidi" w:hAnsiTheme="majorBidi" w:cstheme="majorBidi"/>
          <w:sz w:val="20"/>
          <w:szCs w:val="20"/>
          <w:lang w:val="en-GB"/>
        </w:rPr>
        <w:t xml:space="preserve">. Accessed March 24, 2025. </w:t>
      </w:r>
      <w:hyperlink r:id="rId9" w:tgtFrame="_new" w:history="1">
        <w:r w:rsidR="00985712" w:rsidRPr="00985712">
          <w:rPr>
            <w:rStyle w:val="Hyperlink"/>
            <w:rFonts w:asciiTheme="majorBidi" w:hAnsiTheme="majorBidi" w:cstheme="majorBidi"/>
            <w:sz w:val="20"/>
            <w:szCs w:val="20"/>
            <w:lang w:val="en-GB"/>
          </w:rPr>
          <w:t>https://www.collinsdictionary.com/dictionary/english/exportation</w:t>
        </w:r>
      </w:hyperlink>
      <w:r w:rsidR="00985712" w:rsidRPr="00985712">
        <w:rPr>
          <w:rFonts w:asciiTheme="majorBidi" w:hAnsiTheme="majorBidi" w:cstheme="majorBidi"/>
          <w:sz w:val="20"/>
          <w:szCs w:val="20"/>
          <w:lang w:val="en-GB"/>
        </w:rPr>
        <w:t>.</w:t>
      </w:r>
    </w:p>
  </w:footnote>
  <w:footnote w:id="68">
    <w:p w14:paraId="1036C2BA" w14:textId="67B0E008" w:rsidR="0077354A" w:rsidRPr="00985712" w:rsidRDefault="0077354A" w:rsidP="00985712">
      <w:pPr>
        <w:spacing w:after="0" w:line="240" w:lineRule="auto"/>
        <w:jc w:val="both"/>
        <w:rPr>
          <w:rFonts w:asciiTheme="majorBidi" w:eastAsia="Calibri" w:hAnsiTheme="majorBidi" w:cstheme="majorBidi"/>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00985712" w:rsidRPr="00985712">
        <w:rPr>
          <w:rFonts w:asciiTheme="majorBidi" w:hAnsiTheme="majorBidi" w:cstheme="majorBidi"/>
          <w:sz w:val="20"/>
          <w:szCs w:val="20"/>
          <w:lang w:val="en-GB"/>
        </w:rPr>
        <w:t xml:space="preserve">Dictionary.com, LLC. "Exportation." </w:t>
      </w:r>
      <w:r w:rsidR="00985712" w:rsidRPr="00985712">
        <w:rPr>
          <w:rStyle w:val="Emphasis"/>
          <w:rFonts w:asciiTheme="majorBidi" w:hAnsiTheme="majorBidi" w:cstheme="majorBidi"/>
          <w:sz w:val="20"/>
          <w:szCs w:val="20"/>
          <w:lang w:val="en-GB"/>
        </w:rPr>
        <w:t>Dictionary.com</w:t>
      </w:r>
      <w:r w:rsidR="00985712" w:rsidRPr="00985712">
        <w:rPr>
          <w:rFonts w:asciiTheme="majorBidi" w:hAnsiTheme="majorBidi" w:cstheme="majorBidi"/>
          <w:sz w:val="20"/>
          <w:szCs w:val="20"/>
          <w:lang w:val="en-GB"/>
        </w:rPr>
        <w:t xml:space="preserve">. Accessed March 24, 2025. </w:t>
      </w:r>
      <w:hyperlink r:id="rId10" w:tgtFrame="_new" w:history="1">
        <w:r w:rsidR="00985712" w:rsidRPr="00985712">
          <w:rPr>
            <w:rStyle w:val="Hyperlink"/>
            <w:rFonts w:asciiTheme="majorBidi" w:hAnsiTheme="majorBidi" w:cstheme="majorBidi"/>
            <w:sz w:val="20"/>
            <w:szCs w:val="20"/>
            <w:lang w:val="en-GB"/>
          </w:rPr>
          <w:t>https://www.dictionary.com/browse/exportation</w:t>
        </w:r>
      </w:hyperlink>
      <w:r w:rsidR="00985712" w:rsidRPr="00985712">
        <w:rPr>
          <w:rFonts w:asciiTheme="majorBidi" w:hAnsiTheme="majorBidi" w:cstheme="majorBidi"/>
          <w:sz w:val="20"/>
          <w:szCs w:val="20"/>
          <w:lang w:val="en-GB"/>
        </w:rPr>
        <w:t>.</w:t>
      </w:r>
    </w:p>
  </w:footnote>
  <w:footnote w:id="69">
    <w:p w14:paraId="66042973" w14:textId="544EA230" w:rsidR="0077354A" w:rsidRPr="00985712" w:rsidRDefault="0077354A" w:rsidP="00985712">
      <w:pPr>
        <w:spacing w:after="0" w:line="240" w:lineRule="auto"/>
        <w:jc w:val="both"/>
        <w:rPr>
          <w:rFonts w:asciiTheme="majorBidi" w:eastAsia="Calibri" w:hAnsiTheme="majorBidi" w:cstheme="majorBidi"/>
          <w:color w:val="000000" w:themeColor="text1"/>
          <w:sz w:val="20"/>
          <w:szCs w:val="20"/>
          <w:lang w:val="en-GB"/>
        </w:rPr>
      </w:pPr>
      <w:r w:rsidRPr="00985712">
        <w:rPr>
          <w:rStyle w:val="FootnoteReference"/>
          <w:rFonts w:asciiTheme="majorBidi" w:hAnsiTheme="majorBidi" w:cstheme="majorBidi"/>
          <w:color w:val="000000" w:themeColor="text1"/>
          <w:sz w:val="20"/>
          <w:szCs w:val="20"/>
        </w:rPr>
        <w:footnoteRef/>
      </w:r>
      <w:r w:rsidR="00985712" w:rsidRPr="00985712">
        <w:rPr>
          <w:rFonts w:asciiTheme="majorBidi" w:hAnsiTheme="majorBidi" w:cstheme="majorBidi"/>
          <w:sz w:val="20"/>
          <w:szCs w:val="20"/>
          <w:lang w:val="en-GB"/>
        </w:rPr>
        <w:t xml:space="preserve">Investopedia. "Export." 2024. Accessed February 16, 2025. </w:t>
      </w:r>
      <w:hyperlink r:id="rId11" w:tgtFrame="_new" w:history="1">
        <w:r w:rsidR="00985712" w:rsidRPr="00985712">
          <w:rPr>
            <w:rStyle w:val="Hyperlink"/>
            <w:rFonts w:asciiTheme="majorBidi" w:hAnsiTheme="majorBidi" w:cstheme="majorBidi"/>
            <w:sz w:val="20"/>
            <w:szCs w:val="20"/>
            <w:lang w:val="en-GB"/>
          </w:rPr>
          <w:t>https://www.investopedia.com/terms/e/export.asp</w:t>
        </w:r>
      </w:hyperlink>
      <w:r w:rsidR="00985712" w:rsidRPr="00985712">
        <w:rPr>
          <w:rFonts w:asciiTheme="majorBidi" w:hAnsiTheme="majorBidi" w:cstheme="majorBidi"/>
          <w:sz w:val="20"/>
          <w:szCs w:val="20"/>
          <w:lang w:val="en-GB"/>
        </w:rPr>
        <w:t>.</w:t>
      </w:r>
    </w:p>
  </w:footnote>
  <w:footnote w:id="70">
    <w:p w14:paraId="64D97619" w14:textId="77777777" w:rsidR="00985712" w:rsidRPr="00985712" w:rsidRDefault="0077354A" w:rsidP="00985712">
      <w:pPr>
        <w:spacing w:after="0" w:line="240" w:lineRule="auto"/>
        <w:jc w:val="both"/>
        <w:rPr>
          <w:rFonts w:asciiTheme="majorBidi" w:hAnsiTheme="majorBidi" w:cstheme="majorBidi"/>
          <w:sz w:val="20"/>
          <w:szCs w:val="20"/>
          <w:lang w:val="en-GB"/>
        </w:rPr>
      </w:pPr>
      <w:r w:rsidRPr="00985712">
        <w:rPr>
          <w:rStyle w:val="FootnoteReference"/>
          <w:rFonts w:asciiTheme="majorBidi" w:hAnsiTheme="majorBidi" w:cstheme="majorBidi"/>
          <w:color w:val="000000" w:themeColor="text1"/>
          <w:sz w:val="20"/>
          <w:szCs w:val="20"/>
        </w:rPr>
        <w:footnoteRef/>
      </w:r>
      <w:r w:rsidRPr="00985712">
        <w:rPr>
          <w:rFonts w:asciiTheme="majorBidi" w:hAnsiTheme="majorBidi" w:cstheme="majorBidi"/>
          <w:color w:val="000000" w:themeColor="text1"/>
          <w:sz w:val="20"/>
          <w:szCs w:val="20"/>
          <w:lang w:val="en-GB"/>
        </w:rPr>
        <w:t xml:space="preserve"> </w:t>
      </w:r>
      <w:r w:rsidR="00985712" w:rsidRPr="00985712">
        <w:rPr>
          <w:rFonts w:asciiTheme="majorBidi" w:hAnsiTheme="majorBidi" w:cstheme="majorBidi"/>
          <w:sz w:val="20"/>
          <w:szCs w:val="20"/>
          <w:lang w:val="en-GB"/>
        </w:rPr>
        <w:t xml:space="preserve">World Bank. 2025. "Exports of Goods and Services (Current US$) [Data set]." </w:t>
      </w:r>
      <w:r w:rsidR="00985712" w:rsidRPr="00985712">
        <w:rPr>
          <w:rStyle w:val="Emphasis"/>
          <w:rFonts w:asciiTheme="majorBidi" w:hAnsiTheme="majorBidi" w:cstheme="majorBidi"/>
          <w:sz w:val="20"/>
          <w:szCs w:val="20"/>
          <w:lang w:val="en-GB"/>
        </w:rPr>
        <w:t>World Development Indicators</w:t>
      </w:r>
      <w:r w:rsidR="00985712" w:rsidRPr="00985712">
        <w:rPr>
          <w:rFonts w:asciiTheme="majorBidi" w:hAnsiTheme="majorBidi" w:cstheme="majorBidi"/>
          <w:sz w:val="20"/>
          <w:szCs w:val="20"/>
          <w:lang w:val="en-GB"/>
        </w:rPr>
        <w:t xml:space="preserve">. Accessed April 15, 2025, 14:33. </w:t>
      </w:r>
    </w:p>
    <w:p w14:paraId="48B715D1" w14:textId="7119895F" w:rsidR="0077354A" w:rsidRPr="00985712" w:rsidRDefault="00744B88" w:rsidP="00985712">
      <w:pPr>
        <w:spacing w:after="0" w:line="240" w:lineRule="auto"/>
        <w:jc w:val="both"/>
        <w:rPr>
          <w:rFonts w:asciiTheme="majorBidi" w:hAnsiTheme="majorBidi" w:cstheme="majorBidi"/>
          <w:color w:val="000000" w:themeColor="text1"/>
          <w:sz w:val="20"/>
          <w:szCs w:val="20"/>
          <w:lang w:val="en-GB"/>
        </w:rPr>
      </w:pPr>
      <w:hyperlink r:id="rId12" w:history="1">
        <w:r w:rsidR="00985712" w:rsidRPr="00985712">
          <w:rPr>
            <w:rStyle w:val="Hyperlink"/>
            <w:rFonts w:asciiTheme="majorBidi" w:hAnsiTheme="majorBidi" w:cstheme="majorBidi"/>
            <w:sz w:val="20"/>
            <w:szCs w:val="20"/>
            <w:lang w:val="en-GB"/>
          </w:rPr>
          <w:t>https://data.worldbank.org/indicator/NE.EXP.GNFS.CD?end=2023&amp;most_recent_value_desc=true&amp;start=1960&amp;view=chart</w:t>
        </w:r>
      </w:hyperlink>
      <w:r w:rsidR="00985712" w:rsidRPr="00985712">
        <w:rPr>
          <w:rFonts w:asciiTheme="majorBidi" w:hAnsiTheme="majorBidi" w:cstheme="majorBidi"/>
          <w:sz w:val="20"/>
          <w:szCs w:val="20"/>
          <w:lang w:val="en-GB"/>
        </w:rPr>
        <w:t>.</w:t>
      </w:r>
    </w:p>
    <w:p w14:paraId="32CCC220" w14:textId="77777777" w:rsidR="0077354A" w:rsidRDefault="0077354A" w:rsidP="003F0D54">
      <w:pPr>
        <w:pStyle w:val="FootnoteText"/>
        <w:jc w:val="both"/>
        <w:rPr>
          <w:lang w:val="en-GB"/>
        </w:rPr>
      </w:pPr>
    </w:p>
  </w:footnote>
  <w:footnote w:id="71">
    <w:p w14:paraId="5AFB4A4A" w14:textId="2B9462AB" w:rsidR="0077354A" w:rsidRPr="004D261D" w:rsidRDefault="0077354A" w:rsidP="004D261D">
      <w:pPr>
        <w:spacing w:line="240" w:lineRule="auto"/>
        <w:jc w:val="both"/>
        <w:rPr>
          <w:rFonts w:asciiTheme="majorBidi" w:hAnsiTheme="majorBidi" w:cstheme="majorBidi"/>
          <w:color w:val="000000" w:themeColor="text1"/>
          <w:sz w:val="20"/>
          <w:szCs w:val="20"/>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Krugman, Paul R., and Maurice Obstfeld. </w:t>
      </w:r>
      <w:r w:rsidR="004D261D" w:rsidRPr="004D261D">
        <w:rPr>
          <w:rStyle w:val="Emphasis"/>
          <w:rFonts w:asciiTheme="majorBidi" w:hAnsiTheme="majorBidi" w:cstheme="majorBidi"/>
          <w:sz w:val="20"/>
          <w:szCs w:val="20"/>
          <w:lang w:val="en-GB"/>
        </w:rPr>
        <w:t>International Economics: Theory and Policy</w:t>
      </w:r>
      <w:r w:rsidR="004D261D" w:rsidRPr="004D261D">
        <w:rPr>
          <w:rFonts w:asciiTheme="majorBidi" w:hAnsiTheme="majorBidi" w:cstheme="majorBidi"/>
          <w:sz w:val="20"/>
          <w:szCs w:val="20"/>
          <w:lang w:val="en-GB"/>
        </w:rPr>
        <w:t>. 11th ed. Boston: Pearson, 2018, p42.</w:t>
      </w:r>
    </w:p>
  </w:footnote>
  <w:footnote w:id="72">
    <w:p w14:paraId="2D35C030" w14:textId="769A0CEA" w:rsidR="0077354A" w:rsidRPr="004D261D" w:rsidRDefault="0077354A" w:rsidP="004D261D">
      <w:pPr>
        <w:spacing w:line="240" w:lineRule="auto"/>
        <w:jc w:val="both"/>
        <w:rPr>
          <w:rFonts w:asciiTheme="majorBidi" w:eastAsia="Calibri" w:hAnsiTheme="majorBidi" w:cstheme="majorBidi"/>
          <w:color w:val="000000" w:themeColor="text1"/>
          <w:sz w:val="20"/>
          <w:szCs w:val="20"/>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World Bank. "International Trade Glossary." </w:t>
      </w:r>
      <w:r w:rsidR="004D261D" w:rsidRPr="004D261D">
        <w:rPr>
          <w:rStyle w:val="Emphasis"/>
          <w:rFonts w:asciiTheme="majorBidi" w:hAnsiTheme="majorBidi" w:cstheme="majorBidi"/>
          <w:sz w:val="20"/>
          <w:szCs w:val="20"/>
          <w:lang w:val="en-GB"/>
        </w:rPr>
        <w:t>World Bank Data Topics</w:t>
      </w:r>
      <w:r w:rsidR="004D261D" w:rsidRPr="004D261D">
        <w:rPr>
          <w:rFonts w:asciiTheme="majorBidi" w:hAnsiTheme="majorBidi" w:cstheme="majorBidi"/>
          <w:sz w:val="20"/>
          <w:szCs w:val="20"/>
          <w:lang w:val="en-GB"/>
        </w:rPr>
        <w:t xml:space="preserve">. Accessed March 21, 2025. </w:t>
      </w:r>
      <w:hyperlink r:id="rId13" w:tgtFrame="_new" w:history="1">
        <w:r w:rsidR="004D261D" w:rsidRPr="002E5550">
          <w:rPr>
            <w:rStyle w:val="Hyperlink"/>
            <w:rFonts w:asciiTheme="majorBidi" w:hAnsiTheme="majorBidi" w:cstheme="majorBidi"/>
            <w:sz w:val="20"/>
            <w:szCs w:val="20"/>
            <w:lang w:val="en-US"/>
          </w:rPr>
          <w:t>https://datatopics.worldbank.org</w:t>
        </w:r>
      </w:hyperlink>
      <w:r w:rsidR="004D261D" w:rsidRPr="002E5550">
        <w:rPr>
          <w:rFonts w:asciiTheme="majorBidi" w:hAnsiTheme="majorBidi" w:cstheme="majorBidi"/>
          <w:sz w:val="20"/>
          <w:szCs w:val="20"/>
          <w:lang w:val="en-US"/>
        </w:rPr>
        <w:t>.</w:t>
      </w:r>
    </w:p>
  </w:footnote>
  <w:footnote w:id="73">
    <w:p w14:paraId="57D5C165" w14:textId="53BDB6C4" w:rsidR="0077354A" w:rsidRPr="004D261D" w:rsidRDefault="0077354A" w:rsidP="00BB5D76">
      <w:pPr>
        <w:spacing w:line="240" w:lineRule="auto"/>
        <w:jc w:val="both"/>
        <w:rPr>
          <w:rFonts w:asciiTheme="majorBidi" w:eastAsia="Calibri" w:hAnsiTheme="majorBidi" w:cstheme="majorBidi"/>
          <w:color w:val="000000" w:themeColor="text1"/>
          <w:sz w:val="20"/>
          <w:szCs w:val="20"/>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International Monetary Fund. </w:t>
      </w:r>
      <w:r w:rsidR="004D261D" w:rsidRPr="004D261D">
        <w:rPr>
          <w:rStyle w:val="Emphasis"/>
          <w:rFonts w:asciiTheme="majorBidi" w:hAnsiTheme="majorBidi" w:cstheme="majorBidi"/>
          <w:sz w:val="20"/>
          <w:szCs w:val="20"/>
          <w:lang w:val="en-GB"/>
        </w:rPr>
        <w:t>Balance of Payments Manual</w:t>
      </w:r>
      <w:r w:rsidR="004D261D" w:rsidRPr="004D261D">
        <w:rPr>
          <w:rFonts w:asciiTheme="majorBidi" w:hAnsiTheme="majorBidi" w:cstheme="majorBidi"/>
          <w:sz w:val="20"/>
          <w:szCs w:val="20"/>
          <w:lang w:val="en-GB"/>
        </w:rPr>
        <w:t>. 6th ed. Washington, DC: IMF, 2009.</w:t>
      </w:r>
    </w:p>
  </w:footnote>
  <w:footnote w:id="74">
    <w:p w14:paraId="65386EB6" w14:textId="650324CD" w:rsidR="0077354A" w:rsidRPr="004D261D" w:rsidRDefault="0077354A" w:rsidP="00BB5D76">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sz w:val="20"/>
          <w:szCs w:val="20"/>
        </w:rPr>
        <w:footnoteRef/>
      </w:r>
      <w:r w:rsidRPr="004D261D">
        <w:rPr>
          <w:rFonts w:asciiTheme="majorBidi" w:hAnsiTheme="majorBidi" w:cstheme="majorBidi"/>
          <w:sz w:val="20"/>
          <w:szCs w:val="20"/>
          <w:lang w:val="en-GB"/>
        </w:rPr>
        <w:t xml:space="preserve"> </w:t>
      </w:r>
      <w:r w:rsidR="004D261D" w:rsidRPr="004D261D">
        <w:rPr>
          <w:rFonts w:asciiTheme="majorBidi" w:hAnsiTheme="majorBidi" w:cstheme="majorBidi"/>
          <w:sz w:val="20"/>
          <w:szCs w:val="20"/>
          <w:lang w:val="en-GB"/>
        </w:rPr>
        <w:t xml:space="preserve">U.S. Department of Commerce. "Why Export?" 2024. Accessed February 16, 2025. </w:t>
      </w:r>
      <w:hyperlink r:id="rId14" w:tgtFrame="_new" w:history="1">
        <w:r w:rsidR="004D261D" w:rsidRPr="004D261D">
          <w:rPr>
            <w:rStyle w:val="Hyperlink"/>
            <w:rFonts w:asciiTheme="majorBidi" w:hAnsiTheme="majorBidi" w:cstheme="majorBidi"/>
            <w:sz w:val="20"/>
            <w:szCs w:val="20"/>
            <w:lang w:val="en-GB"/>
          </w:rPr>
          <w:t>https://www.trade.gov/why-export</w:t>
        </w:r>
      </w:hyperlink>
      <w:r w:rsidR="004D261D" w:rsidRPr="004D261D">
        <w:rPr>
          <w:rFonts w:asciiTheme="majorBidi" w:hAnsiTheme="majorBidi" w:cstheme="majorBidi"/>
          <w:sz w:val="20"/>
          <w:szCs w:val="20"/>
          <w:lang w:val="en-GB"/>
        </w:rPr>
        <w:t>.</w:t>
      </w:r>
    </w:p>
  </w:footnote>
  <w:footnote w:id="75">
    <w:p w14:paraId="25332387" w14:textId="4D6A97FD" w:rsidR="0077354A" w:rsidRPr="004D261D" w:rsidRDefault="0077354A" w:rsidP="004D261D">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sz w:val="20"/>
          <w:szCs w:val="20"/>
        </w:rPr>
        <w:footnoteRef/>
      </w:r>
      <w:r w:rsidRPr="004D261D">
        <w:rPr>
          <w:rFonts w:asciiTheme="majorBidi" w:hAnsiTheme="majorBidi" w:cstheme="majorBidi"/>
          <w:sz w:val="20"/>
          <w:szCs w:val="20"/>
          <w:lang w:val="en-GB"/>
        </w:rPr>
        <w:t xml:space="preserve"> </w:t>
      </w:r>
      <w:r w:rsidR="004D261D" w:rsidRPr="004D261D">
        <w:rPr>
          <w:rFonts w:asciiTheme="majorBidi" w:hAnsiTheme="majorBidi" w:cstheme="majorBidi"/>
          <w:sz w:val="20"/>
          <w:szCs w:val="20"/>
          <w:lang w:val="en-GB"/>
        </w:rPr>
        <w:t xml:space="preserve">Kramer, Laura. "How Importing and Exporting Impacts the Economy." </w:t>
      </w:r>
      <w:r w:rsidR="004D261D" w:rsidRPr="004D261D">
        <w:rPr>
          <w:rStyle w:val="Emphasis"/>
          <w:rFonts w:asciiTheme="majorBidi" w:hAnsiTheme="majorBidi" w:cstheme="majorBidi"/>
          <w:sz w:val="20"/>
          <w:szCs w:val="20"/>
          <w:lang w:val="en-GB"/>
        </w:rPr>
        <w:t>Investopedia</w:t>
      </w:r>
      <w:r w:rsidR="004D261D" w:rsidRPr="004D261D">
        <w:rPr>
          <w:rFonts w:asciiTheme="majorBidi" w:hAnsiTheme="majorBidi" w:cstheme="majorBidi"/>
          <w:sz w:val="20"/>
          <w:szCs w:val="20"/>
          <w:lang w:val="en-GB"/>
        </w:rPr>
        <w:t xml:space="preserve">. December 20, 2024. Accessed April 14, 2025. </w:t>
      </w:r>
      <w:hyperlink r:id="rId15" w:tgtFrame="_new" w:history="1">
        <w:r w:rsidR="004D261D" w:rsidRPr="004D261D">
          <w:rPr>
            <w:rStyle w:val="Hyperlink"/>
            <w:rFonts w:asciiTheme="majorBidi" w:hAnsiTheme="majorBidi" w:cstheme="majorBidi"/>
            <w:sz w:val="20"/>
            <w:szCs w:val="20"/>
            <w:lang w:val="en-GB"/>
          </w:rPr>
          <w:t>https://www.investopedia.com/articles/investing/100813/interesting-facts-about-imports-and-exports.asp</w:t>
        </w:r>
      </w:hyperlink>
      <w:r w:rsidR="004D261D" w:rsidRPr="004D261D">
        <w:rPr>
          <w:rFonts w:asciiTheme="majorBidi" w:hAnsiTheme="majorBidi" w:cstheme="majorBidi"/>
          <w:sz w:val="20"/>
          <w:szCs w:val="20"/>
          <w:lang w:val="en-GB"/>
        </w:rPr>
        <w:t>.</w:t>
      </w:r>
    </w:p>
  </w:footnote>
  <w:footnote w:id="76">
    <w:p w14:paraId="6E207D33" w14:textId="0C2DE014" w:rsidR="0077354A" w:rsidRPr="004D261D" w:rsidRDefault="0077354A" w:rsidP="00BB5D76">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Balassa, Béla. </w:t>
      </w:r>
      <w:r w:rsidR="004D261D" w:rsidRPr="004D261D">
        <w:rPr>
          <w:rStyle w:val="Emphasis"/>
          <w:rFonts w:asciiTheme="majorBidi" w:hAnsiTheme="majorBidi" w:cstheme="majorBidi"/>
          <w:sz w:val="20"/>
          <w:szCs w:val="20"/>
          <w:lang w:val="en-GB"/>
        </w:rPr>
        <w:t>Export Incentives and Export Performance in Developing Countries: A Comparative Analysis</w:t>
      </w:r>
      <w:r w:rsidR="004D261D" w:rsidRPr="004D261D">
        <w:rPr>
          <w:rFonts w:asciiTheme="majorBidi" w:hAnsiTheme="majorBidi" w:cstheme="majorBidi"/>
          <w:sz w:val="20"/>
          <w:szCs w:val="20"/>
          <w:lang w:val="en-GB"/>
        </w:rPr>
        <w:t>. World Bank Staff Working. Washington, DC: World Bank, 1977, p248.</w:t>
      </w:r>
    </w:p>
  </w:footnote>
  <w:footnote w:id="77">
    <w:p w14:paraId="36394E5F" w14:textId="1CBEF19C" w:rsidR="0077354A" w:rsidRPr="004D261D" w:rsidRDefault="0077354A" w:rsidP="00BB5D76">
      <w:pPr>
        <w:spacing w:line="240" w:lineRule="auto"/>
        <w:jc w:val="both"/>
        <w:rPr>
          <w:rFonts w:asciiTheme="majorBidi" w:eastAsia="Calibri" w:hAnsiTheme="majorBidi" w:cstheme="majorBidi"/>
          <w:color w:val="000000" w:themeColor="text1"/>
          <w:sz w:val="20"/>
          <w:szCs w:val="20"/>
          <w:u w:val="single"/>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Amazon Seller Services Private Limited. "What Is Export: Process, Types and Importance." </w:t>
      </w:r>
      <w:r w:rsidR="004D261D" w:rsidRPr="004D261D">
        <w:rPr>
          <w:rStyle w:val="Emphasis"/>
          <w:rFonts w:asciiTheme="majorBidi" w:hAnsiTheme="majorBidi" w:cstheme="majorBidi"/>
          <w:sz w:val="20"/>
          <w:szCs w:val="20"/>
          <w:lang w:val="en-GB"/>
        </w:rPr>
        <w:t>Amazon Global Selling</w:t>
      </w:r>
      <w:r w:rsidR="004D261D" w:rsidRPr="004D261D">
        <w:rPr>
          <w:rFonts w:asciiTheme="majorBidi" w:hAnsiTheme="majorBidi" w:cstheme="majorBidi"/>
          <w:sz w:val="20"/>
          <w:szCs w:val="20"/>
          <w:lang w:val="en-GB"/>
        </w:rPr>
        <w:t xml:space="preserve">. January 23, 2023. Accessed April 15, 2025, 15:54. </w:t>
      </w:r>
      <w:hyperlink r:id="rId16" w:tgtFrame="_new" w:history="1">
        <w:r w:rsidR="004D261D" w:rsidRPr="004D261D">
          <w:rPr>
            <w:rStyle w:val="Hyperlink"/>
            <w:rFonts w:asciiTheme="majorBidi" w:hAnsiTheme="majorBidi" w:cstheme="majorBidi"/>
            <w:sz w:val="20"/>
            <w:szCs w:val="20"/>
            <w:lang w:val="en-GB"/>
          </w:rPr>
          <w:t>https://sell.amazon.in/grow-your-business/amazon-global-selling/blogs/what-is-export</w:t>
        </w:r>
      </w:hyperlink>
      <w:r w:rsidR="004D261D" w:rsidRPr="004D261D">
        <w:rPr>
          <w:rFonts w:asciiTheme="majorBidi" w:hAnsiTheme="majorBidi" w:cstheme="majorBidi"/>
          <w:sz w:val="20"/>
          <w:szCs w:val="20"/>
          <w:lang w:val="en-GB"/>
        </w:rPr>
        <w:t>.</w:t>
      </w:r>
    </w:p>
  </w:footnote>
  <w:footnote w:id="78">
    <w:p w14:paraId="0C848D79" w14:textId="5B182E3D" w:rsidR="0077354A" w:rsidRPr="004D261D" w:rsidRDefault="0077354A" w:rsidP="00BB5D76">
      <w:pPr>
        <w:spacing w:line="240" w:lineRule="auto"/>
        <w:jc w:val="both"/>
        <w:rPr>
          <w:rFonts w:asciiTheme="majorBidi" w:eastAsia="Calibr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Federal Reserve Bank of St. Louis. "International Trade: Benefits and Risks." 2024. Accessed February 16, 2025. </w:t>
      </w:r>
      <w:hyperlink r:id="rId17" w:tgtFrame="_new" w:history="1">
        <w:r w:rsidR="004D261D" w:rsidRPr="004D261D">
          <w:rPr>
            <w:rStyle w:val="Hyperlink"/>
            <w:rFonts w:asciiTheme="majorBidi" w:hAnsiTheme="majorBidi" w:cstheme="majorBidi"/>
            <w:sz w:val="20"/>
            <w:szCs w:val="20"/>
            <w:lang w:val="en-GB"/>
          </w:rPr>
          <w:t>https://www.stlouisfed.org/open-vault/2024/mar/international-trade-benefits-risks</w:t>
        </w:r>
      </w:hyperlink>
      <w:r w:rsidR="004D261D" w:rsidRPr="004D261D">
        <w:rPr>
          <w:rFonts w:asciiTheme="majorBidi" w:hAnsiTheme="majorBidi" w:cstheme="majorBidi"/>
          <w:sz w:val="20"/>
          <w:szCs w:val="20"/>
          <w:lang w:val="en-GB"/>
        </w:rPr>
        <w:t>.</w:t>
      </w:r>
    </w:p>
  </w:footnote>
  <w:footnote w:id="79">
    <w:p w14:paraId="6F5C247D" w14:textId="3E84A49A" w:rsidR="0077354A" w:rsidRPr="004D261D" w:rsidRDefault="0077354A" w:rsidP="00BB5D76">
      <w:pPr>
        <w:spacing w:line="240" w:lineRule="auto"/>
        <w:jc w:val="both"/>
        <w:rPr>
          <w:rFonts w:asciiTheme="majorBidi" w:eastAsia="Calibri" w:hAnsiTheme="majorBidi" w:cstheme="majorBidi"/>
          <w:b/>
          <w:i/>
          <w:color w:val="000000" w:themeColor="text1"/>
          <w:sz w:val="20"/>
          <w:szCs w:val="20"/>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i/>
          <w:iCs/>
          <w:color w:val="000000" w:themeColor="text1"/>
          <w:sz w:val="20"/>
          <w:szCs w:val="20"/>
          <w:lang w:val="en-GB"/>
        </w:rPr>
        <w:t xml:space="preserve"> </w:t>
      </w:r>
      <w:r w:rsidR="004D261D" w:rsidRPr="004D261D">
        <w:rPr>
          <w:rFonts w:asciiTheme="majorBidi" w:hAnsiTheme="majorBidi" w:cstheme="majorBidi"/>
          <w:sz w:val="20"/>
          <w:szCs w:val="20"/>
          <w:lang w:val="en-GB"/>
        </w:rPr>
        <w:t xml:space="preserve">Hesse, Heiko. </w:t>
      </w:r>
      <w:r w:rsidR="004D261D" w:rsidRPr="004D261D">
        <w:rPr>
          <w:rStyle w:val="Emphasis"/>
          <w:rFonts w:asciiTheme="majorBidi" w:hAnsiTheme="majorBidi" w:cstheme="majorBidi"/>
          <w:sz w:val="20"/>
          <w:szCs w:val="20"/>
          <w:lang w:val="en-GB"/>
        </w:rPr>
        <w:t>Export Diversification and Economic Growth</w:t>
      </w:r>
      <w:r w:rsidR="004D261D" w:rsidRPr="004D261D">
        <w:rPr>
          <w:rFonts w:asciiTheme="majorBidi" w:hAnsiTheme="majorBidi" w:cstheme="majorBidi"/>
          <w:sz w:val="20"/>
          <w:szCs w:val="20"/>
          <w:lang w:val="en-GB"/>
        </w:rPr>
        <w:t>. P12. Washington, DC: Commission on Growth and Development, 2008.</w:t>
      </w:r>
    </w:p>
  </w:footnote>
  <w:footnote w:id="80">
    <w:p w14:paraId="252BBAB4" w14:textId="19A65905" w:rsidR="004D261D" w:rsidRPr="004D261D" w:rsidRDefault="0077354A" w:rsidP="004D261D">
      <w:pPr>
        <w:spacing w:line="240" w:lineRule="auto"/>
        <w:jc w:val="both"/>
        <w:rPr>
          <w:rFonts w:asciiTheme="majorBidi" w:hAnsiTheme="majorBidi" w:cstheme="majorBidi"/>
          <w:sz w:val="20"/>
          <w:szCs w:val="20"/>
          <w:lang w:val="en-GB"/>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U.S. Department of Commerce. "Strategic Reasons to Export." 2024. Accessed February 16, 2025. </w:t>
      </w:r>
      <w:hyperlink r:id="rId18" w:tgtFrame="_new" w:history="1">
        <w:r w:rsidR="004D261D" w:rsidRPr="004D261D">
          <w:rPr>
            <w:rStyle w:val="Hyperlink"/>
            <w:rFonts w:asciiTheme="majorBidi" w:hAnsiTheme="majorBidi" w:cstheme="majorBidi"/>
            <w:sz w:val="20"/>
            <w:szCs w:val="20"/>
            <w:lang w:val="en-GB"/>
          </w:rPr>
          <w:t>https://www.trade.gov/strategic-reasons-export</w:t>
        </w:r>
      </w:hyperlink>
      <w:r w:rsidR="004D261D" w:rsidRPr="004D261D">
        <w:rPr>
          <w:rFonts w:asciiTheme="majorBidi" w:hAnsiTheme="majorBidi" w:cstheme="majorBidi"/>
          <w:sz w:val="20"/>
          <w:szCs w:val="20"/>
          <w:lang w:val="en-GB"/>
        </w:rPr>
        <w:t>.</w:t>
      </w:r>
    </w:p>
  </w:footnote>
  <w:footnote w:id="81">
    <w:p w14:paraId="7CB70AAC" w14:textId="67F4A96E" w:rsidR="0077354A" w:rsidRPr="004D261D" w:rsidRDefault="0077354A" w:rsidP="00BB5D76">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African Center for Economic Transformation. </w:t>
      </w:r>
      <w:r w:rsidR="004D261D" w:rsidRPr="004D261D">
        <w:rPr>
          <w:rStyle w:val="Emphasis"/>
          <w:rFonts w:asciiTheme="majorBidi" w:hAnsiTheme="majorBidi" w:cstheme="majorBidi"/>
          <w:sz w:val="20"/>
          <w:szCs w:val="20"/>
          <w:lang w:val="en-GB"/>
        </w:rPr>
        <w:t>African Transformation Index 2023: Export Competitiveness</w:t>
      </w:r>
      <w:r w:rsidR="004D261D" w:rsidRPr="004D261D">
        <w:rPr>
          <w:rFonts w:asciiTheme="majorBidi" w:hAnsiTheme="majorBidi" w:cstheme="majorBidi"/>
          <w:sz w:val="20"/>
          <w:szCs w:val="20"/>
          <w:lang w:val="en-GB"/>
        </w:rPr>
        <w:t>. ACET, 2023, p01.</w:t>
      </w:r>
    </w:p>
  </w:footnote>
  <w:footnote w:id="82">
    <w:p w14:paraId="3C192C83" w14:textId="5788A8BD" w:rsidR="0077354A" w:rsidRPr="004D261D" w:rsidRDefault="0077354A" w:rsidP="00BB5D76">
      <w:pPr>
        <w:spacing w:line="240" w:lineRule="auto"/>
        <w:jc w:val="both"/>
        <w:rPr>
          <w:rFonts w:asciiTheme="majorBidi" w:hAnsiTheme="majorBidi" w:cstheme="majorBidi"/>
          <w:color w:val="000000" w:themeColor="text1"/>
          <w:sz w:val="20"/>
          <w:szCs w:val="20"/>
          <w:lang w:val="en-GB" w:eastAsia="fr-FR"/>
        </w:rPr>
      </w:pPr>
      <w:bookmarkStart w:id="200" w:name="_Hlk199631631"/>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bookmarkEnd w:id="200"/>
      <w:r w:rsidR="004D261D" w:rsidRPr="004D261D">
        <w:rPr>
          <w:rFonts w:asciiTheme="majorBidi" w:hAnsiTheme="majorBidi" w:cstheme="majorBidi"/>
          <w:sz w:val="20"/>
          <w:szCs w:val="20"/>
          <w:lang w:val="en-GB"/>
        </w:rPr>
        <w:t xml:space="preserve">Mouse &amp; Bear Solutions. "Exporter of Record – What, Who &amp; Why?" </w:t>
      </w:r>
      <w:r w:rsidR="004D261D" w:rsidRPr="004D261D">
        <w:rPr>
          <w:rStyle w:val="Emphasis"/>
          <w:rFonts w:asciiTheme="majorBidi" w:hAnsiTheme="majorBidi" w:cstheme="majorBidi"/>
          <w:sz w:val="20"/>
          <w:szCs w:val="20"/>
          <w:lang w:val="en-GB"/>
        </w:rPr>
        <w:t>Mouse &amp; Bear Solutions</w:t>
      </w:r>
      <w:r w:rsidR="004D261D" w:rsidRPr="004D261D">
        <w:rPr>
          <w:rFonts w:asciiTheme="majorBidi" w:hAnsiTheme="majorBidi" w:cstheme="majorBidi"/>
          <w:sz w:val="20"/>
          <w:szCs w:val="20"/>
          <w:lang w:val="en-GB"/>
        </w:rPr>
        <w:t xml:space="preserve">. December 9, 2019. Accessed April 15, 2025, 15:57. </w:t>
      </w:r>
      <w:hyperlink r:id="rId19" w:tgtFrame="_new" w:history="1">
        <w:r w:rsidR="004D261D" w:rsidRPr="004D261D">
          <w:rPr>
            <w:rStyle w:val="Hyperlink"/>
            <w:rFonts w:asciiTheme="majorBidi" w:hAnsiTheme="majorBidi" w:cstheme="majorBidi"/>
            <w:sz w:val="20"/>
            <w:szCs w:val="20"/>
            <w:lang w:val="en-GB"/>
          </w:rPr>
          <w:t>https://www.mouseandbear.com/blog/exporter-of-record-eor-what-who-and-why.htm</w:t>
        </w:r>
      </w:hyperlink>
      <w:r w:rsidR="004D261D" w:rsidRPr="004D261D">
        <w:rPr>
          <w:rFonts w:asciiTheme="majorBidi" w:hAnsiTheme="majorBidi" w:cstheme="majorBidi"/>
          <w:sz w:val="20"/>
          <w:szCs w:val="20"/>
          <w:lang w:val="en-GB"/>
        </w:rPr>
        <w:t>.</w:t>
      </w:r>
    </w:p>
  </w:footnote>
  <w:footnote w:id="83">
    <w:p w14:paraId="2CCD74A8" w14:textId="5EE8C696" w:rsidR="0077354A" w:rsidRPr="004D261D" w:rsidRDefault="0077354A" w:rsidP="003F0D54">
      <w:pPr>
        <w:pStyle w:val="FootnoteText"/>
        <w:jc w:val="both"/>
        <w:rPr>
          <w:rFonts w:asciiTheme="majorBidi" w:hAnsiTheme="majorBidi" w:cstheme="majorBidi"/>
          <w:color w:val="000000" w:themeColor="text1"/>
          <w:lang w:val="en-GB"/>
        </w:rPr>
      </w:pPr>
      <w:r w:rsidRPr="004D261D">
        <w:rPr>
          <w:rStyle w:val="FootnoteReference"/>
          <w:rFonts w:asciiTheme="majorBidi" w:hAnsiTheme="majorBidi" w:cstheme="majorBidi"/>
          <w:color w:val="000000" w:themeColor="text1"/>
        </w:rPr>
        <w:footnoteRef/>
      </w:r>
      <w:r w:rsidRPr="004D261D">
        <w:rPr>
          <w:rFonts w:asciiTheme="majorBidi" w:hAnsiTheme="majorBidi" w:cstheme="majorBidi"/>
          <w:color w:val="000000" w:themeColor="text1"/>
          <w:lang w:val="en-GB"/>
        </w:rPr>
        <w:t xml:space="preserve"> </w:t>
      </w:r>
      <w:r w:rsidR="004D261D" w:rsidRPr="004D261D">
        <w:rPr>
          <w:rFonts w:asciiTheme="majorBidi" w:hAnsiTheme="majorBidi" w:cstheme="majorBidi"/>
          <w:lang w:val="en-GB"/>
        </w:rPr>
        <w:t xml:space="preserve">Mouse &amp; Bear Solutions. "Exporter of Record – What, Who &amp; Why?" </w:t>
      </w:r>
      <w:r w:rsidR="004D261D" w:rsidRPr="004D261D">
        <w:rPr>
          <w:rStyle w:val="Emphasis"/>
          <w:rFonts w:asciiTheme="majorBidi" w:hAnsiTheme="majorBidi" w:cstheme="majorBidi"/>
          <w:lang w:val="en-GB"/>
        </w:rPr>
        <w:t>Mouse &amp; Bear Solutions</w:t>
      </w:r>
      <w:r w:rsidR="004D261D" w:rsidRPr="004D261D">
        <w:rPr>
          <w:rFonts w:asciiTheme="majorBidi" w:hAnsiTheme="majorBidi" w:cstheme="majorBidi"/>
          <w:lang w:val="en-GB"/>
        </w:rPr>
        <w:t xml:space="preserve">. December 9, 2019. Accessed April 15, 2025, 15:57. </w:t>
      </w:r>
      <w:hyperlink r:id="rId20" w:tgtFrame="_new" w:history="1">
        <w:r w:rsidR="004D261D" w:rsidRPr="004D261D">
          <w:rPr>
            <w:rStyle w:val="Hyperlink"/>
            <w:rFonts w:asciiTheme="majorBidi" w:hAnsiTheme="majorBidi" w:cstheme="majorBidi"/>
            <w:lang w:val="en-GB"/>
          </w:rPr>
          <w:t>https://www.mouseandbear.com/blog/exporter-of-record-eor-what-who-and-why.htm</w:t>
        </w:r>
      </w:hyperlink>
      <w:r w:rsidR="004D261D" w:rsidRPr="004D261D">
        <w:rPr>
          <w:rFonts w:asciiTheme="majorBidi" w:hAnsiTheme="majorBidi" w:cstheme="majorBidi"/>
          <w:lang w:val="en-GB"/>
        </w:rPr>
        <w:t>.</w:t>
      </w:r>
    </w:p>
  </w:footnote>
  <w:footnote w:id="84">
    <w:p w14:paraId="05383A4A" w14:textId="73A8F439" w:rsidR="0077354A" w:rsidRPr="004D261D" w:rsidRDefault="0077354A" w:rsidP="0024056C">
      <w:pPr>
        <w:spacing w:line="240" w:lineRule="auto"/>
        <w:jc w:val="both"/>
        <w:rPr>
          <w:rFonts w:asciiTheme="majorBidi" w:hAnsiTheme="majorBidi" w:cstheme="majorBidi"/>
          <w:color w:val="000000" w:themeColor="text1"/>
          <w:sz w:val="20"/>
          <w:szCs w:val="20"/>
          <w:lang w:val="en-GB" w:eastAsia="fr-FR"/>
        </w:rPr>
      </w:pPr>
      <w:bookmarkStart w:id="201" w:name="_Hlk199631647"/>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bookmarkEnd w:id="201"/>
      <w:r w:rsidR="004D261D" w:rsidRPr="004D261D">
        <w:rPr>
          <w:rFonts w:asciiTheme="majorBidi" w:hAnsiTheme="majorBidi" w:cstheme="majorBidi"/>
          <w:sz w:val="20"/>
          <w:szCs w:val="20"/>
          <w:lang w:val="en-GB"/>
        </w:rPr>
        <w:t xml:space="preserve">Sarker, S. M. A. N. "Freight Forwarding Industry: Function, Economic Role and Future Market in Bangladesh." </w:t>
      </w:r>
      <w:r w:rsidR="004D261D" w:rsidRPr="004D261D">
        <w:rPr>
          <w:rStyle w:val="Emphasis"/>
          <w:rFonts w:asciiTheme="majorBidi" w:hAnsiTheme="majorBidi" w:cstheme="majorBidi"/>
          <w:sz w:val="20"/>
          <w:szCs w:val="20"/>
          <w:lang w:val="en-GB"/>
        </w:rPr>
        <w:t>Bangladesh Maritime Journal</w:t>
      </w:r>
      <w:r w:rsidR="004D261D" w:rsidRPr="004D261D">
        <w:rPr>
          <w:rFonts w:asciiTheme="majorBidi" w:hAnsiTheme="majorBidi" w:cstheme="majorBidi"/>
          <w:sz w:val="20"/>
          <w:szCs w:val="20"/>
          <w:lang w:val="en-GB"/>
        </w:rPr>
        <w:t xml:space="preserve"> 1, no. 1 (2017): p93.</w:t>
      </w:r>
    </w:p>
  </w:footnote>
  <w:footnote w:id="85">
    <w:p w14:paraId="5EA0F0D9" w14:textId="4E0D9481" w:rsidR="0077354A" w:rsidRPr="0024056C" w:rsidRDefault="0077354A" w:rsidP="0024056C">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color w:val="000000" w:themeColor="text1"/>
          <w:sz w:val="20"/>
          <w:szCs w:val="20"/>
          <w:lang w:val="en-GB"/>
        </w:rPr>
        <w:t>I</w:t>
      </w:r>
      <w:r w:rsidRPr="004D261D">
        <w:rPr>
          <w:rFonts w:asciiTheme="majorBidi" w:hAnsiTheme="majorBidi" w:cstheme="majorBidi"/>
          <w:color w:val="000000" w:themeColor="text1"/>
          <w:sz w:val="20"/>
          <w:szCs w:val="20"/>
          <w:lang w:val="en-GB"/>
        </w:rPr>
        <w:t>bid</w:t>
      </w:r>
      <w:r w:rsidR="004D261D" w:rsidRPr="004D261D">
        <w:rPr>
          <w:rFonts w:asciiTheme="majorBidi" w:hAnsiTheme="majorBidi" w:cstheme="majorBidi"/>
          <w:color w:val="000000" w:themeColor="text1"/>
          <w:sz w:val="20"/>
          <w:szCs w:val="20"/>
          <w:lang w:val="en-GB"/>
        </w:rPr>
        <w:t xml:space="preserve">, </w:t>
      </w:r>
      <w:r w:rsidRPr="004D261D">
        <w:rPr>
          <w:rFonts w:asciiTheme="majorBidi" w:hAnsiTheme="majorBidi" w:cstheme="majorBidi"/>
          <w:color w:val="000000" w:themeColor="text1"/>
          <w:sz w:val="20"/>
          <w:szCs w:val="20"/>
          <w:lang w:val="en-GB"/>
        </w:rPr>
        <w:t>p94</w:t>
      </w:r>
    </w:p>
  </w:footnote>
  <w:footnote w:id="86">
    <w:p w14:paraId="67134C45" w14:textId="3CAA7DBC" w:rsidR="0077354A" w:rsidRPr="004D261D" w:rsidRDefault="0077354A" w:rsidP="0024056C">
      <w:pPr>
        <w:spacing w:line="240" w:lineRule="auto"/>
        <w:jc w:val="both"/>
        <w:rPr>
          <w:rFonts w:asciiTheme="majorBid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World Customs Organization. </w:t>
      </w:r>
      <w:r w:rsidR="004D261D" w:rsidRPr="004D261D">
        <w:rPr>
          <w:rStyle w:val="Emphasis"/>
          <w:rFonts w:asciiTheme="majorBidi" w:hAnsiTheme="majorBidi" w:cstheme="majorBidi"/>
          <w:sz w:val="20"/>
          <w:szCs w:val="20"/>
          <w:lang w:val="en-GB"/>
        </w:rPr>
        <w:t>Single Window Compendium: Volume 1 – Part II: The World Customs Organization’s Contribution to the Development of Single Window</w:t>
      </w:r>
      <w:r w:rsidR="004D261D" w:rsidRPr="004D261D">
        <w:rPr>
          <w:rFonts w:asciiTheme="majorBidi" w:hAnsiTheme="majorBidi" w:cstheme="majorBidi"/>
          <w:sz w:val="20"/>
          <w:szCs w:val="20"/>
          <w:lang w:val="en-GB"/>
        </w:rPr>
        <w:t xml:space="preserve">. 2nd ed., 2017, </w:t>
      </w:r>
      <w:r w:rsidRPr="004D261D">
        <w:rPr>
          <w:rFonts w:asciiTheme="majorBidi" w:hAnsiTheme="majorBidi" w:cstheme="majorBidi"/>
          <w:color w:val="000000" w:themeColor="text1"/>
          <w:sz w:val="20"/>
          <w:szCs w:val="20"/>
          <w:lang w:val="en-GB"/>
        </w:rPr>
        <w:t>p06.</w:t>
      </w:r>
    </w:p>
  </w:footnote>
  <w:footnote w:id="87">
    <w:p w14:paraId="49D87A16" w14:textId="4E9A09F7" w:rsidR="0077354A" w:rsidRPr="004D261D" w:rsidRDefault="0077354A" w:rsidP="0024056C">
      <w:pPr>
        <w:spacing w:line="240" w:lineRule="auto"/>
        <w:jc w:val="both"/>
        <w:rPr>
          <w:rFonts w:asciiTheme="majorBidi" w:eastAsia="Calibr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World Trade Organization. </w:t>
      </w:r>
      <w:r w:rsidR="004D261D" w:rsidRPr="004D261D">
        <w:rPr>
          <w:rStyle w:val="Emphasis"/>
          <w:rFonts w:asciiTheme="majorBidi" w:hAnsiTheme="majorBidi" w:cstheme="majorBidi"/>
          <w:sz w:val="20"/>
          <w:szCs w:val="20"/>
          <w:lang w:val="en-GB"/>
        </w:rPr>
        <w:t>Transport and Logistics Services (Section 5)</w:t>
      </w:r>
      <w:r w:rsidR="004D261D" w:rsidRPr="004D261D">
        <w:rPr>
          <w:rFonts w:asciiTheme="majorBidi" w:hAnsiTheme="majorBidi" w:cstheme="majorBidi"/>
          <w:sz w:val="20"/>
          <w:szCs w:val="20"/>
          <w:lang w:val="en-GB"/>
        </w:rPr>
        <w:t xml:space="preserve">. In </w:t>
      </w:r>
      <w:r w:rsidR="004D261D" w:rsidRPr="004D261D">
        <w:rPr>
          <w:rStyle w:val="Emphasis"/>
          <w:rFonts w:asciiTheme="majorBidi" w:hAnsiTheme="majorBidi" w:cstheme="majorBidi"/>
          <w:sz w:val="20"/>
          <w:szCs w:val="20"/>
          <w:lang w:val="en-GB"/>
        </w:rPr>
        <w:t>Services Trade for Development: The WTO Services Trade Policy Toolbox</w:t>
      </w:r>
      <w:r w:rsidR="004D261D" w:rsidRPr="004D261D">
        <w:rPr>
          <w:rFonts w:asciiTheme="majorBidi" w:hAnsiTheme="majorBidi" w:cstheme="majorBidi"/>
          <w:sz w:val="20"/>
          <w:szCs w:val="20"/>
          <w:lang w:val="en-GB"/>
        </w:rPr>
        <w:t>, 2022</w:t>
      </w:r>
      <w:r w:rsidR="004D261D" w:rsidRPr="004D261D">
        <w:rPr>
          <w:rFonts w:asciiTheme="majorBidi" w:eastAsia="Calibri" w:hAnsiTheme="majorBidi" w:cstheme="majorBidi"/>
          <w:color w:val="000000" w:themeColor="text1"/>
          <w:sz w:val="20"/>
          <w:szCs w:val="20"/>
          <w:lang w:val="en-GB"/>
        </w:rPr>
        <w:t>,</w:t>
      </w:r>
      <w:r w:rsidRPr="004D261D">
        <w:rPr>
          <w:rFonts w:asciiTheme="majorBidi" w:eastAsia="Calibri" w:hAnsiTheme="majorBidi" w:cstheme="majorBidi"/>
          <w:color w:val="000000" w:themeColor="text1"/>
          <w:sz w:val="20"/>
          <w:szCs w:val="20"/>
          <w:lang w:val="en-GB"/>
        </w:rPr>
        <w:t xml:space="preserve"> p20</w:t>
      </w:r>
      <w:r w:rsidR="004D261D" w:rsidRPr="004D261D">
        <w:rPr>
          <w:rFonts w:asciiTheme="majorBidi" w:eastAsia="Calibri" w:hAnsiTheme="majorBidi" w:cstheme="majorBidi"/>
          <w:color w:val="000000" w:themeColor="text1"/>
          <w:sz w:val="20"/>
          <w:szCs w:val="20"/>
          <w:lang w:val="en-GB"/>
        </w:rPr>
        <w:t>,</w:t>
      </w:r>
    </w:p>
  </w:footnote>
  <w:footnote w:id="88">
    <w:p w14:paraId="262AD3BA" w14:textId="258D478C" w:rsidR="0077354A" w:rsidRPr="004D261D" w:rsidRDefault="0077354A" w:rsidP="0024056C">
      <w:pPr>
        <w:spacing w:line="240" w:lineRule="auto"/>
        <w:jc w:val="both"/>
        <w:rPr>
          <w:rFonts w:asciiTheme="majorBidi" w:eastAsia="Calibri" w:hAnsiTheme="majorBidi" w:cstheme="majorBidi"/>
          <w:color w:val="000000" w:themeColor="text1"/>
          <w:sz w:val="20"/>
          <w:szCs w:val="20"/>
          <w:lang w:val="en-GB" w:eastAsia="fr-FR"/>
        </w:rPr>
      </w:pPr>
      <w:r w:rsidRPr="004D261D">
        <w:rPr>
          <w:rStyle w:val="FootnoteReference"/>
          <w:rFonts w:asciiTheme="majorBidi" w:hAnsiTheme="majorBidi" w:cstheme="majorBidi"/>
          <w:color w:val="000000" w:themeColor="text1"/>
          <w:sz w:val="20"/>
          <w:szCs w:val="20"/>
        </w:rPr>
        <w:footnoteRef/>
      </w:r>
      <w:r w:rsidRPr="004D261D">
        <w:rPr>
          <w:rFonts w:asciiTheme="majorBidi" w:hAnsiTheme="majorBidi" w:cstheme="majorBidi"/>
          <w:color w:val="000000" w:themeColor="text1"/>
          <w:sz w:val="20"/>
          <w:szCs w:val="20"/>
          <w:lang w:val="en-GB"/>
        </w:rPr>
        <w:t xml:space="preserve"> </w:t>
      </w:r>
      <w:r w:rsidR="004D261D" w:rsidRPr="004D261D">
        <w:rPr>
          <w:rFonts w:asciiTheme="majorBidi" w:hAnsiTheme="majorBidi" w:cstheme="majorBidi"/>
          <w:sz w:val="20"/>
          <w:szCs w:val="20"/>
          <w:lang w:val="en-GB"/>
        </w:rPr>
        <w:t xml:space="preserve">Jade International. "Understanding the Roles of Importer of Record and Exporter of Record." </w:t>
      </w:r>
      <w:r w:rsidR="004D261D" w:rsidRPr="004D261D">
        <w:rPr>
          <w:rStyle w:val="Emphasis"/>
          <w:rFonts w:asciiTheme="majorBidi" w:hAnsiTheme="majorBidi" w:cstheme="majorBidi"/>
          <w:sz w:val="20"/>
          <w:szCs w:val="20"/>
          <w:lang w:val="en-GB"/>
        </w:rPr>
        <w:t>LinkedIn</w:t>
      </w:r>
      <w:r w:rsidR="004D261D" w:rsidRPr="004D261D">
        <w:rPr>
          <w:rFonts w:asciiTheme="majorBidi" w:hAnsiTheme="majorBidi" w:cstheme="majorBidi"/>
          <w:sz w:val="20"/>
          <w:szCs w:val="20"/>
          <w:lang w:val="en-GB"/>
        </w:rPr>
        <w:t xml:space="preserve">. Accessed April 15, 2025, 20:16. </w:t>
      </w:r>
      <w:hyperlink r:id="rId21" w:tgtFrame="_new" w:history="1">
        <w:r w:rsidR="004D261D" w:rsidRPr="004D261D">
          <w:rPr>
            <w:rStyle w:val="Hyperlink"/>
            <w:rFonts w:asciiTheme="majorBidi" w:hAnsiTheme="majorBidi" w:cstheme="majorBidi"/>
            <w:sz w:val="20"/>
            <w:szCs w:val="20"/>
            <w:lang w:val="en-GB"/>
          </w:rPr>
          <w:t>https://www.linkedin.com/pulse/understanding-roles-importer-record-exporter-jadeintl-vxwne/</w:t>
        </w:r>
      </w:hyperlink>
      <w:r w:rsidR="004D261D" w:rsidRPr="004D261D">
        <w:rPr>
          <w:rFonts w:asciiTheme="majorBidi" w:hAnsiTheme="majorBidi" w:cstheme="majorBidi"/>
          <w:sz w:val="20"/>
          <w:szCs w:val="20"/>
          <w:lang w:val="en-GB"/>
        </w:rPr>
        <w:t>.</w:t>
      </w:r>
    </w:p>
  </w:footnote>
  <w:footnote w:id="89">
    <w:p w14:paraId="54095F82" w14:textId="608663E5" w:rsidR="0077354A" w:rsidRPr="004D261D" w:rsidRDefault="0077354A" w:rsidP="003F0D54">
      <w:pPr>
        <w:pStyle w:val="FootnoteText"/>
        <w:jc w:val="both"/>
        <w:rPr>
          <w:lang w:val="en-GB"/>
        </w:rPr>
      </w:pPr>
      <w:r w:rsidRPr="004D261D">
        <w:rPr>
          <w:rStyle w:val="FootnoteReference"/>
          <w:rFonts w:asciiTheme="majorBidi" w:hAnsiTheme="majorBidi" w:cstheme="majorBidi"/>
          <w:color w:val="000000" w:themeColor="text1"/>
        </w:rPr>
        <w:footnoteRef/>
      </w:r>
      <w:r w:rsidRPr="004D261D">
        <w:rPr>
          <w:rFonts w:asciiTheme="majorBidi" w:hAnsiTheme="majorBidi" w:cstheme="majorBidi"/>
          <w:color w:val="000000" w:themeColor="text1"/>
          <w:lang w:val="en-GB"/>
        </w:rPr>
        <w:t xml:space="preserve"> </w:t>
      </w:r>
      <w:r w:rsidR="004D261D" w:rsidRPr="004D261D">
        <w:rPr>
          <w:rFonts w:asciiTheme="majorBidi" w:hAnsiTheme="majorBidi" w:cstheme="majorBidi"/>
          <w:lang w:val="en-GB"/>
        </w:rPr>
        <w:t xml:space="preserve">Jade International. "Understanding the Roles of Importer of Record and Exporter of Record." </w:t>
      </w:r>
      <w:r w:rsidR="004D261D" w:rsidRPr="004D261D">
        <w:rPr>
          <w:rStyle w:val="Emphasis"/>
          <w:rFonts w:asciiTheme="majorBidi" w:hAnsiTheme="majorBidi" w:cstheme="majorBidi"/>
          <w:lang w:val="en-GB"/>
        </w:rPr>
        <w:t>LinkedIn</w:t>
      </w:r>
      <w:r w:rsidR="004D261D" w:rsidRPr="004D261D">
        <w:rPr>
          <w:rFonts w:asciiTheme="majorBidi" w:hAnsiTheme="majorBidi" w:cstheme="majorBidi"/>
          <w:lang w:val="en-GB"/>
        </w:rPr>
        <w:t xml:space="preserve">. Accessed April 15, 2025, 20:16. </w:t>
      </w:r>
      <w:hyperlink r:id="rId22" w:tgtFrame="_new" w:history="1">
        <w:r w:rsidR="004D261D" w:rsidRPr="004D261D">
          <w:rPr>
            <w:rStyle w:val="Hyperlink"/>
            <w:rFonts w:asciiTheme="majorBidi" w:hAnsiTheme="majorBidi" w:cstheme="majorBidi"/>
            <w:lang w:val="en-GB"/>
          </w:rPr>
          <w:t>https://www.linkedin.com/pulse/understanding-roles-importer-record-exporter-jadeintl-vxwne/</w:t>
        </w:r>
      </w:hyperlink>
      <w:r w:rsidR="004D261D" w:rsidRPr="004D261D">
        <w:rPr>
          <w:rFonts w:asciiTheme="majorBidi" w:hAnsiTheme="majorBidi" w:cstheme="majorBidi"/>
          <w:lang w:val="en-GB"/>
        </w:rPr>
        <w:t>.</w:t>
      </w:r>
    </w:p>
  </w:footnote>
  <w:footnote w:id="90">
    <w:p w14:paraId="0D68CDA1" w14:textId="1313DC35" w:rsidR="0077354A" w:rsidRPr="00740E8D" w:rsidRDefault="0077354A" w:rsidP="00740E8D">
      <w:pPr>
        <w:rPr>
          <w:rFonts w:ascii="Times New Roman" w:eastAsia="Times New Roman" w:hAnsi="Times New Roman" w:cs="Times New Roman"/>
          <w:sz w:val="24"/>
          <w:szCs w:val="24"/>
          <w:lang w:val="en-GB" w:eastAsia="fr-FR"/>
        </w:rPr>
      </w:pPr>
      <w:r w:rsidRPr="00E27A39">
        <w:rPr>
          <w:rStyle w:val="FootnoteReference"/>
          <w:rFonts w:asciiTheme="majorBidi" w:hAnsiTheme="majorBidi" w:cstheme="majorBidi"/>
          <w:color w:val="000000" w:themeColor="text1"/>
          <w:sz w:val="20"/>
          <w:szCs w:val="20"/>
        </w:rPr>
        <w:footnoteRef/>
      </w:r>
      <w:r w:rsidRPr="00E27A39">
        <w:rPr>
          <w:rFonts w:asciiTheme="majorBidi" w:hAnsiTheme="majorBidi" w:cstheme="majorBidi"/>
          <w:color w:val="000000" w:themeColor="text1"/>
          <w:sz w:val="20"/>
          <w:szCs w:val="20"/>
          <w:lang w:val="en-GB"/>
        </w:rPr>
        <w:t xml:space="preserve"> </w:t>
      </w:r>
      <w:r w:rsidR="00142499" w:rsidRPr="00142499">
        <w:rPr>
          <w:rFonts w:asciiTheme="majorBidi" w:eastAsia="Times New Roman" w:hAnsiTheme="majorBidi" w:cstheme="majorBidi"/>
          <w:sz w:val="20"/>
          <w:szCs w:val="20"/>
          <w:lang w:val="en-GB" w:eastAsia="fr-FR"/>
        </w:rPr>
        <w:t xml:space="preserve">Rosson, P. J., and I. D. Ford. "Manufacturer–Overseas Distributor Relations and Export Performance." </w:t>
      </w:r>
      <w:r w:rsidR="00142499" w:rsidRPr="00142499">
        <w:rPr>
          <w:rFonts w:asciiTheme="majorBidi" w:eastAsia="Times New Roman" w:hAnsiTheme="majorBidi" w:cstheme="majorBidi"/>
          <w:i/>
          <w:iCs/>
          <w:sz w:val="20"/>
          <w:szCs w:val="20"/>
          <w:lang w:val="en-GB" w:eastAsia="fr-FR"/>
        </w:rPr>
        <w:t>Journal of International Business Studies</w:t>
      </w:r>
      <w:r w:rsidR="00142499" w:rsidRPr="00142499">
        <w:rPr>
          <w:rFonts w:asciiTheme="majorBidi" w:eastAsia="Times New Roman" w:hAnsiTheme="majorBidi" w:cstheme="majorBidi"/>
          <w:sz w:val="20"/>
          <w:szCs w:val="20"/>
          <w:lang w:val="en-GB" w:eastAsia="fr-FR"/>
        </w:rPr>
        <w:t xml:space="preserve"> 13, no. 2 (1982)</w:t>
      </w:r>
      <w:r w:rsidRPr="00142499">
        <w:rPr>
          <w:rFonts w:asciiTheme="majorBidi" w:eastAsia="Calibri" w:hAnsiTheme="majorBidi" w:cstheme="majorBidi"/>
          <w:color w:val="000000" w:themeColor="text1"/>
          <w:sz w:val="20"/>
          <w:szCs w:val="20"/>
          <w:lang w:val="en-GB"/>
        </w:rPr>
        <w:t>, p58</w:t>
      </w:r>
      <w:r w:rsidR="00142499" w:rsidRPr="00142499">
        <w:rPr>
          <w:rFonts w:asciiTheme="majorBidi" w:eastAsia="Calibri" w:hAnsiTheme="majorBidi" w:cstheme="majorBidi"/>
          <w:color w:val="000000" w:themeColor="text1"/>
          <w:sz w:val="20"/>
          <w:szCs w:val="20"/>
          <w:lang w:val="en-GB"/>
        </w:rPr>
        <w:t>,</w:t>
      </w:r>
    </w:p>
  </w:footnote>
  <w:footnote w:id="91">
    <w:p w14:paraId="4BDC2AFE" w14:textId="0793FE3F" w:rsidR="0077354A" w:rsidRPr="00142499" w:rsidRDefault="0077354A" w:rsidP="0024056C">
      <w:pPr>
        <w:spacing w:line="240" w:lineRule="auto"/>
        <w:jc w:val="both"/>
        <w:rPr>
          <w:rFonts w:asciiTheme="majorBidi" w:hAnsiTheme="majorBidi" w:cstheme="majorBidi"/>
          <w:color w:val="000000" w:themeColor="text1"/>
          <w:sz w:val="20"/>
          <w:szCs w:val="20"/>
          <w:lang w:eastAsia="fr-FR"/>
        </w:rPr>
      </w:pPr>
      <w:r w:rsidRPr="00142499">
        <w:rPr>
          <w:rStyle w:val="FootnoteReference"/>
          <w:rFonts w:asciiTheme="majorBidi" w:hAnsiTheme="majorBidi" w:cstheme="majorBidi"/>
          <w:color w:val="000000" w:themeColor="text1"/>
          <w:sz w:val="20"/>
          <w:szCs w:val="20"/>
        </w:rPr>
        <w:footnoteRef/>
      </w:r>
      <w:r w:rsidR="00142499" w:rsidRPr="00142499">
        <w:rPr>
          <w:rFonts w:asciiTheme="majorBidi" w:hAnsiTheme="majorBidi" w:cstheme="majorBidi"/>
          <w:sz w:val="20"/>
          <w:szCs w:val="20"/>
          <w:lang w:val="en-GB"/>
        </w:rPr>
        <w:t xml:space="preserve">Export-U. "Agents and Distributors." </w:t>
      </w:r>
      <w:r w:rsidR="00142499" w:rsidRPr="00142499">
        <w:rPr>
          <w:rStyle w:val="Emphasis"/>
          <w:rFonts w:asciiTheme="majorBidi" w:hAnsiTheme="majorBidi" w:cstheme="majorBidi"/>
          <w:sz w:val="20"/>
          <w:szCs w:val="20"/>
          <w:lang w:val="en-GB"/>
        </w:rPr>
        <w:t>Export-U.com</w:t>
      </w:r>
      <w:r w:rsidR="00142499" w:rsidRPr="00142499">
        <w:rPr>
          <w:rFonts w:asciiTheme="majorBidi" w:hAnsiTheme="majorBidi" w:cstheme="majorBidi"/>
          <w:sz w:val="20"/>
          <w:szCs w:val="20"/>
          <w:lang w:val="en-GB"/>
        </w:rPr>
        <w:t xml:space="preserve">. Accessed April 15, 2025, 23:08. </w:t>
      </w:r>
      <w:hyperlink r:id="rId23" w:anchor=":~:text=Distributors%20generally%20purchase%20and%20resell,collect%20payments%20from%20the%20customers" w:tgtFrame="_new" w:history="1">
        <w:r w:rsidR="00142499" w:rsidRPr="00142499">
          <w:rPr>
            <w:rStyle w:val="Hyperlink"/>
            <w:rFonts w:asciiTheme="majorBidi" w:hAnsiTheme="majorBidi" w:cstheme="majorBidi"/>
            <w:sz w:val="20"/>
            <w:szCs w:val="20"/>
          </w:rPr>
          <w:t>https://erd.export-u.com/articles-2/trading-partners/agents-and-distributors-2/#:~:text=Distributors%20generally%20purchase%20and%20resell,collect%20payments%20from%20the%20customers</w:t>
        </w:r>
      </w:hyperlink>
      <w:r w:rsidR="00142499" w:rsidRPr="00142499">
        <w:rPr>
          <w:rFonts w:asciiTheme="majorBidi" w:hAnsiTheme="majorBidi" w:cstheme="majorBidi"/>
          <w:sz w:val="20"/>
          <w:szCs w:val="20"/>
        </w:rPr>
        <w:t>.</w:t>
      </w:r>
    </w:p>
  </w:footnote>
  <w:footnote w:id="92">
    <w:p w14:paraId="586A2F55" w14:textId="4CD23A4A" w:rsidR="0077354A" w:rsidRPr="00CF5489" w:rsidRDefault="0077354A" w:rsidP="003F0D54">
      <w:pPr>
        <w:pStyle w:val="FootnoteText"/>
        <w:jc w:val="both"/>
        <w:rPr>
          <w:lang w:val="en-GB"/>
        </w:rPr>
      </w:pPr>
      <w:r w:rsidRPr="00142499">
        <w:rPr>
          <w:rStyle w:val="FootnoteReference"/>
          <w:rFonts w:asciiTheme="majorBidi" w:hAnsiTheme="majorBidi" w:cstheme="majorBidi"/>
        </w:rPr>
        <w:footnoteRef/>
      </w:r>
      <w:r w:rsidRPr="00142499">
        <w:rPr>
          <w:rFonts w:asciiTheme="majorBidi" w:hAnsiTheme="majorBidi" w:cstheme="majorBidi"/>
          <w:lang w:val="en-GB"/>
        </w:rPr>
        <w:t xml:space="preserve"> </w:t>
      </w:r>
      <w:r w:rsidR="00142499" w:rsidRPr="00142499">
        <w:rPr>
          <w:rFonts w:asciiTheme="majorBidi" w:hAnsiTheme="majorBidi" w:cstheme="majorBidi"/>
          <w:lang w:val="en-GB"/>
        </w:rPr>
        <w:t xml:space="preserve">Bouhosh, A. </w:t>
      </w:r>
      <w:r w:rsidR="00142499" w:rsidRPr="00142499">
        <w:rPr>
          <w:rStyle w:val="Emphasis"/>
          <w:rFonts w:asciiTheme="majorBidi" w:hAnsiTheme="majorBidi" w:cstheme="majorBidi"/>
          <w:lang w:val="en-GB"/>
        </w:rPr>
        <w:t>The Political History of Algeria: From the Beginning to 1962</w:t>
      </w:r>
      <w:r w:rsidR="00142499" w:rsidRPr="00142499">
        <w:rPr>
          <w:rFonts w:asciiTheme="majorBidi" w:hAnsiTheme="majorBidi" w:cstheme="majorBidi"/>
          <w:lang w:val="en-GB"/>
        </w:rPr>
        <w:t>. Beirut: Dar Al-Arab Islamic, first edition, 1997, p212.</w:t>
      </w:r>
    </w:p>
  </w:footnote>
  <w:footnote w:id="93">
    <w:p w14:paraId="7CA6C0A5" w14:textId="41D346B3" w:rsidR="0077354A" w:rsidRPr="00142499" w:rsidRDefault="0077354A" w:rsidP="003F0D54">
      <w:pPr>
        <w:pStyle w:val="FootnoteText"/>
        <w:jc w:val="both"/>
        <w:rPr>
          <w:rFonts w:asciiTheme="majorBidi" w:hAnsiTheme="majorBidi" w:cstheme="majorBidi"/>
          <w:lang w:val="en-GB"/>
        </w:rPr>
      </w:pPr>
      <w:r w:rsidRPr="00142499">
        <w:rPr>
          <w:rStyle w:val="FootnoteReference"/>
          <w:rFonts w:asciiTheme="majorBidi" w:hAnsiTheme="majorBidi" w:cstheme="majorBidi"/>
        </w:rPr>
        <w:footnoteRef/>
      </w:r>
      <w:r w:rsidRPr="00142499">
        <w:rPr>
          <w:rFonts w:asciiTheme="majorBidi" w:hAnsiTheme="majorBidi" w:cstheme="majorBidi"/>
          <w:lang w:val="en-GB"/>
        </w:rPr>
        <w:t xml:space="preserve"> </w:t>
      </w:r>
      <w:r w:rsidR="00142499" w:rsidRPr="00142499">
        <w:rPr>
          <w:rFonts w:asciiTheme="majorBidi" w:hAnsiTheme="majorBidi" w:cstheme="majorBidi"/>
          <w:lang w:val="en-GB"/>
        </w:rPr>
        <w:t xml:space="preserve">Gabriel, H. "Algeria and Turkey ... Political Momentum to Deepen a 16-Year-Old Strategic Partnership (Framework)." </w:t>
      </w:r>
      <w:r w:rsidR="00142499" w:rsidRPr="00142499">
        <w:rPr>
          <w:rStyle w:val="Emphasis"/>
          <w:rFonts w:asciiTheme="majorBidi" w:hAnsiTheme="majorBidi" w:cstheme="majorBidi"/>
          <w:lang w:val="en-GB"/>
        </w:rPr>
        <w:t>Anadolu Agency</w:t>
      </w:r>
      <w:r w:rsidR="00142499" w:rsidRPr="00142499">
        <w:rPr>
          <w:rFonts w:asciiTheme="majorBidi" w:hAnsiTheme="majorBidi" w:cstheme="majorBidi"/>
          <w:lang w:val="en-GB"/>
        </w:rPr>
        <w:t xml:space="preserve">. 2021. Accessed February 5, 2023. </w:t>
      </w:r>
      <w:hyperlink r:id="rId24" w:tgtFrame="_new" w:history="1">
        <w:r w:rsidR="00142499" w:rsidRPr="00142499">
          <w:rPr>
            <w:rStyle w:val="Hyperlink"/>
            <w:rFonts w:asciiTheme="majorBidi" w:hAnsiTheme="majorBidi" w:cstheme="majorBidi"/>
            <w:lang w:val="en-GB"/>
          </w:rPr>
          <w:t>https://www.aa.com.tr</w:t>
        </w:r>
      </w:hyperlink>
      <w:r w:rsidR="00142499" w:rsidRPr="00142499">
        <w:rPr>
          <w:rFonts w:asciiTheme="majorBidi" w:hAnsiTheme="majorBidi" w:cstheme="majorBidi"/>
          <w:lang w:val="en-GB"/>
        </w:rPr>
        <w:t>.</w:t>
      </w:r>
    </w:p>
  </w:footnote>
  <w:footnote w:id="94">
    <w:p w14:paraId="243961F2" w14:textId="0FC98614" w:rsidR="0077354A" w:rsidRPr="00142499" w:rsidRDefault="0077354A" w:rsidP="003F0D54">
      <w:pPr>
        <w:pStyle w:val="FootnoteText"/>
        <w:jc w:val="both"/>
        <w:rPr>
          <w:rFonts w:asciiTheme="majorBidi" w:hAnsiTheme="majorBidi" w:cstheme="majorBidi"/>
          <w:lang w:val="en-GB"/>
        </w:rPr>
      </w:pPr>
      <w:r w:rsidRPr="00142499">
        <w:rPr>
          <w:rStyle w:val="FootnoteReference"/>
          <w:rFonts w:asciiTheme="majorBidi" w:hAnsiTheme="majorBidi" w:cstheme="majorBidi"/>
        </w:rPr>
        <w:footnoteRef/>
      </w:r>
      <w:r w:rsidRPr="00142499">
        <w:rPr>
          <w:rFonts w:asciiTheme="majorBidi" w:hAnsiTheme="majorBidi" w:cstheme="majorBidi"/>
          <w:lang w:val="en-GB"/>
        </w:rPr>
        <w:t xml:space="preserve"> </w:t>
      </w:r>
      <w:r w:rsidR="00142499" w:rsidRPr="00142499">
        <w:rPr>
          <w:rFonts w:asciiTheme="majorBidi" w:hAnsiTheme="majorBidi" w:cstheme="majorBidi"/>
          <w:lang w:val="en-GB"/>
        </w:rPr>
        <w:t xml:space="preserve">Lachmoth, A. "Turkish-Algerian Relations from the Historical Dimension to the Geopolitical Dimension." </w:t>
      </w:r>
      <w:r w:rsidR="00142499" w:rsidRPr="00142499">
        <w:rPr>
          <w:rStyle w:val="Emphasis"/>
          <w:rFonts w:asciiTheme="majorBidi" w:hAnsiTheme="majorBidi" w:cstheme="majorBidi"/>
          <w:lang w:val="en-GB"/>
        </w:rPr>
        <w:t>Ultra Algeria</w:t>
      </w:r>
      <w:r w:rsidR="00142499" w:rsidRPr="00142499">
        <w:rPr>
          <w:rFonts w:asciiTheme="majorBidi" w:hAnsiTheme="majorBidi" w:cstheme="majorBidi"/>
          <w:lang w:val="en-GB"/>
        </w:rPr>
        <w:t xml:space="preserve">. n.d. Accessed February 5, 2023. </w:t>
      </w:r>
      <w:hyperlink r:id="rId25" w:tgtFrame="_new" w:history="1">
        <w:r w:rsidR="00142499" w:rsidRPr="00142499">
          <w:rPr>
            <w:rStyle w:val="Hyperlink"/>
            <w:rFonts w:asciiTheme="majorBidi" w:hAnsiTheme="majorBidi" w:cstheme="majorBidi"/>
            <w:lang w:val="en-GB"/>
          </w:rPr>
          <w:t>https://ultraalgeria.ULTrasawt.com</w:t>
        </w:r>
      </w:hyperlink>
      <w:r w:rsidR="00142499" w:rsidRPr="00142499">
        <w:rPr>
          <w:rFonts w:asciiTheme="majorBidi" w:hAnsiTheme="majorBidi" w:cstheme="majorBidi"/>
          <w:lang w:val="en-GB"/>
        </w:rPr>
        <w:t>.</w:t>
      </w:r>
    </w:p>
  </w:footnote>
  <w:footnote w:id="95">
    <w:p w14:paraId="486F38E3" w14:textId="3A08F77E" w:rsidR="0077354A" w:rsidRPr="00142499" w:rsidRDefault="0077354A" w:rsidP="003F0D54">
      <w:pPr>
        <w:pStyle w:val="FootnoteText"/>
        <w:jc w:val="both"/>
        <w:rPr>
          <w:rFonts w:asciiTheme="majorBidi" w:hAnsiTheme="majorBidi" w:cstheme="majorBidi"/>
          <w:lang w:val="en-GB"/>
        </w:rPr>
      </w:pPr>
      <w:r w:rsidRPr="00142499">
        <w:rPr>
          <w:rStyle w:val="FootnoteReference"/>
          <w:rFonts w:asciiTheme="majorBidi" w:hAnsiTheme="majorBidi" w:cstheme="majorBidi"/>
        </w:rPr>
        <w:footnoteRef/>
      </w:r>
      <w:r w:rsidRPr="00142499">
        <w:rPr>
          <w:rFonts w:asciiTheme="majorBidi" w:hAnsiTheme="majorBidi" w:cstheme="majorBidi"/>
          <w:lang w:val="en-GB"/>
        </w:rPr>
        <w:t xml:space="preserve"> </w:t>
      </w:r>
      <w:r w:rsidR="00142499" w:rsidRPr="00142499">
        <w:rPr>
          <w:rFonts w:asciiTheme="majorBidi" w:hAnsiTheme="majorBidi" w:cstheme="majorBidi"/>
          <w:lang w:val="en-GB"/>
        </w:rPr>
        <w:t xml:space="preserve">Lachmoth, A. "Turkish-Algerian Relations from the Historical Dimension to the Geopolitical Dimension." </w:t>
      </w:r>
      <w:r w:rsidR="00142499" w:rsidRPr="00142499">
        <w:rPr>
          <w:rStyle w:val="Emphasis"/>
          <w:rFonts w:asciiTheme="majorBidi" w:hAnsiTheme="majorBidi" w:cstheme="majorBidi"/>
          <w:lang w:val="en-GB"/>
        </w:rPr>
        <w:t>Ultra Algeria</w:t>
      </w:r>
      <w:r w:rsidR="00142499" w:rsidRPr="00142499">
        <w:rPr>
          <w:rFonts w:asciiTheme="majorBidi" w:hAnsiTheme="majorBidi" w:cstheme="majorBidi"/>
          <w:lang w:val="en-GB"/>
        </w:rPr>
        <w:t xml:space="preserve">. n.d. Accessed February 5, 2023. </w:t>
      </w:r>
      <w:hyperlink r:id="rId26" w:tgtFrame="_new" w:history="1">
        <w:r w:rsidR="00142499" w:rsidRPr="00142499">
          <w:rPr>
            <w:rStyle w:val="Hyperlink"/>
            <w:rFonts w:asciiTheme="majorBidi" w:hAnsiTheme="majorBidi" w:cstheme="majorBidi"/>
            <w:lang w:val="en-GB"/>
          </w:rPr>
          <w:t>https://ultraalgeria.ULTrasawt.com</w:t>
        </w:r>
      </w:hyperlink>
      <w:r w:rsidR="00142499" w:rsidRPr="00142499">
        <w:rPr>
          <w:rFonts w:asciiTheme="majorBidi" w:hAnsiTheme="majorBidi" w:cstheme="majorBidi"/>
          <w:lang w:val="en-GB"/>
        </w:rPr>
        <w:t>.</w:t>
      </w:r>
    </w:p>
  </w:footnote>
  <w:footnote w:id="96">
    <w:p w14:paraId="6DE62A3D" w14:textId="43F2794A" w:rsidR="0077354A" w:rsidRPr="00F62BDD" w:rsidRDefault="0077354A" w:rsidP="003F0D54">
      <w:pPr>
        <w:pStyle w:val="FootnoteText"/>
        <w:jc w:val="both"/>
        <w:rPr>
          <w:rFonts w:asciiTheme="majorBidi" w:hAnsiTheme="majorBidi" w:cstheme="majorBidi"/>
          <w:lang w:val="en-GB"/>
        </w:rPr>
      </w:pPr>
      <w:bookmarkStart w:id="205" w:name="_Hlk199631707"/>
      <w:r w:rsidRPr="00142499">
        <w:rPr>
          <w:rStyle w:val="FootnoteReference"/>
          <w:rFonts w:asciiTheme="majorBidi" w:hAnsiTheme="majorBidi" w:cstheme="majorBidi"/>
        </w:rPr>
        <w:footnoteRef/>
      </w:r>
      <w:r w:rsidRPr="00142499">
        <w:rPr>
          <w:rFonts w:asciiTheme="majorBidi" w:hAnsiTheme="majorBidi" w:cstheme="majorBidi"/>
          <w:lang w:val="en-GB"/>
        </w:rPr>
        <w:t xml:space="preserve"> </w:t>
      </w:r>
      <w:bookmarkEnd w:id="205"/>
      <w:r w:rsidR="00142499" w:rsidRPr="00142499">
        <w:rPr>
          <w:rFonts w:asciiTheme="majorBidi" w:hAnsiTheme="majorBidi" w:cstheme="majorBidi"/>
          <w:lang w:val="en-GB"/>
        </w:rPr>
        <w:t xml:space="preserve">Haviland, William A. </w:t>
      </w:r>
      <w:r w:rsidR="00142499" w:rsidRPr="00142499">
        <w:rPr>
          <w:rStyle w:val="Emphasis"/>
          <w:rFonts w:asciiTheme="majorBidi" w:hAnsiTheme="majorBidi" w:cstheme="majorBidi"/>
          <w:lang w:val="en-GB"/>
        </w:rPr>
        <w:t>Kültürel Antropoloji</w:t>
      </w:r>
      <w:r w:rsidR="00142499" w:rsidRPr="00142499">
        <w:rPr>
          <w:rFonts w:asciiTheme="majorBidi" w:hAnsiTheme="majorBidi" w:cstheme="majorBidi"/>
          <w:lang w:val="en-GB"/>
        </w:rPr>
        <w:t>. Translated by Hüsamettin İnaç and Seda Çiftçi. Istanbul: Kaknüs Yayınları, 2002.</w:t>
      </w:r>
    </w:p>
  </w:footnote>
  <w:footnote w:id="97">
    <w:p w14:paraId="31EF54D5" w14:textId="4DCF2CA4" w:rsidR="0077354A" w:rsidRPr="00142499" w:rsidRDefault="0077354A" w:rsidP="003F0D54">
      <w:pPr>
        <w:pStyle w:val="FootnoteText"/>
        <w:jc w:val="both"/>
        <w:rPr>
          <w:lang w:val="en-GB"/>
        </w:rPr>
      </w:pPr>
      <w:bookmarkStart w:id="206" w:name="_Hlk199631725"/>
      <w:r w:rsidRPr="00F62BDD">
        <w:rPr>
          <w:rStyle w:val="FootnoteReference"/>
          <w:rFonts w:asciiTheme="majorBidi" w:hAnsiTheme="majorBidi" w:cstheme="majorBidi"/>
        </w:rPr>
        <w:footnoteRef/>
      </w:r>
      <w:bookmarkEnd w:id="206"/>
      <w:r w:rsidR="00142499" w:rsidRPr="00142499">
        <w:rPr>
          <w:rFonts w:asciiTheme="majorBidi" w:hAnsiTheme="majorBidi" w:cstheme="majorBidi"/>
          <w:lang w:val="en-GB"/>
        </w:rPr>
        <w:t xml:space="preserve">Al-Warghi, J. "Turkish-Algerian Relations from a Strategic Perspective." </w:t>
      </w:r>
      <w:r w:rsidR="00142499" w:rsidRPr="00142499">
        <w:rPr>
          <w:rStyle w:val="Emphasis"/>
          <w:rFonts w:asciiTheme="majorBidi" w:hAnsiTheme="majorBidi" w:cstheme="majorBidi"/>
          <w:lang w:val="en-GB"/>
        </w:rPr>
        <w:t>TRT Arabi</w:t>
      </w:r>
      <w:r w:rsidR="00142499" w:rsidRPr="00142499">
        <w:rPr>
          <w:rFonts w:asciiTheme="majorBidi" w:hAnsiTheme="majorBidi" w:cstheme="majorBidi"/>
          <w:lang w:val="en-GB"/>
        </w:rPr>
        <w:t xml:space="preserve">. n.d. Accessed May 3, 2023. </w:t>
      </w:r>
      <w:hyperlink r:id="rId27" w:tgtFrame="_new" w:history="1">
        <w:r w:rsidR="00142499" w:rsidRPr="00142499">
          <w:rPr>
            <w:rStyle w:val="Hyperlink"/>
            <w:rFonts w:asciiTheme="majorBidi" w:hAnsiTheme="majorBidi" w:cstheme="majorBidi"/>
            <w:lang w:val="en-GB"/>
          </w:rPr>
          <w:t>https://www.trtarabi.com/opinion</w:t>
        </w:r>
      </w:hyperlink>
      <w:r w:rsidR="00142499" w:rsidRPr="00142499">
        <w:rPr>
          <w:rFonts w:asciiTheme="majorBidi" w:hAnsiTheme="majorBidi" w:cstheme="majorBidi"/>
          <w:lang w:val="en-GB"/>
        </w:rPr>
        <w:t>.</w:t>
      </w:r>
    </w:p>
  </w:footnote>
  <w:footnote w:id="98">
    <w:p w14:paraId="45962DCB" w14:textId="77777777" w:rsidR="0077354A" w:rsidRPr="00826AD3"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Robert E. Stevens, Philip K. Sherwood, J. Paul Dunn, David L. Loudon, “Market Opportunity Analysis: Text and Cases,” Routledge: Taylor &amp; Francis Group, 2012, p7- 8.</w:t>
      </w:r>
    </w:p>
  </w:footnote>
  <w:footnote w:id="99">
    <w:p w14:paraId="2D67AA5A" w14:textId="4A0EE8DD" w:rsidR="0077354A" w:rsidRPr="00627036"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w:t>
      </w:r>
      <w:bookmarkStart w:id="209" w:name="_Hlk200797127"/>
      <w:r w:rsidRPr="00826AD3">
        <w:rPr>
          <w:rFonts w:asciiTheme="majorBidi" w:hAnsiTheme="majorBidi" w:cstheme="majorBidi"/>
          <w:sz w:val="20"/>
          <w:szCs w:val="20"/>
          <w:lang w:val="en-US"/>
        </w:rPr>
        <w:t xml:space="preserve">- </w:t>
      </w:r>
      <w:r w:rsidR="00627036" w:rsidRPr="00627036">
        <w:rPr>
          <w:rFonts w:asciiTheme="majorBidi" w:hAnsiTheme="majorBidi" w:cstheme="majorBidi"/>
          <w:sz w:val="20"/>
          <w:szCs w:val="20"/>
          <w:lang w:val="en-US"/>
        </w:rPr>
        <w:t xml:space="preserve">Product Arts, </w:t>
      </w:r>
      <w:r w:rsidR="00627036" w:rsidRPr="00627036">
        <w:rPr>
          <w:rStyle w:val="Emphasis"/>
          <w:rFonts w:asciiTheme="majorBidi" w:hAnsiTheme="majorBidi" w:cstheme="majorBidi"/>
          <w:sz w:val="20"/>
          <w:szCs w:val="20"/>
          <w:lang w:val="en-US"/>
        </w:rPr>
        <w:t>Assessing Product Opportunities</w:t>
      </w:r>
      <w:r w:rsidR="00627036" w:rsidRPr="00627036">
        <w:rPr>
          <w:rFonts w:asciiTheme="majorBidi" w:hAnsiTheme="majorBidi" w:cstheme="majorBidi"/>
          <w:sz w:val="20"/>
          <w:szCs w:val="20"/>
          <w:lang w:val="en-US"/>
        </w:rPr>
        <w:t xml:space="preserve">, </w:t>
      </w:r>
      <w:r w:rsidR="00627036">
        <w:rPr>
          <w:rFonts w:asciiTheme="majorBidi" w:eastAsia="Times New Roman" w:hAnsiTheme="majorBidi" w:cstheme="majorBidi"/>
          <w:lang w:val="en-US" w:eastAsia="fr-FR"/>
        </w:rPr>
        <w:t xml:space="preserve">accessed </w:t>
      </w:r>
      <w:r w:rsidR="00627036" w:rsidRPr="00627036">
        <w:rPr>
          <w:rFonts w:asciiTheme="majorBidi" w:eastAsia="Times New Roman" w:hAnsiTheme="majorBidi" w:cstheme="majorBidi"/>
          <w:sz w:val="20"/>
          <w:szCs w:val="20"/>
          <w:lang w:val="en-US" w:eastAsia="fr-FR"/>
        </w:rPr>
        <w:t>25-03-2025 at 06:10</w:t>
      </w:r>
      <w:r w:rsidR="00627036" w:rsidRPr="00627036">
        <w:rPr>
          <w:rFonts w:asciiTheme="majorBidi" w:hAnsiTheme="majorBidi" w:cstheme="majorBidi"/>
          <w:sz w:val="20"/>
          <w:szCs w:val="20"/>
          <w:lang w:val="en-US"/>
        </w:rPr>
        <w:t xml:space="preserve">, </w:t>
      </w:r>
      <w:hyperlink r:id="rId28" w:tgtFrame="_new" w:history="1">
        <w:r w:rsidR="00627036" w:rsidRPr="00627036">
          <w:rPr>
            <w:rStyle w:val="Hyperlink"/>
            <w:rFonts w:asciiTheme="majorBidi" w:hAnsiTheme="majorBidi" w:cstheme="majorBidi"/>
            <w:sz w:val="20"/>
            <w:szCs w:val="20"/>
            <w:lang w:val="en-US"/>
          </w:rPr>
          <w:t>https://www.product-arts.com/attachments/article/23/Assessing_Product_Opportunities.pdf</w:t>
        </w:r>
      </w:hyperlink>
      <w:bookmarkEnd w:id="209"/>
      <w:r w:rsidR="00627036" w:rsidRPr="00627036">
        <w:rPr>
          <w:rFonts w:asciiTheme="majorBidi" w:hAnsiTheme="majorBidi" w:cstheme="majorBidi"/>
          <w:sz w:val="20"/>
          <w:szCs w:val="20"/>
          <w:lang w:val="en-US"/>
        </w:rPr>
        <w:t>.</w:t>
      </w:r>
    </w:p>
  </w:footnote>
  <w:footnote w:id="100">
    <w:p w14:paraId="7CFEFDDB" w14:textId="5C7A0AC5" w:rsidR="0077354A" w:rsidRPr="00627036" w:rsidRDefault="0077354A" w:rsidP="00627036">
      <w:pPr>
        <w:pStyle w:val="FootnoteText"/>
        <w:jc w:val="both"/>
        <w:rPr>
          <w:rFonts w:asciiTheme="majorBidi" w:eastAsia="Times New Roman" w:hAnsiTheme="majorBidi" w:cstheme="majorBidi"/>
          <w:lang w:val="en-US" w:eastAsia="fr-FR"/>
        </w:rPr>
      </w:pPr>
      <w:r w:rsidRPr="00826AD3">
        <w:rPr>
          <w:rStyle w:val="FootnoteReference"/>
          <w:rFonts w:asciiTheme="majorBidi" w:hAnsiTheme="majorBidi" w:cstheme="majorBidi"/>
        </w:rPr>
        <w:footnoteRef/>
      </w:r>
      <w:r w:rsidRPr="00826AD3">
        <w:rPr>
          <w:rFonts w:asciiTheme="majorBidi" w:hAnsiTheme="majorBidi" w:cstheme="majorBidi"/>
          <w:lang w:val="en-US"/>
        </w:rPr>
        <w:t xml:space="preserve"> -</w:t>
      </w:r>
      <w:r w:rsidR="00627036" w:rsidRPr="00627036">
        <w:rPr>
          <w:rFonts w:asciiTheme="majorBidi" w:eastAsia="Times New Roman" w:hAnsiTheme="majorBidi" w:cstheme="majorBidi"/>
          <w:lang w:val="en-US" w:eastAsia="fr-FR"/>
        </w:rPr>
        <w:t xml:space="preserve">Product Arts, </w:t>
      </w:r>
      <w:r w:rsidR="00627036" w:rsidRPr="00627036">
        <w:rPr>
          <w:rFonts w:asciiTheme="majorBidi" w:eastAsia="Times New Roman" w:hAnsiTheme="majorBidi" w:cstheme="majorBidi"/>
          <w:i/>
          <w:iCs/>
          <w:lang w:val="en-US" w:eastAsia="fr-FR"/>
        </w:rPr>
        <w:t>Assessing Product Opportunities</w:t>
      </w:r>
      <w:r w:rsidR="00627036" w:rsidRPr="00627036">
        <w:rPr>
          <w:rFonts w:asciiTheme="majorBidi" w:eastAsia="Times New Roman" w:hAnsiTheme="majorBidi" w:cstheme="majorBidi"/>
          <w:lang w:val="en-US" w:eastAsia="fr-FR"/>
        </w:rPr>
        <w:t xml:space="preserve">, </w:t>
      </w:r>
      <w:r w:rsidR="00627036">
        <w:rPr>
          <w:rFonts w:asciiTheme="majorBidi" w:eastAsia="Times New Roman" w:hAnsiTheme="majorBidi" w:cstheme="majorBidi"/>
          <w:lang w:val="en-US" w:eastAsia="fr-FR"/>
        </w:rPr>
        <w:t>accessed 25-03-</w:t>
      </w:r>
      <w:r w:rsidR="00627036" w:rsidRPr="00627036">
        <w:rPr>
          <w:rFonts w:asciiTheme="majorBidi" w:eastAsia="Times New Roman" w:hAnsiTheme="majorBidi" w:cstheme="majorBidi"/>
          <w:lang w:val="en-US" w:eastAsia="fr-FR"/>
        </w:rPr>
        <w:t>2025</w:t>
      </w:r>
      <w:r w:rsidR="00627036">
        <w:rPr>
          <w:rFonts w:asciiTheme="majorBidi" w:eastAsia="Times New Roman" w:hAnsiTheme="majorBidi" w:cstheme="majorBidi"/>
          <w:lang w:val="en-US" w:eastAsia="fr-FR"/>
        </w:rPr>
        <w:t xml:space="preserve"> at 06:10</w:t>
      </w:r>
      <w:r w:rsidR="00627036" w:rsidRPr="00627036">
        <w:rPr>
          <w:rFonts w:asciiTheme="majorBidi" w:eastAsia="Times New Roman" w:hAnsiTheme="majorBidi" w:cstheme="majorBidi"/>
          <w:lang w:val="en-US" w:eastAsia="fr-FR"/>
        </w:rPr>
        <w:t xml:space="preserve">, </w:t>
      </w:r>
      <w:hyperlink r:id="rId29" w:tgtFrame="_new" w:history="1">
        <w:r w:rsidR="00627036" w:rsidRPr="00627036">
          <w:rPr>
            <w:rStyle w:val="Hyperlink"/>
            <w:rFonts w:asciiTheme="majorBidi" w:eastAsia="Times New Roman" w:hAnsiTheme="majorBidi" w:cstheme="majorBidi"/>
            <w:lang w:val="en-US" w:eastAsia="fr-FR"/>
          </w:rPr>
          <w:t>https://www.product-arts.com/attachments/article/23/Assessing_Product_Opportunities.pdf</w:t>
        </w:r>
      </w:hyperlink>
    </w:p>
  </w:footnote>
  <w:footnote w:id="101">
    <w:p w14:paraId="5D5DBF7B" w14:textId="77777777" w:rsidR="0077354A" w:rsidRPr="00826AD3"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Susanna Rintamäki, “Challenges of the Export Process – Case Olvi Plc.,” Business Economics and Tourism, 2013, p 12-14.</w:t>
      </w:r>
    </w:p>
  </w:footnote>
  <w:footnote w:id="102">
    <w:p w14:paraId="7087B483" w14:textId="77777777" w:rsidR="0077354A" w:rsidRPr="00D42FE7" w:rsidRDefault="0077354A" w:rsidP="003F0D54">
      <w:pPr>
        <w:spacing w:line="240" w:lineRule="auto"/>
        <w:jc w:val="both"/>
        <w:rPr>
          <w:rFonts w:asciiTheme="majorBidi" w:eastAsia="Times New Roman" w:hAnsiTheme="majorBidi" w:cstheme="majorBidi"/>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John R. Darling, Hannu T. Seristö, “Key Steps for Success in the Export Markets: A New Paradigm for Strategic Decision Making,” European Business Review, 2004, p 35-37.</w:t>
      </w:r>
    </w:p>
  </w:footnote>
  <w:footnote w:id="103">
    <w:p w14:paraId="2124F5D6" w14:textId="77777777" w:rsidR="0077354A" w:rsidRPr="00826AD3"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John R. Darling, Hannu T. Seristö, op.cit, p 38.</w:t>
      </w:r>
    </w:p>
  </w:footnote>
  <w:footnote w:id="104">
    <w:p w14:paraId="21F7CA1E" w14:textId="77777777" w:rsidR="0077354A" w:rsidRPr="00826AD3" w:rsidRDefault="0077354A" w:rsidP="003F0D54">
      <w:pPr>
        <w:pStyle w:val="FootnoteText"/>
        <w:jc w:val="both"/>
        <w:rPr>
          <w:rFonts w:asciiTheme="majorBidi" w:hAnsiTheme="majorBidi" w:cstheme="majorBidi"/>
          <w:lang w:val="en-US"/>
        </w:rPr>
      </w:pPr>
      <w:r w:rsidRPr="00826AD3">
        <w:rPr>
          <w:rStyle w:val="FootnoteReference"/>
          <w:rFonts w:asciiTheme="majorBidi" w:hAnsiTheme="majorBidi" w:cstheme="majorBidi"/>
        </w:rPr>
        <w:footnoteRef/>
      </w:r>
      <w:r w:rsidRPr="00826AD3">
        <w:rPr>
          <w:rFonts w:asciiTheme="majorBidi" w:hAnsiTheme="majorBidi" w:cstheme="majorBidi"/>
          <w:lang w:val="en-US"/>
        </w:rPr>
        <w:t xml:space="preserve"> - </w:t>
      </w:r>
      <w:r w:rsidRPr="00826AD3">
        <w:rPr>
          <w:rFonts w:asciiTheme="majorBidi" w:eastAsia="Times New Roman" w:hAnsiTheme="majorBidi" w:cstheme="majorBidi"/>
          <w:lang w:val="en-US" w:eastAsia="fr-FR"/>
        </w:rPr>
        <w:t>Thangamani.T, Kamaraj.M, “Analysis of Export Problems in International Market for Indian Electrical Equipment Industry at Power Distribution Sector,” Journal of Business Studies Vol. 4, No. 1, 2017, p 65-66.</w:t>
      </w:r>
    </w:p>
  </w:footnote>
  <w:footnote w:id="105">
    <w:p w14:paraId="3A119D4B" w14:textId="77777777" w:rsidR="0077354A" w:rsidRPr="00826AD3"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Bazarova Fayyoza, “The Role of Marketing Strategies in the Development of the Export Potential of the Republic of Uzbekistan (Empirical Studies and Lessons from Korean Experience),” International Journal of Economics, Commerce &amp; Management Vol. VIII, Issue 2, February 2020, p 533.</w:t>
      </w:r>
    </w:p>
  </w:footnote>
  <w:footnote w:id="106">
    <w:p w14:paraId="50CC0928" w14:textId="77777777" w:rsidR="0077354A" w:rsidRPr="00826AD3" w:rsidRDefault="0077354A" w:rsidP="003F0D54">
      <w:pPr>
        <w:spacing w:line="240" w:lineRule="auto"/>
        <w:jc w:val="both"/>
        <w:rPr>
          <w:rFonts w:asciiTheme="majorBidi" w:eastAsia="Times New Roman" w:hAnsiTheme="majorBidi" w:cstheme="majorBidi"/>
          <w:sz w:val="20"/>
          <w:szCs w:val="20"/>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Robert Alexandriysky, “Export Marketing Plan: Step-by-Step Guide,” Pristina: United Nations Development Programme Kosovo, n.d., p 32.</w:t>
      </w:r>
    </w:p>
  </w:footnote>
  <w:footnote w:id="107">
    <w:p w14:paraId="3E88253D" w14:textId="77777777" w:rsidR="0077354A" w:rsidRPr="00D42FE7" w:rsidRDefault="0077354A" w:rsidP="003F0D54">
      <w:pPr>
        <w:spacing w:line="240" w:lineRule="auto"/>
        <w:jc w:val="both"/>
        <w:rPr>
          <w:rFonts w:asciiTheme="majorBidi" w:eastAsia="Times New Roman" w:hAnsiTheme="majorBidi" w:cstheme="majorBidi"/>
          <w:lang w:val="en-US"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Bazarova Fayyoza, op.cit, p 534.</w:t>
      </w:r>
    </w:p>
  </w:footnote>
  <w:footnote w:id="108">
    <w:p w14:paraId="0809699C" w14:textId="77777777" w:rsidR="0077354A" w:rsidRPr="00826AD3" w:rsidRDefault="0077354A" w:rsidP="003F0D54">
      <w:pPr>
        <w:pStyle w:val="FootnoteText"/>
        <w:jc w:val="both"/>
        <w:rPr>
          <w:rFonts w:asciiTheme="majorBidi" w:hAnsiTheme="majorBidi" w:cstheme="majorBidi"/>
          <w:lang w:val="en-US"/>
        </w:rPr>
      </w:pPr>
      <w:r w:rsidRPr="00826AD3">
        <w:rPr>
          <w:rStyle w:val="FootnoteReference"/>
          <w:rFonts w:asciiTheme="majorBidi" w:hAnsiTheme="majorBidi" w:cstheme="majorBidi"/>
        </w:rPr>
        <w:footnoteRef/>
      </w:r>
      <w:r w:rsidRPr="00826AD3">
        <w:rPr>
          <w:rFonts w:asciiTheme="majorBidi" w:hAnsiTheme="majorBidi" w:cstheme="majorBidi"/>
          <w:lang w:val="en-US"/>
        </w:rPr>
        <w:t xml:space="preserve"> - </w:t>
      </w:r>
      <w:r w:rsidRPr="00826AD3">
        <w:rPr>
          <w:rFonts w:asciiTheme="majorBidi" w:eastAsia="Times New Roman" w:hAnsiTheme="majorBidi" w:cstheme="majorBidi"/>
          <w:lang w:val="en-US" w:eastAsia="fr-FR"/>
        </w:rPr>
        <w:t>John R. Darling, Hannu T. Seristö, op.cit, p 40-42.</w:t>
      </w:r>
    </w:p>
  </w:footnote>
  <w:footnote w:id="109">
    <w:p w14:paraId="6C252DFB" w14:textId="59406D81" w:rsidR="0077354A" w:rsidRPr="0024056C" w:rsidRDefault="0077354A" w:rsidP="003F0D54">
      <w:pPr>
        <w:spacing w:line="240" w:lineRule="auto"/>
        <w:jc w:val="both"/>
        <w:rPr>
          <w:rFonts w:asciiTheme="majorBidi" w:eastAsia="Times New Roman" w:hAnsiTheme="majorBidi" w:cstheme="majorBidi"/>
          <w:sz w:val="20"/>
          <w:szCs w:val="20"/>
          <w:lang w:val="en-US" w:eastAsia="fr-FR"/>
        </w:rPr>
      </w:pPr>
      <w:r w:rsidRPr="0024056C">
        <w:rPr>
          <w:rStyle w:val="FootnoteReference"/>
          <w:rFonts w:asciiTheme="majorBidi" w:hAnsiTheme="majorBidi" w:cstheme="majorBidi"/>
          <w:sz w:val="20"/>
          <w:szCs w:val="20"/>
        </w:rPr>
        <w:footnoteRef/>
      </w:r>
      <w:r w:rsidRPr="0024056C">
        <w:rPr>
          <w:rFonts w:asciiTheme="majorBidi" w:hAnsiTheme="majorBidi" w:cstheme="majorBidi"/>
          <w:sz w:val="20"/>
          <w:szCs w:val="20"/>
          <w:lang w:val="en-US"/>
        </w:rPr>
        <w:t xml:space="preserve"> - </w:t>
      </w:r>
      <w:r w:rsidR="0024056C" w:rsidRPr="0024056C">
        <w:rPr>
          <w:rFonts w:asciiTheme="majorBidi" w:eastAsia="Times New Roman" w:hAnsiTheme="majorBidi" w:cstheme="majorBidi"/>
          <w:sz w:val="20"/>
          <w:szCs w:val="20"/>
          <w:lang w:val="en-US" w:eastAsia="fr-FR"/>
        </w:rPr>
        <w:t>John R. Darling, Hannu T. Seristö, op.cit</w:t>
      </w:r>
      <w:r w:rsidRPr="0024056C">
        <w:rPr>
          <w:rFonts w:asciiTheme="majorBidi" w:eastAsia="Times New Roman" w:hAnsiTheme="majorBidi" w:cstheme="majorBidi"/>
          <w:sz w:val="20"/>
          <w:szCs w:val="20"/>
          <w:lang w:val="en-US" w:eastAsia="fr-FR"/>
        </w:rPr>
        <w:t>, p 42.</w:t>
      </w:r>
    </w:p>
  </w:footnote>
  <w:footnote w:id="110">
    <w:p w14:paraId="6961EBBE" w14:textId="77777777" w:rsidR="0077354A" w:rsidRPr="00D42FE7" w:rsidRDefault="0077354A" w:rsidP="003F0D54">
      <w:pPr>
        <w:spacing w:line="240" w:lineRule="auto"/>
        <w:jc w:val="both"/>
        <w:rPr>
          <w:rFonts w:asciiTheme="majorBidi" w:eastAsia="Times New Roman" w:hAnsiTheme="majorBidi" w:cstheme="majorBidi"/>
          <w:lang w:val="en-US" w:eastAsia="fr-FR"/>
        </w:rPr>
      </w:pPr>
      <w:bookmarkStart w:id="224" w:name="_Hlk199631921"/>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US"/>
        </w:rPr>
        <w:t xml:space="preserve"> - </w:t>
      </w:r>
      <w:r w:rsidRPr="00826AD3">
        <w:rPr>
          <w:rFonts w:asciiTheme="majorBidi" w:eastAsia="Times New Roman" w:hAnsiTheme="majorBidi" w:cstheme="majorBidi"/>
          <w:sz w:val="20"/>
          <w:szCs w:val="20"/>
          <w:lang w:val="en-US" w:eastAsia="fr-FR"/>
        </w:rPr>
        <w:t>Fred R. David, “Strategic Management: Concepts and Cases,” 30th ed, Pearson Education, Upper Saddle River, New Jersey, 2011, p 286-287.</w:t>
      </w:r>
      <w:bookmarkEnd w:id="224"/>
    </w:p>
  </w:footnote>
  <w:footnote w:id="111">
    <w:p w14:paraId="6C9DD813" w14:textId="77777777" w:rsidR="0077354A" w:rsidRPr="00826AD3" w:rsidRDefault="0077354A" w:rsidP="003F0D54">
      <w:pPr>
        <w:bidi/>
        <w:spacing w:line="240" w:lineRule="auto"/>
        <w:jc w:val="both"/>
        <w:rPr>
          <w:rFonts w:asciiTheme="majorBidi" w:eastAsia="Times New Roman" w:hAnsiTheme="majorBidi" w:cstheme="majorBidi"/>
          <w:sz w:val="20"/>
          <w:szCs w:val="20"/>
          <w:rtl/>
          <w:lang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w:t>
      </w:r>
      <w:r w:rsidRPr="00826AD3">
        <w:rPr>
          <w:rFonts w:asciiTheme="majorBidi" w:hAnsiTheme="majorBidi" w:cstheme="majorBidi"/>
          <w:sz w:val="20"/>
          <w:szCs w:val="20"/>
          <w:rtl/>
          <w:lang w:bidi="ar-DZ"/>
        </w:rPr>
        <w:t xml:space="preserve">- </w:t>
      </w:r>
      <w:r w:rsidRPr="00826AD3">
        <w:rPr>
          <w:rFonts w:asciiTheme="majorBidi" w:eastAsia="Times New Roman" w:hAnsiTheme="majorBidi" w:cstheme="majorBidi"/>
          <w:sz w:val="20"/>
          <w:szCs w:val="20"/>
          <w:rtl/>
          <w:lang w:eastAsia="fr-FR"/>
        </w:rPr>
        <w:t>جحا نبيل، جلال عبد القادر، "قراءة في أحكام الأمر 03-04 المعدل و المتمم، المتعلق بالقواعد العامة المطبقة على عمليات استيراد البضائع و تصديرها"، مجلة الجغرافيا الاقتصادية، المجلد 02، العدد 01، 2025، ص 191.</w:t>
      </w:r>
    </w:p>
  </w:footnote>
  <w:footnote w:id="112">
    <w:p w14:paraId="7E773AFF" w14:textId="77777777" w:rsidR="0077354A" w:rsidRPr="00826AD3" w:rsidRDefault="0077354A" w:rsidP="003F0D54">
      <w:pPr>
        <w:bidi/>
        <w:spacing w:line="240" w:lineRule="auto"/>
        <w:jc w:val="both"/>
        <w:rPr>
          <w:rFonts w:asciiTheme="majorBidi" w:eastAsia="Times New Roman" w:hAnsiTheme="majorBidi" w:cstheme="majorBidi"/>
          <w:sz w:val="20"/>
          <w:szCs w:val="20"/>
          <w:rtl/>
          <w:lang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w:t>
      </w:r>
      <w:r w:rsidRPr="00826AD3">
        <w:rPr>
          <w:rFonts w:asciiTheme="majorBidi" w:hAnsiTheme="majorBidi" w:cstheme="majorBidi"/>
          <w:sz w:val="20"/>
          <w:szCs w:val="20"/>
          <w:rtl/>
          <w:lang w:bidi="ar-DZ"/>
        </w:rPr>
        <w:t xml:space="preserve">- </w:t>
      </w:r>
      <w:r w:rsidRPr="00826AD3">
        <w:rPr>
          <w:rFonts w:asciiTheme="majorBidi" w:eastAsia="Times New Roman" w:hAnsiTheme="majorBidi" w:cstheme="majorBidi"/>
          <w:sz w:val="20"/>
          <w:szCs w:val="20"/>
          <w:rtl/>
          <w:lang w:eastAsia="fr-FR"/>
        </w:rPr>
        <w:t>د. اللحياني ليلى، "رخص استيراد البضائع و تصديرها في ظل دستورية مبدأ حرية الاستثمار في الجزائر"، دفاتر البحوث العلمية، العدد الحادي العشر، ديسمبر 2017، ص 74.</w:t>
      </w:r>
    </w:p>
  </w:footnote>
  <w:footnote w:id="113">
    <w:p w14:paraId="3F1F50A2" w14:textId="77777777" w:rsidR="0077354A" w:rsidRPr="00D42FE7" w:rsidRDefault="0077354A" w:rsidP="003F0D54">
      <w:pPr>
        <w:bidi/>
        <w:spacing w:line="240" w:lineRule="auto"/>
        <w:jc w:val="both"/>
        <w:rPr>
          <w:rFonts w:asciiTheme="majorBidi" w:eastAsia="Times New Roman" w:hAnsiTheme="majorBidi" w:cstheme="majorBidi"/>
          <w:rtl/>
          <w:lang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w:t>
      </w:r>
      <w:r w:rsidRPr="00826AD3">
        <w:rPr>
          <w:rFonts w:asciiTheme="majorBidi" w:hAnsiTheme="majorBidi" w:cstheme="majorBidi"/>
          <w:sz w:val="20"/>
          <w:szCs w:val="20"/>
          <w:rtl/>
          <w:lang w:bidi="ar-DZ"/>
        </w:rPr>
        <w:t xml:space="preserve">- </w:t>
      </w:r>
      <w:r w:rsidRPr="00826AD3">
        <w:rPr>
          <w:rFonts w:asciiTheme="majorBidi" w:hAnsiTheme="majorBidi" w:cstheme="majorBidi"/>
          <w:sz w:val="20"/>
          <w:szCs w:val="20"/>
          <w:rtl/>
        </w:rPr>
        <w:t xml:space="preserve">جحا نبيل ، جلال عبد القادر ، </w:t>
      </w:r>
      <w:r w:rsidRPr="00826AD3">
        <w:rPr>
          <w:rFonts w:asciiTheme="majorBidi" w:hAnsiTheme="majorBidi" w:cstheme="majorBidi"/>
          <w:sz w:val="20"/>
          <w:szCs w:val="20"/>
        </w:rPr>
        <w:t>op.cit</w:t>
      </w:r>
      <w:r w:rsidRPr="00826AD3">
        <w:rPr>
          <w:rFonts w:asciiTheme="majorBidi" w:eastAsia="Times New Roman" w:hAnsiTheme="majorBidi" w:cstheme="majorBidi"/>
          <w:sz w:val="20"/>
          <w:szCs w:val="20"/>
          <w:rtl/>
          <w:lang w:eastAsia="fr-FR"/>
        </w:rPr>
        <w:t xml:space="preserve"> 191.</w:t>
      </w:r>
    </w:p>
  </w:footnote>
  <w:footnote w:id="114">
    <w:p w14:paraId="2F652467" w14:textId="77777777" w:rsidR="0077354A" w:rsidRPr="00826AD3" w:rsidRDefault="0077354A" w:rsidP="003F0D54">
      <w:pPr>
        <w:pStyle w:val="FootnoteText"/>
        <w:bidi/>
        <w:jc w:val="both"/>
        <w:rPr>
          <w:rFonts w:asciiTheme="majorBidi" w:hAnsiTheme="majorBidi" w:cstheme="majorBidi"/>
          <w:rtl/>
          <w:lang w:bidi="ar-DZ"/>
        </w:rPr>
      </w:pPr>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 xml:space="preserve">جحا نبيل، جلال عبد القادر، </w:t>
      </w:r>
      <w:r w:rsidRPr="00826AD3">
        <w:rPr>
          <w:rFonts w:asciiTheme="majorBidi" w:eastAsia="Times New Roman" w:hAnsiTheme="majorBidi" w:cstheme="majorBidi"/>
          <w:lang w:eastAsia="fr-FR"/>
        </w:rPr>
        <w:t>op.cit</w:t>
      </w:r>
      <w:r w:rsidRPr="00826AD3">
        <w:rPr>
          <w:rFonts w:asciiTheme="majorBidi" w:eastAsia="Times New Roman" w:hAnsiTheme="majorBidi" w:cstheme="majorBidi"/>
          <w:rtl/>
          <w:lang w:eastAsia="fr-FR"/>
        </w:rPr>
        <w:t>، ص 192.</w:t>
      </w:r>
    </w:p>
  </w:footnote>
  <w:footnote w:id="115">
    <w:p w14:paraId="56325D2E" w14:textId="77777777" w:rsidR="0077354A" w:rsidRPr="00826AD3" w:rsidRDefault="0077354A" w:rsidP="003F0D54">
      <w:pPr>
        <w:pStyle w:val="FootnoteText"/>
        <w:bidi/>
        <w:jc w:val="both"/>
        <w:rPr>
          <w:rFonts w:asciiTheme="majorBidi" w:hAnsiTheme="majorBidi" w:cstheme="majorBidi"/>
          <w:rtl/>
          <w:lang w:bidi="ar-DZ"/>
        </w:rPr>
      </w:pPr>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 xml:space="preserve">د. اللحياني ليلى، </w:t>
      </w:r>
      <w:r w:rsidRPr="00826AD3">
        <w:rPr>
          <w:rFonts w:asciiTheme="majorBidi" w:eastAsia="Times New Roman" w:hAnsiTheme="majorBidi" w:cstheme="majorBidi"/>
          <w:lang w:eastAsia="fr-FR"/>
        </w:rPr>
        <w:t>op.cit</w:t>
      </w:r>
      <w:r w:rsidRPr="00826AD3">
        <w:rPr>
          <w:rFonts w:asciiTheme="majorBidi" w:eastAsia="Times New Roman" w:hAnsiTheme="majorBidi" w:cstheme="majorBidi"/>
          <w:rtl/>
          <w:lang w:eastAsia="fr-FR"/>
        </w:rPr>
        <w:t>، ص 75-76.</w:t>
      </w:r>
    </w:p>
  </w:footnote>
  <w:footnote w:id="116">
    <w:p w14:paraId="652D9EC7" w14:textId="77777777" w:rsidR="0077354A" w:rsidRPr="00D42FE7" w:rsidRDefault="0077354A" w:rsidP="003F0D54">
      <w:pPr>
        <w:pStyle w:val="FootnoteText"/>
        <w:bidi/>
        <w:jc w:val="both"/>
        <w:rPr>
          <w:rFonts w:asciiTheme="majorBidi" w:hAnsiTheme="majorBidi" w:cstheme="majorBidi"/>
          <w:sz w:val="22"/>
          <w:szCs w:val="22"/>
          <w:rtl/>
          <w:lang w:bidi="ar-DZ"/>
        </w:rPr>
      </w:pPr>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جحا نبيل، جلال عبد القادر،</w:t>
      </w:r>
      <w:r w:rsidRPr="00826AD3">
        <w:rPr>
          <w:rFonts w:asciiTheme="majorBidi" w:eastAsia="Times New Roman" w:hAnsiTheme="majorBidi" w:cstheme="majorBidi"/>
          <w:lang w:eastAsia="fr-FR"/>
        </w:rPr>
        <w:t>op.cit</w:t>
      </w:r>
      <w:r w:rsidRPr="00826AD3">
        <w:rPr>
          <w:rFonts w:asciiTheme="majorBidi" w:eastAsia="Times New Roman" w:hAnsiTheme="majorBidi" w:cstheme="majorBidi"/>
          <w:rtl/>
          <w:lang w:eastAsia="fr-FR"/>
        </w:rPr>
        <w:t>.</w:t>
      </w:r>
    </w:p>
  </w:footnote>
  <w:footnote w:id="117">
    <w:p w14:paraId="223115CE" w14:textId="77777777" w:rsidR="0077354A" w:rsidRPr="00826AD3" w:rsidRDefault="0077354A" w:rsidP="003F0D54">
      <w:pPr>
        <w:pStyle w:val="FootnoteText"/>
        <w:bidi/>
        <w:jc w:val="both"/>
        <w:rPr>
          <w:rFonts w:asciiTheme="majorBidi" w:hAnsiTheme="majorBidi" w:cstheme="majorBidi"/>
          <w:rtl/>
          <w:lang w:bidi="ar-DZ"/>
        </w:rPr>
      </w:pPr>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ورشة لفائدة المؤسسات المصدرة، الوكالة الوطنية لترقية التجارة الخارجية</w:t>
      </w:r>
      <w:r w:rsidRPr="00826AD3">
        <w:rPr>
          <w:rFonts w:asciiTheme="majorBidi" w:eastAsia="Times New Roman" w:hAnsiTheme="majorBidi" w:cstheme="majorBidi"/>
          <w:lang w:eastAsia="fr-FR"/>
        </w:rPr>
        <w:t xml:space="preserve"> ALGEX</w:t>
      </w:r>
      <w:r w:rsidRPr="00826AD3">
        <w:rPr>
          <w:rFonts w:asciiTheme="majorBidi" w:eastAsia="Times New Roman" w:hAnsiTheme="majorBidi" w:cstheme="majorBidi"/>
          <w:rtl/>
          <w:lang w:eastAsia="fr-FR"/>
        </w:rPr>
        <w:t xml:space="preserve">، تم الدخول في 11 أفريل 2025 على الساعة 20:05، </w:t>
      </w:r>
      <w:hyperlink r:id="rId30" w:tgtFrame="_blank" w:history="1">
        <w:r w:rsidRPr="00826AD3">
          <w:rPr>
            <w:rFonts w:asciiTheme="majorBidi" w:eastAsia="Times New Roman" w:hAnsiTheme="majorBidi" w:cstheme="majorBidi"/>
            <w:color w:val="0000FF"/>
            <w:u w:val="single"/>
            <w:lang w:eastAsia="fr-FR"/>
          </w:rPr>
          <w:t>https://www.algex.dz/2017-03-19-08-13-36/item/1562-2021</w:t>
        </w:r>
      </w:hyperlink>
    </w:p>
  </w:footnote>
  <w:footnote w:id="118">
    <w:p w14:paraId="501E4DB0" w14:textId="77777777" w:rsidR="0077354A" w:rsidRPr="00826AD3" w:rsidRDefault="0077354A" w:rsidP="003F0D54">
      <w:pPr>
        <w:pStyle w:val="FootnoteText"/>
        <w:bidi/>
        <w:jc w:val="both"/>
        <w:rPr>
          <w:rFonts w:asciiTheme="majorBidi" w:hAnsiTheme="majorBidi" w:cstheme="majorBidi"/>
          <w:rtl/>
          <w:lang w:bidi="ar-DZ"/>
        </w:rPr>
      </w:pPr>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جحا نبيل، جلال عبد القادر،</w:t>
      </w:r>
      <w:r w:rsidRPr="00826AD3">
        <w:rPr>
          <w:rFonts w:asciiTheme="majorBidi" w:eastAsia="Times New Roman" w:hAnsiTheme="majorBidi" w:cstheme="majorBidi"/>
          <w:lang w:eastAsia="fr-FR"/>
        </w:rPr>
        <w:t>op.cit</w:t>
      </w:r>
      <w:r w:rsidRPr="00826AD3">
        <w:rPr>
          <w:rFonts w:asciiTheme="majorBidi" w:eastAsia="Times New Roman" w:hAnsiTheme="majorBidi" w:cstheme="majorBidi"/>
          <w:rtl/>
          <w:lang w:eastAsia="fr-FR"/>
        </w:rPr>
        <w:t> </w:t>
      </w:r>
      <w:r w:rsidRPr="00826AD3">
        <w:rPr>
          <w:rFonts w:asciiTheme="majorBidi" w:eastAsia="Times New Roman" w:hAnsiTheme="majorBidi" w:cstheme="majorBidi"/>
          <w:lang w:eastAsia="fr-FR"/>
        </w:rPr>
        <w:t>,</w:t>
      </w:r>
      <w:r w:rsidRPr="00826AD3">
        <w:rPr>
          <w:rFonts w:asciiTheme="majorBidi" w:eastAsia="Times New Roman" w:hAnsiTheme="majorBidi" w:cstheme="majorBidi"/>
          <w:rtl/>
          <w:lang w:eastAsia="fr-FR"/>
        </w:rPr>
        <w:t>ص194-195.</w:t>
      </w:r>
    </w:p>
  </w:footnote>
  <w:footnote w:id="119">
    <w:p w14:paraId="35972836" w14:textId="77777777" w:rsidR="0077354A" w:rsidRPr="00826AD3" w:rsidRDefault="0077354A" w:rsidP="003F0D54">
      <w:pPr>
        <w:pStyle w:val="FootnoteText"/>
        <w:bidi/>
        <w:jc w:val="both"/>
        <w:rPr>
          <w:rFonts w:asciiTheme="majorBidi" w:hAnsiTheme="majorBidi" w:cstheme="majorBidi"/>
          <w:rtl/>
          <w:lang w:val="en-US" w:bidi="ar-DZ"/>
        </w:rPr>
      </w:pPr>
      <w:bookmarkStart w:id="225" w:name="_Hlk199632011"/>
      <w:r w:rsidRPr="00826AD3">
        <w:rPr>
          <w:rStyle w:val="FootnoteReference"/>
          <w:rFonts w:asciiTheme="majorBidi" w:hAnsiTheme="majorBidi" w:cstheme="majorBidi"/>
        </w:rPr>
        <w:footnoteRef/>
      </w:r>
      <w:r w:rsidRPr="00826AD3">
        <w:rPr>
          <w:rFonts w:asciiTheme="majorBidi" w:hAnsiTheme="majorBidi" w:cstheme="majorBidi"/>
        </w:rPr>
        <w:t xml:space="preserve"> </w:t>
      </w:r>
      <w:r w:rsidRPr="00826AD3">
        <w:rPr>
          <w:rFonts w:asciiTheme="majorBidi" w:hAnsiTheme="majorBidi" w:cstheme="majorBidi"/>
          <w:rtl/>
          <w:lang w:bidi="ar-DZ"/>
        </w:rPr>
        <w:t xml:space="preserve">- </w:t>
      </w:r>
      <w:r w:rsidRPr="00826AD3">
        <w:rPr>
          <w:rFonts w:asciiTheme="majorBidi" w:eastAsia="Times New Roman" w:hAnsiTheme="majorBidi" w:cstheme="majorBidi"/>
          <w:rtl/>
          <w:lang w:eastAsia="fr-FR"/>
        </w:rPr>
        <w:t>ورشة لفائدة المؤسسات المصدرة، الوكالة الوطنية لترقية التجارة الخارجية</w:t>
      </w:r>
      <w:r w:rsidRPr="00826AD3">
        <w:rPr>
          <w:rFonts w:asciiTheme="majorBidi" w:eastAsia="Times New Roman" w:hAnsiTheme="majorBidi" w:cstheme="majorBidi"/>
          <w:lang w:eastAsia="fr-FR"/>
        </w:rPr>
        <w:t xml:space="preserve"> ALGEX</w:t>
      </w:r>
      <w:r w:rsidRPr="00826AD3">
        <w:rPr>
          <w:rFonts w:asciiTheme="majorBidi" w:eastAsia="Times New Roman" w:hAnsiTheme="majorBidi" w:cstheme="majorBidi"/>
          <w:rtl/>
          <w:lang w:eastAsia="fr-FR"/>
        </w:rPr>
        <w:t xml:space="preserve">، تم الدخول في 11 أفريل 2025 على الساعة 20:05، </w:t>
      </w:r>
      <w:hyperlink r:id="rId31" w:tgtFrame="_blank" w:history="1">
        <w:r w:rsidRPr="00826AD3">
          <w:rPr>
            <w:rFonts w:asciiTheme="majorBidi" w:eastAsia="Times New Roman" w:hAnsiTheme="majorBidi" w:cstheme="majorBidi"/>
            <w:color w:val="0000FF"/>
            <w:u w:val="single"/>
            <w:lang w:eastAsia="fr-FR"/>
          </w:rPr>
          <w:t>https://www.algex.dz/2017-03-19-08-13-36/item/1562-2021</w:t>
        </w:r>
      </w:hyperlink>
      <w:bookmarkEnd w:id="225"/>
    </w:p>
  </w:footnote>
  <w:footnote w:id="120">
    <w:p w14:paraId="02EE8034" w14:textId="77777777" w:rsidR="0077354A" w:rsidRPr="00826AD3" w:rsidRDefault="0077354A" w:rsidP="003F0D54">
      <w:pPr>
        <w:pStyle w:val="NormalWeb"/>
        <w:shd w:val="clear" w:color="auto" w:fill="FFFFFF"/>
        <w:bidi/>
        <w:spacing w:before="0" w:beforeAutospacing="0" w:after="150" w:afterAutospacing="0"/>
        <w:jc w:val="both"/>
        <w:rPr>
          <w:rFonts w:asciiTheme="majorBidi" w:hAnsiTheme="majorBidi" w:cstheme="majorBidi"/>
          <w:sz w:val="20"/>
          <w:szCs w:val="20"/>
          <w:rtl/>
        </w:rPr>
      </w:pPr>
      <w:bookmarkStart w:id="226" w:name="_Hlk199632024"/>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w:t>
      </w:r>
      <w:r w:rsidRPr="00826AD3">
        <w:rPr>
          <w:rFonts w:asciiTheme="majorBidi" w:hAnsiTheme="majorBidi" w:cstheme="majorBidi"/>
          <w:sz w:val="20"/>
          <w:szCs w:val="20"/>
          <w:rtl/>
          <w:lang w:bidi="ar-DZ"/>
        </w:rPr>
        <w:t xml:space="preserve">- </w:t>
      </w:r>
      <w:r w:rsidRPr="00826AD3">
        <w:rPr>
          <w:rFonts w:asciiTheme="majorBidi" w:hAnsiTheme="majorBidi" w:cstheme="majorBidi"/>
          <w:sz w:val="20"/>
          <w:szCs w:val="20"/>
          <w:rtl/>
        </w:rPr>
        <w:t>صدروا مع ألجيكس، الوكالة الوطنية لترقية التجارة الخارجية</w:t>
      </w:r>
      <w:r w:rsidRPr="00826AD3">
        <w:rPr>
          <w:rFonts w:asciiTheme="majorBidi" w:hAnsiTheme="majorBidi" w:cstheme="majorBidi"/>
          <w:sz w:val="20"/>
          <w:szCs w:val="20"/>
        </w:rPr>
        <w:t xml:space="preserve"> ALGEX</w:t>
      </w:r>
      <w:r w:rsidRPr="00826AD3">
        <w:rPr>
          <w:rFonts w:asciiTheme="majorBidi" w:hAnsiTheme="majorBidi" w:cstheme="majorBidi"/>
          <w:sz w:val="20"/>
          <w:szCs w:val="20"/>
          <w:rtl/>
        </w:rPr>
        <w:t xml:space="preserve">، تم الدخول في 11 أفريل 2025 على الساعة 19:40، </w:t>
      </w:r>
    </w:p>
    <w:p w14:paraId="12B9038A" w14:textId="77777777" w:rsidR="0077354A" w:rsidRPr="00D42FE7" w:rsidRDefault="00B6520E" w:rsidP="003F0D54">
      <w:pPr>
        <w:pStyle w:val="FootnoteText"/>
        <w:jc w:val="both"/>
        <w:rPr>
          <w:rFonts w:asciiTheme="majorBidi" w:hAnsiTheme="majorBidi" w:cstheme="majorBidi"/>
          <w:sz w:val="22"/>
          <w:szCs w:val="22"/>
        </w:rPr>
      </w:pPr>
      <w:hyperlink r:id="rId32" w:history="1">
        <w:r w:rsidR="0077354A" w:rsidRPr="00826AD3">
          <w:rPr>
            <w:rStyle w:val="Hyperlink"/>
            <w:rFonts w:asciiTheme="majorBidi" w:eastAsia="Times New Roman" w:hAnsiTheme="majorBidi" w:cstheme="majorBidi"/>
            <w:lang w:eastAsia="fr-FR"/>
          </w:rPr>
          <w:t>https://www.algex.dz/</w:t>
        </w:r>
        <w:r w:rsidR="0077354A" w:rsidRPr="00826AD3">
          <w:rPr>
            <w:rStyle w:val="Hyperlink"/>
            <w:rFonts w:asciiTheme="majorBidi" w:eastAsia="Times New Roman" w:hAnsiTheme="majorBidi" w:cstheme="majorBidi"/>
            <w:rtl/>
            <w:lang w:eastAsia="fr-FR"/>
          </w:rPr>
          <w:t>صدروا-مع-ألجيكس</w:t>
        </w:r>
        <w:r w:rsidR="0077354A" w:rsidRPr="00826AD3">
          <w:rPr>
            <w:rStyle w:val="Hyperlink"/>
            <w:rFonts w:asciiTheme="majorBidi" w:eastAsia="Times New Roman" w:hAnsiTheme="majorBidi" w:cstheme="majorBidi"/>
            <w:lang w:eastAsia="fr-FR"/>
          </w:rPr>
          <w:t>/item/600-2020-10-22-14-09-17</w:t>
        </w:r>
      </w:hyperlink>
      <w:bookmarkEnd w:id="226"/>
    </w:p>
  </w:footnote>
  <w:footnote w:id="121">
    <w:p w14:paraId="5EC984E6" w14:textId="77777777" w:rsidR="0077354A" w:rsidRPr="00826AD3" w:rsidRDefault="0077354A" w:rsidP="003F0D54">
      <w:pPr>
        <w:pStyle w:val="FootnoteText"/>
        <w:spacing w:line="360" w:lineRule="auto"/>
        <w:jc w:val="both"/>
        <w:rPr>
          <w:rFonts w:asciiTheme="majorBidi" w:hAnsiTheme="majorBidi" w:cstheme="majorBidi"/>
        </w:rPr>
      </w:pPr>
      <w:bookmarkStart w:id="229" w:name="_Hlk199632093"/>
      <w:r w:rsidRPr="00826AD3">
        <w:rPr>
          <w:rStyle w:val="FootnoteReference"/>
          <w:rFonts w:asciiTheme="majorBidi" w:hAnsiTheme="majorBidi" w:cstheme="majorBidi"/>
        </w:rPr>
        <w:footnoteRef/>
      </w:r>
      <w:r w:rsidRPr="00826AD3">
        <w:rPr>
          <w:rFonts w:asciiTheme="majorBidi" w:hAnsiTheme="majorBidi" w:cstheme="majorBidi"/>
        </w:rPr>
        <w:t xml:space="preserve"> - </w:t>
      </w:r>
      <w:r w:rsidRPr="00826AD3">
        <w:rPr>
          <w:rFonts w:asciiTheme="majorBidi" w:eastAsia="Times New Roman" w:hAnsiTheme="majorBidi" w:cstheme="majorBidi"/>
          <w:lang w:eastAsia="fr-FR"/>
        </w:rPr>
        <w:t>Guide Pratique de l’Exportateur Algérien, ALGEX, 2021, p 57-60.</w:t>
      </w:r>
      <w:bookmarkEnd w:id="229"/>
    </w:p>
  </w:footnote>
  <w:footnote w:id="122">
    <w:p w14:paraId="73FC4C22" w14:textId="525E982C" w:rsidR="0077354A" w:rsidRPr="00826AD3" w:rsidRDefault="0077354A" w:rsidP="003F0D54">
      <w:pPr>
        <w:pStyle w:val="FootnoteText"/>
        <w:jc w:val="both"/>
        <w:rPr>
          <w:rFonts w:asciiTheme="majorBidi" w:hAnsiTheme="majorBidi" w:cstheme="majorBidi"/>
        </w:rPr>
      </w:pPr>
      <w:r w:rsidRPr="00826AD3">
        <w:rPr>
          <w:rStyle w:val="FootnoteReference"/>
          <w:rFonts w:asciiTheme="majorBidi" w:hAnsiTheme="majorBidi" w:cstheme="majorBidi"/>
        </w:rPr>
        <w:footnoteRef/>
      </w:r>
      <w:r w:rsidRPr="00826AD3">
        <w:rPr>
          <w:rFonts w:asciiTheme="majorBidi" w:hAnsiTheme="majorBidi" w:cstheme="majorBidi"/>
        </w:rPr>
        <w:t xml:space="preserve"> - </w:t>
      </w:r>
      <w:r w:rsidR="00D246DE">
        <w:rPr>
          <w:rFonts w:asciiTheme="majorBidi" w:eastAsia="Times New Roman" w:hAnsiTheme="majorBidi" w:cstheme="majorBidi"/>
          <w:lang w:eastAsia="fr-FR"/>
        </w:rPr>
        <w:t>ibid</w:t>
      </w:r>
      <w:r w:rsidRPr="00826AD3">
        <w:rPr>
          <w:rFonts w:asciiTheme="majorBidi" w:eastAsia="Times New Roman" w:hAnsiTheme="majorBidi" w:cstheme="majorBidi"/>
          <w:lang w:eastAsia="fr-FR"/>
        </w:rPr>
        <w:t>, p 63-64.</w:t>
      </w:r>
    </w:p>
  </w:footnote>
  <w:footnote w:id="123">
    <w:p w14:paraId="3101B9BA" w14:textId="77777777" w:rsidR="0077354A" w:rsidRPr="00826AD3" w:rsidRDefault="0077354A" w:rsidP="003F0D54">
      <w:pPr>
        <w:spacing w:line="240" w:lineRule="auto"/>
        <w:jc w:val="both"/>
        <w:rPr>
          <w:rFonts w:asciiTheme="majorBidi" w:eastAsia="Times New Roman" w:hAnsiTheme="majorBidi" w:cstheme="majorBidi"/>
          <w:sz w:val="20"/>
          <w:szCs w:val="20"/>
          <w:lang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 </w:t>
      </w:r>
      <w:r w:rsidRPr="00826AD3">
        <w:rPr>
          <w:rFonts w:asciiTheme="majorBidi" w:eastAsia="Times New Roman" w:hAnsiTheme="majorBidi" w:cstheme="majorBidi"/>
          <w:sz w:val="20"/>
          <w:szCs w:val="20"/>
          <w:lang w:eastAsia="fr-FR"/>
        </w:rPr>
        <w:t>Guide Pratique de l’Exportateur Algérien, ALGEX, 2021, p 60-61.</w:t>
      </w:r>
    </w:p>
  </w:footnote>
  <w:footnote w:id="124">
    <w:p w14:paraId="2A3ED456" w14:textId="77777777" w:rsidR="0077354A" w:rsidRPr="00D42FE7" w:rsidRDefault="0077354A" w:rsidP="003F0D54">
      <w:pPr>
        <w:pStyle w:val="FootnoteText"/>
        <w:jc w:val="both"/>
        <w:rPr>
          <w:rFonts w:asciiTheme="majorBidi" w:hAnsiTheme="majorBidi" w:cstheme="majorBidi"/>
          <w:sz w:val="22"/>
          <w:szCs w:val="22"/>
        </w:rPr>
      </w:pPr>
      <w:r w:rsidRPr="00826AD3">
        <w:rPr>
          <w:rStyle w:val="FootnoteReference"/>
          <w:rFonts w:asciiTheme="majorBidi" w:hAnsiTheme="majorBidi" w:cstheme="majorBidi"/>
        </w:rPr>
        <w:footnoteRef/>
      </w:r>
      <w:r w:rsidRPr="00826AD3">
        <w:rPr>
          <w:rFonts w:asciiTheme="majorBidi" w:hAnsiTheme="majorBidi" w:cstheme="majorBidi"/>
        </w:rPr>
        <w:t xml:space="preserve"> - </w:t>
      </w:r>
      <w:r w:rsidRPr="00826AD3">
        <w:rPr>
          <w:rFonts w:asciiTheme="majorBidi" w:eastAsia="Times New Roman" w:hAnsiTheme="majorBidi" w:cstheme="majorBidi"/>
          <w:lang w:eastAsia="fr-FR"/>
        </w:rPr>
        <w:t>Guide Pratique de l’Exportateur Algérien, ALGEX, 2021, p 59.</w:t>
      </w:r>
    </w:p>
  </w:footnote>
  <w:footnote w:id="125">
    <w:p w14:paraId="4764B0D2" w14:textId="77777777" w:rsidR="0077354A" w:rsidRPr="00826AD3" w:rsidRDefault="0077354A" w:rsidP="003F0D54">
      <w:pPr>
        <w:spacing w:line="360" w:lineRule="auto"/>
        <w:jc w:val="both"/>
        <w:rPr>
          <w:rFonts w:asciiTheme="majorBidi" w:eastAsia="Times New Roman" w:hAnsiTheme="majorBidi" w:cstheme="majorBidi"/>
          <w:sz w:val="20"/>
          <w:szCs w:val="20"/>
          <w:lang w:eastAsia="fr-FR"/>
        </w:rPr>
      </w:pPr>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 </w:t>
      </w:r>
      <w:r w:rsidRPr="00826AD3">
        <w:rPr>
          <w:rFonts w:asciiTheme="majorBidi" w:eastAsia="Times New Roman" w:hAnsiTheme="majorBidi" w:cstheme="majorBidi"/>
          <w:sz w:val="20"/>
          <w:szCs w:val="20"/>
          <w:lang w:eastAsia="fr-FR"/>
        </w:rPr>
        <w:t>Guide Pratique de l’Exportateur Algérien, ALGEX, 2021, p 62.</w:t>
      </w:r>
    </w:p>
  </w:footnote>
  <w:footnote w:id="126">
    <w:p w14:paraId="7CE0505C" w14:textId="77777777" w:rsidR="0077354A" w:rsidRPr="00FB2CD5" w:rsidRDefault="0077354A" w:rsidP="003F0D54">
      <w:pPr>
        <w:bidi/>
        <w:spacing w:line="360" w:lineRule="auto"/>
        <w:jc w:val="both"/>
        <w:rPr>
          <w:rFonts w:asciiTheme="majorBidi" w:eastAsia="Times New Roman" w:hAnsiTheme="majorBidi" w:cstheme="majorBidi"/>
          <w:rtl/>
          <w:lang w:val="en-US" w:eastAsia="fr-FR"/>
        </w:rPr>
      </w:pPr>
      <w:bookmarkStart w:id="244" w:name="_Hlk199632113"/>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rPr>
        <w:t xml:space="preserve"> </w:t>
      </w:r>
      <w:r w:rsidRPr="00826AD3">
        <w:rPr>
          <w:rFonts w:asciiTheme="majorBidi" w:hAnsiTheme="majorBidi" w:cstheme="majorBidi"/>
          <w:sz w:val="20"/>
          <w:szCs w:val="20"/>
          <w:rtl/>
          <w:lang w:bidi="ar-DZ"/>
        </w:rPr>
        <w:t xml:space="preserve">- - </w:t>
      </w:r>
      <w:r w:rsidRPr="00826AD3">
        <w:rPr>
          <w:rFonts w:asciiTheme="majorBidi" w:eastAsia="Times New Roman" w:hAnsiTheme="majorBidi" w:cstheme="majorBidi"/>
          <w:sz w:val="20"/>
          <w:szCs w:val="20"/>
          <w:rtl/>
          <w:lang w:eastAsia="fr-FR"/>
        </w:rPr>
        <w:t>أسامة غزلاني، "دور رقمنة قطاع الجمارك في تسهيل عمليات التجارة الخارجية الجزائرية: اقتراح إطار عمل لرقمنة الجمارك الجزائرية بالاعتماد على التجارب الدولية"، رسالة دكتوراه، جامعة 8 ماي 1945 قالمة، 2023/2024، ص 46</w:t>
      </w:r>
      <w:r w:rsidRPr="00826AD3">
        <w:rPr>
          <w:rFonts w:asciiTheme="majorBidi" w:eastAsia="Times New Roman" w:hAnsiTheme="majorBidi" w:cstheme="majorBidi"/>
          <w:sz w:val="20"/>
          <w:szCs w:val="20"/>
          <w:lang w:val="en-US" w:eastAsia="fr-FR"/>
        </w:rPr>
        <w:t xml:space="preserve"> .</w:t>
      </w:r>
      <w:bookmarkEnd w:id="244"/>
    </w:p>
  </w:footnote>
  <w:footnote w:id="127">
    <w:p w14:paraId="469C6D03" w14:textId="4619360C" w:rsidR="0077354A" w:rsidRPr="00142499" w:rsidRDefault="0077354A" w:rsidP="0024056C">
      <w:pPr>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00142499" w:rsidRPr="00142499">
        <w:rPr>
          <w:rFonts w:asciiTheme="majorBidi" w:hAnsiTheme="majorBidi" w:cstheme="majorBidi"/>
          <w:sz w:val="20"/>
          <w:szCs w:val="20"/>
          <w:lang w:val="en-GB"/>
        </w:rPr>
        <w:t xml:space="preserve">BusinessCulture.org. "Business Culture in Turkey." Accessed April 18, 2025, 19:05. </w:t>
      </w:r>
      <w:hyperlink r:id="rId33" w:tgtFrame="_new" w:history="1">
        <w:r w:rsidR="00142499" w:rsidRPr="00142499">
          <w:rPr>
            <w:rStyle w:val="Hyperlink"/>
            <w:rFonts w:asciiTheme="majorBidi" w:hAnsiTheme="majorBidi" w:cstheme="majorBidi"/>
            <w:sz w:val="20"/>
            <w:szCs w:val="20"/>
            <w:lang w:val="en-GB"/>
          </w:rPr>
          <w:t>https://businessculture.org/southern-europe/business-culture-in-turkey/</w:t>
        </w:r>
      </w:hyperlink>
      <w:r w:rsidR="00142499" w:rsidRPr="00142499">
        <w:rPr>
          <w:rFonts w:asciiTheme="majorBidi" w:hAnsiTheme="majorBidi" w:cstheme="majorBidi"/>
          <w:sz w:val="20"/>
          <w:szCs w:val="20"/>
          <w:lang w:val="en-GB"/>
        </w:rPr>
        <w:t>.</w:t>
      </w:r>
    </w:p>
  </w:footnote>
  <w:footnote w:id="128">
    <w:p w14:paraId="26056AC0" w14:textId="2B2EEAEA" w:rsidR="0077354A" w:rsidRPr="00142499" w:rsidRDefault="0077354A" w:rsidP="0024056C">
      <w:pPr>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Magnificent Travel. "Customs and Etiquette in Turkey Explained." Accessed April 18, 2025, 18:54. </w:t>
      </w:r>
      <w:hyperlink r:id="rId34" w:tgtFrame="_new" w:history="1">
        <w:r w:rsidR="00142499" w:rsidRPr="00142499">
          <w:rPr>
            <w:rStyle w:val="Hyperlink"/>
            <w:rFonts w:asciiTheme="majorBidi" w:hAnsiTheme="majorBidi" w:cstheme="majorBidi"/>
            <w:sz w:val="20"/>
            <w:szCs w:val="20"/>
            <w:lang w:val="en-GB"/>
          </w:rPr>
          <w:t>https://www.magnificenttravel.com/en/blog/turkey/customs-in-turkey-a-comprehensive-guide-to-navigating-cultural-norms-1/</w:t>
        </w:r>
      </w:hyperlink>
      <w:r w:rsidR="00142499" w:rsidRPr="00142499">
        <w:rPr>
          <w:rFonts w:asciiTheme="majorBidi" w:hAnsiTheme="majorBidi" w:cstheme="majorBidi"/>
          <w:sz w:val="20"/>
          <w:szCs w:val="20"/>
          <w:lang w:val="en-GB"/>
        </w:rPr>
        <w:t>.</w:t>
      </w:r>
    </w:p>
  </w:footnote>
  <w:footnote w:id="129">
    <w:p w14:paraId="1402CAB0" w14:textId="72E9CCBD" w:rsidR="0077354A" w:rsidRPr="00142499" w:rsidRDefault="0077354A" w:rsidP="0024056C">
      <w:pPr>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Magnificent Travel. "Customs and Etiquette in Turkey Explained." Accessed April 18, 2025, 18:54. </w:t>
      </w:r>
      <w:hyperlink r:id="rId35" w:tgtFrame="_new" w:history="1">
        <w:r w:rsidR="00142499" w:rsidRPr="00142499">
          <w:rPr>
            <w:rStyle w:val="Hyperlink"/>
            <w:rFonts w:asciiTheme="majorBidi" w:hAnsiTheme="majorBidi" w:cstheme="majorBidi"/>
            <w:sz w:val="20"/>
            <w:szCs w:val="20"/>
            <w:lang w:val="en-GB"/>
          </w:rPr>
          <w:t>https://www.magnificenttravel.com/en/blog/turkey/customs-in-turkey-a-comprehensive-guide-to-navigating-cultural-norms-1/</w:t>
        </w:r>
      </w:hyperlink>
      <w:r w:rsidR="00142499" w:rsidRPr="00142499">
        <w:rPr>
          <w:rFonts w:asciiTheme="majorBidi" w:hAnsiTheme="majorBidi" w:cstheme="majorBidi"/>
          <w:sz w:val="20"/>
          <w:szCs w:val="20"/>
          <w:lang w:val="en-GB"/>
        </w:rPr>
        <w:t>.</w:t>
      </w:r>
    </w:p>
  </w:footnote>
  <w:footnote w:id="130">
    <w:p w14:paraId="439810F8" w14:textId="3CED4B09" w:rsidR="0077354A" w:rsidRPr="0024056C" w:rsidRDefault="0077354A" w:rsidP="0024056C">
      <w:pPr>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00142499" w:rsidRPr="00142499">
        <w:rPr>
          <w:rFonts w:asciiTheme="majorBidi" w:hAnsiTheme="majorBidi" w:cstheme="majorBidi"/>
          <w:sz w:val="20"/>
          <w:szCs w:val="20"/>
          <w:lang w:val="en-GB"/>
        </w:rPr>
        <w:t xml:space="preserve">Rivermate. "Cultural Considerations in Turkey." Accessed April 18, 2025, 18:57. </w:t>
      </w:r>
      <w:hyperlink r:id="rId36" w:tgtFrame="_new" w:history="1">
        <w:r w:rsidR="00142499" w:rsidRPr="00142499">
          <w:rPr>
            <w:rStyle w:val="Hyperlink"/>
            <w:rFonts w:asciiTheme="majorBidi" w:hAnsiTheme="majorBidi" w:cstheme="majorBidi"/>
            <w:sz w:val="20"/>
            <w:szCs w:val="20"/>
            <w:lang w:val="en-GB"/>
          </w:rPr>
          <w:t>https://www.rivermate.com/guides/turkey/cultural-considerations</w:t>
        </w:r>
      </w:hyperlink>
      <w:r w:rsidR="00142499" w:rsidRPr="00142499">
        <w:rPr>
          <w:rFonts w:asciiTheme="majorBidi" w:hAnsiTheme="majorBidi" w:cstheme="majorBidi"/>
          <w:sz w:val="20"/>
          <w:szCs w:val="20"/>
          <w:lang w:val="en-GB"/>
        </w:rPr>
        <w:t xml:space="preserve">. </w:t>
      </w:r>
    </w:p>
  </w:footnote>
  <w:footnote w:id="131">
    <w:p w14:paraId="2E7E0F72" w14:textId="6DE59745" w:rsidR="0077354A" w:rsidRPr="00142499" w:rsidRDefault="0077354A" w:rsidP="0024056C">
      <w:pPr>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00142499" w:rsidRPr="00142499">
        <w:rPr>
          <w:rFonts w:asciiTheme="majorBidi" w:hAnsiTheme="majorBidi" w:cstheme="majorBidi"/>
          <w:sz w:val="20"/>
          <w:szCs w:val="20"/>
          <w:lang w:val="en-GB"/>
        </w:rPr>
        <w:t xml:space="preserve">BusinessCulture.org. "Business Culture in Turkey." Accessed April 18, 2025, 19:05. </w:t>
      </w:r>
      <w:hyperlink r:id="rId37" w:tgtFrame="_new" w:history="1">
        <w:r w:rsidR="00142499" w:rsidRPr="00142499">
          <w:rPr>
            <w:rStyle w:val="Hyperlink"/>
            <w:rFonts w:asciiTheme="majorBidi" w:hAnsiTheme="majorBidi" w:cstheme="majorBidi"/>
            <w:sz w:val="20"/>
            <w:szCs w:val="20"/>
            <w:lang w:val="en-GB"/>
          </w:rPr>
          <w:t>https://businessculture.org/southern-europe/business-culture-in-turkey/</w:t>
        </w:r>
      </w:hyperlink>
      <w:r w:rsidR="00142499" w:rsidRPr="00142499">
        <w:rPr>
          <w:rFonts w:asciiTheme="majorBidi" w:hAnsiTheme="majorBidi" w:cstheme="majorBidi"/>
          <w:sz w:val="20"/>
          <w:szCs w:val="20"/>
          <w:lang w:val="en-GB"/>
        </w:rPr>
        <w:t>.</w:t>
      </w:r>
    </w:p>
  </w:footnote>
  <w:footnote w:id="132">
    <w:p w14:paraId="2915ADF1" w14:textId="2E6E23C9" w:rsidR="0077354A" w:rsidRPr="00142499" w:rsidRDefault="0077354A" w:rsidP="0024056C">
      <w:pPr>
        <w:spacing w:line="240" w:lineRule="auto"/>
        <w:jc w:val="both"/>
        <w:rPr>
          <w:rFonts w:asciiTheme="majorBidi" w:hAnsiTheme="majorBidi" w:cstheme="majorBidi"/>
          <w:sz w:val="20"/>
          <w:szCs w:val="20"/>
          <w:shd w:val="clear" w:color="auto" w:fill="FFFFFF"/>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FO Consultancy. "Understanding Turkey’s Business Etiquette: Dos and Don’ts." April 16, 2024. Accessed April 18, 2025, 19:20. </w:t>
      </w:r>
      <w:hyperlink r:id="rId38" w:tgtFrame="_new" w:history="1">
        <w:r w:rsidR="00142499" w:rsidRPr="00142499">
          <w:rPr>
            <w:rStyle w:val="Hyperlink"/>
            <w:rFonts w:asciiTheme="majorBidi" w:hAnsiTheme="majorBidi" w:cstheme="majorBidi"/>
            <w:sz w:val="20"/>
            <w:szCs w:val="20"/>
            <w:lang w:val="en-GB"/>
          </w:rPr>
          <w:t>https://www.fo-consultancy.com/turkeys-business-etiquette/</w:t>
        </w:r>
      </w:hyperlink>
      <w:r w:rsidR="00142499" w:rsidRPr="00142499">
        <w:rPr>
          <w:rFonts w:asciiTheme="majorBidi" w:hAnsiTheme="majorBidi" w:cstheme="majorBidi"/>
          <w:sz w:val="20"/>
          <w:szCs w:val="20"/>
          <w:lang w:val="en-GB"/>
        </w:rPr>
        <w:t>.</w:t>
      </w:r>
    </w:p>
  </w:footnote>
  <w:footnote w:id="133">
    <w:p w14:paraId="1578A793" w14:textId="466B127C" w:rsidR="0077354A" w:rsidRPr="00142499" w:rsidRDefault="0077354A" w:rsidP="0024056C">
      <w:pPr>
        <w:spacing w:line="240" w:lineRule="auto"/>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Ashifa, K. M. "Perceived Language Barriers among Foreign Nationals in Turkey." </w:t>
      </w:r>
      <w:r w:rsidR="00142499" w:rsidRPr="00142499">
        <w:rPr>
          <w:rStyle w:val="Emphasis"/>
          <w:rFonts w:asciiTheme="majorBidi" w:hAnsiTheme="majorBidi" w:cstheme="majorBidi"/>
          <w:sz w:val="20"/>
          <w:szCs w:val="20"/>
          <w:lang w:val="en-GB"/>
        </w:rPr>
        <w:t>Journal of Language and Linguistic Studies</w:t>
      </w:r>
      <w:r w:rsidR="00142499" w:rsidRPr="00142499">
        <w:rPr>
          <w:rFonts w:asciiTheme="majorBidi" w:hAnsiTheme="majorBidi" w:cstheme="majorBidi"/>
          <w:sz w:val="20"/>
          <w:szCs w:val="20"/>
          <w:lang w:val="en-GB"/>
        </w:rPr>
        <w:t xml:space="preserve"> 17, no. 2 (2021): p1115.</w:t>
      </w:r>
    </w:p>
  </w:footnote>
  <w:footnote w:id="134">
    <w:p w14:paraId="26123E8D" w14:textId="6473F8B7" w:rsidR="0077354A" w:rsidRPr="00142499" w:rsidRDefault="0077354A" w:rsidP="0024056C">
      <w:pPr>
        <w:spacing w:line="240" w:lineRule="auto"/>
        <w:jc w:val="both"/>
        <w:rPr>
          <w:rFonts w:asciiTheme="majorBidi" w:hAnsiTheme="majorBidi" w:cstheme="majorBidi"/>
          <w:sz w:val="20"/>
          <w:szCs w:val="20"/>
          <w:shd w:val="clear" w:color="auto" w:fill="FFFFFF"/>
          <w:lang w:val="en-GB"/>
        </w:rPr>
      </w:pPr>
      <w:r w:rsidRPr="00142499">
        <w:rPr>
          <w:rStyle w:val="FootnoteReference"/>
          <w:rFonts w:asciiTheme="majorBidi" w:hAnsiTheme="majorBidi" w:cstheme="majorBidi"/>
          <w:sz w:val="20"/>
          <w:szCs w:val="20"/>
        </w:rPr>
        <w:footnoteRef/>
      </w:r>
      <w:r w:rsidR="00142499" w:rsidRPr="00142499">
        <w:rPr>
          <w:rFonts w:asciiTheme="majorBidi" w:hAnsiTheme="majorBidi" w:cstheme="majorBidi"/>
          <w:sz w:val="20"/>
          <w:szCs w:val="20"/>
          <w:lang w:val="en-GB"/>
        </w:rPr>
        <w:t xml:space="preserve">Jonsen, K., M. L. Maznevski, and S. C. Schneider. "Diversity and Its Not So Diverse Literature: An International Perspective." </w:t>
      </w:r>
      <w:r w:rsidR="00142499" w:rsidRPr="00142499">
        <w:rPr>
          <w:rStyle w:val="Emphasis"/>
          <w:rFonts w:asciiTheme="majorBidi" w:hAnsiTheme="majorBidi" w:cstheme="majorBidi"/>
          <w:sz w:val="20"/>
          <w:szCs w:val="20"/>
          <w:lang w:val="en-GB"/>
        </w:rPr>
        <w:t>International Journal of Cross Cultural Management</w:t>
      </w:r>
      <w:r w:rsidR="00142499" w:rsidRPr="00142499">
        <w:rPr>
          <w:rFonts w:asciiTheme="majorBidi" w:hAnsiTheme="majorBidi" w:cstheme="majorBidi"/>
          <w:sz w:val="20"/>
          <w:szCs w:val="20"/>
          <w:lang w:val="en-GB"/>
        </w:rPr>
        <w:t xml:space="preserve"> 11, no. 1 (2011): 35–62.</w:t>
      </w:r>
    </w:p>
  </w:footnote>
  <w:footnote w:id="135">
    <w:p w14:paraId="1C74FA82" w14:textId="5E1817D4" w:rsidR="0077354A" w:rsidRPr="0024056C" w:rsidRDefault="0077354A" w:rsidP="0024056C">
      <w:pPr>
        <w:spacing w:line="240" w:lineRule="auto"/>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Cheng, I. H., A. Drillich, and P. Schattner. "Refugee Experiences of General Practice in Countries of Resettlement: A Literature Review." </w:t>
      </w:r>
      <w:r w:rsidR="00142499" w:rsidRPr="00142499">
        <w:rPr>
          <w:rStyle w:val="Emphasis"/>
          <w:rFonts w:asciiTheme="majorBidi" w:hAnsiTheme="majorBidi" w:cstheme="majorBidi"/>
          <w:sz w:val="20"/>
          <w:szCs w:val="20"/>
          <w:lang w:val="en-GB"/>
        </w:rPr>
        <w:t>The British Journal of General Practice</w:t>
      </w:r>
      <w:r w:rsidR="00142499" w:rsidRPr="00142499">
        <w:rPr>
          <w:rFonts w:asciiTheme="majorBidi" w:hAnsiTheme="majorBidi" w:cstheme="majorBidi"/>
          <w:sz w:val="20"/>
          <w:szCs w:val="20"/>
          <w:lang w:val="en-GB"/>
        </w:rPr>
        <w:t xml:space="preserve"> 65, no. 632 (2015): e171–e176.</w:t>
      </w:r>
    </w:p>
  </w:footnote>
  <w:footnote w:id="136">
    <w:p w14:paraId="7A5E254C" w14:textId="6C41FB75" w:rsidR="0077354A" w:rsidRPr="00142499" w:rsidRDefault="0077354A" w:rsidP="00142499">
      <w:pPr>
        <w:pStyle w:val="NormalWeb"/>
        <w:rPr>
          <w:lang w:val="en-GB"/>
        </w:rPr>
      </w:pPr>
      <w:bookmarkStart w:id="251" w:name="_Hlk199632166"/>
      <w:r w:rsidRPr="00826AD3">
        <w:rPr>
          <w:rStyle w:val="FootnoteReference"/>
          <w:rFonts w:asciiTheme="majorBidi" w:hAnsiTheme="majorBidi" w:cstheme="majorBidi"/>
          <w:sz w:val="20"/>
          <w:szCs w:val="20"/>
        </w:rPr>
        <w:footnoteRef/>
      </w:r>
      <w:r w:rsidRPr="00826AD3">
        <w:rPr>
          <w:rFonts w:asciiTheme="majorBidi" w:hAnsiTheme="majorBidi" w:cstheme="majorBidi"/>
          <w:sz w:val="20"/>
          <w:szCs w:val="20"/>
          <w:lang w:val="en-GB"/>
        </w:rPr>
        <w:t xml:space="preserve"> </w:t>
      </w:r>
      <w:bookmarkEnd w:id="251"/>
      <w:r w:rsidR="00142499" w:rsidRPr="00142499">
        <w:rPr>
          <w:rFonts w:asciiTheme="majorBidi" w:hAnsiTheme="majorBidi" w:cstheme="majorBidi"/>
          <w:sz w:val="20"/>
          <w:szCs w:val="20"/>
          <w:lang w:val="en-GB"/>
        </w:rPr>
        <w:t xml:space="preserve">Terry, R. "How Strict Is Islam in Turkey? Essential Tips for Travelers." </w:t>
      </w:r>
      <w:r w:rsidR="00142499" w:rsidRPr="00142499">
        <w:rPr>
          <w:rStyle w:val="Emphasis"/>
          <w:rFonts w:asciiTheme="majorBidi" w:hAnsiTheme="majorBidi" w:cstheme="majorBidi"/>
          <w:sz w:val="20"/>
          <w:szCs w:val="20"/>
          <w:lang w:val="en-GB"/>
        </w:rPr>
        <w:t>World Nomads</w:t>
      </w:r>
      <w:r w:rsidR="00142499" w:rsidRPr="00142499">
        <w:rPr>
          <w:rFonts w:asciiTheme="majorBidi" w:hAnsiTheme="majorBidi" w:cstheme="majorBidi"/>
          <w:sz w:val="20"/>
          <w:szCs w:val="20"/>
          <w:lang w:val="en-GB"/>
        </w:rPr>
        <w:t xml:space="preserve">, February 22, 2021. Accessed April 18, 2025, 22:36. </w:t>
      </w:r>
      <w:hyperlink r:id="rId39" w:tgtFrame="_new" w:history="1">
        <w:r w:rsidR="00142499" w:rsidRPr="00142499">
          <w:rPr>
            <w:rStyle w:val="Hyperlink"/>
            <w:rFonts w:asciiTheme="majorBidi" w:hAnsiTheme="majorBidi" w:cstheme="majorBidi"/>
            <w:sz w:val="20"/>
            <w:szCs w:val="20"/>
            <w:lang w:val="en-GB"/>
          </w:rPr>
          <w:t>https://www.worldnomads.com/travel-safety/middle-east/turkey/how-strict-is-islam-in-turkey</w:t>
        </w:r>
      </w:hyperlink>
      <w:r w:rsidR="00142499" w:rsidRPr="00142499">
        <w:rPr>
          <w:rFonts w:asciiTheme="majorBidi" w:hAnsiTheme="majorBidi" w:cstheme="majorBidi"/>
          <w:sz w:val="20"/>
          <w:szCs w:val="20"/>
          <w:lang w:val="en-GB"/>
        </w:rPr>
        <w:t>.</w:t>
      </w:r>
    </w:p>
  </w:footnote>
  <w:footnote w:id="137">
    <w:p w14:paraId="3FC85A66" w14:textId="3687759D" w:rsidR="0077354A" w:rsidRPr="00142499" w:rsidRDefault="0077354A" w:rsidP="0024056C">
      <w:pPr>
        <w:spacing w:line="240" w:lineRule="auto"/>
        <w:jc w:val="both"/>
        <w:rPr>
          <w:rFonts w:asciiTheme="majorBidi" w:hAnsiTheme="majorBidi" w:cstheme="majorBidi"/>
          <w:sz w:val="20"/>
          <w:szCs w:val="20"/>
          <w:shd w:val="clear" w:color="auto" w:fill="FFFFFF"/>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 xml:space="preserve">Sansal, B. "Turkish Holidays." </w:t>
      </w:r>
      <w:r w:rsidR="00142499" w:rsidRPr="00142499">
        <w:rPr>
          <w:rStyle w:val="Emphasis"/>
          <w:rFonts w:asciiTheme="majorBidi" w:hAnsiTheme="majorBidi" w:cstheme="majorBidi"/>
          <w:sz w:val="20"/>
          <w:szCs w:val="20"/>
          <w:lang w:val="en-GB"/>
        </w:rPr>
        <w:t>All About Turkey</w:t>
      </w:r>
      <w:r w:rsidR="00142499" w:rsidRPr="00142499">
        <w:rPr>
          <w:rFonts w:asciiTheme="majorBidi" w:hAnsiTheme="majorBidi" w:cstheme="majorBidi"/>
          <w:sz w:val="20"/>
          <w:szCs w:val="20"/>
          <w:lang w:val="en-GB"/>
        </w:rPr>
        <w:t xml:space="preserve">. Accessed April 18, 2025, 23:17. </w:t>
      </w:r>
      <w:hyperlink r:id="rId40" w:tgtFrame="_new" w:history="1">
        <w:r w:rsidR="00142499" w:rsidRPr="00142499">
          <w:rPr>
            <w:rStyle w:val="Hyperlink"/>
            <w:rFonts w:asciiTheme="majorBidi" w:hAnsiTheme="majorBidi" w:cstheme="majorBidi"/>
            <w:sz w:val="20"/>
            <w:szCs w:val="20"/>
            <w:lang w:val="en-GB"/>
          </w:rPr>
          <w:t>https://www.allaboutturkey.com/holidays.html</w:t>
        </w:r>
      </w:hyperlink>
      <w:r w:rsidR="00142499" w:rsidRPr="00142499">
        <w:rPr>
          <w:rFonts w:asciiTheme="majorBidi" w:hAnsiTheme="majorBidi" w:cstheme="majorBidi"/>
          <w:sz w:val="20"/>
          <w:szCs w:val="20"/>
          <w:lang w:val="en-GB"/>
        </w:rPr>
        <w:t>.</w:t>
      </w:r>
      <w:r w:rsidRPr="00142499">
        <w:rPr>
          <w:rFonts w:asciiTheme="majorBidi" w:hAnsiTheme="majorBidi" w:cstheme="majorBidi"/>
          <w:sz w:val="20"/>
          <w:szCs w:val="20"/>
          <w:lang w:val="en-GB"/>
        </w:rPr>
        <w:t>​</w:t>
      </w:r>
    </w:p>
  </w:footnote>
  <w:footnote w:id="138">
    <w:p w14:paraId="46428637" w14:textId="0F0BDD25" w:rsidR="0077354A" w:rsidRPr="00142499" w:rsidRDefault="0077354A" w:rsidP="0024056C">
      <w:pPr>
        <w:spacing w:line="240" w:lineRule="auto"/>
        <w:jc w:val="both"/>
        <w:rPr>
          <w:rFonts w:asciiTheme="majorBidi" w:hAnsiTheme="majorBidi" w:cstheme="majorBidi"/>
          <w:sz w:val="20"/>
          <w:szCs w:val="20"/>
          <w:lang w:val="en-GB"/>
        </w:rPr>
      </w:pPr>
      <w:r w:rsidRPr="00142499">
        <w:rPr>
          <w:rStyle w:val="FootnoteReference"/>
          <w:rFonts w:asciiTheme="majorBidi" w:hAnsiTheme="majorBidi" w:cstheme="majorBidi"/>
          <w:sz w:val="20"/>
          <w:szCs w:val="20"/>
        </w:rPr>
        <w:footnoteRef/>
      </w:r>
      <w:r w:rsidRPr="00142499">
        <w:rPr>
          <w:rFonts w:asciiTheme="majorBidi" w:hAnsiTheme="majorBidi" w:cstheme="majorBidi"/>
          <w:sz w:val="20"/>
          <w:szCs w:val="20"/>
          <w:lang w:val="en-GB"/>
        </w:rPr>
        <w:t xml:space="preserve"> </w:t>
      </w:r>
      <w:r w:rsidR="00142499" w:rsidRPr="00142499">
        <w:rPr>
          <w:rFonts w:asciiTheme="majorBidi" w:hAnsiTheme="majorBidi" w:cstheme="majorBidi"/>
          <w:sz w:val="20"/>
          <w:szCs w:val="20"/>
          <w:lang w:val="en-GB"/>
        </w:rPr>
        <w:t>Katz, L. "Negotiating International Business – Turkey." Mt. San Antonio College, March 2008.</w:t>
      </w:r>
    </w:p>
  </w:footnote>
  <w:footnote w:id="139">
    <w:p w14:paraId="5700DD16" w14:textId="474CA4A0" w:rsidR="0077354A" w:rsidRPr="000A57CD" w:rsidRDefault="0077354A" w:rsidP="0024056C">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FO Consultancy. "Turkish Consumer Behavior: Insights and Strategies for Market Penetration." April 1, 2024. Accessed April 19, 2025, 21:10. </w:t>
      </w:r>
      <w:hyperlink r:id="rId41" w:tgtFrame="_new" w:history="1">
        <w:r w:rsidR="000A57CD" w:rsidRPr="000A57CD">
          <w:rPr>
            <w:rStyle w:val="Hyperlink"/>
            <w:rFonts w:asciiTheme="majorBidi" w:hAnsiTheme="majorBidi" w:cstheme="majorBidi"/>
            <w:sz w:val="20"/>
            <w:szCs w:val="20"/>
            <w:lang w:val="en-GB"/>
          </w:rPr>
          <w:t>https://www.fo-consultancy.com/turkish-consumer-behavior/</w:t>
        </w:r>
      </w:hyperlink>
      <w:r w:rsidR="000A57CD" w:rsidRPr="000A57CD">
        <w:rPr>
          <w:rFonts w:asciiTheme="majorBidi" w:hAnsiTheme="majorBidi" w:cstheme="majorBidi"/>
          <w:sz w:val="20"/>
          <w:szCs w:val="20"/>
          <w:lang w:val="en-GB"/>
        </w:rPr>
        <w:t>.</w:t>
      </w:r>
    </w:p>
  </w:footnote>
  <w:footnote w:id="140">
    <w:p w14:paraId="2C5E9302" w14:textId="438FB94F" w:rsidR="0077354A" w:rsidRPr="000A57CD" w:rsidRDefault="0077354A" w:rsidP="0024056C">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000A57CD" w:rsidRPr="000A57CD">
        <w:rPr>
          <w:rFonts w:asciiTheme="majorBidi" w:hAnsiTheme="majorBidi" w:cstheme="majorBidi"/>
          <w:sz w:val="20"/>
          <w:szCs w:val="20"/>
          <w:lang w:val="en-GB"/>
        </w:rPr>
        <w:t xml:space="preserve">Murshed, N. A. "Nationalism Role on Local Brands Preference: Evidences from Turkey Clothes Market." </w:t>
      </w:r>
      <w:r w:rsidR="000A57CD" w:rsidRPr="000A57CD">
        <w:rPr>
          <w:rStyle w:val="Emphasis"/>
          <w:rFonts w:asciiTheme="majorBidi" w:hAnsiTheme="majorBidi" w:cstheme="majorBidi"/>
          <w:sz w:val="20"/>
          <w:szCs w:val="20"/>
          <w:lang w:val="en-GB"/>
        </w:rPr>
        <w:t>International Journal of Science and Research (IJSR)</w:t>
      </w:r>
      <w:r w:rsidR="000A57CD" w:rsidRPr="000A57CD">
        <w:rPr>
          <w:rFonts w:asciiTheme="majorBidi" w:hAnsiTheme="majorBidi" w:cstheme="majorBidi"/>
          <w:sz w:val="20"/>
          <w:szCs w:val="20"/>
          <w:lang w:val="en-GB"/>
        </w:rPr>
        <w:t xml:space="preserve"> 8, no. 11 (2019):</w:t>
      </w:r>
      <w:r w:rsidRPr="000A57CD">
        <w:rPr>
          <w:rFonts w:asciiTheme="majorBidi" w:hAnsiTheme="majorBidi" w:cstheme="majorBidi"/>
          <w:sz w:val="20"/>
          <w:szCs w:val="20"/>
          <w:lang w:val="en-GB"/>
        </w:rPr>
        <w:t>p02</w:t>
      </w:r>
      <w:r w:rsidR="000A57CD" w:rsidRPr="000A57CD">
        <w:rPr>
          <w:rFonts w:asciiTheme="majorBidi" w:hAnsiTheme="majorBidi" w:cstheme="majorBidi"/>
          <w:sz w:val="20"/>
          <w:szCs w:val="20"/>
          <w:lang w:val="en-GB"/>
        </w:rPr>
        <w:t>.</w:t>
      </w:r>
    </w:p>
  </w:footnote>
  <w:footnote w:id="141">
    <w:p w14:paraId="33D7F914" w14:textId="6C1193F8" w:rsidR="0077354A" w:rsidRPr="000A57CD" w:rsidRDefault="0077354A" w:rsidP="0024056C">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Ibid, p76 </w:t>
      </w:r>
    </w:p>
  </w:footnote>
  <w:footnote w:id="142">
    <w:p w14:paraId="3830F654" w14:textId="2677E3F2" w:rsidR="0077354A" w:rsidRPr="000A57CD" w:rsidRDefault="0077354A" w:rsidP="0024056C">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Yildiz, B. </w:t>
      </w:r>
      <w:r w:rsidR="000A57CD" w:rsidRPr="000A57CD">
        <w:rPr>
          <w:rStyle w:val="Emphasis"/>
          <w:rFonts w:asciiTheme="majorBidi" w:hAnsiTheme="majorBidi" w:cstheme="majorBidi"/>
          <w:sz w:val="20"/>
          <w:szCs w:val="20"/>
          <w:lang w:val="en-GB"/>
        </w:rPr>
        <w:t>Building a Strong Nation Brand: Case of Turkey</w:t>
      </w:r>
      <w:r w:rsidR="000A57CD" w:rsidRPr="000A57CD">
        <w:rPr>
          <w:rFonts w:asciiTheme="majorBidi" w:hAnsiTheme="majorBidi" w:cstheme="majorBidi"/>
          <w:sz w:val="20"/>
          <w:szCs w:val="20"/>
          <w:lang w:val="en-GB"/>
        </w:rPr>
        <w:t>. Master’s thesis, Bahcesehir University, Istanbul, 2017.</w:t>
      </w:r>
    </w:p>
  </w:footnote>
  <w:footnote w:id="143">
    <w:p w14:paraId="044CF5AC" w14:textId="23FDF0ED" w:rsidR="0077354A" w:rsidRPr="000A57CD" w:rsidRDefault="0077354A" w:rsidP="0024056C">
      <w:pPr>
        <w:spacing w:line="240" w:lineRule="auto"/>
        <w:jc w:val="both"/>
        <w:rPr>
          <w:rFonts w:asciiTheme="majorBidi" w:hAnsiTheme="majorBidi" w:cstheme="majorBidi"/>
          <w:sz w:val="20"/>
          <w:szCs w:val="20"/>
          <w:lang w:val="en-GB"/>
        </w:rPr>
      </w:pPr>
      <w:r w:rsidRPr="00826AD3">
        <w:rPr>
          <w:rStyle w:val="FootnoteReference"/>
          <w:rFonts w:asciiTheme="majorBidi" w:hAnsiTheme="majorBidi" w:cstheme="majorBidi"/>
          <w:sz w:val="20"/>
          <w:szCs w:val="20"/>
        </w:rPr>
        <w:footnoteRef/>
      </w:r>
      <w:r w:rsidR="000A57CD" w:rsidRPr="000A57CD">
        <w:rPr>
          <w:rFonts w:asciiTheme="majorBidi" w:hAnsiTheme="majorBidi" w:cstheme="majorBidi"/>
          <w:sz w:val="20"/>
          <w:szCs w:val="20"/>
          <w:lang w:val="en-GB"/>
        </w:rPr>
        <w:t xml:space="preserve">BusinessCulture.org. "Business Culture in Turkey." Accessed April 18, 2025, 19:05. </w:t>
      </w:r>
      <w:hyperlink r:id="rId42" w:tgtFrame="_new" w:history="1">
        <w:r w:rsidR="000A57CD" w:rsidRPr="000A57CD">
          <w:rPr>
            <w:rStyle w:val="Hyperlink"/>
            <w:rFonts w:asciiTheme="majorBidi" w:hAnsiTheme="majorBidi" w:cstheme="majorBidi"/>
            <w:sz w:val="20"/>
            <w:szCs w:val="20"/>
            <w:lang w:val="en-GB"/>
          </w:rPr>
          <w:t>https://businessculture.org/southern-europe/business-culture-in-turkey/</w:t>
        </w:r>
      </w:hyperlink>
      <w:r w:rsidR="000A57CD" w:rsidRPr="000A57CD">
        <w:rPr>
          <w:rFonts w:asciiTheme="majorBidi" w:hAnsiTheme="majorBidi" w:cstheme="majorBidi"/>
          <w:sz w:val="20"/>
          <w:szCs w:val="20"/>
          <w:lang w:val="en-GB"/>
        </w:rPr>
        <w:t>.</w:t>
      </w:r>
    </w:p>
  </w:footnote>
  <w:footnote w:id="144">
    <w:p w14:paraId="17796DA0" w14:textId="797F1A06" w:rsidR="0077354A" w:rsidRPr="000A57CD" w:rsidRDefault="0077354A" w:rsidP="003F0D54">
      <w:pPr>
        <w:pStyle w:val="FootnoteText"/>
        <w:jc w:val="both"/>
        <w:rPr>
          <w:rFonts w:asciiTheme="majorBidi" w:hAnsiTheme="majorBidi" w:cstheme="majorBidi"/>
          <w:lang w:val="en-GB"/>
        </w:rPr>
      </w:pPr>
      <w:bookmarkStart w:id="253" w:name="_Hlk199632237"/>
      <w:r w:rsidRPr="000A57CD">
        <w:rPr>
          <w:rStyle w:val="FootnoteReference"/>
          <w:rFonts w:asciiTheme="majorBidi" w:hAnsiTheme="majorBidi" w:cstheme="majorBidi"/>
        </w:rPr>
        <w:footnoteRef/>
      </w:r>
      <w:bookmarkEnd w:id="253"/>
      <w:r w:rsidR="000A57CD" w:rsidRPr="000A57CD">
        <w:rPr>
          <w:rFonts w:asciiTheme="majorBidi" w:hAnsiTheme="majorBidi" w:cstheme="majorBidi"/>
          <w:lang w:val="en-GB"/>
        </w:rPr>
        <w:t xml:space="preserve">T.C. Ticaret Bakanlığı. "İthalat – Sıkça Sorulan Sorular." January 20, 2025. </w:t>
      </w:r>
      <w:hyperlink r:id="rId43" w:tgtFrame="_new" w:history="1">
        <w:r w:rsidR="000A57CD" w:rsidRPr="000A57CD">
          <w:rPr>
            <w:rStyle w:val="Hyperlink"/>
            <w:rFonts w:asciiTheme="majorBidi" w:hAnsiTheme="majorBidi" w:cstheme="majorBidi"/>
            <w:lang w:val="en-GB"/>
          </w:rPr>
          <w:t>https://ticaret.gov.tr/gumruk-islemleri/sikca-sorulan-sorular/ticari/ithalat</w:t>
        </w:r>
      </w:hyperlink>
      <w:r w:rsidR="000A57CD" w:rsidRPr="000A57CD">
        <w:rPr>
          <w:rFonts w:asciiTheme="majorBidi" w:hAnsiTheme="majorBidi" w:cstheme="majorBidi"/>
          <w:lang w:val="en-GB"/>
        </w:rPr>
        <w:t xml:space="preserve">. </w:t>
      </w:r>
    </w:p>
  </w:footnote>
  <w:footnote w:id="145">
    <w:p w14:paraId="5292157C" w14:textId="12A5F932" w:rsidR="0077354A" w:rsidRPr="000A57CD" w:rsidRDefault="0077354A" w:rsidP="00C16403">
      <w:pPr>
        <w:jc w:val="both"/>
        <w:rPr>
          <w:rFonts w:asciiTheme="majorBidi" w:hAnsiTheme="majorBidi" w:cstheme="majorBidi"/>
          <w:color w:val="FF0000"/>
          <w:sz w:val="20"/>
          <w:szCs w:val="20"/>
          <w:shd w:val="clear" w:color="auto" w:fill="FFFFFF"/>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Xinhua. "Roundup: Türkiye Loses Export Competitiveness Due to Rising Costs, Low Exchange Rate: Experts." </w:t>
      </w:r>
      <w:r w:rsidR="000A57CD" w:rsidRPr="000A57CD">
        <w:rPr>
          <w:rStyle w:val="Emphasis"/>
          <w:rFonts w:asciiTheme="majorBidi" w:hAnsiTheme="majorBidi" w:cstheme="majorBidi"/>
          <w:sz w:val="20"/>
          <w:szCs w:val="20"/>
          <w:lang w:val="en-GB"/>
        </w:rPr>
        <w:t>Xinhua News</w:t>
      </w:r>
      <w:r w:rsidR="000A57CD" w:rsidRPr="000A57CD">
        <w:rPr>
          <w:rFonts w:asciiTheme="majorBidi" w:hAnsiTheme="majorBidi" w:cstheme="majorBidi"/>
          <w:sz w:val="20"/>
          <w:szCs w:val="20"/>
          <w:lang w:val="en-GB"/>
        </w:rPr>
        <w:t xml:space="preserve">, July 14, 2024. Accessed April 22, 2025, 14:27. </w:t>
      </w:r>
      <w:hyperlink r:id="rId44" w:tgtFrame="_new" w:history="1">
        <w:r w:rsidR="000A57CD" w:rsidRPr="000A57CD">
          <w:rPr>
            <w:rStyle w:val="Hyperlink"/>
            <w:rFonts w:asciiTheme="majorBidi" w:hAnsiTheme="majorBidi" w:cstheme="majorBidi"/>
            <w:sz w:val="20"/>
            <w:szCs w:val="20"/>
            <w:lang w:val="en-GB"/>
          </w:rPr>
          <w:t>https://english.news.cn/20240714/45c134a193b4476c9c6ed00f19f8a6c6/c.html</w:t>
        </w:r>
      </w:hyperlink>
      <w:r w:rsidR="000A57CD" w:rsidRPr="000A57CD">
        <w:rPr>
          <w:rFonts w:asciiTheme="majorBidi" w:hAnsiTheme="majorBidi" w:cstheme="majorBidi"/>
          <w:sz w:val="20"/>
          <w:szCs w:val="20"/>
          <w:lang w:val="en-GB"/>
        </w:rPr>
        <w:t>.</w:t>
      </w:r>
    </w:p>
  </w:footnote>
  <w:footnote w:id="146">
    <w:p w14:paraId="78E4EBD9" w14:textId="5A6249BD" w:rsidR="0077354A" w:rsidRPr="000A57CD" w:rsidRDefault="0077354A" w:rsidP="00C16403">
      <w:pPr>
        <w:jc w:val="both"/>
        <w:rPr>
          <w:rFonts w:asciiTheme="majorBidi" w:hAnsiTheme="majorBidi" w:cstheme="majorBidi"/>
          <w:b/>
          <w:bCs/>
          <w:color w:val="FF0000"/>
          <w:sz w:val="20"/>
          <w:szCs w:val="20"/>
          <w:shd w:val="clear" w:color="auto" w:fill="FFFFFF"/>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International Trade Administration. "Turkey – Distribution &amp; Sales Channels." U.S. Department of Commerce, January 7, 2024. Accessed April 22, 2025, 18:15. </w:t>
      </w:r>
      <w:hyperlink r:id="rId45" w:tgtFrame="_new" w:history="1">
        <w:r w:rsidR="000A57CD" w:rsidRPr="000A57CD">
          <w:rPr>
            <w:rStyle w:val="Hyperlink"/>
            <w:rFonts w:asciiTheme="majorBidi" w:hAnsiTheme="majorBidi" w:cstheme="majorBidi"/>
            <w:sz w:val="20"/>
            <w:szCs w:val="20"/>
            <w:lang w:val="en-GB"/>
          </w:rPr>
          <w:t>https://www.trade.gov/country-commercial-guides/turkey-distribution-sales-channels</w:t>
        </w:r>
      </w:hyperlink>
      <w:r w:rsidR="000A57CD" w:rsidRPr="000A57CD">
        <w:rPr>
          <w:rFonts w:asciiTheme="majorBidi" w:hAnsiTheme="majorBidi" w:cstheme="majorBidi"/>
          <w:sz w:val="20"/>
          <w:szCs w:val="20"/>
          <w:lang w:val="en-GB"/>
        </w:rPr>
        <w:t>.</w:t>
      </w:r>
    </w:p>
  </w:footnote>
  <w:footnote w:id="147">
    <w:p w14:paraId="7FF84EC6" w14:textId="27D10A00" w:rsidR="0077354A" w:rsidRPr="000A57CD" w:rsidRDefault="0077354A" w:rsidP="000A57CD">
      <w:pPr>
        <w:pStyle w:val="NormalWeb"/>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Atalaysun, M., and K. Sawatzki. "Retail Foods – Turkey (GAIN Report No. TR6057)." U.S. Department of Agriculture, Foreign Agricultural Service, December 13, 2016.</w:t>
      </w:r>
    </w:p>
  </w:footnote>
  <w:footnote w:id="148">
    <w:p w14:paraId="4A1EECA9" w14:textId="11FBF7AC" w:rsidR="0077354A" w:rsidRPr="000A57CD" w:rsidRDefault="0077354A" w:rsidP="00C16403">
      <w:pPr>
        <w:jc w:val="both"/>
        <w:rPr>
          <w:rFonts w:asciiTheme="majorBidi" w:hAnsiTheme="majorBidi" w:cstheme="majorBidi"/>
          <w:b/>
          <w:bCs/>
          <w:sz w:val="20"/>
          <w:szCs w:val="20"/>
          <w:lang w:val="en-GB"/>
        </w:rPr>
      </w:pPr>
      <w:bookmarkStart w:id="256" w:name="_Hlk199632266"/>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bookmarkEnd w:id="256"/>
      <w:r w:rsidR="000A57CD" w:rsidRPr="000A57CD">
        <w:rPr>
          <w:rFonts w:asciiTheme="majorBidi" w:hAnsiTheme="majorBidi" w:cstheme="majorBidi"/>
          <w:sz w:val="20"/>
          <w:szCs w:val="20"/>
          <w:lang w:val="en-GB"/>
        </w:rPr>
        <w:t xml:space="preserve">Ozbilek, K. "Effective Marketing Strategies for Entering the Türkiye Market." </w:t>
      </w:r>
      <w:r w:rsidR="000A57CD" w:rsidRPr="000A57CD">
        <w:rPr>
          <w:rStyle w:val="Emphasis"/>
          <w:rFonts w:asciiTheme="majorBidi" w:hAnsiTheme="majorBidi" w:cstheme="majorBidi"/>
          <w:sz w:val="20"/>
          <w:szCs w:val="20"/>
          <w:lang w:val="en-GB"/>
        </w:rPr>
        <w:t>Turkish Business World</w:t>
      </w:r>
      <w:r w:rsidR="000A57CD" w:rsidRPr="000A57CD">
        <w:rPr>
          <w:rFonts w:asciiTheme="majorBidi" w:hAnsiTheme="majorBidi" w:cstheme="majorBidi"/>
          <w:sz w:val="20"/>
          <w:szCs w:val="20"/>
          <w:lang w:val="en-GB"/>
        </w:rPr>
        <w:t xml:space="preserve">, December 28, 2024. Accessed April 22, 2025, 18:55. </w:t>
      </w:r>
      <w:hyperlink r:id="rId46" w:tgtFrame="_new" w:history="1">
        <w:r w:rsidR="000A57CD" w:rsidRPr="000A57CD">
          <w:rPr>
            <w:rStyle w:val="Hyperlink"/>
            <w:rFonts w:asciiTheme="majorBidi" w:hAnsiTheme="majorBidi" w:cstheme="majorBidi"/>
            <w:sz w:val="20"/>
            <w:szCs w:val="20"/>
            <w:lang w:val="en-GB"/>
          </w:rPr>
          <w:t>https://trbusinessworld.com/en/2024/12/28/effective-marketing-strategies-for-entering-the-turkiye-market/</w:t>
        </w:r>
      </w:hyperlink>
      <w:r w:rsidR="000A57CD" w:rsidRPr="000A57CD">
        <w:rPr>
          <w:rFonts w:asciiTheme="majorBidi" w:hAnsiTheme="majorBidi" w:cstheme="majorBidi"/>
          <w:sz w:val="20"/>
          <w:szCs w:val="20"/>
          <w:lang w:val="en-GB"/>
        </w:rPr>
        <w:t>.</w:t>
      </w:r>
    </w:p>
  </w:footnote>
  <w:footnote w:id="149">
    <w:p w14:paraId="1F69EE55" w14:textId="16B65B11" w:rsidR="0077354A" w:rsidRPr="000A57CD" w:rsidRDefault="0077354A" w:rsidP="003F0D54">
      <w:pPr>
        <w:pStyle w:val="FootnoteText"/>
        <w:jc w:val="both"/>
        <w:rPr>
          <w:rFonts w:asciiTheme="majorBidi" w:hAnsiTheme="majorBidi" w:cstheme="majorBidi"/>
          <w:lang w:val="en-GB"/>
        </w:rPr>
      </w:pPr>
      <w:r w:rsidRPr="000A57CD">
        <w:rPr>
          <w:rStyle w:val="FootnoteReference"/>
          <w:rFonts w:asciiTheme="majorBidi" w:hAnsiTheme="majorBidi" w:cstheme="majorBidi"/>
        </w:rPr>
        <w:footnoteRef/>
      </w:r>
      <w:r w:rsidRPr="000A57CD">
        <w:rPr>
          <w:rFonts w:asciiTheme="majorBidi" w:hAnsiTheme="majorBidi" w:cstheme="majorBidi"/>
          <w:lang w:val="en-GB"/>
        </w:rPr>
        <w:t xml:space="preserve"> </w:t>
      </w:r>
      <w:r w:rsidR="000A57CD" w:rsidRPr="000A57CD">
        <w:rPr>
          <w:rFonts w:asciiTheme="majorBidi" w:hAnsiTheme="majorBidi" w:cstheme="majorBidi"/>
          <w:lang w:val="en-GB"/>
        </w:rPr>
        <w:t xml:space="preserve">Ozbilek, K. "Effective Marketing Strategies for Entering the Türkiye Market." </w:t>
      </w:r>
      <w:r w:rsidR="000A57CD" w:rsidRPr="000A57CD">
        <w:rPr>
          <w:rStyle w:val="Emphasis"/>
          <w:rFonts w:asciiTheme="majorBidi" w:hAnsiTheme="majorBidi" w:cstheme="majorBidi"/>
          <w:lang w:val="en-GB"/>
        </w:rPr>
        <w:t>Turkish Business World</w:t>
      </w:r>
      <w:r w:rsidR="000A57CD" w:rsidRPr="000A57CD">
        <w:rPr>
          <w:rFonts w:asciiTheme="majorBidi" w:hAnsiTheme="majorBidi" w:cstheme="majorBidi"/>
          <w:lang w:val="en-GB"/>
        </w:rPr>
        <w:t xml:space="preserve">, December 28, 2024. Accessed April 22, 2025, 18:55. </w:t>
      </w:r>
      <w:hyperlink r:id="rId47" w:tgtFrame="_new" w:history="1">
        <w:r w:rsidR="000A57CD" w:rsidRPr="000A57CD">
          <w:rPr>
            <w:rStyle w:val="Hyperlink"/>
            <w:rFonts w:asciiTheme="majorBidi" w:hAnsiTheme="majorBidi" w:cstheme="majorBidi"/>
            <w:lang w:val="en-GB"/>
          </w:rPr>
          <w:t>https://trbusinessworld.com/en/2024/12/28/effective-marketing-strategies-for-entering-the-turkiye-market/</w:t>
        </w:r>
      </w:hyperlink>
      <w:r w:rsidR="000A57CD" w:rsidRPr="000A57CD">
        <w:rPr>
          <w:rFonts w:asciiTheme="majorBidi" w:hAnsiTheme="majorBidi" w:cstheme="majorBidi"/>
          <w:lang w:val="en-GB"/>
        </w:rPr>
        <w:t>.</w:t>
      </w:r>
    </w:p>
  </w:footnote>
  <w:footnote w:id="150">
    <w:p w14:paraId="2BA6198D" w14:textId="3A5F87A9" w:rsidR="0077354A" w:rsidRPr="000A57CD" w:rsidRDefault="0077354A" w:rsidP="00C16403">
      <w:pPr>
        <w:jc w:val="both"/>
        <w:rPr>
          <w:rFonts w:asciiTheme="majorBidi" w:hAnsiTheme="majorBidi" w:cstheme="majorBidi"/>
          <w:b/>
          <w:bCs/>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Bruce, A. L., and B. Abhijit. “The Effects of Discount Level, Price Consciousness and Sale Proneness on Consumers’ Price Perception and Behavioral Intention.” </w:t>
      </w:r>
      <w:r w:rsidR="000A57CD" w:rsidRPr="000A57CD">
        <w:rPr>
          <w:rStyle w:val="Emphasis"/>
          <w:rFonts w:asciiTheme="majorBidi" w:hAnsiTheme="majorBidi" w:cstheme="majorBidi"/>
          <w:sz w:val="20"/>
          <w:szCs w:val="20"/>
          <w:lang w:val="en-GB"/>
        </w:rPr>
        <w:t>Journal of Business Research</w:t>
      </w:r>
      <w:r w:rsidR="000A57CD" w:rsidRPr="000A57CD">
        <w:rPr>
          <w:rFonts w:asciiTheme="majorBidi" w:hAnsiTheme="majorBidi" w:cstheme="majorBidi"/>
          <w:sz w:val="20"/>
          <w:szCs w:val="20"/>
          <w:lang w:val="en-GB"/>
        </w:rPr>
        <w:t xml:space="preserve"> 55 (2002): 775–83.</w:t>
      </w:r>
    </w:p>
  </w:footnote>
  <w:footnote w:id="151">
    <w:p w14:paraId="0ADC11C7" w14:textId="3B6E6142" w:rsidR="0077354A" w:rsidRPr="000A57CD" w:rsidRDefault="0077354A" w:rsidP="00C16403">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Kurtuluş, K., and A. Okumuş. “Consumers’ Price Perceptions as a Segmentation Criteria: An Emerging Market Case.” </w:t>
      </w:r>
      <w:r w:rsidR="000A57CD" w:rsidRPr="000A57CD">
        <w:rPr>
          <w:rStyle w:val="Emphasis"/>
          <w:rFonts w:asciiTheme="majorBidi" w:hAnsiTheme="majorBidi" w:cstheme="majorBidi"/>
          <w:sz w:val="20"/>
          <w:szCs w:val="20"/>
          <w:lang w:val="en-GB"/>
        </w:rPr>
        <w:t>İstanbul Üniversitesi İşletme Fakültesi Dergisi</w:t>
      </w:r>
      <w:r w:rsidR="000A57CD" w:rsidRPr="000A57CD">
        <w:rPr>
          <w:rFonts w:asciiTheme="majorBidi" w:hAnsiTheme="majorBidi" w:cstheme="majorBidi"/>
          <w:sz w:val="20"/>
          <w:szCs w:val="20"/>
          <w:lang w:val="en-GB"/>
        </w:rPr>
        <w:t xml:space="preserve"> 39, no. 1 (2010): p24.</w:t>
      </w:r>
    </w:p>
  </w:footnote>
  <w:footnote w:id="152">
    <w:p w14:paraId="785A999B" w14:textId="1F3A1DA1" w:rsidR="0077354A" w:rsidRPr="000A57CD" w:rsidRDefault="0077354A" w:rsidP="0024056C">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Akin, M. “The Impacts of Brand Personality on Brand Loyalty: A Research on Automobile Brands in Turkey.” </w:t>
      </w:r>
      <w:r w:rsidR="000A57CD" w:rsidRPr="000A57CD">
        <w:rPr>
          <w:rStyle w:val="Emphasis"/>
          <w:rFonts w:asciiTheme="majorBidi" w:hAnsiTheme="majorBidi" w:cstheme="majorBidi"/>
          <w:sz w:val="20"/>
          <w:szCs w:val="20"/>
          <w:lang w:val="en-GB"/>
        </w:rPr>
        <w:t>International Journal of Marketing Studies</w:t>
      </w:r>
      <w:r w:rsidR="000A57CD" w:rsidRPr="000A57CD">
        <w:rPr>
          <w:rFonts w:asciiTheme="majorBidi" w:hAnsiTheme="majorBidi" w:cstheme="majorBidi"/>
          <w:sz w:val="20"/>
          <w:szCs w:val="20"/>
          <w:lang w:val="en-GB"/>
        </w:rPr>
        <w:t xml:space="preserve"> 9, no. 2 (2017):</w:t>
      </w:r>
      <w:r w:rsidRPr="000A57CD">
        <w:rPr>
          <w:rFonts w:asciiTheme="majorBidi" w:hAnsiTheme="majorBidi" w:cstheme="majorBidi"/>
          <w:sz w:val="20"/>
          <w:szCs w:val="20"/>
          <w:lang w:val="en-GB"/>
        </w:rPr>
        <w:t>p135</w:t>
      </w:r>
      <w:r w:rsidR="000A57CD" w:rsidRPr="000A57CD">
        <w:rPr>
          <w:rFonts w:asciiTheme="majorBidi" w:hAnsiTheme="majorBidi" w:cstheme="majorBidi"/>
          <w:sz w:val="20"/>
          <w:szCs w:val="20"/>
          <w:lang w:val="en-GB"/>
        </w:rPr>
        <w:t>.</w:t>
      </w:r>
    </w:p>
  </w:footnote>
  <w:footnote w:id="153">
    <w:p w14:paraId="5EFA1D69" w14:textId="4CE0138E" w:rsidR="0077354A" w:rsidRPr="000A57CD" w:rsidRDefault="0077354A" w:rsidP="00C16403">
      <w:pPr>
        <w:spacing w:line="240" w:lineRule="auto"/>
        <w:jc w:val="both"/>
        <w:rPr>
          <w:rFonts w:asciiTheme="majorBidi" w:hAnsiTheme="majorBidi" w:cstheme="majorBidi"/>
          <w:b/>
          <w:bCs/>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Deliya, M. “Consumer Behavior Towards the New Packaging of FMCG Product.” </w:t>
      </w:r>
      <w:r w:rsidR="000A57CD" w:rsidRPr="000A57CD">
        <w:rPr>
          <w:rStyle w:val="Emphasis"/>
          <w:rFonts w:asciiTheme="majorBidi" w:hAnsiTheme="majorBidi" w:cstheme="majorBidi"/>
          <w:sz w:val="20"/>
          <w:szCs w:val="20"/>
          <w:lang w:val="en-GB"/>
        </w:rPr>
        <w:t>Abhinav National Monthly Referred Journal of Research in Commerce and Management</w:t>
      </w:r>
      <w:r w:rsidR="000A57CD" w:rsidRPr="000A57CD">
        <w:rPr>
          <w:rFonts w:asciiTheme="majorBidi" w:hAnsiTheme="majorBidi" w:cstheme="majorBidi"/>
          <w:sz w:val="20"/>
          <w:szCs w:val="20"/>
          <w:lang w:val="en-GB"/>
        </w:rPr>
        <w:t xml:space="preserve"> 1, no. 11 (2012): p199.</w:t>
      </w:r>
    </w:p>
  </w:footnote>
  <w:footnote w:id="154">
    <w:p w14:paraId="10BB8CDE" w14:textId="0E5492F4" w:rsidR="0077354A" w:rsidRPr="00C16403" w:rsidRDefault="0077354A" w:rsidP="00C16403">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Şener, A., B. Kinacı, and N. Doğan. “The Influence of Packaging Elements on the Consumer Purchase Decision.” </w:t>
      </w:r>
      <w:r w:rsidR="000A57CD" w:rsidRPr="000A57CD">
        <w:rPr>
          <w:rStyle w:val="Emphasis"/>
          <w:rFonts w:asciiTheme="majorBidi" w:hAnsiTheme="majorBidi" w:cstheme="majorBidi"/>
          <w:sz w:val="20"/>
          <w:szCs w:val="20"/>
          <w:lang w:val="en-GB"/>
        </w:rPr>
        <w:t>International Journal of Multidisciplinary Thought</w:t>
      </w:r>
      <w:r w:rsidR="000A57CD" w:rsidRPr="000A57CD">
        <w:rPr>
          <w:rFonts w:asciiTheme="majorBidi" w:hAnsiTheme="majorBidi" w:cstheme="majorBidi"/>
          <w:sz w:val="20"/>
          <w:szCs w:val="20"/>
          <w:lang w:val="en-GB"/>
        </w:rPr>
        <w:t xml:space="preserve"> 5, no. 2 (2015): p94.</w:t>
      </w:r>
    </w:p>
  </w:footnote>
  <w:footnote w:id="155">
    <w:p w14:paraId="5B907D07" w14:textId="3016162E" w:rsidR="0077354A" w:rsidRPr="000A57CD" w:rsidRDefault="0077354A" w:rsidP="00C16403">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Perreault, W. D., J. P. E. Cannon, and J. McCarthy. </w:t>
      </w:r>
      <w:r w:rsidR="000A57CD" w:rsidRPr="000A57CD">
        <w:rPr>
          <w:rStyle w:val="Emphasis"/>
          <w:rFonts w:asciiTheme="majorBidi" w:hAnsiTheme="majorBidi" w:cstheme="majorBidi"/>
          <w:sz w:val="20"/>
          <w:szCs w:val="20"/>
          <w:lang w:val="en-GB"/>
        </w:rPr>
        <w:t>Basic Marketing</w:t>
      </w:r>
      <w:r w:rsidR="000A57CD" w:rsidRPr="000A57CD">
        <w:rPr>
          <w:rFonts w:asciiTheme="majorBidi" w:hAnsiTheme="majorBidi" w:cstheme="majorBidi"/>
          <w:sz w:val="20"/>
          <w:szCs w:val="20"/>
          <w:lang w:val="en-GB"/>
        </w:rPr>
        <w:t>. Translated by Asım Günal Önce. Ankara: Nobel Publication and Press, 2013.</w:t>
      </w:r>
    </w:p>
  </w:footnote>
  <w:footnote w:id="156">
    <w:p w14:paraId="5593B6EA" w14:textId="5FE42042" w:rsidR="0077354A" w:rsidRPr="000A57CD" w:rsidRDefault="0077354A" w:rsidP="00C16403">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Gunelius, S. </w:t>
      </w:r>
      <w:r w:rsidR="000A57CD" w:rsidRPr="000A57CD">
        <w:rPr>
          <w:rStyle w:val="Emphasis"/>
          <w:rFonts w:asciiTheme="majorBidi" w:hAnsiTheme="majorBidi" w:cstheme="majorBidi"/>
          <w:sz w:val="20"/>
          <w:szCs w:val="20"/>
          <w:lang w:val="en-GB"/>
        </w:rPr>
        <w:t>30 Minute Social Media Marketing: Step by Step Techniques to Spread the Words about your Business</w:t>
      </w:r>
      <w:r w:rsidR="000A57CD" w:rsidRPr="000A57CD">
        <w:rPr>
          <w:rFonts w:asciiTheme="majorBidi" w:hAnsiTheme="majorBidi" w:cstheme="majorBidi"/>
          <w:sz w:val="20"/>
          <w:szCs w:val="20"/>
          <w:lang w:val="en-GB"/>
        </w:rPr>
        <w:t>. New York: McGraw-Hill, 2011, p13–23.</w:t>
      </w:r>
    </w:p>
  </w:footnote>
  <w:footnote w:id="157">
    <w:p w14:paraId="1EDD2001" w14:textId="13A5EF90" w:rsidR="0077354A" w:rsidRPr="000A57CD" w:rsidRDefault="0077354A" w:rsidP="003F0D54">
      <w:pPr>
        <w:spacing w:line="240"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Çiçek, M., and I. Eren-Erdogmus. “Social Media Marketing: Exploring the User Typology in Turkey.” </w:t>
      </w:r>
      <w:r w:rsidR="000A57CD" w:rsidRPr="000A57CD">
        <w:rPr>
          <w:rStyle w:val="Emphasis"/>
          <w:rFonts w:asciiTheme="majorBidi" w:hAnsiTheme="majorBidi" w:cstheme="majorBidi"/>
          <w:sz w:val="20"/>
          <w:szCs w:val="20"/>
          <w:lang w:val="en-GB"/>
        </w:rPr>
        <w:t>International Journal of Technology Marketing</w:t>
      </w:r>
      <w:r w:rsidR="000A57CD" w:rsidRPr="000A57CD">
        <w:rPr>
          <w:rFonts w:asciiTheme="majorBidi" w:hAnsiTheme="majorBidi" w:cstheme="majorBidi"/>
          <w:sz w:val="20"/>
          <w:szCs w:val="20"/>
          <w:lang w:val="en-GB"/>
        </w:rPr>
        <w:t xml:space="preserve"> 8, no. 3 (2013): p259.</w:t>
      </w:r>
    </w:p>
  </w:footnote>
  <w:footnote w:id="158">
    <w:p w14:paraId="2421768B" w14:textId="50CAEAFE" w:rsidR="0077354A" w:rsidRPr="008D6A7B" w:rsidRDefault="0077354A" w:rsidP="003F0D54">
      <w:pPr>
        <w:pStyle w:val="NormalWeb"/>
        <w:jc w:val="both"/>
        <w:rPr>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 xml:space="preserve">Kandil, M., H. Berument, and N. N. Dincer. “The Effects of Exchange Rate Fluctuations on Economic Activity in Turkey.” </w:t>
      </w:r>
      <w:r w:rsidR="000A57CD" w:rsidRPr="002E5550">
        <w:rPr>
          <w:rStyle w:val="Emphasis"/>
          <w:rFonts w:asciiTheme="majorBidi" w:hAnsiTheme="majorBidi" w:cstheme="majorBidi"/>
          <w:sz w:val="20"/>
          <w:szCs w:val="20"/>
          <w:lang w:val="en-US"/>
        </w:rPr>
        <w:t>Journal of Asian Economics</w:t>
      </w:r>
      <w:r w:rsidR="000A57CD" w:rsidRPr="002E5550">
        <w:rPr>
          <w:rFonts w:asciiTheme="majorBidi" w:hAnsiTheme="majorBidi" w:cstheme="majorBidi"/>
          <w:sz w:val="20"/>
          <w:szCs w:val="20"/>
          <w:lang w:val="en-US"/>
        </w:rPr>
        <w:t xml:space="preserve"> 18, no. 3 (2007): p484.</w:t>
      </w:r>
    </w:p>
  </w:footnote>
  <w:footnote w:id="159">
    <w:p w14:paraId="32CD8478" w14:textId="77777777" w:rsidR="0077354A" w:rsidRPr="000A57CD" w:rsidRDefault="0077354A" w:rsidP="0024056C">
      <w:pPr>
        <w:pStyle w:val="NormalWeb"/>
        <w:spacing w:line="276"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Kandil, M., Berument, H., &amp; Dincer, N. N. op.cit, p484</w:t>
      </w:r>
    </w:p>
  </w:footnote>
  <w:footnote w:id="160">
    <w:p w14:paraId="115FBE7F" w14:textId="5769A2A7" w:rsidR="0077354A" w:rsidRPr="000A57CD" w:rsidRDefault="0077354A" w:rsidP="0024056C">
      <w:pPr>
        <w:pStyle w:val="NormalWeb"/>
        <w:spacing w:line="276" w:lineRule="auto"/>
        <w:jc w:val="both"/>
        <w:rPr>
          <w:rFonts w:asciiTheme="majorBidi" w:hAnsiTheme="majorBidi" w:cstheme="majorBidi"/>
          <w:sz w:val="20"/>
          <w:szCs w:val="20"/>
          <w:lang w:val="en-GB"/>
        </w:rPr>
      </w:pPr>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r w:rsidR="000A57CD" w:rsidRPr="000A57CD">
        <w:rPr>
          <w:rFonts w:asciiTheme="majorBidi" w:hAnsiTheme="majorBidi" w:cstheme="majorBidi"/>
          <w:sz w:val="20"/>
          <w:szCs w:val="20"/>
          <w:lang w:val="en-GB"/>
        </w:rPr>
        <w:t>Auboin, Marc. “Boosting Trade Finance in Developing Countries: What Link with the WTO?” WTO Staff Working Paper ERSD No. 2007-04, 2007.</w:t>
      </w:r>
    </w:p>
  </w:footnote>
  <w:footnote w:id="161">
    <w:p w14:paraId="426943FD" w14:textId="27DA4B61" w:rsidR="0077354A" w:rsidRPr="0024056C" w:rsidRDefault="0077354A" w:rsidP="0024056C">
      <w:pPr>
        <w:spacing w:before="100" w:beforeAutospacing="1" w:after="100" w:afterAutospacing="1" w:line="276" w:lineRule="auto"/>
        <w:jc w:val="both"/>
        <w:rPr>
          <w:rFonts w:asciiTheme="majorBidi" w:eastAsia="Times New Roman" w:hAnsiTheme="majorBidi" w:cstheme="majorBidi"/>
          <w:sz w:val="20"/>
          <w:szCs w:val="20"/>
          <w:lang w:val="en-GB" w:eastAsia="fr-FR"/>
        </w:rPr>
      </w:pPr>
      <w:bookmarkStart w:id="263" w:name="_Hlk199632338"/>
      <w:r w:rsidRPr="000A57CD">
        <w:rPr>
          <w:rStyle w:val="FootnoteReference"/>
          <w:rFonts w:asciiTheme="majorBidi" w:hAnsiTheme="majorBidi" w:cstheme="majorBidi"/>
          <w:sz w:val="20"/>
          <w:szCs w:val="20"/>
        </w:rPr>
        <w:footnoteRef/>
      </w:r>
      <w:r w:rsidRPr="000A57CD">
        <w:rPr>
          <w:rFonts w:asciiTheme="majorBidi" w:hAnsiTheme="majorBidi" w:cstheme="majorBidi"/>
          <w:sz w:val="20"/>
          <w:szCs w:val="20"/>
          <w:lang w:val="en-GB"/>
        </w:rPr>
        <w:t xml:space="preserve"> </w:t>
      </w:r>
      <w:bookmarkEnd w:id="263"/>
      <w:r w:rsidR="000A57CD" w:rsidRPr="000A57CD">
        <w:rPr>
          <w:rFonts w:asciiTheme="majorBidi" w:hAnsiTheme="majorBidi" w:cstheme="majorBidi"/>
          <w:sz w:val="20"/>
          <w:szCs w:val="20"/>
          <w:lang w:val="en-GB"/>
        </w:rPr>
        <w:t xml:space="preserve">Türkcan, K. “Evolving Patterns of Payment Methods in Turkish Foreign Trade.” </w:t>
      </w:r>
      <w:r w:rsidR="000A57CD" w:rsidRPr="002E5550">
        <w:rPr>
          <w:rStyle w:val="Emphasis"/>
          <w:rFonts w:asciiTheme="majorBidi" w:hAnsiTheme="majorBidi" w:cstheme="majorBidi"/>
          <w:sz w:val="20"/>
          <w:szCs w:val="20"/>
          <w:lang w:val="en-US"/>
        </w:rPr>
        <w:t>World Journal of Applied Economics</w:t>
      </w:r>
      <w:r w:rsidR="000A57CD" w:rsidRPr="002E5550">
        <w:rPr>
          <w:rFonts w:asciiTheme="majorBidi" w:hAnsiTheme="majorBidi" w:cstheme="majorBidi"/>
          <w:sz w:val="20"/>
          <w:szCs w:val="20"/>
          <w:lang w:val="en-US"/>
        </w:rPr>
        <w:t xml:space="preserve"> 2, no. 1 (2016): p22.</w:t>
      </w:r>
    </w:p>
  </w:footnote>
  <w:footnote w:id="162">
    <w:p w14:paraId="167F4168" w14:textId="7F3D7E21" w:rsidR="00AC1791" w:rsidRPr="00A50F08" w:rsidRDefault="00AC1791" w:rsidP="00104EA7">
      <w:pPr>
        <w:pStyle w:val="FootnoteText"/>
        <w:spacing w:line="276" w:lineRule="auto"/>
        <w:rPr>
          <w:rFonts w:asciiTheme="majorBidi" w:hAnsiTheme="majorBidi" w:cstheme="majorBidi"/>
          <w:lang w:val="en-GB"/>
        </w:rPr>
      </w:pPr>
      <w:r w:rsidRPr="00A50F08">
        <w:rPr>
          <w:rStyle w:val="FootnoteReference"/>
          <w:rFonts w:asciiTheme="majorBidi" w:hAnsiTheme="majorBidi" w:cstheme="majorBidi"/>
        </w:rPr>
        <w:footnoteRef/>
      </w:r>
      <w:r w:rsidRPr="00A50F08">
        <w:rPr>
          <w:rFonts w:asciiTheme="majorBidi" w:hAnsiTheme="majorBidi" w:cstheme="majorBidi"/>
          <w:lang w:val="en-GB"/>
        </w:rPr>
        <w:t xml:space="preserve">- Euromonitor International. </w:t>
      </w:r>
      <w:r w:rsidRPr="00A50F08">
        <w:rPr>
          <w:rStyle w:val="Emphasis"/>
          <w:rFonts w:asciiTheme="majorBidi" w:hAnsiTheme="majorBidi" w:cstheme="majorBidi"/>
          <w:lang w:val="en-GB"/>
        </w:rPr>
        <w:t>Beauty and personal care in Turkey</w:t>
      </w:r>
      <w:r w:rsidRPr="00A50F08">
        <w:rPr>
          <w:rFonts w:asciiTheme="majorBidi" w:hAnsiTheme="majorBidi" w:cstheme="majorBidi"/>
          <w:lang w:val="en-GB"/>
        </w:rPr>
        <w:t xml:space="preserve">. Euromonitor. Retrieved May 2025, from </w:t>
      </w:r>
      <w:hyperlink r:id="rId48" w:tgtFrame="_new" w:history="1">
        <w:r w:rsidRPr="00A50F08">
          <w:rPr>
            <w:rStyle w:val="Hyperlink"/>
            <w:rFonts w:asciiTheme="majorBidi" w:hAnsiTheme="majorBidi" w:cstheme="majorBidi"/>
            <w:lang w:val="en-GB"/>
          </w:rPr>
          <w:t>https://www.euromonitor.com/beauty-and-personal-care-in-turkey/report</w:t>
        </w:r>
      </w:hyperlink>
    </w:p>
  </w:footnote>
  <w:footnote w:id="163">
    <w:p w14:paraId="2AFCE044" w14:textId="34C4DC20" w:rsidR="00AC1791" w:rsidRPr="00A50F08" w:rsidRDefault="00AC1791" w:rsidP="00104EA7">
      <w:pPr>
        <w:pStyle w:val="NormalWeb"/>
        <w:spacing w:line="276" w:lineRule="auto"/>
        <w:rPr>
          <w:rFonts w:asciiTheme="majorBidi" w:hAnsiTheme="majorBidi" w:cstheme="majorBidi"/>
          <w:sz w:val="20"/>
          <w:szCs w:val="20"/>
          <w:lang w:val="en-GB"/>
        </w:rPr>
      </w:pPr>
      <w:r w:rsidRPr="00A50F08">
        <w:rPr>
          <w:rStyle w:val="FootnoteReference"/>
          <w:rFonts w:asciiTheme="majorBidi" w:hAnsiTheme="majorBidi" w:cstheme="majorBidi"/>
          <w:sz w:val="20"/>
          <w:szCs w:val="20"/>
        </w:rPr>
        <w:footnoteRef/>
      </w:r>
      <w:r w:rsidRPr="00A50F08">
        <w:rPr>
          <w:rFonts w:asciiTheme="majorBidi" w:hAnsiTheme="majorBidi" w:cstheme="majorBidi"/>
          <w:sz w:val="20"/>
          <w:szCs w:val="20"/>
          <w:lang w:val="en-GB"/>
        </w:rPr>
        <w:t xml:space="preserve"> - StrategyHelix. </w:t>
      </w:r>
      <w:r w:rsidRPr="00A50F08">
        <w:rPr>
          <w:rStyle w:val="Emphasis"/>
          <w:rFonts w:asciiTheme="majorBidi" w:hAnsiTheme="majorBidi" w:cstheme="majorBidi"/>
          <w:sz w:val="20"/>
          <w:szCs w:val="20"/>
          <w:lang w:val="en-GB"/>
        </w:rPr>
        <w:t>Beauty and personal care products market in Turkey</w:t>
      </w:r>
      <w:r w:rsidRPr="00A50F08">
        <w:rPr>
          <w:rFonts w:asciiTheme="majorBidi" w:hAnsiTheme="majorBidi" w:cstheme="majorBidi"/>
          <w:sz w:val="20"/>
          <w:szCs w:val="20"/>
          <w:lang w:val="en-GB"/>
        </w:rPr>
        <w:t xml:space="preserve">. StrategyHelix Store. Retrieved May 2025, from </w:t>
      </w:r>
      <w:hyperlink r:id="rId49" w:tgtFrame="_new" w:history="1">
        <w:r w:rsidRPr="00A50F08">
          <w:rPr>
            <w:rStyle w:val="Hyperlink"/>
            <w:rFonts w:asciiTheme="majorBidi" w:eastAsiaTheme="majorEastAsia" w:hAnsiTheme="majorBidi" w:cstheme="majorBidi"/>
            <w:sz w:val="20"/>
            <w:szCs w:val="20"/>
            <w:lang w:val="en-GB"/>
          </w:rPr>
          <w:t>https://store.strategyh.com/report/beauty-and-personal-care-products-market-in-turkey/</w:t>
        </w:r>
      </w:hyperlink>
    </w:p>
  </w:footnote>
  <w:footnote w:id="164">
    <w:p w14:paraId="42344DFF" w14:textId="69FF4A1D" w:rsidR="00AC1791" w:rsidRPr="00CF1314" w:rsidRDefault="00AC1791" w:rsidP="00CF1314">
      <w:pPr>
        <w:pStyle w:val="NormalWeb"/>
        <w:spacing w:line="276" w:lineRule="auto"/>
        <w:rPr>
          <w:rFonts w:asciiTheme="majorBidi" w:hAnsiTheme="majorBidi" w:cstheme="majorBidi"/>
          <w:sz w:val="20"/>
          <w:szCs w:val="20"/>
          <w:lang w:val="en-GB"/>
        </w:rPr>
      </w:pPr>
      <w:r w:rsidRPr="00A50F08">
        <w:rPr>
          <w:rStyle w:val="FootnoteReference"/>
          <w:rFonts w:asciiTheme="majorBidi" w:hAnsiTheme="majorBidi" w:cstheme="majorBidi"/>
          <w:sz w:val="20"/>
          <w:szCs w:val="20"/>
        </w:rPr>
        <w:footnoteRef/>
      </w:r>
      <w:r w:rsidRPr="00A50F08">
        <w:rPr>
          <w:rFonts w:asciiTheme="majorBidi" w:hAnsiTheme="majorBidi" w:cstheme="majorBidi"/>
          <w:sz w:val="20"/>
          <w:szCs w:val="20"/>
          <w:lang w:val="en-GB"/>
        </w:rPr>
        <w:t xml:space="preserve"> - Global Cosmetic Industry (GCI). </w:t>
      </w:r>
      <w:r w:rsidRPr="00A50F08">
        <w:rPr>
          <w:rStyle w:val="Emphasis"/>
          <w:rFonts w:asciiTheme="majorBidi" w:hAnsiTheme="majorBidi" w:cstheme="majorBidi"/>
          <w:sz w:val="20"/>
          <w:szCs w:val="20"/>
          <w:lang w:val="en-GB"/>
        </w:rPr>
        <w:t>Potential in Turkey and the Middle East</w:t>
      </w:r>
      <w:r w:rsidRPr="00A50F08">
        <w:rPr>
          <w:rFonts w:asciiTheme="majorBidi" w:hAnsiTheme="majorBidi" w:cstheme="majorBidi"/>
          <w:sz w:val="20"/>
          <w:szCs w:val="20"/>
          <w:lang w:val="en-GB"/>
        </w:rPr>
        <w:t xml:space="preserve">. GCI Magazine. Retrieved May 2025, from </w:t>
      </w:r>
      <w:hyperlink r:id="rId50" w:tgtFrame="_new" w:history="1">
        <w:r w:rsidRPr="00A50F08">
          <w:rPr>
            <w:rStyle w:val="Hyperlink"/>
            <w:rFonts w:asciiTheme="majorBidi" w:eastAsiaTheme="majorEastAsia" w:hAnsiTheme="majorBidi" w:cstheme="majorBidi"/>
            <w:sz w:val="20"/>
            <w:szCs w:val="20"/>
            <w:lang w:val="en-GB"/>
          </w:rPr>
          <w:t>https://www.gcimagazine.com/consumers-markets/article/21849970/potential-in-turkey-and-the-middle-east</w:t>
        </w:r>
      </w:hyperlink>
    </w:p>
  </w:footnote>
  <w:footnote w:id="165">
    <w:p w14:paraId="6BA0F970" w14:textId="607EC357"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 xml:space="preserve">Erte Cosmetics. </w:t>
      </w:r>
      <w:r w:rsidRPr="00D64087">
        <w:rPr>
          <w:rStyle w:val="Emphasis"/>
          <w:rFonts w:asciiTheme="majorBidi" w:hAnsiTheme="majorBidi" w:cstheme="majorBidi"/>
          <w:sz w:val="20"/>
          <w:szCs w:val="20"/>
          <w:lang w:val="en-GB"/>
        </w:rPr>
        <w:t>Home</w:t>
      </w:r>
      <w:r w:rsidRPr="00D64087">
        <w:rPr>
          <w:rFonts w:asciiTheme="majorBidi" w:hAnsiTheme="majorBidi" w:cstheme="majorBidi"/>
          <w:sz w:val="20"/>
          <w:szCs w:val="20"/>
          <w:lang w:val="en-GB"/>
        </w:rPr>
        <w:t xml:space="preserve">. Retrieved May 2025, from </w:t>
      </w:r>
      <w:hyperlink r:id="rId51" w:tgtFrame="_new" w:history="1">
        <w:r w:rsidRPr="00D64087">
          <w:rPr>
            <w:rStyle w:val="Hyperlink"/>
            <w:rFonts w:asciiTheme="majorBidi" w:eastAsiaTheme="majorEastAsia" w:hAnsiTheme="majorBidi"/>
            <w:sz w:val="20"/>
            <w:szCs w:val="20"/>
            <w:lang w:val="en-GB"/>
          </w:rPr>
          <w:t>https://ertecosmetics.com/</w:t>
        </w:r>
      </w:hyperlink>
    </w:p>
  </w:footnote>
  <w:footnote w:id="166">
    <w:p w14:paraId="198E3AAC" w14:textId="1F5AB7AF"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TijaraHub.</w:t>
      </w:r>
      <w:r w:rsidR="008E098E">
        <w:rPr>
          <w:rFonts w:asciiTheme="majorBidi" w:hAnsiTheme="majorBidi" w:cstheme="majorBidi"/>
          <w:sz w:val="20"/>
          <w:szCs w:val="20"/>
          <w:lang w:val="en-GB"/>
        </w:rPr>
        <w:t xml:space="preserve"> </w:t>
      </w:r>
      <w:r w:rsidRPr="00D64087">
        <w:rPr>
          <w:rStyle w:val="Emphasis"/>
          <w:rFonts w:asciiTheme="majorBidi" w:hAnsiTheme="majorBidi" w:cstheme="majorBidi"/>
          <w:sz w:val="20"/>
          <w:szCs w:val="20"/>
          <w:lang w:val="en-GB"/>
        </w:rPr>
        <w:t>Bringing Istanbul glamour to your beauty ritual: Exploring Turkey’s skincare and cosmetics industry</w:t>
      </w:r>
      <w:r w:rsidRPr="00D64087">
        <w:rPr>
          <w:rFonts w:asciiTheme="majorBidi" w:hAnsiTheme="majorBidi" w:cstheme="majorBidi"/>
          <w:sz w:val="20"/>
          <w:szCs w:val="20"/>
          <w:lang w:val="en-GB"/>
        </w:rPr>
        <w:t xml:space="preserve">. TijaraHub Blogs. Retrieved May 2025, from </w:t>
      </w:r>
      <w:hyperlink r:id="rId52" w:tgtFrame="_new" w:history="1">
        <w:r w:rsidRPr="00D64087">
          <w:rPr>
            <w:rStyle w:val="Hyperlink"/>
            <w:rFonts w:asciiTheme="majorBidi" w:eastAsiaTheme="majorEastAsia" w:hAnsiTheme="majorBidi"/>
            <w:sz w:val="20"/>
            <w:szCs w:val="20"/>
            <w:lang w:val="en-GB"/>
          </w:rPr>
          <w:t>https://tijarahub.com/tijarahub-blogs/bringing-istanbul-glamour-to-your-beauty-ritual-exploring-turkeys-skincare-and-cosmetics-industry/</w:t>
        </w:r>
      </w:hyperlink>
    </w:p>
  </w:footnote>
  <w:footnote w:id="167">
    <w:p w14:paraId="006D8B11" w14:textId="233C64CE" w:rsidR="00AC1791" w:rsidRPr="00D64087" w:rsidRDefault="00AC1791" w:rsidP="00D64087">
      <w:pPr>
        <w:pStyle w:val="NormalWeb"/>
        <w:spacing w:line="276" w:lineRule="auto"/>
        <w:rPr>
          <w:rFonts w:asciiTheme="majorBidi" w:hAnsiTheme="majorBidi" w:cstheme="majorBidi"/>
          <w:sz w:val="18"/>
          <w:szCs w:val="18"/>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 xml:space="preserve">ReportLinker. </w:t>
      </w:r>
      <w:r w:rsidRPr="00D64087">
        <w:rPr>
          <w:rStyle w:val="Emphasis"/>
          <w:rFonts w:asciiTheme="majorBidi" w:hAnsiTheme="majorBidi" w:cstheme="majorBidi"/>
          <w:sz w:val="20"/>
          <w:szCs w:val="20"/>
          <w:lang w:val="en-GB"/>
        </w:rPr>
        <w:t>[Market report on beauty and personal care]</w:t>
      </w:r>
      <w:r w:rsidRPr="00D64087">
        <w:rPr>
          <w:rFonts w:asciiTheme="majorBidi" w:hAnsiTheme="majorBidi" w:cstheme="majorBidi"/>
          <w:sz w:val="20"/>
          <w:szCs w:val="20"/>
          <w:lang w:val="en-GB"/>
        </w:rPr>
        <w:t xml:space="preserve">. ReportLinker. Retrieved May 2025, from </w:t>
      </w:r>
      <w:hyperlink r:id="rId53" w:tgtFrame="_new" w:history="1">
        <w:r w:rsidRPr="00D64087">
          <w:rPr>
            <w:rStyle w:val="Hyperlink"/>
            <w:rFonts w:asciiTheme="majorBidi" w:eastAsiaTheme="majorEastAsia" w:hAnsiTheme="majorBidi"/>
            <w:sz w:val="20"/>
            <w:szCs w:val="20"/>
            <w:lang w:val="en-GB"/>
          </w:rPr>
          <w:t>https://www.reportlinker.com/dlp/5ccec7326ded447cfd5154f0cb1e032e</w:t>
        </w:r>
      </w:hyperlink>
    </w:p>
  </w:footnote>
  <w:footnote w:id="168">
    <w:p w14:paraId="057CAF98" w14:textId="3D593599"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rFonts w:asciiTheme="majorBidi" w:hAnsiTheme="majorBidi" w:cstheme="majorBidi"/>
          <w:sz w:val="20"/>
          <w:szCs w:val="20"/>
        </w:rPr>
        <w:footnoteRef/>
      </w:r>
      <w:r w:rsidRPr="00D64087">
        <w:rPr>
          <w:rFonts w:asciiTheme="majorBidi" w:hAnsiTheme="majorBidi" w:cstheme="majorBidi"/>
          <w:sz w:val="20"/>
          <w:szCs w:val="20"/>
          <w:lang w:val="en-GB"/>
        </w:rPr>
        <w:t xml:space="preserve"> - StrategyHelix. </w:t>
      </w:r>
      <w:r w:rsidRPr="00D64087">
        <w:rPr>
          <w:rStyle w:val="Emphasis"/>
          <w:rFonts w:asciiTheme="majorBidi" w:hAnsiTheme="majorBidi" w:cstheme="majorBidi"/>
          <w:sz w:val="20"/>
          <w:szCs w:val="20"/>
          <w:lang w:val="en-GB"/>
        </w:rPr>
        <w:t>Beauty and personal care products market in Turkey</w:t>
      </w:r>
      <w:r w:rsidRPr="00D64087">
        <w:rPr>
          <w:rFonts w:asciiTheme="majorBidi" w:hAnsiTheme="majorBidi" w:cstheme="majorBidi"/>
          <w:sz w:val="20"/>
          <w:szCs w:val="20"/>
          <w:lang w:val="en-GB"/>
        </w:rPr>
        <w:t xml:space="preserve">. StrategyHelix Store. Retrieved May 2025, from </w:t>
      </w:r>
      <w:hyperlink r:id="rId54" w:tgtFrame="_new" w:history="1">
        <w:r w:rsidRPr="00D64087">
          <w:rPr>
            <w:rStyle w:val="Hyperlink"/>
            <w:rFonts w:asciiTheme="majorBidi" w:eastAsiaTheme="majorEastAsia" w:hAnsiTheme="majorBidi" w:cstheme="majorBidi"/>
            <w:sz w:val="20"/>
            <w:szCs w:val="20"/>
            <w:lang w:val="en-GB"/>
          </w:rPr>
          <w:t>https://store.strategyh.com/report/beauty-and-personal-care-products-market-in-turkey/</w:t>
        </w:r>
      </w:hyperlink>
    </w:p>
  </w:footnote>
  <w:footnote w:id="169">
    <w:p w14:paraId="1B691857" w14:textId="4A18CF92"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rFonts w:asciiTheme="majorBidi" w:hAnsiTheme="majorBidi" w:cstheme="majorBidi"/>
          <w:sz w:val="20"/>
          <w:szCs w:val="20"/>
        </w:rPr>
        <w:footnoteRef/>
      </w:r>
      <w:r w:rsidRPr="00D64087">
        <w:rPr>
          <w:rFonts w:asciiTheme="majorBidi" w:hAnsiTheme="majorBidi" w:cstheme="majorBidi"/>
          <w:sz w:val="20"/>
          <w:szCs w:val="20"/>
          <w:lang w:val="en-GB"/>
        </w:rPr>
        <w:t xml:space="preserve"> - StrategyHelix. </w:t>
      </w:r>
      <w:r w:rsidRPr="00D64087">
        <w:rPr>
          <w:rStyle w:val="Emphasis"/>
          <w:rFonts w:asciiTheme="majorBidi" w:hAnsiTheme="majorBidi" w:cstheme="majorBidi"/>
          <w:sz w:val="20"/>
          <w:szCs w:val="20"/>
          <w:lang w:val="en-GB"/>
        </w:rPr>
        <w:t>Beauty and personal care products market in Turkey</w:t>
      </w:r>
      <w:r w:rsidRPr="00D64087">
        <w:rPr>
          <w:rFonts w:asciiTheme="majorBidi" w:hAnsiTheme="majorBidi" w:cstheme="majorBidi"/>
          <w:sz w:val="20"/>
          <w:szCs w:val="20"/>
          <w:lang w:val="en-GB"/>
        </w:rPr>
        <w:t xml:space="preserve">. StrategyHelix Store. Retrieved May 2025, from </w:t>
      </w:r>
      <w:hyperlink r:id="rId55" w:tgtFrame="_new" w:history="1">
        <w:r w:rsidRPr="00D64087">
          <w:rPr>
            <w:rStyle w:val="Hyperlink"/>
            <w:rFonts w:asciiTheme="majorBidi" w:eastAsiaTheme="majorEastAsia" w:hAnsiTheme="majorBidi" w:cstheme="majorBidi"/>
            <w:sz w:val="20"/>
            <w:szCs w:val="20"/>
            <w:lang w:val="en-GB"/>
          </w:rPr>
          <w:t>https://store.strategyh.com/report/beauty-and-personal-care-products-market-in-turkey/</w:t>
        </w:r>
      </w:hyperlink>
    </w:p>
  </w:footnote>
  <w:footnote w:id="170">
    <w:p w14:paraId="29D77078" w14:textId="5933A5F0" w:rsidR="00AC1791" w:rsidRPr="00D64087" w:rsidRDefault="00AC1791" w:rsidP="00D64087">
      <w:pPr>
        <w:pStyle w:val="FootnoteText"/>
        <w:spacing w:line="276" w:lineRule="auto"/>
        <w:rPr>
          <w:rFonts w:asciiTheme="majorBidi" w:hAnsiTheme="majorBidi" w:cstheme="majorBidi"/>
          <w:lang w:val="en-GB"/>
        </w:rPr>
      </w:pPr>
      <w:r w:rsidRPr="00D64087">
        <w:rPr>
          <w:rStyle w:val="FootnoteReference"/>
          <w:rFonts w:asciiTheme="majorBidi" w:hAnsiTheme="majorBidi" w:cstheme="majorBidi"/>
        </w:rPr>
        <w:footnoteRef/>
      </w:r>
      <w:r w:rsidRPr="00D64087">
        <w:rPr>
          <w:rFonts w:asciiTheme="majorBidi" w:hAnsiTheme="majorBidi" w:cstheme="majorBidi"/>
          <w:lang w:val="en-GB"/>
        </w:rPr>
        <w:t xml:space="preserve"> - Euromonitor International</w:t>
      </w:r>
      <w:r w:rsidR="008E098E">
        <w:rPr>
          <w:rFonts w:asciiTheme="majorBidi" w:hAnsiTheme="majorBidi" w:cstheme="majorBidi"/>
          <w:lang w:val="en-GB"/>
        </w:rPr>
        <w:t xml:space="preserve">. </w:t>
      </w:r>
      <w:r w:rsidRPr="00D64087">
        <w:rPr>
          <w:rStyle w:val="Emphasis"/>
          <w:rFonts w:asciiTheme="majorBidi" w:hAnsiTheme="majorBidi" w:cstheme="majorBidi"/>
          <w:lang w:val="en-GB"/>
        </w:rPr>
        <w:t>Beauty and personal care in Turkey</w:t>
      </w:r>
      <w:r w:rsidRPr="00D64087">
        <w:rPr>
          <w:rFonts w:asciiTheme="majorBidi" w:hAnsiTheme="majorBidi" w:cstheme="majorBidi"/>
          <w:lang w:val="en-GB"/>
        </w:rPr>
        <w:t xml:space="preserve">. Euromonitor. Retrieved May 2025, from </w:t>
      </w:r>
      <w:hyperlink r:id="rId56" w:tgtFrame="_new" w:history="1">
        <w:r w:rsidRPr="00D64087">
          <w:rPr>
            <w:rStyle w:val="Hyperlink"/>
            <w:rFonts w:asciiTheme="majorBidi" w:hAnsiTheme="majorBidi" w:cstheme="majorBidi"/>
            <w:lang w:val="en-GB"/>
          </w:rPr>
          <w:t>https://www.euromonitor.com/beauty-and-personal-care-in-turkey/report</w:t>
        </w:r>
      </w:hyperlink>
    </w:p>
  </w:footnote>
  <w:footnote w:id="171">
    <w:p w14:paraId="49028240" w14:textId="7122FF52"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 xml:space="preserve">Paturkey.com. </w:t>
      </w:r>
      <w:r w:rsidRPr="00D64087">
        <w:rPr>
          <w:rStyle w:val="Emphasis"/>
          <w:rFonts w:asciiTheme="majorBidi" w:hAnsiTheme="majorBidi" w:cstheme="majorBidi"/>
          <w:sz w:val="20"/>
          <w:szCs w:val="20"/>
          <w:lang w:val="en-GB"/>
        </w:rPr>
        <w:t>Turkey: Hard data signals slow down in growth</w:t>
      </w:r>
      <w:r w:rsidR="008E098E">
        <w:rPr>
          <w:rStyle w:val="Emphasis"/>
          <w:rFonts w:asciiTheme="majorBidi" w:hAnsiTheme="majorBidi" w:cstheme="majorBidi"/>
          <w:sz w:val="20"/>
          <w:szCs w:val="20"/>
          <w:lang w:val="en-GB"/>
        </w:rPr>
        <w:t xml:space="preserve">. </w:t>
      </w:r>
      <w:r w:rsidR="008E098E" w:rsidRPr="00D64087">
        <w:rPr>
          <w:rFonts w:asciiTheme="majorBidi" w:hAnsiTheme="majorBidi" w:cstheme="majorBidi"/>
          <w:sz w:val="20"/>
          <w:szCs w:val="20"/>
          <w:lang w:val="en-GB"/>
        </w:rPr>
        <w:t>(2025)</w:t>
      </w:r>
      <w:r w:rsidRPr="00D64087">
        <w:rPr>
          <w:rFonts w:asciiTheme="majorBidi" w:hAnsiTheme="majorBidi" w:cstheme="majorBidi"/>
          <w:sz w:val="20"/>
          <w:szCs w:val="20"/>
          <w:lang w:val="en-GB"/>
        </w:rPr>
        <w:t xml:space="preserve">. Retrieved May 2025, from </w:t>
      </w:r>
      <w:hyperlink r:id="rId57" w:tgtFrame="_new" w:history="1">
        <w:r w:rsidRPr="00D64087">
          <w:rPr>
            <w:rStyle w:val="Hyperlink"/>
            <w:rFonts w:asciiTheme="majorBidi" w:eastAsiaTheme="majorEastAsia" w:hAnsiTheme="majorBidi"/>
            <w:sz w:val="20"/>
            <w:szCs w:val="20"/>
            <w:lang w:val="en-GB"/>
          </w:rPr>
          <w:t>https://www.paturkey.com/news/2025/turkey-hard-data-signals-slow-down-in-growth-19745/</w:t>
        </w:r>
      </w:hyperlink>
    </w:p>
  </w:footnote>
  <w:footnote w:id="172">
    <w:p w14:paraId="004B9A7F" w14:textId="3185800D" w:rsidR="00AC1791" w:rsidRPr="00D64087" w:rsidRDefault="00AC1791" w:rsidP="00D64087">
      <w:pPr>
        <w:pStyle w:val="NormalWeb"/>
        <w:spacing w:line="276" w:lineRule="auto"/>
        <w:rPr>
          <w:rFonts w:asciiTheme="majorBidi" w:hAnsiTheme="majorBidi" w:cstheme="majorBidi"/>
          <w:sz w:val="20"/>
          <w:szCs w:val="20"/>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GlobalData.</w:t>
      </w:r>
      <w:r w:rsidR="008E098E">
        <w:rPr>
          <w:rFonts w:asciiTheme="majorBidi" w:hAnsiTheme="majorBidi" w:cstheme="majorBidi"/>
          <w:sz w:val="20"/>
          <w:szCs w:val="20"/>
          <w:lang w:val="en-GB"/>
        </w:rPr>
        <w:t xml:space="preserve"> </w:t>
      </w:r>
      <w:r w:rsidRPr="00D64087">
        <w:rPr>
          <w:rStyle w:val="Emphasis"/>
          <w:rFonts w:asciiTheme="majorBidi" w:hAnsiTheme="majorBidi" w:cstheme="majorBidi"/>
          <w:sz w:val="20"/>
          <w:szCs w:val="20"/>
          <w:lang w:val="en-GB"/>
        </w:rPr>
        <w:t>Turkey skincare market analysis</w:t>
      </w:r>
      <w:r w:rsidRPr="00D64087">
        <w:rPr>
          <w:rFonts w:asciiTheme="majorBidi" w:hAnsiTheme="majorBidi" w:cstheme="majorBidi"/>
          <w:sz w:val="20"/>
          <w:szCs w:val="20"/>
          <w:lang w:val="en-GB"/>
        </w:rPr>
        <w:t xml:space="preserve">. GlobalData Store. Retrieved May 2025, from </w:t>
      </w:r>
      <w:hyperlink r:id="rId58" w:tgtFrame="_new" w:history="1">
        <w:r w:rsidRPr="00D64087">
          <w:rPr>
            <w:rStyle w:val="Hyperlink"/>
            <w:rFonts w:asciiTheme="majorBidi" w:eastAsiaTheme="majorEastAsia" w:hAnsiTheme="majorBidi"/>
            <w:sz w:val="20"/>
            <w:szCs w:val="20"/>
            <w:lang w:val="en-GB"/>
          </w:rPr>
          <w:t>https://www.globaldata.com/store/report/turkey-skincare-market-analysis/</w:t>
        </w:r>
      </w:hyperlink>
    </w:p>
  </w:footnote>
  <w:footnote w:id="173">
    <w:p w14:paraId="6F72AFA2" w14:textId="4B54B05C" w:rsidR="00AC1791" w:rsidRPr="00A50F08" w:rsidRDefault="00AC1791" w:rsidP="00A50F08">
      <w:pPr>
        <w:pStyle w:val="NormalWeb"/>
        <w:spacing w:line="276" w:lineRule="auto"/>
        <w:rPr>
          <w:rFonts w:asciiTheme="majorBidi" w:eastAsiaTheme="majorEastAsia" w:hAnsiTheme="majorBidi" w:cstheme="majorBidi"/>
          <w:color w:val="0563C1" w:themeColor="hyperlink"/>
          <w:sz w:val="20"/>
          <w:szCs w:val="20"/>
          <w:u w:val="single"/>
          <w:lang w:val="en-GB"/>
        </w:rPr>
      </w:pPr>
      <w:r w:rsidRPr="00D64087">
        <w:rPr>
          <w:rStyle w:val="FootnoteReference"/>
          <w:sz w:val="20"/>
          <w:szCs w:val="20"/>
        </w:rPr>
        <w:footnoteRef/>
      </w:r>
      <w:r w:rsidRPr="00D64087">
        <w:rPr>
          <w:sz w:val="20"/>
          <w:szCs w:val="20"/>
          <w:lang w:val="en-GB"/>
        </w:rPr>
        <w:t xml:space="preserve"> - </w:t>
      </w:r>
      <w:r w:rsidRPr="00D64087">
        <w:rPr>
          <w:rFonts w:asciiTheme="majorBidi" w:hAnsiTheme="majorBidi" w:cstheme="majorBidi"/>
          <w:sz w:val="20"/>
          <w:szCs w:val="20"/>
          <w:lang w:val="en-GB"/>
        </w:rPr>
        <w:t xml:space="preserve">TechSci Research. </w:t>
      </w:r>
      <w:r w:rsidRPr="00D64087">
        <w:rPr>
          <w:rStyle w:val="Emphasis"/>
          <w:rFonts w:asciiTheme="majorBidi" w:hAnsiTheme="majorBidi" w:cstheme="majorBidi"/>
          <w:sz w:val="20"/>
          <w:szCs w:val="20"/>
          <w:lang w:val="en-GB"/>
        </w:rPr>
        <w:t>Turkey skincare market to grow with a CAGR of 6.23% until 2028</w:t>
      </w:r>
      <w:r w:rsidRPr="00D64087">
        <w:rPr>
          <w:rFonts w:asciiTheme="majorBidi" w:hAnsiTheme="majorBidi" w:cstheme="majorBidi"/>
          <w:sz w:val="20"/>
          <w:szCs w:val="20"/>
          <w:lang w:val="en-GB"/>
        </w:rPr>
        <w:t>.</w:t>
      </w:r>
      <w:r w:rsidR="008E098E" w:rsidRPr="008E098E">
        <w:rPr>
          <w:rFonts w:asciiTheme="majorBidi" w:hAnsiTheme="majorBidi" w:cstheme="majorBidi"/>
          <w:sz w:val="20"/>
          <w:szCs w:val="20"/>
          <w:lang w:val="en-GB"/>
        </w:rPr>
        <w:t xml:space="preserve"> </w:t>
      </w:r>
      <w:r w:rsidR="008E098E" w:rsidRPr="00D64087">
        <w:rPr>
          <w:rFonts w:asciiTheme="majorBidi" w:hAnsiTheme="majorBidi" w:cstheme="majorBidi"/>
          <w:sz w:val="20"/>
          <w:szCs w:val="20"/>
          <w:lang w:val="en-GB"/>
        </w:rPr>
        <w:t xml:space="preserve">(2023, July). </w:t>
      </w:r>
      <w:r w:rsidRPr="00D64087">
        <w:rPr>
          <w:rFonts w:asciiTheme="majorBidi" w:hAnsiTheme="majorBidi" w:cstheme="majorBidi"/>
          <w:sz w:val="20"/>
          <w:szCs w:val="20"/>
          <w:lang w:val="en-GB"/>
        </w:rPr>
        <w:t xml:space="preserve"> Retrieved May 2025, from </w:t>
      </w:r>
      <w:hyperlink r:id="rId59" w:tgtFrame="_new" w:history="1">
        <w:r w:rsidRPr="00D64087">
          <w:rPr>
            <w:rStyle w:val="Hyperlink"/>
            <w:rFonts w:asciiTheme="majorBidi" w:eastAsiaTheme="majorEastAsia" w:hAnsiTheme="majorBidi"/>
            <w:sz w:val="20"/>
            <w:szCs w:val="20"/>
            <w:lang w:val="en-GB"/>
          </w:rPr>
          <w:t>https://www.techsciresearch.com/news/7570-turkey-skincare-market.html</w:t>
        </w:r>
      </w:hyperlink>
    </w:p>
  </w:footnote>
  <w:footnote w:id="174">
    <w:p w14:paraId="1DC8CE38" w14:textId="2B696CE9" w:rsidR="00AC1791" w:rsidRPr="00A50F08" w:rsidRDefault="00AC1791" w:rsidP="00A50F08">
      <w:pPr>
        <w:pStyle w:val="NormalWeb"/>
        <w:spacing w:line="276" w:lineRule="auto"/>
        <w:rPr>
          <w:rFonts w:asciiTheme="majorBidi" w:hAnsiTheme="majorBidi" w:cstheme="majorBidi"/>
          <w:sz w:val="20"/>
          <w:szCs w:val="20"/>
          <w:lang w:val="en-GB"/>
        </w:rPr>
      </w:pPr>
      <w:r w:rsidRPr="00A50F08">
        <w:rPr>
          <w:rStyle w:val="FootnoteReference"/>
          <w:sz w:val="20"/>
          <w:szCs w:val="20"/>
        </w:rPr>
        <w:footnoteRef/>
      </w:r>
      <w:r w:rsidRPr="00A50F08">
        <w:rPr>
          <w:sz w:val="20"/>
          <w:szCs w:val="20"/>
          <w:lang w:val="en-GB"/>
        </w:rPr>
        <w:t xml:space="preserve"> - </w:t>
      </w:r>
      <w:r w:rsidRPr="00A50F08">
        <w:rPr>
          <w:rFonts w:asciiTheme="majorBidi" w:hAnsiTheme="majorBidi" w:cstheme="majorBidi"/>
          <w:sz w:val="20"/>
          <w:szCs w:val="20"/>
          <w:lang w:val="en-GB"/>
        </w:rPr>
        <w:t>Republic of Türkiye Ministry of Trade</w:t>
      </w:r>
      <w:r w:rsidR="008E098E">
        <w:rPr>
          <w:rFonts w:asciiTheme="majorBidi" w:hAnsiTheme="majorBidi" w:cstheme="majorBidi"/>
          <w:sz w:val="20"/>
          <w:szCs w:val="20"/>
          <w:lang w:val="en-GB"/>
        </w:rPr>
        <w:t>.</w:t>
      </w:r>
      <w:r w:rsidRPr="00A50F08">
        <w:rPr>
          <w:rFonts w:asciiTheme="majorBidi" w:hAnsiTheme="majorBidi" w:cstheme="majorBidi"/>
          <w:sz w:val="20"/>
          <w:szCs w:val="20"/>
          <w:lang w:val="en-GB"/>
        </w:rPr>
        <w:t xml:space="preserve"> </w:t>
      </w:r>
      <w:r w:rsidRPr="00A50F08">
        <w:rPr>
          <w:rStyle w:val="Emphasis"/>
          <w:rFonts w:asciiTheme="majorBidi" w:hAnsiTheme="majorBidi" w:cstheme="majorBidi"/>
          <w:sz w:val="20"/>
          <w:szCs w:val="20"/>
          <w:lang w:val="en-GB"/>
        </w:rPr>
        <w:t>Cosmetics and personal care product sector report</w:t>
      </w:r>
      <w:r w:rsidRPr="00A50F08">
        <w:rPr>
          <w:rFonts w:asciiTheme="majorBidi" w:hAnsiTheme="majorBidi" w:cstheme="majorBidi"/>
          <w:sz w:val="20"/>
          <w:szCs w:val="20"/>
          <w:lang w:val="en-GB"/>
        </w:rPr>
        <w:t xml:space="preserve">. Retrieved May 2025, from </w:t>
      </w:r>
      <w:hyperlink r:id="rId60" w:tgtFrame="_new" w:history="1">
        <w:r w:rsidRPr="00A50F08">
          <w:rPr>
            <w:rStyle w:val="Hyperlink"/>
            <w:rFonts w:asciiTheme="majorBidi" w:eastAsiaTheme="majorEastAsia" w:hAnsiTheme="majorBidi"/>
            <w:sz w:val="20"/>
            <w:szCs w:val="20"/>
            <w:lang w:val="en-GB"/>
          </w:rPr>
          <w:t>https://www.trade.gov.tr/data/5b8fd4fb13b8761f041fee78/Cosmetics%20and%20Personal%20Care%20Product.pdf</w:t>
        </w:r>
      </w:hyperlink>
    </w:p>
  </w:footnote>
  <w:footnote w:id="175">
    <w:p w14:paraId="3B9BFFA7" w14:textId="60CEACAB" w:rsidR="00AC1791" w:rsidRPr="00A50F08" w:rsidRDefault="00AC1791" w:rsidP="00A50F08">
      <w:pPr>
        <w:pStyle w:val="NormalWeb"/>
        <w:spacing w:line="276" w:lineRule="auto"/>
        <w:rPr>
          <w:rFonts w:asciiTheme="majorBidi" w:hAnsiTheme="majorBidi" w:cstheme="majorBidi"/>
          <w:sz w:val="20"/>
          <w:szCs w:val="20"/>
          <w:lang w:val="en-GB"/>
        </w:rPr>
      </w:pPr>
      <w:r w:rsidRPr="00A50F08">
        <w:rPr>
          <w:rStyle w:val="FootnoteReference"/>
          <w:sz w:val="20"/>
          <w:szCs w:val="20"/>
        </w:rPr>
        <w:footnoteRef/>
      </w:r>
      <w:r w:rsidRPr="00A50F08">
        <w:rPr>
          <w:sz w:val="20"/>
          <w:szCs w:val="20"/>
          <w:lang w:val="en-GB"/>
        </w:rPr>
        <w:t xml:space="preserve"> - </w:t>
      </w:r>
      <w:r w:rsidRPr="00A50F08">
        <w:rPr>
          <w:rFonts w:asciiTheme="majorBidi" w:hAnsiTheme="majorBidi" w:cstheme="majorBidi"/>
          <w:sz w:val="20"/>
          <w:szCs w:val="20"/>
          <w:lang w:val="en-GB"/>
        </w:rPr>
        <w:t xml:space="preserve">TijaraHub. </w:t>
      </w:r>
      <w:r w:rsidRPr="00A50F08">
        <w:rPr>
          <w:rStyle w:val="Emphasis"/>
          <w:rFonts w:asciiTheme="majorBidi" w:hAnsiTheme="majorBidi" w:cstheme="majorBidi"/>
          <w:sz w:val="20"/>
          <w:szCs w:val="20"/>
          <w:lang w:val="en-GB"/>
        </w:rPr>
        <w:t>Bringing Istanbul glamour to your beauty ritual: Exploring Turkey’s skincare and cosmetics industry</w:t>
      </w:r>
      <w:r w:rsidRPr="00A50F08">
        <w:rPr>
          <w:rFonts w:asciiTheme="majorBidi" w:hAnsiTheme="majorBidi" w:cstheme="majorBidi"/>
          <w:sz w:val="20"/>
          <w:szCs w:val="20"/>
          <w:lang w:val="en-GB"/>
        </w:rPr>
        <w:t xml:space="preserve">. TijaraHub Blogs. Retrieved May 2025, from </w:t>
      </w:r>
      <w:hyperlink r:id="rId61" w:tgtFrame="_new" w:history="1">
        <w:r w:rsidRPr="00A50F08">
          <w:rPr>
            <w:rStyle w:val="Hyperlink"/>
            <w:rFonts w:asciiTheme="majorBidi" w:eastAsiaTheme="majorEastAsia" w:hAnsiTheme="majorBidi"/>
            <w:sz w:val="20"/>
            <w:szCs w:val="20"/>
            <w:lang w:val="en-GB"/>
          </w:rPr>
          <w:t>https://tijarahub.com/tijarahub-blogs/bringing-istanbul-glamour-to-your-beauty-ritual-exploring-turkeys-skincare-and-cosmetics-industry/</w:t>
        </w:r>
      </w:hyperlink>
    </w:p>
  </w:footnote>
  <w:footnote w:id="176">
    <w:p w14:paraId="6AAB842E" w14:textId="77777777" w:rsidR="00AC1791" w:rsidRPr="00A50F08" w:rsidRDefault="00AC1791" w:rsidP="00A50F08">
      <w:pPr>
        <w:pStyle w:val="NormalWeb"/>
        <w:spacing w:line="276" w:lineRule="auto"/>
        <w:rPr>
          <w:rFonts w:asciiTheme="majorBidi" w:hAnsiTheme="majorBidi" w:cstheme="majorBidi"/>
          <w:sz w:val="20"/>
          <w:szCs w:val="20"/>
          <w:lang w:val="en-GB"/>
        </w:rPr>
      </w:pPr>
      <w:r w:rsidRPr="00A50F08">
        <w:rPr>
          <w:rStyle w:val="FootnoteReference"/>
          <w:sz w:val="20"/>
          <w:szCs w:val="20"/>
        </w:rPr>
        <w:footnoteRef/>
      </w:r>
      <w:r w:rsidRPr="00A50F08">
        <w:rPr>
          <w:sz w:val="20"/>
          <w:szCs w:val="20"/>
          <w:lang w:val="en-GB"/>
        </w:rPr>
        <w:t xml:space="preserve"> - </w:t>
      </w:r>
      <w:r w:rsidRPr="00A50F08">
        <w:rPr>
          <w:rFonts w:asciiTheme="majorBidi" w:hAnsiTheme="majorBidi" w:cstheme="majorBidi"/>
          <w:sz w:val="20"/>
          <w:szCs w:val="20"/>
          <w:lang w:val="en-GB"/>
        </w:rPr>
        <w:t xml:space="preserve">The Observatory of Economic Complexity (OEC). (n.d.). </w:t>
      </w:r>
      <w:r w:rsidRPr="00A50F08">
        <w:rPr>
          <w:rStyle w:val="Emphasis"/>
          <w:rFonts w:asciiTheme="majorBidi" w:hAnsiTheme="majorBidi" w:cstheme="majorBidi"/>
          <w:sz w:val="20"/>
          <w:szCs w:val="20"/>
          <w:lang w:val="en-GB"/>
        </w:rPr>
        <w:t>Beauty products in Turkey</w:t>
      </w:r>
      <w:r w:rsidRPr="00A50F08">
        <w:rPr>
          <w:rFonts w:asciiTheme="majorBidi" w:hAnsiTheme="majorBidi" w:cstheme="majorBidi"/>
          <w:sz w:val="20"/>
          <w:szCs w:val="20"/>
          <w:lang w:val="en-GB"/>
        </w:rPr>
        <w:t xml:space="preserve">. Retrieved May 2025, from </w:t>
      </w:r>
      <w:hyperlink r:id="rId62" w:tgtFrame="_new" w:history="1">
        <w:r w:rsidRPr="00A50F08">
          <w:rPr>
            <w:rStyle w:val="Hyperlink"/>
            <w:rFonts w:asciiTheme="majorBidi" w:eastAsiaTheme="majorEastAsia" w:hAnsiTheme="majorBidi"/>
            <w:sz w:val="20"/>
            <w:szCs w:val="20"/>
            <w:lang w:val="en-GB"/>
          </w:rPr>
          <w:t>https://oec.world/en/profile/bilateral-product/beauty-products/reporter/tur</w:t>
        </w:r>
      </w:hyperlink>
    </w:p>
  </w:footnote>
  <w:footnote w:id="177">
    <w:p w14:paraId="50FAC2BC" w14:textId="0C55E108" w:rsidR="00AC1791" w:rsidRPr="000657B4" w:rsidRDefault="00AC1791" w:rsidP="000657B4">
      <w:pPr>
        <w:rPr>
          <w:rFonts w:asciiTheme="majorBidi" w:hAnsiTheme="majorBidi" w:cstheme="majorBidi"/>
          <w:color w:val="000000" w:themeColor="text1"/>
          <w:sz w:val="20"/>
          <w:szCs w:val="20"/>
          <w:lang w:val="en-GB"/>
        </w:rPr>
      </w:pPr>
      <w:bookmarkStart w:id="341" w:name="_Hlk199706449"/>
      <w:r w:rsidRPr="000657B4">
        <w:rPr>
          <w:rStyle w:val="FootnoteReference"/>
          <w:rFonts w:asciiTheme="majorBidi" w:hAnsiTheme="majorBidi" w:cstheme="majorBidi"/>
          <w:color w:val="000000" w:themeColor="text1"/>
          <w:sz w:val="20"/>
          <w:szCs w:val="20"/>
        </w:rPr>
        <w:footnoteRef/>
      </w:r>
      <w:r w:rsidRPr="000657B4">
        <w:rPr>
          <w:rFonts w:asciiTheme="majorBidi" w:hAnsiTheme="majorBidi" w:cstheme="majorBidi"/>
          <w:color w:val="000000" w:themeColor="text1"/>
          <w:sz w:val="20"/>
          <w:szCs w:val="20"/>
          <w:lang w:val="en-GB"/>
        </w:rPr>
        <w:t xml:space="preserve"> Ticaret Bakanlığı. </w:t>
      </w:r>
      <w:r w:rsidRPr="000657B4">
        <w:rPr>
          <w:rStyle w:val="Emphasis"/>
          <w:rFonts w:asciiTheme="majorBidi" w:hAnsiTheme="majorBidi" w:cstheme="majorBidi"/>
          <w:color w:val="000000" w:themeColor="text1"/>
          <w:sz w:val="20"/>
          <w:szCs w:val="20"/>
          <w:lang w:val="en-GB"/>
        </w:rPr>
        <w:t>İthalat – Sıkça Sorulan Sorular</w:t>
      </w:r>
      <w:r w:rsidRPr="000657B4">
        <w:rPr>
          <w:rFonts w:asciiTheme="majorBidi" w:hAnsiTheme="majorBidi" w:cstheme="majorBidi"/>
          <w:color w:val="000000" w:themeColor="text1"/>
          <w:sz w:val="20"/>
          <w:szCs w:val="20"/>
          <w:lang w:val="en-GB"/>
        </w:rPr>
        <w:t xml:space="preserve">. </w:t>
      </w:r>
      <w:r w:rsidR="00574159" w:rsidRPr="000657B4">
        <w:rPr>
          <w:rFonts w:asciiTheme="majorBidi" w:hAnsiTheme="majorBidi" w:cstheme="majorBidi"/>
          <w:color w:val="000000" w:themeColor="text1"/>
          <w:sz w:val="20"/>
          <w:szCs w:val="20"/>
          <w:lang w:val="en-GB"/>
        </w:rPr>
        <w:t>(2025, January 20)</w:t>
      </w:r>
      <w:r w:rsidR="00574159">
        <w:rPr>
          <w:rFonts w:asciiTheme="majorBidi" w:hAnsiTheme="majorBidi" w:cstheme="majorBidi"/>
          <w:color w:val="000000" w:themeColor="text1"/>
          <w:sz w:val="20"/>
          <w:szCs w:val="20"/>
          <w:lang w:val="en-GB"/>
        </w:rPr>
        <w:t xml:space="preserve">. </w:t>
      </w:r>
      <w:r w:rsidRPr="000657B4">
        <w:rPr>
          <w:rFonts w:asciiTheme="majorBidi" w:hAnsiTheme="majorBidi" w:cstheme="majorBidi"/>
          <w:color w:val="000000" w:themeColor="text1"/>
          <w:sz w:val="20"/>
          <w:szCs w:val="20"/>
          <w:lang w:val="en-GB"/>
        </w:rPr>
        <w:t xml:space="preserve">Retrieved May 26, 2025, from </w:t>
      </w:r>
      <w:hyperlink r:id="rId63" w:tgtFrame="_new" w:history="1">
        <w:r w:rsidRPr="000657B4">
          <w:rPr>
            <w:rStyle w:val="Hyperlink"/>
            <w:rFonts w:asciiTheme="majorBidi" w:hAnsiTheme="majorBidi" w:cstheme="majorBidi"/>
            <w:color w:val="000000" w:themeColor="text1"/>
            <w:sz w:val="20"/>
            <w:szCs w:val="20"/>
            <w:lang w:val="en-GB"/>
          </w:rPr>
          <w:t>https://ticaret.gov.tr/gumruk-islemleri/sikca-sorulan-sorular/ticari/ithalat</w:t>
        </w:r>
      </w:hyperlink>
    </w:p>
    <w:bookmarkEnd w:id="341"/>
    <w:p w14:paraId="3F0D80F6" w14:textId="77777777" w:rsidR="00AC1791" w:rsidRPr="000657B4" w:rsidRDefault="00AC179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445D" w14:textId="77777777" w:rsidR="00E3143B" w:rsidRDefault="00E31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BDE7" w14:textId="77777777" w:rsidR="00C401F5" w:rsidRDefault="00C40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0EA5" w14:textId="77777777" w:rsidR="002E5550" w:rsidRDefault="002E55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72CB4" w14:textId="7A81725D" w:rsidR="002E5550" w:rsidRPr="002E5550" w:rsidRDefault="0083465E" w:rsidP="0083465E">
    <w:pPr>
      <w:pStyle w:val="Header"/>
      <w:pBdr>
        <w:bottom w:val="single" w:sz="4" w:space="8" w:color="4472C4" w:themeColor="accent1"/>
      </w:pBdr>
      <w:tabs>
        <w:tab w:val="left" w:pos="5934"/>
      </w:tabs>
      <w:spacing w:after="360"/>
      <w:contextualSpacing/>
      <w:jc w:val="center"/>
      <w:rPr>
        <w:rFonts w:asciiTheme="majorBidi" w:hAnsiTheme="majorBidi" w:cstheme="majorBidi"/>
        <w:b/>
        <w:bCs/>
        <w:color w:val="404040" w:themeColor="text1" w:themeTint="BF"/>
        <w:sz w:val="28"/>
        <w:szCs w:val="28"/>
      </w:rPr>
    </w:pPr>
    <w:r>
      <w:rPr>
        <w:rFonts w:asciiTheme="majorBidi" w:hAnsiTheme="majorBidi" w:cstheme="majorBidi"/>
        <w:b/>
        <w:bCs/>
        <w:color w:val="404040" w:themeColor="text1" w:themeTint="BF"/>
        <w:sz w:val="28"/>
        <w:szCs w:val="28"/>
      </w:rPr>
      <w:t>General introduction</w:t>
    </w:r>
  </w:p>
  <w:p w14:paraId="40015B64" w14:textId="77777777" w:rsidR="002E5550" w:rsidRDefault="002E55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AC6" w14:textId="77777777" w:rsidR="002E5550" w:rsidRPr="002E5550" w:rsidRDefault="002E5550">
    <w:pPr>
      <w:pStyle w:val="Header"/>
      <w:rPr>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483F" w14:textId="4420D18B" w:rsidR="002E5550" w:rsidRPr="00D36F5B" w:rsidRDefault="002E5550" w:rsidP="00D36F5B">
    <w:pPr>
      <w:pStyle w:val="Header"/>
      <w:pBdr>
        <w:bottom w:val="single" w:sz="4" w:space="8" w:color="4472C4" w:themeColor="accent1"/>
      </w:pBdr>
      <w:spacing w:after="360"/>
      <w:contextualSpacing/>
      <w:jc w:val="center"/>
      <w:rPr>
        <w:rFonts w:asciiTheme="majorBidi" w:hAnsiTheme="majorBidi" w:cstheme="majorBidi"/>
        <w:b/>
        <w:bCs/>
        <w:color w:val="404040" w:themeColor="text1" w:themeTint="BF"/>
        <w:sz w:val="28"/>
        <w:szCs w:val="28"/>
        <w:lang w:val="en-US"/>
      </w:rPr>
    </w:pPr>
    <w:r w:rsidRPr="00D36F5B">
      <w:rPr>
        <w:rFonts w:asciiTheme="majorBidi" w:hAnsiTheme="majorBidi" w:cstheme="majorBidi"/>
        <w:b/>
        <w:bCs/>
        <w:color w:val="404040" w:themeColor="text1" w:themeTint="BF"/>
        <w:sz w:val="28"/>
        <w:szCs w:val="28"/>
        <w:lang w:val="en-US"/>
      </w:rPr>
      <w:t>C</w:t>
    </w:r>
    <w:r w:rsidR="0083465E" w:rsidRPr="00D36F5B">
      <w:rPr>
        <w:rFonts w:asciiTheme="majorBidi" w:hAnsiTheme="majorBidi" w:cstheme="majorBidi"/>
        <w:b/>
        <w:bCs/>
        <w:color w:val="404040" w:themeColor="text1" w:themeTint="BF"/>
        <w:sz w:val="28"/>
        <w:szCs w:val="28"/>
        <w:lang w:val="en-US"/>
      </w:rPr>
      <w:t xml:space="preserve">hapter 01: </w:t>
    </w:r>
    <w:r w:rsidR="00D36F5B" w:rsidRPr="00D36F5B">
      <w:rPr>
        <w:rFonts w:asciiTheme="majorBidi" w:hAnsiTheme="majorBidi" w:cstheme="majorBidi"/>
        <w:b/>
        <w:bCs/>
        <w:color w:val="404040" w:themeColor="text1" w:themeTint="BF"/>
        <w:sz w:val="28"/>
        <w:szCs w:val="28"/>
        <w:lang w:val="en-GB"/>
      </w:rPr>
      <w:t>Boycott-</w:t>
    </w:r>
    <w:r w:rsidR="00FB2AD1" w:rsidRPr="00D36F5B">
      <w:rPr>
        <w:rFonts w:asciiTheme="majorBidi" w:hAnsiTheme="majorBidi" w:cstheme="majorBidi"/>
        <w:b/>
        <w:bCs/>
        <w:color w:val="404040" w:themeColor="text1" w:themeTint="BF"/>
        <w:sz w:val="28"/>
        <w:szCs w:val="28"/>
        <w:lang w:val="en-GB"/>
      </w:rPr>
      <w:t>Theoretical</w:t>
    </w:r>
    <w:r w:rsidR="00D36F5B" w:rsidRPr="00D36F5B">
      <w:rPr>
        <w:rFonts w:asciiTheme="majorBidi" w:hAnsiTheme="majorBidi" w:cstheme="majorBidi"/>
        <w:b/>
        <w:bCs/>
        <w:color w:val="404040" w:themeColor="text1" w:themeTint="BF"/>
        <w:sz w:val="28"/>
        <w:szCs w:val="28"/>
        <w:lang w:val="en-GB"/>
      </w:rPr>
      <w:t xml:space="preserve"> framework and practical implications</w:t>
    </w:r>
  </w:p>
  <w:p w14:paraId="561FA1B9" w14:textId="091C5C6B" w:rsidR="002E5550" w:rsidRPr="00D36F5B" w:rsidRDefault="002E5550" w:rsidP="002E5550">
    <w:pPr>
      <w:pStyle w:val="Header"/>
      <w:jc w:val="center"/>
      <w:rPr>
        <w:rFonts w:asciiTheme="majorBidi" w:hAnsiTheme="majorBidi" w:cstheme="majorBidi"/>
        <w:sz w:val="28"/>
        <w:szCs w:val="28"/>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C5AF" w14:textId="77777777" w:rsidR="002E5550" w:rsidRPr="002E5550" w:rsidRDefault="002E5550" w:rsidP="002E5550">
    <w:pPr>
      <w:pStyle w:val="Header"/>
      <w:jc w:val="center"/>
      <w:rPr>
        <w:rFonts w:asciiTheme="majorBidi" w:hAnsiTheme="majorBidi" w:cstheme="majorBidi"/>
        <w:sz w:val="28"/>
        <w:szCs w:val="2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1401" w14:textId="26E4D583" w:rsidR="007D54BC" w:rsidRPr="00D36F5B" w:rsidRDefault="00D176A7" w:rsidP="00D176A7">
    <w:pPr>
      <w:pStyle w:val="Header"/>
      <w:pBdr>
        <w:bottom w:val="single" w:sz="4" w:space="8" w:color="4472C4" w:themeColor="accent1"/>
      </w:pBdr>
      <w:spacing w:after="360"/>
      <w:contextualSpacing/>
      <w:jc w:val="center"/>
      <w:rPr>
        <w:color w:val="404040" w:themeColor="text1" w:themeTint="BF"/>
        <w:sz w:val="28"/>
        <w:szCs w:val="28"/>
        <w:lang w:val="en-US"/>
      </w:rPr>
    </w:pPr>
    <w:r w:rsidRPr="00D36F5B">
      <w:rPr>
        <w:rFonts w:asciiTheme="majorBidi" w:hAnsiTheme="majorBidi" w:cstheme="majorBidi"/>
        <w:b/>
        <w:bCs/>
        <w:color w:val="404040" w:themeColor="text1" w:themeTint="BF"/>
        <w:sz w:val="28"/>
        <w:szCs w:val="28"/>
        <w:lang w:val="en-US"/>
      </w:rPr>
      <w:t>Chapter 02</w:t>
    </w:r>
    <w:r w:rsidR="00D36F5B" w:rsidRPr="00D36F5B">
      <w:rPr>
        <w:rFonts w:asciiTheme="majorBidi" w:hAnsiTheme="majorBidi" w:cstheme="majorBidi"/>
        <w:b/>
        <w:bCs/>
        <w:color w:val="404040" w:themeColor="text1" w:themeTint="BF"/>
        <w:sz w:val="28"/>
        <w:szCs w:val="28"/>
        <w:lang w:val="en-US"/>
      </w:rPr>
      <w:t xml:space="preserve">: </w:t>
    </w:r>
    <w:r w:rsidR="00D36F5B" w:rsidRPr="00D36F5B">
      <w:rPr>
        <w:rFonts w:asciiTheme="majorBidi" w:hAnsiTheme="majorBidi" w:cstheme="majorBidi"/>
        <w:b/>
        <w:bCs/>
        <w:sz w:val="28"/>
        <w:szCs w:val="28"/>
        <w:lang w:val="en-GB"/>
      </w:rPr>
      <w:t>Exportation-process, strategies and challenges</w:t>
    </w:r>
  </w:p>
  <w:p w14:paraId="75D926E3" w14:textId="77777777" w:rsidR="007D54BC" w:rsidRPr="00D36F5B" w:rsidRDefault="007D54BC" w:rsidP="002E5550">
    <w:pPr>
      <w:pStyle w:val="Header"/>
      <w:jc w:val="center"/>
      <w:rPr>
        <w:rFonts w:asciiTheme="majorBidi" w:hAnsiTheme="majorBidi" w:cstheme="majorBidi"/>
        <w:sz w:val="28"/>
        <w:szCs w:val="28"/>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5C21" w14:textId="77777777" w:rsidR="00D176A7" w:rsidRPr="002E5550" w:rsidRDefault="00D176A7" w:rsidP="002E5550">
    <w:pPr>
      <w:pStyle w:val="Header"/>
      <w:jc w:val="center"/>
      <w:rPr>
        <w:rFonts w:asciiTheme="majorBidi" w:hAnsiTheme="majorBidi" w:cstheme="majorBidi"/>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A693" w14:textId="6EDD98AF" w:rsidR="00D176A7" w:rsidRPr="001548C7" w:rsidRDefault="00537ED8" w:rsidP="00D36F5B">
    <w:pPr>
      <w:pStyle w:val="Header"/>
      <w:pBdr>
        <w:bottom w:val="single" w:sz="4" w:space="8" w:color="4472C4" w:themeColor="accent1"/>
      </w:pBdr>
      <w:tabs>
        <w:tab w:val="clear" w:pos="4536"/>
        <w:tab w:val="clear" w:pos="9072"/>
        <w:tab w:val="left" w:pos="3960"/>
      </w:tabs>
      <w:spacing w:after="360"/>
      <w:contextualSpacing/>
      <w:jc w:val="center"/>
      <w:rPr>
        <w:rFonts w:asciiTheme="majorBidi" w:hAnsiTheme="majorBidi" w:cstheme="majorBidi"/>
        <w:b/>
        <w:bCs/>
        <w:color w:val="404040" w:themeColor="text1" w:themeTint="BF"/>
        <w:sz w:val="28"/>
        <w:szCs w:val="28"/>
        <w:lang w:val="en-US"/>
      </w:rPr>
    </w:pPr>
    <w:r w:rsidRPr="001548C7">
      <w:rPr>
        <w:rFonts w:asciiTheme="majorBidi" w:hAnsiTheme="majorBidi" w:cstheme="majorBidi"/>
        <w:b/>
        <w:bCs/>
        <w:color w:val="404040" w:themeColor="text1" w:themeTint="BF"/>
        <w:sz w:val="28"/>
        <w:szCs w:val="28"/>
        <w:lang w:val="en-US"/>
      </w:rPr>
      <w:t>Chapter</w:t>
    </w:r>
    <w:r w:rsidR="009470F3" w:rsidRPr="001548C7">
      <w:rPr>
        <w:rFonts w:asciiTheme="majorBidi" w:hAnsiTheme="majorBidi" w:cstheme="majorBidi"/>
        <w:b/>
        <w:bCs/>
        <w:color w:val="404040" w:themeColor="text1" w:themeTint="BF"/>
        <w:sz w:val="28"/>
        <w:szCs w:val="28"/>
        <w:lang w:val="en-US"/>
      </w:rPr>
      <w:t xml:space="preserve"> </w:t>
    </w:r>
    <w:r w:rsidRPr="001548C7">
      <w:rPr>
        <w:rFonts w:asciiTheme="majorBidi" w:hAnsiTheme="majorBidi" w:cstheme="majorBidi"/>
        <w:b/>
        <w:bCs/>
        <w:color w:val="404040" w:themeColor="text1" w:themeTint="BF"/>
        <w:sz w:val="28"/>
        <w:szCs w:val="28"/>
        <w:lang w:val="en-US"/>
      </w:rPr>
      <w:t>03 :</w:t>
    </w:r>
    <w:r w:rsidR="00D36F5B" w:rsidRPr="001548C7">
      <w:rPr>
        <w:rFonts w:asciiTheme="majorBidi" w:hAnsiTheme="majorBidi" w:cstheme="majorBidi"/>
        <w:b/>
        <w:bCs/>
        <w:color w:val="404040" w:themeColor="text1" w:themeTint="BF"/>
        <w:sz w:val="28"/>
        <w:szCs w:val="28"/>
        <w:lang w:val="en-US"/>
      </w:rPr>
      <w:t xml:space="preserve"> Market research</w:t>
    </w:r>
    <w:r w:rsidR="001548C7" w:rsidRPr="001548C7">
      <w:rPr>
        <w:rFonts w:asciiTheme="majorBidi" w:hAnsiTheme="majorBidi" w:cstheme="majorBidi"/>
        <w:b/>
        <w:bCs/>
        <w:color w:val="404040" w:themeColor="text1" w:themeTint="BF"/>
        <w:sz w:val="28"/>
        <w:szCs w:val="28"/>
        <w:lang w:val="en-US"/>
      </w:rPr>
      <w:t xml:space="preserve"> (Empirical s</w:t>
    </w:r>
    <w:r w:rsidR="001548C7">
      <w:rPr>
        <w:rFonts w:asciiTheme="majorBidi" w:hAnsiTheme="majorBidi" w:cstheme="majorBidi"/>
        <w:b/>
        <w:bCs/>
        <w:color w:val="404040" w:themeColor="text1" w:themeTint="BF"/>
        <w:sz w:val="28"/>
        <w:szCs w:val="28"/>
        <w:lang w:val="en-US"/>
      </w:rPr>
      <w:t>tudy)</w:t>
    </w:r>
  </w:p>
  <w:p w14:paraId="5A34C2F6" w14:textId="77777777" w:rsidR="00D176A7" w:rsidRPr="001548C7" w:rsidRDefault="00D176A7" w:rsidP="002E5550">
    <w:pPr>
      <w:pStyle w:val="Header"/>
      <w:jc w:val="center"/>
      <w:rPr>
        <w:rFonts w:asciiTheme="majorBidi" w:hAnsiTheme="majorBidi" w:cstheme="majorBidi"/>
        <w:sz w:val="28"/>
        <w:szCs w:val="28"/>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7C36" w14:textId="77777777" w:rsidR="00537ED8" w:rsidRPr="002E5550" w:rsidRDefault="00537ED8" w:rsidP="002E5550">
    <w:pPr>
      <w:pStyle w:val="Header"/>
      <w:jc w:val="center"/>
      <w:rPr>
        <w:rFonts w:asciiTheme="majorBidi" w:hAnsiTheme="majorBidi" w:cstheme="majorBidi"/>
        <w:sz w:val="28"/>
        <w:szCs w:val="2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D1F2" w14:textId="56AFD870" w:rsidR="00537ED8" w:rsidRPr="00537ED8" w:rsidRDefault="00537ED8" w:rsidP="00537ED8">
    <w:pPr>
      <w:pStyle w:val="Header"/>
      <w:pBdr>
        <w:bottom w:val="single" w:sz="4" w:space="8" w:color="4472C4" w:themeColor="accent1"/>
      </w:pBdr>
      <w:tabs>
        <w:tab w:val="left" w:pos="5910"/>
      </w:tabs>
      <w:spacing w:after="360"/>
      <w:contextualSpacing/>
      <w:jc w:val="center"/>
      <w:rPr>
        <w:rFonts w:asciiTheme="majorBidi" w:hAnsiTheme="majorBidi" w:cstheme="majorBidi"/>
        <w:b/>
        <w:bCs/>
        <w:color w:val="404040" w:themeColor="text1" w:themeTint="BF"/>
        <w:sz w:val="28"/>
        <w:szCs w:val="28"/>
      </w:rPr>
    </w:pPr>
    <w:r w:rsidRPr="00537ED8">
      <w:rPr>
        <w:rFonts w:asciiTheme="majorBidi" w:hAnsiTheme="majorBidi" w:cstheme="majorBidi"/>
        <w:b/>
        <w:bCs/>
        <w:color w:val="404040" w:themeColor="text1" w:themeTint="BF"/>
        <w:sz w:val="28"/>
        <w:szCs w:val="28"/>
      </w:rPr>
      <w:t>General conclusion</w:t>
    </w:r>
  </w:p>
  <w:p w14:paraId="3B457FE2" w14:textId="77777777" w:rsidR="00537ED8" w:rsidRPr="002E5550" w:rsidRDefault="00537ED8" w:rsidP="002E5550">
    <w:pPr>
      <w:pStyle w:val="Header"/>
      <w:jc w:val="center"/>
      <w:rPr>
        <w:rFonts w:asciiTheme="majorBidi" w:hAnsiTheme="majorBidi" w:cstheme="majorBidi"/>
        <w:sz w:val="28"/>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394B" w14:textId="77777777" w:rsidR="00537ED8" w:rsidRPr="002E5550" w:rsidRDefault="00537ED8" w:rsidP="002E5550">
    <w:pPr>
      <w:pStyle w:val="Header"/>
      <w:jc w:val="center"/>
      <w:rPr>
        <w:rFonts w:asciiTheme="majorBidi" w:hAnsiTheme="majorBidi" w:cstheme="majorBidi"/>
        <w:sz w:val="28"/>
        <w:szCs w:val="2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D27D" w14:textId="6BE793D0" w:rsidR="00537ED8" w:rsidRPr="00537ED8" w:rsidRDefault="00537ED8" w:rsidP="00537ED8">
    <w:pPr>
      <w:pStyle w:val="Header"/>
      <w:pBdr>
        <w:bottom w:val="single" w:sz="4" w:space="8" w:color="4472C4" w:themeColor="accent1"/>
      </w:pBdr>
      <w:tabs>
        <w:tab w:val="left" w:pos="6602"/>
      </w:tabs>
      <w:spacing w:after="360"/>
      <w:contextualSpacing/>
      <w:jc w:val="center"/>
      <w:rPr>
        <w:rFonts w:asciiTheme="majorBidi" w:hAnsiTheme="majorBidi" w:cstheme="majorBidi"/>
        <w:b/>
        <w:bCs/>
        <w:color w:val="404040" w:themeColor="text1" w:themeTint="BF"/>
        <w:sz w:val="28"/>
        <w:szCs w:val="28"/>
      </w:rPr>
    </w:pPr>
    <w:r w:rsidRPr="00537ED8">
      <w:rPr>
        <w:rFonts w:asciiTheme="majorBidi" w:hAnsiTheme="majorBidi" w:cstheme="majorBidi"/>
        <w:b/>
        <w:bCs/>
        <w:color w:val="404040" w:themeColor="text1" w:themeTint="BF"/>
        <w:sz w:val="28"/>
        <w:szCs w:val="28"/>
      </w:rPr>
      <w:t>Bibliography</w:t>
    </w:r>
  </w:p>
  <w:p w14:paraId="7AF1646E" w14:textId="77777777" w:rsidR="00537ED8" w:rsidRPr="002E5550" w:rsidRDefault="00537ED8" w:rsidP="002E5550">
    <w:pPr>
      <w:pStyle w:val="Header"/>
      <w:jc w:val="center"/>
      <w:rPr>
        <w:rFonts w:asciiTheme="majorBidi" w:hAnsiTheme="majorBidi" w:cstheme="majorBidi"/>
        <w:sz w:val="28"/>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078D" w14:textId="77777777" w:rsidR="001548C7" w:rsidRDefault="00B6520E">
    <w:pPr>
      <w:pStyle w:val="Header"/>
      <w:pBdr>
        <w:bottom w:val="single" w:sz="4" w:space="8" w:color="4472C4" w:themeColor="accent1"/>
      </w:pBdr>
      <w:spacing w:after="360"/>
      <w:contextualSpacing/>
      <w:jc w:val="right"/>
      <w:rPr>
        <w:color w:val="404040" w:themeColor="text1" w:themeTint="BF"/>
      </w:rPr>
    </w:pPr>
    <w:sdt>
      <w:sdtPr>
        <w:rPr>
          <w:color w:val="404040" w:themeColor="text1" w:themeTint="BF"/>
        </w:rPr>
        <w:alias w:val="Title"/>
        <w:tag w:val=""/>
        <w:id w:val="942040131"/>
        <w:placeholder>
          <w:docPart w:val="CC752DEFD21F4B2F8C7482A3890BCE0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548C7">
          <w:rPr>
            <w:color w:val="404040" w:themeColor="text1" w:themeTint="BF"/>
          </w:rPr>
          <w:t>[Document title]</w:t>
        </w:r>
      </w:sdtContent>
    </w:sdt>
  </w:p>
  <w:p w14:paraId="389B80E1" w14:textId="376F3E42" w:rsidR="00F0380F" w:rsidRPr="002E5550" w:rsidRDefault="00F0380F" w:rsidP="002E5550">
    <w:pPr>
      <w:pStyle w:val="Header"/>
      <w:jc w:val="center"/>
      <w:rPr>
        <w:rFonts w:asciiTheme="majorBidi" w:hAnsiTheme="majorBidi" w:cstheme="majorBidi"/>
        <w:sz w:val="28"/>
        <w:szCs w:val="2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DF64" w14:textId="7063DB8A" w:rsidR="001548C7" w:rsidRPr="001548C7" w:rsidRDefault="001548C7" w:rsidP="001548C7">
    <w:pPr>
      <w:pStyle w:val="Header"/>
      <w:pBdr>
        <w:bottom w:val="single" w:sz="4" w:space="8" w:color="4472C4" w:themeColor="accent1"/>
      </w:pBdr>
      <w:tabs>
        <w:tab w:val="left" w:pos="6254"/>
      </w:tabs>
      <w:spacing w:after="360"/>
      <w:contextualSpacing/>
      <w:jc w:val="center"/>
      <w:rPr>
        <w:rFonts w:asciiTheme="majorBidi" w:hAnsiTheme="majorBidi" w:cstheme="majorBidi"/>
        <w:b/>
        <w:bCs/>
        <w:color w:val="404040" w:themeColor="text1" w:themeTint="BF"/>
        <w:sz w:val="28"/>
        <w:szCs w:val="28"/>
      </w:rPr>
    </w:pPr>
    <w:r>
      <w:rPr>
        <w:rFonts w:asciiTheme="majorBidi" w:hAnsiTheme="majorBidi" w:cstheme="majorBidi"/>
        <w:b/>
        <w:bCs/>
        <w:color w:val="404040" w:themeColor="text1" w:themeTint="BF"/>
        <w:sz w:val="28"/>
        <w:szCs w:val="28"/>
      </w:rPr>
      <w:t>Appendix</w:t>
    </w:r>
  </w:p>
  <w:p w14:paraId="6D11F69D" w14:textId="77777777" w:rsidR="001548C7" w:rsidRPr="002E5550" w:rsidRDefault="001548C7" w:rsidP="002E5550">
    <w:pPr>
      <w:pStyle w:val="Header"/>
      <w:jc w:val="center"/>
      <w:rPr>
        <w:rFonts w:asciiTheme="majorBidi" w:hAnsiTheme="majorBidi" w:cstheme="majorBidi"/>
        <w:sz w:val="28"/>
        <w:szCs w:val="2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A4F7" w14:textId="2F80EFA3" w:rsidR="001548C7" w:rsidRPr="001548C7" w:rsidRDefault="001548C7" w:rsidP="001548C7">
    <w:pPr>
      <w:pStyle w:val="Header"/>
      <w:pBdr>
        <w:bottom w:val="single" w:sz="4" w:space="8" w:color="4472C4" w:themeColor="accent1"/>
      </w:pBdr>
      <w:tabs>
        <w:tab w:val="left" w:pos="6254"/>
      </w:tabs>
      <w:spacing w:after="360"/>
      <w:contextualSpacing/>
      <w:jc w:val="center"/>
      <w:rPr>
        <w:rFonts w:asciiTheme="majorBidi" w:hAnsiTheme="majorBidi" w:cstheme="majorBidi"/>
        <w:b/>
        <w:bCs/>
        <w:color w:val="404040" w:themeColor="text1" w:themeTint="BF"/>
        <w:sz w:val="28"/>
        <w:szCs w:val="28"/>
      </w:rPr>
    </w:pPr>
    <w:r>
      <w:rPr>
        <w:rFonts w:asciiTheme="majorBidi" w:hAnsiTheme="majorBidi" w:cstheme="majorBidi"/>
        <w:b/>
        <w:bCs/>
        <w:color w:val="404040" w:themeColor="text1" w:themeTint="BF"/>
        <w:sz w:val="28"/>
        <w:szCs w:val="28"/>
      </w:rPr>
      <w:t>Abstract</w:t>
    </w:r>
  </w:p>
  <w:p w14:paraId="4E726FD8" w14:textId="77777777" w:rsidR="001548C7" w:rsidRPr="002E5550" w:rsidRDefault="001548C7" w:rsidP="002E5550">
    <w:pPr>
      <w:pStyle w:val="Header"/>
      <w:jc w:val="center"/>
      <w:rPr>
        <w:rFonts w:asciiTheme="majorBidi" w:hAnsiTheme="majorBidi" w:cstheme="majorBidi"/>
        <w:sz w:val="28"/>
        <w:szCs w:val="2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8A90" w14:textId="77777777" w:rsidR="00F0380F" w:rsidRPr="002E5550" w:rsidRDefault="00F0380F" w:rsidP="002E5550">
    <w:pPr>
      <w:pStyle w:val="Header"/>
      <w:jc w:val="center"/>
      <w:rPr>
        <w:rFonts w:asciiTheme="majorBidi" w:hAnsiTheme="majorBidi" w:cstheme="majorBid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051"/>
    <w:multiLevelType w:val="multilevel"/>
    <w:tmpl w:val="3F98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203ED"/>
    <w:multiLevelType w:val="hybridMultilevel"/>
    <w:tmpl w:val="95A8CE6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A76EF1"/>
    <w:multiLevelType w:val="multilevel"/>
    <w:tmpl w:val="FE9C4C5C"/>
    <w:lvl w:ilvl="0">
      <w:start w:val="1"/>
      <w:numFmt w:val="decimal"/>
      <w:lvlText w:val="%1."/>
      <w:lvlJc w:val="left"/>
      <w:pPr>
        <w:ind w:left="720" w:hanging="360"/>
      </w:pPr>
      <w:rPr>
        <w:rFonts w:hint="default"/>
        <w:b/>
        <w:bCs/>
      </w:rPr>
    </w:lvl>
    <w:lvl w:ilvl="1">
      <w:start w:val="1"/>
      <w:numFmt w:val="decimal"/>
      <w:isLgl/>
      <w:lvlText w:val="%1.%2."/>
      <w:lvlJc w:val="left"/>
      <w:pPr>
        <w:ind w:left="785" w:hanging="360"/>
      </w:pPr>
      <w:rPr>
        <w:rFonts w:hint="default"/>
        <w:b/>
        <w:bCs/>
        <w:color w:val="auto"/>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B36CB1"/>
    <w:multiLevelType w:val="multilevel"/>
    <w:tmpl w:val="04B36C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4C93EAC"/>
    <w:multiLevelType w:val="multilevel"/>
    <w:tmpl w:val="E90E7D68"/>
    <w:lvl w:ilvl="0">
      <w:start w:val="1"/>
      <w:numFmt w:val="decimal"/>
      <w:lvlText w:val="%1."/>
      <w:lvlJc w:val="left"/>
      <w:pPr>
        <w:tabs>
          <w:tab w:val="left" w:pos="720"/>
        </w:tabs>
        <w:ind w:left="720" w:hanging="360"/>
      </w:pPr>
    </w:lvl>
    <w:lvl w:ilvl="1">
      <w:start w:val="1"/>
      <w:numFmt w:val="decimal"/>
      <w:lvlText w:val="%2."/>
      <w:lvlJc w:val="left"/>
      <w:pPr>
        <w:tabs>
          <w:tab w:val="left" w:pos="501"/>
        </w:tabs>
        <w:ind w:left="501" w:hanging="360"/>
      </w:pPr>
      <w:rPr>
        <w:b/>
        <w:bCs/>
        <w:sz w:val="24"/>
        <w:szCs w:val="24"/>
      </w:rPr>
    </w:lvl>
    <w:lvl w:ilvl="2">
      <w:start w:val="1"/>
      <w:numFmt w:val="decimal"/>
      <w:lvlText w:val="%3."/>
      <w:lvlJc w:val="left"/>
      <w:pPr>
        <w:tabs>
          <w:tab w:val="left" w:pos="501"/>
        </w:tabs>
        <w:ind w:left="501"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50130CC"/>
    <w:multiLevelType w:val="multilevel"/>
    <w:tmpl w:val="050130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55F30F1"/>
    <w:multiLevelType w:val="multilevel"/>
    <w:tmpl w:val="9FC4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705914"/>
    <w:multiLevelType w:val="hybridMultilevel"/>
    <w:tmpl w:val="D612F372"/>
    <w:lvl w:ilvl="0" w:tplc="084A6AF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0845B6"/>
    <w:multiLevelType w:val="multilevel"/>
    <w:tmpl w:val="080845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036E97"/>
    <w:multiLevelType w:val="multilevel"/>
    <w:tmpl w:val="B56A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2920FB"/>
    <w:multiLevelType w:val="multilevel"/>
    <w:tmpl w:val="CA9EC678"/>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11" w15:restartNumberingAfterBreak="0">
    <w:nsid w:val="0A296E8C"/>
    <w:multiLevelType w:val="multilevel"/>
    <w:tmpl w:val="F77024B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hint="default"/>
        <w:color w:val="auto"/>
      </w:rPr>
    </w:lvl>
    <w:lvl w:ilvl="2">
      <w:start w:val="1"/>
      <w:numFmt w:val="decimal"/>
      <w:isLgl/>
      <w:lvlText w:val="%1.%2.%3"/>
      <w:lvlJc w:val="left"/>
      <w:pPr>
        <w:ind w:left="1080" w:hanging="720"/>
      </w:pPr>
      <w:rPr>
        <w:rFonts w:eastAsia="Times New Roman" w:hint="default"/>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440" w:hanging="108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800" w:hanging="144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2160" w:hanging="1800"/>
      </w:pPr>
      <w:rPr>
        <w:rFonts w:eastAsia="Times New Roman" w:hint="default"/>
        <w:color w:val="auto"/>
      </w:rPr>
    </w:lvl>
  </w:abstractNum>
  <w:abstractNum w:abstractNumId="12" w15:restartNumberingAfterBreak="0">
    <w:nsid w:val="0B47581D"/>
    <w:multiLevelType w:val="multilevel"/>
    <w:tmpl w:val="0B4758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B834A43"/>
    <w:multiLevelType w:val="multilevel"/>
    <w:tmpl w:val="46E8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E42AE2"/>
    <w:multiLevelType w:val="hybridMultilevel"/>
    <w:tmpl w:val="B9DEF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CF848B7"/>
    <w:multiLevelType w:val="hybridMultilevel"/>
    <w:tmpl w:val="3A10DA62"/>
    <w:lvl w:ilvl="0" w:tplc="55CA89BC">
      <w:start w:val="1"/>
      <w:numFmt w:val="bullet"/>
      <w:lvlText w:val=""/>
      <w:lvlJc w:val="left"/>
      <w:pPr>
        <w:ind w:left="680" w:hanging="3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4F29D9"/>
    <w:multiLevelType w:val="multilevel"/>
    <w:tmpl w:val="4EE4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321B9"/>
    <w:multiLevelType w:val="hybridMultilevel"/>
    <w:tmpl w:val="4A3AF9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2FA3C28"/>
    <w:multiLevelType w:val="hybridMultilevel"/>
    <w:tmpl w:val="B0D20ED8"/>
    <w:lvl w:ilvl="0" w:tplc="00646DD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3B827AE"/>
    <w:multiLevelType w:val="multilevel"/>
    <w:tmpl w:val="E9A2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8B10ED"/>
    <w:multiLevelType w:val="multilevel"/>
    <w:tmpl w:val="160AD1F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68F1225"/>
    <w:multiLevelType w:val="multilevel"/>
    <w:tmpl w:val="A3BC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290105"/>
    <w:multiLevelType w:val="multilevel"/>
    <w:tmpl w:val="A81CCE3C"/>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23" w15:restartNumberingAfterBreak="0">
    <w:nsid w:val="1C5B7F2F"/>
    <w:multiLevelType w:val="multilevel"/>
    <w:tmpl w:val="0DC6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8179A7"/>
    <w:multiLevelType w:val="multilevel"/>
    <w:tmpl w:val="AC5CBEC2"/>
    <w:lvl w:ilvl="0">
      <w:start w:val="1"/>
      <w:numFmt w:val="decimalZero"/>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5" w15:restartNumberingAfterBreak="0">
    <w:nsid w:val="1E9F6D6B"/>
    <w:multiLevelType w:val="multilevel"/>
    <w:tmpl w:val="FAFC3810"/>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26" w15:restartNumberingAfterBreak="0">
    <w:nsid w:val="1F647617"/>
    <w:multiLevelType w:val="multilevel"/>
    <w:tmpl w:val="1F6476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FA006E0"/>
    <w:multiLevelType w:val="multilevel"/>
    <w:tmpl w:val="D46826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0DA07DF"/>
    <w:multiLevelType w:val="multilevel"/>
    <w:tmpl w:val="20DA07D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217C45CE"/>
    <w:multiLevelType w:val="multilevel"/>
    <w:tmpl w:val="217C45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2747635"/>
    <w:multiLevelType w:val="multilevel"/>
    <w:tmpl w:val="53CC3054"/>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31" w15:restartNumberingAfterBreak="0">
    <w:nsid w:val="23BA5AC5"/>
    <w:multiLevelType w:val="multilevel"/>
    <w:tmpl w:val="10526860"/>
    <w:lvl w:ilvl="0">
      <w:start w:val="2"/>
      <w:numFmt w:val="decimal"/>
      <w:lvlText w:val="%1."/>
      <w:lvlJc w:val="left"/>
      <w:pPr>
        <w:ind w:left="720" w:hanging="720"/>
      </w:pPr>
      <w:rPr>
        <w:rFonts w:hint="default"/>
        <w:b/>
      </w:rPr>
    </w:lvl>
    <w:lvl w:ilvl="1">
      <w:start w:val="3"/>
      <w:numFmt w:val="decimal"/>
      <w:lvlText w:val="%1.%2."/>
      <w:lvlJc w:val="left"/>
      <w:pPr>
        <w:ind w:left="960" w:hanging="720"/>
      </w:pPr>
      <w:rPr>
        <w:rFonts w:hint="default"/>
        <w:b/>
      </w:rPr>
    </w:lvl>
    <w:lvl w:ilvl="2">
      <w:start w:val="1"/>
      <w:numFmt w:val="decimal"/>
      <w:lvlText w:val="%1.%2.%3."/>
      <w:lvlJc w:val="left"/>
      <w:pPr>
        <w:ind w:left="1200" w:hanging="720"/>
      </w:pPr>
      <w:rPr>
        <w:rFonts w:hint="default"/>
        <w:b/>
      </w:rPr>
    </w:lvl>
    <w:lvl w:ilvl="3">
      <w:start w:val="2"/>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32" w15:restartNumberingAfterBreak="0">
    <w:nsid w:val="24C67872"/>
    <w:multiLevelType w:val="multilevel"/>
    <w:tmpl w:val="1B1C598C"/>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33" w15:restartNumberingAfterBreak="0">
    <w:nsid w:val="25E73FC8"/>
    <w:multiLevelType w:val="multilevel"/>
    <w:tmpl w:val="25E73F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26524FD3"/>
    <w:multiLevelType w:val="multilevel"/>
    <w:tmpl w:val="2EA6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955F8D"/>
    <w:multiLevelType w:val="multilevel"/>
    <w:tmpl w:val="26955F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278F3FDB"/>
    <w:multiLevelType w:val="multilevel"/>
    <w:tmpl w:val="C83A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C713BE"/>
    <w:multiLevelType w:val="multilevel"/>
    <w:tmpl w:val="4B7E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BA105A"/>
    <w:multiLevelType w:val="multilevel"/>
    <w:tmpl w:val="24007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214339"/>
    <w:multiLevelType w:val="multilevel"/>
    <w:tmpl w:val="4934D95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BFB0883"/>
    <w:multiLevelType w:val="multilevel"/>
    <w:tmpl w:val="2BFB08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30C663F1"/>
    <w:multiLevelType w:val="multilevel"/>
    <w:tmpl w:val="CDCA3AF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0D92149"/>
    <w:multiLevelType w:val="multilevel"/>
    <w:tmpl w:val="2CAC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FF2FA9"/>
    <w:multiLevelType w:val="multilevel"/>
    <w:tmpl w:val="5AAC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B1583D"/>
    <w:multiLevelType w:val="multilevel"/>
    <w:tmpl w:val="E096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C816DA"/>
    <w:multiLevelType w:val="multilevel"/>
    <w:tmpl w:val="C6DEE368"/>
    <w:lvl w:ilvl="0">
      <w:start w:val="1"/>
      <w:numFmt w:val="decimalZero"/>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6" w15:restartNumberingAfterBreak="0">
    <w:nsid w:val="34EB5AC7"/>
    <w:multiLevelType w:val="multilevel"/>
    <w:tmpl w:val="9E54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074C7B"/>
    <w:multiLevelType w:val="multilevel"/>
    <w:tmpl w:val="B3CE7410"/>
    <w:lvl w:ilvl="0">
      <w:start w:val="1"/>
      <w:numFmt w:val="bullet"/>
      <w:lvlText w:val=""/>
      <w:lvlJc w:val="left"/>
      <w:pPr>
        <w:tabs>
          <w:tab w:val="num" w:pos="720"/>
        </w:tabs>
        <w:ind w:left="720" w:hanging="360"/>
      </w:pPr>
      <w:rPr>
        <w:rFonts w:ascii="Symbol" w:hAnsi="Symbol" w:hint="default"/>
        <w:sz w:val="20"/>
      </w:rPr>
    </w:lvl>
    <w:lvl w:ilvl="1">
      <w:start w:val="114"/>
      <w:numFmt w:val="decimal"/>
      <w:lvlText w:val="%2"/>
      <w:lvlJc w:val="left"/>
      <w:pPr>
        <w:ind w:left="1440" w:hanging="360"/>
      </w:pPr>
      <w:rPr>
        <w:rFonts w:hint="default"/>
        <w:b/>
      </w:rPr>
    </w:lvl>
    <w:lvl w:ilvl="2">
      <w:start w:val="2"/>
      <w:numFmt w:val="upperLetter"/>
      <w:lvlText w:val="%3."/>
      <w:lvlJc w:val="left"/>
      <w:pPr>
        <w:ind w:left="643"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77A05BB"/>
    <w:multiLevelType w:val="multilevel"/>
    <w:tmpl w:val="377A05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38D9188E"/>
    <w:multiLevelType w:val="hybridMultilevel"/>
    <w:tmpl w:val="A18C00F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99F569A"/>
    <w:multiLevelType w:val="multilevel"/>
    <w:tmpl w:val="14A4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E369CE"/>
    <w:multiLevelType w:val="multilevel"/>
    <w:tmpl w:val="97B81A16"/>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52" w15:restartNumberingAfterBreak="0">
    <w:nsid w:val="3D9E19F0"/>
    <w:multiLevelType w:val="multilevel"/>
    <w:tmpl w:val="470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6C47FA"/>
    <w:multiLevelType w:val="multilevel"/>
    <w:tmpl w:val="FA76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0B6380C"/>
    <w:multiLevelType w:val="multilevel"/>
    <w:tmpl w:val="CA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4E07EA"/>
    <w:multiLevelType w:val="multilevel"/>
    <w:tmpl w:val="577A68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3392F3E"/>
    <w:multiLevelType w:val="multilevel"/>
    <w:tmpl w:val="34A4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667C32"/>
    <w:multiLevelType w:val="multilevel"/>
    <w:tmpl w:val="BE125AF4"/>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8" w15:restartNumberingAfterBreak="0">
    <w:nsid w:val="4CB344B3"/>
    <w:multiLevelType w:val="multilevel"/>
    <w:tmpl w:val="B9CEA656"/>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59" w15:restartNumberingAfterBreak="0">
    <w:nsid w:val="532E4C20"/>
    <w:multiLevelType w:val="multilevel"/>
    <w:tmpl w:val="532E4C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545049D4"/>
    <w:multiLevelType w:val="hybridMultilevel"/>
    <w:tmpl w:val="9252CB66"/>
    <w:lvl w:ilvl="0" w:tplc="A4E4373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56EF5D93"/>
    <w:multiLevelType w:val="multilevel"/>
    <w:tmpl w:val="1584B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8602C21"/>
    <w:multiLevelType w:val="multilevel"/>
    <w:tmpl w:val="6914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8BF6820"/>
    <w:multiLevelType w:val="multilevel"/>
    <w:tmpl w:val="B4E42024"/>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64" w15:restartNumberingAfterBreak="0">
    <w:nsid w:val="58F04825"/>
    <w:multiLevelType w:val="multilevel"/>
    <w:tmpl w:val="58F048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5" w15:restartNumberingAfterBreak="0">
    <w:nsid w:val="59514FA2"/>
    <w:multiLevelType w:val="multilevel"/>
    <w:tmpl w:val="5C60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95B46FE"/>
    <w:multiLevelType w:val="hybridMultilevel"/>
    <w:tmpl w:val="6A7202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A6C34C5"/>
    <w:multiLevelType w:val="multilevel"/>
    <w:tmpl w:val="51C2E2C4"/>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68" w15:restartNumberingAfterBreak="0">
    <w:nsid w:val="5BD365D7"/>
    <w:multiLevelType w:val="multilevel"/>
    <w:tmpl w:val="5BD365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5D264B86"/>
    <w:multiLevelType w:val="multilevel"/>
    <w:tmpl w:val="52C01A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pStyle w:val="Heading5"/>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6025278C"/>
    <w:multiLevelType w:val="multilevel"/>
    <w:tmpl w:val="DD0A8042"/>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71" w15:restartNumberingAfterBreak="0">
    <w:nsid w:val="604D341B"/>
    <w:multiLevelType w:val="multilevel"/>
    <w:tmpl w:val="613493C6"/>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72" w15:restartNumberingAfterBreak="0">
    <w:nsid w:val="61E85638"/>
    <w:multiLevelType w:val="multilevel"/>
    <w:tmpl w:val="F34412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24C3EE4"/>
    <w:multiLevelType w:val="multilevel"/>
    <w:tmpl w:val="C5AC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891AFB"/>
    <w:multiLevelType w:val="multilevel"/>
    <w:tmpl w:val="7A8CF41C"/>
    <w:lvl w:ilvl="0">
      <w:start w:val="1"/>
      <w:numFmt w:val="decimal"/>
      <w:lvlText w:val="%1."/>
      <w:lvlJc w:val="left"/>
      <w:pPr>
        <w:ind w:left="720" w:hanging="360"/>
      </w:p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75" w15:restartNumberingAfterBreak="0">
    <w:nsid w:val="6789490B"/>
    <w:multiLevelType w:val="multilevel"/>
    <w:tmpl w:val="AB58EE02"/>
    <w:lvl w:ilvl="0">
      <w:start w:val="2"/>
      <w:numFmt w:val="decimal"/>
      <w:lvlText w:val="%1."/>
      <w:lvlJc w:val="left"/>
      <w:pPr>
        <w:ind w:left="720" w:hanging="720"/>
      </w:pPr>
      <w:rPr>
        <w:rFonts w:hint="default"/>
      </w:rPr>
    </w:lvl>
    <w:lvl w:ilvl="1">
      <w:start w:val="3"/>
      <w:numFmt w:val="decimal"/>
      <w:lvlText w:val="%1.%2."/>
      <w:lvlJc w:val="left"/>
      <w:pPr>
        <w:ind w:left="800" w:hanging="720"/>
      </w:pPr>
      <w:rPr>
        <w:rFonts w:hint="default"/>
      </w:rPr>
    </w:lvl>
    <w:lvl w:ilvl="2">
      <w:start w:val="2"/>
      <w:numFmt w:val="decimal"/>
      <w:lvlText w:val="%1.%2.%3."/>
      <w:lvlJc w:val="left"/>
      <w:pPr>
        <w:ind w:left="880" w:hanging="720"/>
      </w:pPr>
      <w:rPr>
        <w:rFonts w:hint="default"/>
      </w:rPr>
    </w:lvl>
    <w:lvl w:ilvl="3">
      <w:start w:val="1"/>
      <w:numFmt w:val="decimal"/>
      <w:lvlText w:val="%1.%2.%3.%4."/>
      <w:lvlJc w:val="left"/>
      <w:pPr>
        <w:ind w:left="960" w:hanging="720"/>
      </w:pPr>
      <w:rPr>
        <w:rFonts w:hint="default"/>
        <w:b/>
        <w:bCs/>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440" w:hanging="1800"/>
      </w:pPr>
      <w:rPr>
        <w:rFonts w:hint="default"/>
      </w:rPr>
    </w:lvl>
  </w:abstractNum>
  <w:abstractNum w:abstractNumId="76" w15:restartNumberingAfterBreak="0">
    <w:nsid w:val="68D0460E"/>
    <w:multiLevelType w:val="multilevel"/>
    <w:tmpl w:val="7470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92044C6"/>
    <w:multiLevelType w:val="multilevel"/>
    <w:tmpl w:val="4640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9261B82"/>
    <w:multiLevelType w:val="multilevel"/>
    <w:tmpl w:val="F90E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9F22475"/>
    <w:multiLevelType w:val="multilevel"/>
    <w:tmpl w:val="BDE48B0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540" w:hanging="360"/>
      </w:pPr>
      <w:rPr>
        <w:rFonts w:ascii="Times New Roman" w:eastAsiaTheme="minorHAnsi" w:hAnsi="Times New Roman" w:cs="Times New Roman" w:hint="default"/>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A6F6C6C"/>
    <w:multiLevelType w:val="multilevel"/>
    <w:tmpl w:val="6A6F6C6C"/>
    <w:lvl w:ilvl="0">
      <w:start w:val="1"/>
      <w:numFmt w:val="bullet"/>
      <w:lvlText w:val=""/>
      <w:lvlJc w:val="left"/>
      <w:pPr>
        <w:ind w:left="776" w:hanging="360"/>
      </w:pPr>
      <w:rPr>
        <w:rFonts w:ascii="Symbol" w:hAnsi="Symbol" w:hint="default"/>
      </w:rPr>
    </w:lvl>
    <w:lvl w:ilvl="1">
      <w:start w:val="1"/>
      <w:numFmt w:val="bullet"/>
      <w:lvlText w:val="o"/>
      <w:lvlJc w:val="left"/>
      <w:pPr>
        <w:ind w:left="1496" w:hanging="360"/>
      </w:pPr>
      <w:rPr>
        <w:rFonts w:ascii="Courier New" w:hAnsi="Courier New" w:cs="Courier New" w:hint="default"/>
      </w:rPr>
    </w:lvl>
    <w:lvl w:ilvl="2">
      <w:start w:val="1"/>
      <w:numFmt w:val="bullet"/>
      <w:lvlText w:val=""/>
      <w:lvlJc w:val="left"/>
      <w:pPr>
        <w:ind w:left="2216" w:hanging="360"/>
      </w:pPr>
      <w:rPr>
        <w:rFonts w:ascii="Wingdings" w:hAnsi="Wingdings" w:hint="default"/>
      </w:rPr>
    </w:lvl>
    <w:lvl w:ilvl="3">
      <w:start w:val="1"/>
      <w:numFmt w:val="bullet"/>
      <w:lvlText w:val=""/>
      <w:lvlJc w:val="left"/>
      <w:pPr>
        <w:ind w:left="2936" w:hanging="360"/>
      </w:pPr>
      <w:rPr>
        <w:rFonts w:ascii="Symbol" w:hAnsi="Symbol" w:hint="default"/>
      </w:rPr>
    </w:lvl>
    <w:lvl w:ilvl="4">
      <w:start w:val="1"/>
      <w:numFmt w:val="bullet"/>
      <w:lvlText w:val="o"/>
      <w:lvlJc w:val="left"/>
      <w:pPr>
        <w:ind w:left="3656" w:hanging="360"/>
      </w:pPr>
      <w:rPr>
        <w:rFonts w:ascii="Courier New" w:hAnsi="Courier New" w:cs="Courier New" w:hint="default"/>
      </w:rPr>
    </w:lvl>
    <w:lvl w:ilvl="5">
      <w:start w:val="1"/>
      <w:numFmt w:val="bullet"/>
      <w:lvlText w:val=""/>
      <w:lvlJc w:val="left"/>
      <w:pPr>
        <w:ind w:left="4376" w:hanging="360"/>
      </w:pPr>
      <w:rPr>
        <w:rFonts w:ascii="Wingdings" w:hAnsi="Wingdings" w:hint="default"/>
      </w:rPr>
    </w:lvl>
    <w:lvl w:ilvl="6">
      <w:start w:val="1"/>
      <w:numFmt w:val="bullet"/>
      <w:lvlText w:val=""/>
      <w:lvlJc w:val="left"/>
      <w:pPr>
        <w:ind w:left="5096" w:hanging="360"/>
      </w:pPr>
      <w:rPr>
        <w:rFonts w:ascii="Symbol" w:hAnsi="Symbol" w:hint="default"/>
      </w:rPr>
    </w:lvl>
    <w:lvl w:ilvl="7">
      <w:start w:val="1"/>
      <w:numFmt w:val="bullet"/>
      <w:lvlText w:val="o"/>
      <w:lvlJc w:val="left"/>
      <w:pPr>
        <w:ind w:left="5816" w:hanging="360"/>
      </w:pPr>
      <w:rPr>
        <w:rFonts w:ascii="Courier New" w:hAnsi="Courier New" w:cs="Courier New" w:hint="default"/>
      </w:rPr>
    </w:lvl>
    <w:lvl w:ilvl="8">
      <w:start w:val="1"/>
      <w:numFmt w:val="bullet"/>
      <w:lvlText w:val=""/>
      <w:lvlJc w:val="left"/>
      <w:pPr>
        <w:ind w:left="6536" w:hanging="360"/>
      </w:pPr>
      <w:rPr>
        <w:rFonts w:ascii="Wingdings" w:hAnsi="Wingdings" w:hint="default"/>
      </w:rPr>
    </w:lvl>
  </w:abstractNum>
  <w:abstractNum w:abstractNumId="81" w15:restartNumberingAfterBreak="0">
    <w:nsid w:val="6AC132E7"/>
    <w:multiLevelType w:val="multilevel"/>
    <w:tmpl w:val="1FBCEEE0"/>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82" w15:restartNumberingAfterBreak="0">
    <w:nsid w:val="6AE23E0F"/>
    <w:multiLevelType w:val="multilevel"/>
    <w:tmpl w:val="C6AC616A"/>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ind w:left="643"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763AD8"/>
    <w:multiLevelType w:val="hybridMultilevel"/>
    <w:tmpl w:val="36B88F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6D2A3EA5"/>
    <w:multiLevelType w:val="multilevel"/>
    <w:tmpl w:val="36500D1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b/>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FDC0B2C"/>
    <w:multiLevelType w:val="multilevel"/>
    <w:tmpl w:val="6C80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51C0392"/>
    <w:multiLevelType w:val="hybridMultilevel"/>
    <w:tmpl w:val="3EB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536734A"/>
    <w:multiLevelType w:val="multilevel"/>
    <w:tmpl w:val="470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58C4C86"/>
    <w:multiLevelType w:val="multilevel"/>
    <w:tmpl w:val="758C4C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76A6060B"/>
    <w:multiLevelType w:val="multilevel"/>
    <w:tmpl w:val="76A606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77820D9B"/>
    <w:multiLevelType w:val="hybridMultilevel"/>
    <w:tmpl w:val="630C2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91B4D0E"/>
    <w:multiLevelType w:val="multilevel"/>
    <w:tmpl w:val="8A3C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EB6C52"/>
    <w:multiLevelType w:val="multilevel"/>
    <w:tmpl w:val="6804FA2E"/>
    <w:lvl w:ilvl="0">
      <w:start w:val="1"/>
      <w:numFmt w:val="bullet"/>
      <w:lvlText w:val=""/>
      <w:lvlJc w:val="left"/>
      <w:pPr>
        <w:tabs>
          <w:tab w:val="num" w:pos="720"/>
        </w:tabs>
        <w:ind w:left="720" w:hanging="360"/>
      </w:pPr>
      <w:rPr>
        <w:rFonts w:ascii="Symbol" w:hAnsi="Symbol" w:hint="default"/>
        <w:sz w:val="20"/>
      </w:rPr>
    </w:lvl>
    <w:lvl w:ilvl="1">
      <w:start w:val="11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B390F2A"/>
    <w:multiLevelType w:val="hybridMultilevel"/>
    <w:tmpl w:val="CF626622"/>
    <w:lvl w:ilvl="0" w:tplc="55CA89BC">
      <w:start w:val="1"/>
      <w:numFmt w:val="bullet"/>
      <w:lvlText w:val=""/>
      <w:lvlJc w:val="left"/>
      <w:pPr>
        <w:ind w:left="680" w:hanging="3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BAD6D79"/>
    <w:multiLevelType w:val="hybridMultilevel"/>
    <w:tmpl w:val="127EEB3E"/>
    <w:lvl w:ilvl="0" w:tplc="D05CFBB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7C022769"/>
    <w:multiLevelType w:val="multilevel"/>
    <w:tmpl w:val="3A2282D2"/>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96" w15:restartNumberingAfterBreak="0">
    <w:nsid w:val="7C244126"/>
    <w:multiLevelType w:val="multilevel"/>
    <w:tmpl w:val="2C54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400366"/>
    <w:multiLevelType w:val="hybridMultilevel"/>
    <w:tmpl w:val="9D80D7E4"/>
    <w:lvl w:ilvl="0" w:tplc="0010C1BC">
      <w:start w:val="1"/>
      <w:numFmt w:val="upperLetter"/>
      <w:lvlText w:val="%1."/>
      <w:lvlJc w:val="left"/>
      <w:pPr>
        <w:ind w:left="720" w:hanging="360"/>
      </w:pPr>
      <w:rPr>
        <w:rFonts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26"/>
  </w:num>
  <w:num w:numId="3">
    <w:abstractNumId w:val="48"/>
  </w:num>
  <w:num w:numId="4">
    <w:abstractNumId w:val="12"/>
  </w:num>
  <w:num w:numId="5">
    <w:abstractNumId w:val="89"/>
  </w:num>
  <w:num w:numId="6">
    <w:abstractNumId w:val="88"/>
  </w:num>
  <w:num w:numId="7">
    <w:abstractNumId w:val="35"/>
  </w:num>
  <w:num w:numId="8">
    <w:abstractNumId w:val="8"/>
  </w:num>
  <w:num w:numId="9">
    <w:abstractNumId w:val="59"/>
  </w:num>
  <w:num w:numId="10">
    <w:abstractNumId w:val="5"/>
  </w:num>
  <w:num w:numId="11">
    <w:abstractNumId w:val="3"/>
  </w:num>
  <w:num w:numId="12">
    <w:abstractNumId w:val="68"/>
  </w:num>
  <w:num w:numId="13">
    <w:abstractNumId w:val="28"/>
  </w:num>
  <w:num w:numId="14">
    <w:abstractNumId w:val="40"/>
  </w:num>
  <w:num w:numId="15">
    <w:abstractNumId w:val="64"/>
  </w:num>
  <w:num w:numId="16">
    <w:abstractNumId w:val="4"/>
  </w:num>
  <w:num w:numId="17">
    <w:abstractNumId w:val="29"/>
  </w:num>
  <w:num w:numId="18">
    <w:abstractNumId w:val="80"/>
  </w:num>
  <w:num w:numId="19">
    <w:abstractNumId w:val="39"/>
  </w:num>
  <w:num w:numId="20">
    <w:abstractNumId w:val="87"/>
  </w:num>
  <w:num w:numId="21">
    <w:abstractNumId w:val="92"/>
  </w:num>
  <w:num w:numId="22">
    <w:abstractNumId w:val="47"/>
  </w:num>
  <w:num w:numId="23">
    <w:abstractNumId w:val="1"/>
  </w:num>
  <w:num w:numId="24">
    <w:abstractNumId w:val="83"/>
  </w:num>
  <w:num w:numId="25">
    <w:abstractNumId w:val="66"/>
  </w:num>
  <w:num w:numId="26">
    <w:abstractNumId w:val="82"/>
  </w:num>
  <w:num w:numId="27">
    <w:abstractNumId w:val="52"/>
  </w:num>
  <w:num w:numId="28">
    <w:abstractNumId w:val="61"/>
  </w:num>
  <w:num w:numId="29">
    <w:abstractNumId w:val="20"/>
  </w:num>
  <w:num w:numId="30">
    <w:abstractNumId w:val="69"/>
  </w:num>
  <w:num w:numId="31">
    <w:abstractNumId w:val="13"/>
  </w:num>
  <w:num w:numId="32">
    <w:abstractNumId w:val="91"/>
  </w:num>
  <w:num w:numId="33">
    <w:abstractNumId w:val="23"/>
  </w:num>
  <w:num w:numId="34">
    <w:abstractNumId w:val="0"/>
  </w:num>
  <w:num w:numId="35">
    <w:abstractNumId w:val="62"/>
  </w:num>
  <w:num w:numId="36">
    <w:abstractNumId w:val="34"/>
  </w:num>
  <w:num w:numId="37">
    <w:abstractNumId w:val="77"/>
  </w:num>
  <w:num w:numId="38">
    <w:abstractNumId w:val="11"/>
  </w:num>
  <w:num w:numId="39">
    <w:abstractNumId w:val="2"/>
  </w:num>
  <w:num w:numId="40">
    <w:abstractNumId w:val="84"/>
  </w:num>
  <w:num w:numId="41">
    <w:abstractNumId w:val="21"/>
  </w:num>
  <w:num w:numId="42">
    <w:abstractNumId w:val="73"/>
  </w:num>
  <w:num w:numId="43">
    <w:abstractNumId w:val="44"/>
  </w:num>
  <w:num w:numId="44">
    <w:abstractNumId w:val="17"/>
  </w:num>
  <w:num w:numId="45">
    <w:abstractNumId w:val="50"/>
  </w:num>
  <w:num w:numId="46">
    <w:abstractNumId w:val="79"/>
  </w:num>
  <w:num w:numId="47">
    <w:abstractNumId w:val="49"/>
  </w:num>
  <w:num w:numId="48">
    <w:abstractNumId w:val="53"/>
  </w:num>
  <w:num w:numId="49">
    <w:abstractNumId w:val="42"/>
  </w:num>
  <w:num w:numId="50">
    <w:abstractNumId w:val="36"/>
  </w:num>
  <w:num w:numId="51">
    <w:abstractNumId w:val="56"/>
  </w:num>
  <w:num w:numId="52">
    <w:abstractNumId w:val="18"/>
  </w:num>
  <w:num w:numId="53">
    <w:abstractNumId w:val="60"/>
  </w:num>
  <w:num w:numId="54">
    <w:abstractNumId w:val="9"/>
  </w:num>
  <w:num w:numId="55">
    <w:abstractNumId w:val="55"/>
  </w:num>
  <w:num w:numId="56">
    <w:abstractNumId w:val="43"/>
  </w:num>
  <w:num w:numId="57">
    <w:abstractNumId w:val="38"/>
  </w:num>
  <w:num w:numId="58">
    <w:abstractNumId w:val="6"/>
  </w:num>
  <w:num w:numId="59">
    <w:abstractNumId w:val="37"/>
  </w:num>
  <w:num w:numId="60">
    <w:abstractNumId w:val="16"/>
  </w:num>
  <w:num w:numId="61">
    <w:abstractNumId w:val="85"/>
  </w:num>
  <w:num w:numId="62">
    <w:abstractNumId w:val="54"/>
  </w:num>
  <w:num w:numId="63">
    <w:abstractNumId w:val="22"/>
  </w:num>
  <w:num w:numId="6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5"/>
  </w:num>
  <w:num w:numId="68">
    <w:abstractNumId w:val="81"/>
  </w:num>
  <w:num w:numId="69">
    <w:abstractNumId w:val="30"/>
  </w:num>
  <w:num w:numId="70">
    <w:abstractNumId w:val="63"/>
  </w:num>
  <w:num w:numId="71">
    <w:abstractNumId w:val="71"/>
  </w:num>
  <w:num w:numId="72">
    <w:abstractNumId w:val="27"/>
  </w:num>
  <w:num w:numId="73">
    <w:abstractNumId w:val="58"/>
  </w:num>
  <w:num w:numId="74">
    <w:abstractNumId w:val="51"/>
  </w:num>
  <w:num w:numId="75">
    <w:abstractNumId w:val="70"/>
  </w:num>
  <w:num w:numId="76">
    <w:abstractNumId w:val="25"/>
  </w:num>
  <w:num w:numId="77">
    <w:abstractNumId w:val="10"/>
  </w:num>
  <w:num w:numId="78">
    <w:abstractNumId w:val="32"/>
  </w:num>
  <w:num w:numId="79">
    <w:abstractNumId w:val="94"/>
  </w:num>
  <w:num w:numId="80">
    <w:abstractNumId w:val="96"/>
  </w:num>
  <w:num w:numId="81">
    <w:abstractNumId w:val="78"/>
  </w:num>
  <w:num w:numId="82">
    <w:abstractNumId w:val="76"/>
  </w:num>
  <w:num w:numId="83">
    <w:abstractNumId w:val="19"/>
  </w:num>
  <w:num w:numId="84">
    <w:abstractNumId w:val="65"/>
  </w:num>
  <w:num w:numId="85">
    <w:abstractNumId w:val="14"/>
  </w:num>
  <w:num w:numId="86">
    <w:abstractNumId w:val="46"/>
  </w:num>
  <w:num w:numId="87">
    <w:abstractNumId w:val="74"/>
  </w:num>
  <w:num w:numId="88">
    <w:abstractNumId w:val="67"/>
  </w:num>
  <w:num w:numId="89">
    <w:abstractNumId w:val="31"/>
  </w:num>
  <w:num w:numId="90">
    <w:abstractNumId w:val="75"/>
  </w:num>
  <w:num w:numId="91">
    <w:abstractNumId w:val="41"/>
  </w:num>
  <w:num w:numId="92">
    <w:abstractNumId w:val="97"/>
  </w:num>
  <w:num w:numId="93">
    <w:abstractNumId w:val="72"/>
  </w:num>
  <w:num w:numId="94">
    <w:abstractNumId w:val="15"/>
  </w:num>
  <w:num w:numId="95">
    <w:abstractNumId w:val="7"/>
  </w:num>
  <w:num w:numId="96">
    <w:abstractNumId w:val="86"/>
  </w:num>
  <w:num w:numId="97">
    <w:abstractNumId w:val="90"/>
  </w:num>
  <w:num w:numId="98">
    <w:abstractNumId w:val="9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B3"/>
    <w:rsid w:val="00005BFB"/>
    <w:rsid w:val="00037AD6"/>
    <w:rsid w:val="0004637B"/>
    <w:rsid w:val="00050632"/>
    <w:rsid w:val="00057285"/>
    <w:rsid w:val="00077699"/>
    <w:rsid w:val="000805CE"/>
    <w:rsid w:val="00084EA9"/>
    <w:rsid w:val="0009045B"/>
    <w:rsid w:val="00095814"/>
    <w:rsid w:val="00097094"/>
    <w:rsid w:val="000A0207"/>
    <w:rsid w:val="000A57CD"/>
    <w:rsid w:val="000A587F"/>
    <w:rsid w:val="000A62FC"/>
    <w:rsid w:val="000A709F"/>
    <w:rsid w:val="000B40BD"/>
    <w:rsid w:val="000B5D06"/>
    <w:rsid w:val="000B5DDC"/>
    <w:rsid w:val="000C0E44"/>
    <w:rsid w:val="000D3225"/>
    <w:rsid w:val="000F7A21"/>
    <w:rsid w:val="00126CB0"/>
    <w:rsid w:val="00137994"/>
    <w:rsid w:val="00142499"/>
    <w:rsid w:val="00150121"/>
    <w:rsid w:val="001548C7"/>
    <w:rsid w:val="00157732"/>
    <w:rsid w:val="00161F6E"/>
    <w:rsid w:val="00180B51"/>
    <w:rsid w:val="00183CEB"/>
    <w:rsid w:val="0019449B"/>
    <w:rsid w:val="001B2A54"/>
    <w:rsid w:val="001B5654"/>
    <w:rsid w:val="00214260"/>
    <w:rsid w:val="0024056C"/>
    <w:rsid w:val="002526EA"/>
    <w:rsid w:val="00253539"/>
    <w:rsid w:val="00254C70"/>
    <w:rsid w:val="00265A9C"/>
    <w:rsid w:val="00272799"/>
    <w:rsid w:val="00281360"/>
    <w:rsid w:val="0029387A"/>
    <w:rsid w:val="002B29BF"/>
    <w:rsid w:val="002C5B66"/>
    <w:rsid w:val="002E5550"/>
    <w:rsid w:val="00312656"/>
    <w:rsid w:val="0034228E"/>
    <w:rsid w:val="00344A6E"/>
    <w:rsid w:val="00375ECF"/>
    <w:rsid w:val="003978E2"/>
    <w:rsid w:val="00397D9F"/>
    <w:rsid w:val="003A19AC"/>
    <w:rsid w:val="003B547F"/>
    <w:rsid w:val="003D0975"/>
    <w:rsid w:val="003E5389"/>
    <w:rsid w:val="00400926"/>
    <w:rsid w:val="00412EC6"/>
    <w:rsid w:val="00413B73"/>
    <w:rsid w:val="0043098E"/>
    <w:rsid w:val="00435398"/>
    <w:rsid w:val="00436E06"/>
    <w:rsid w:val="004479F0"/>
    <w:rsid w:val="00451381"/>
    <w:rsid w:val="00454ADB"/>
    <w:rsid w:val="00471BD8"/>
    <w:rsid w:val="00472ECD"/>
    <w:rsid w:val="00486AA6"/>
    <w:rsid w:val="004928D8"/>
    <w:rsid w:val="00496D34"/>
    <w:rsid w:val="00497C50"/>
    <w:rsid w:val="004A38BD"/>
    <w:rsid w:val="004A454C"/>
    <w:rsid w:val="004B4B0F"/>
    <w:rsid w:val="004C32F4"/>
    <w:rsid w:val="004D261D"/>
    <w:rsid w:val="004D71DD"/>
    <w:rsid w:val="004E4A53"/>
    <w:rsid w:val="004F11D0"/>
    <w:rsid w:val="00511F0B"/>
    <w:rsid w:val="00520D2C"/>
    <w:rsid w:val="0053256C"/>
    <w:rsid w:val="00537ED8"/>
    <w:rsid w:val="0055113A"/>
    <w:rsid w:val="00574159"/>
    <w:rsid w:val="005763F3"/>
    <w:rsid w:val="005866A8"/>
    <w:rsid w:val="00590311"/>
    <w:rsid w:val="00597D09"/>
    <w:rsid w:val="005C0AF0"/>
    <w:rsid w:val="005C55EA"/>
    <w:rsid w:val="005D21E7"/>
    <w:rsid w:val="005D2B7A"/>
    <w:rsid w:val="005E488F"/>
    <w:rsid w:val="005E7889"/>
    <w:rsid w:val="006058BF"/>
    <w:rsid w:val="00616495"/>
    <w:rsid w:val="00621FA4"/>
    <w:rsid w:val="00627036"/>
    <w:rsid w:val="00642A09"/>
    <w:rsid w:val="00653D73"/>
    <w:rsid w:val="00654850"/>
    <w:rsid w:val="006B022D"/>
    <w:rsid w:val="006B1405"/>
    <w:rsid w:val="006C55DD"/>
    <w:rsid w:val="006D573F"/>
    <w:rsid w:val="006E61C6"/>
    <w:rsid w:val="007036EB"/>
    <w:rsid w:val="00707383"/>
    <w:rsid w:val="00740E8D"/>
    <w:rsid w:val="00744B88"/>
    <w:rsid w:val="00744EF6"/>
    <w:rsid w:val="00750B71"/>
    <w:rsid w:val="00765D11"/>
    <w:rsid w:val="0077354A"/>
    <w:rsid w:val="007A05DD"/>
    <w:rsid w:val="007C3AF7"/>
    <w:rsid w:val="007D0AA7"/>
    <w:rsid w:val="007D14E7"/>
    <w:rsid w:val="007D30C5"/>
    <w:rsid w:val="007D54BC"/>
    <w:rsid w:val="007F2304"/>
    <w:rsid w:val="007F3CC5"/>
    <w:rsid w:val="007F6322"/>
    <w:rsid w:val="008036CB"/>
    <w:rsid w:val="00803819"/>
    <w:rsid w:val="00821039"/>
    <w:rsid w:val="008268F9"/>
    <w:rsid w:val="0083465E"/>
    <w:rsid w:val="00845661"/>
    <w:rsid w:val="008477A5"/>
    <w:rsid w:val="00851483"/>
    <w:rsid w:val="0089372C"/>
    <w:rsid w:val="008C235E"/>
    <w:rsid w:val="008D6236"/>
    <w:rsid w:val="008E098E"/>
    <w:rsid w:val="008E3776"/>
    <w:rsid w:val="008F291C"/>
    <w:rsid w:val="008F7114"/>
    <w:rsid w:val="00930458"/>
    <w:rsid w:val="00941350"/>
    <w:rsid w:val="009451ED"/>
    <w:rsid w:val="009470F3"/>
    <w:rsid w:val="009535A4"/>
    <w:rsid w:val="0098433E"/>
    <w:rsid w:val="00985712"/>
    <w:rsid w:val="0099189A"/>
    <w:rsid w:val="00992BE3"/>
    <w:rsid w:val="009A12EE"/>
    <w:rsid w:val="009B1217"/>
    <w:rsid w:val="009B4ECA"/>
    <w:rsid w:val="009D005F"/>
    <w:rsid w:val="009D3FFF"/>
    <w:rsid w:val="009D56E4"/>
    <w:rsid w:val="00A02D68"/>
    <w:rsid w:val="00A10E08"/>
    <w:rsid w:val="00A1183D"/>
    <w:rsid w:val="00A41295"/>
    <w:rsid w:val="00A42018"/>
    <w:rsid w:val="00A74231"/>
    <w:rsid w:val="00A874DB"/>
    <w:rsid w:val="00AB0E9B"/>
    <w:rsid w:val="00AB7DFE"/>
    <w:rsid w:val="00AC1791"/>
    <w:rsid w:val="00AE36DE"/>
    <w:rsid w:val="00B06E23"/>
    <w:rsid w:val="00B163B6"/>
    <w:rsid w:val="00B1738A"/>
    <w:rsid w:val="00B2478D"/>
    <w:rsid w:val="00B34685"/>
    <w:rsid w:val="00B37FBA"/>
    <w:rsid w:val="00B4091D"/>
    <w:rsid w:val="00B6520E"/>
    <w:rsid w:val="00B67AC6"/>
    <w:rsid w:val="00B91AFC"/>
    <w:rsid w:val="00B9465F"/>
    <w:rsid w:val="00BB2F8D"/>
    <w:rsid w:val="00BB45BD"/>
    <w:rsid w:val="00BB5D76"/>
    <w:rsid w:val="00BD2EAB"/>
    <w:rsid w:val="00BD2EBF"/>
    <w:rsid w:val="00BD4513"/>
    <w:rsid w:val="00BE2334"/>
    <w:rsid w:val="00BE475C"/>
    <w:rsid w:val="00BE588D"/>
    <w:rsid w:val="00C07A7D"/>
    <w:rsid w:val="00C16403"/>
    <w:rsid w:val="00C3174C"/>
    <w:rsid w:val="00C33C59"/>
    <w:rsid w:val="00C401F5"/>
    <w:rsid w:val="00C418C3"/>
    <w:rsid w:val="00C457C5"/>
    <w:rsid w:val="00C74828"/>
    <w:rsid w:val="00C802CC"/>
    <w:rsid w:val="00CA4B7E"/>
    <w:rsid w:val="00CA5B95"/>
    <w:rsid w:val="00CD6F28"/>
    <w:rsid w:val="00CE064A"/>
    <w:rsid w:val="00CE40F5"/>
    <w:rsid w:val="00CE435F"/>
    <w:rsid w:val="00CE6A37"/>
    <w:rsid w:val="00D066E6"/>
    <w:rsid w:val="00D06CBA"/>
    <w:rsid w:val="00D176A7"/>
    <w:rsid w:val="00D246DE"/>
    <w:rsid w:val="00D25CAB"/>
    <w:rsid w:val="00D313EB"/>
    <w:rsid w:val="00D32E01"/>
    <w:rsid w:val="00D36F5B"/>
    <w:rsid w:val="00D44EC7"/>
    <w:rsid w:val="00D75D3D"/>
    <w:rsid w:val="00DB0A1F"/>
    <w:rsid w:val="00DC25B4"/>
    <w:rsid w:val="00DC2EB3"/>
    <w:rsid w:val="00DC5DDA"/>
    <w:rsid w:val="00DC6C1A"/>
    <w:rsid w:val="00DD1A30"/>
    <w:rsid w:val="00DE00F9"/>
    <w:rsid w:val="00DF01EF"/>
    <w:rsid w:val="00DF40CC"/>
    <w:rsid w:val="00E20692"/>
    <w:rsid w:val="00E22940"/>
    <w:rsid w:val="00E2463C"/>
    <w:rsid w:val="00E249F6"/>
    <w:rsid w:val="00E3143B"/>
    <w:rsid w:val="00E3546C"/>
    <w:rsid w:val="00E52576"/>
    <w:rsid w:val="00E70ADB"/>
    <w:rsid w:val="00E93AA9"/>
    <w:rsid w:val="00EA6771"/>
    <w:rsid w:val="00EB3899"/>
    <w:rsid w:val="00F0380F"/>
    <w:rsid w:val="00F05B96"/>
    <w:rsid w:val="00F305DC"/>
    <w:rsid w:val="00F31763"/>
    <w:rsid w:val="00F66EFE"/>
    <w:rsid w:val="00F8364C"/>
    <w:rsid w:val="00FB2AD1"/>
    <w:rsid w:val="00FC7ADD"/>
    <w:rsid w:val="00FD7333"/>
    <w:rsid w:val="00FE4C51"/>
    <w:rsid w:val="00FF400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F51CC"/>
  <w15:chartTrackingRefBased/>
  <w15:docId w15:val="{1FD2477E-1344-48D7-A24C-8654F6AE3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Web"/>
    <w:next w:val="Normal"/>
    <w:link w:val="Heading1Char"/>
    <w:uiPriority w:val="9"/>
    <w:qFormat/>
    <w:rsid w:val="00B163B6"/>
    <w:pPr>
      <w:spacing w:line="360" w:lineRule="auto"/>
      <w:jc w:val="center"/>
      <w:outlineLvl w:val="0"/>
    </w:pPr>
    <w:rPr>
      <w:rFonts w:asciiTheme="majorBidi" w:hAnsiTheme="majorBidi" w:cstheme="majorBidi"/>
      <w:b/>
      <w:bCs/>
      <w:sz w:val="72"/>
      <w:szCs w:val="72"/>
      <w:lang w:val="en-GB"/>
    </w:rPr>
  </w:style>
  <w:style w:type="paragraph" w:styleId="Heading2">
    <w:name w:val="heading 2"/>
    <w:basedOn w:val="NormalWeb"/>
    <w:next w:val="Normal"/>
    <w:link w:val="Heading2Char"/>
    <w:uiPriority w:val="9"/>
    <w:unhideWhenUsed/>
    <w:qFormat/>
    <w:rsid w:val="00B163B6"/>
    <w:pPr>
      <w:spacing w:line="360" w:lineRule="auto"/>
      <w:jc w:val="both"/>
      <w:outlineLvl w:val="1"/>
    </w:pPr>
    <w:rPr>
      <w:b/>
      <w:bCs/>
      <w:lang w:val="en-GB"/>
    </w:rPr>
  </w:style>
  <w:style w:type="paragraph" w:styleId="Heading3">
    <w:name w:val="heading 3"/>
    <w:basedOn w:val="Normal"/>
    <w:link w:val="Heading3Char"/>
    <w:uiPriority w:val="9"/>
    <w:qFormat/>
    <w:rsid w:val="00B163B6"/>
    <w:pPr>
      <w:spacing w:line="360" w:lineRule="auto"/>
      <w:jc w:val="both"/>
      <w:outlineLvl w:val="2"/>
    </w:pPr>
    <w:rPr>
      <w:rFonts w:asciiTheme="majorBidi" w:hAnsiTheme="majorBidi" w:cstheme="majorBidi"/>
      <w:b/>
      <w:bCs/>
      <w:sz w:val="24"/>
      <w:szCs w:val="24"/>
      <w:lang w:val="en-GB"/>
    </w:rPr>
  </w:style>
  <w:style w:type="paragraph" w:styleId="Heading4">
    <w:name w:val="heading 4"/>
    <w:basedOn w:val="Normal"/>
    <w:link w:val="Heading4Char"/>
    <w:uiPriority w:val="9"/>
    <w:qFormat/>
    <w:rsid w:val="00B163B6"/>
    <w:pPr>
      <w:spacing w:line="360" w:lineRule="auto"/>
      <w:jc w:val="both"/>
      <w:outlineLvl w:val="3"/>
    </w:pPr>
    <w:rPr>
      <w:rFonts w:asciiTheme="majorBidi" w:hAnsiTheme="majorBidi" w:cstheme="majorBidi"/>
      <w:b/>
      <w:bCs/>
      <w:sz w:val="24"/>
      <w:szCs w:val="24"/>
      <w:lang w:val="en-GB"/>
    </w:rPr>
  </w:style>
  <w:style w:type="paragraph" w:styleId="Heading5">
    <w:name w:val="heading 5"/>
    <w:basedOn w:val="break-words"/>
    <w:next w:val="Normal"/>
    <w:link w:val="Heading5Char"/>
    <w:uiPriority w:val="9"/>
    <w:unhideWhenUsed/>
    <w:qFormat/>
    <w:rsid w:val="00161F6E"/>
    <w:pPr>
      <w:numPr>
        <w:ilvl w:val="2"/>
        <w:numId w:val="30"/>
      </w:numPr>
      <w:spacing w:line="360" w:lineRule="auto"/>
      <w:jc w:val="both"/>
      <w:outlineLvl w:val="4"/>
    </w:pPr>
    <w:rPr>
      <w:rFonts w:asciiTheme="majorBidi" w:hAnsiTheme="majorBidi" w:cstheme="majorBidi"/>
      <w:b/>
      <w:bCs/>
      <w:lang w:val="en-US"/>
    </w:rPr>
  </w:style>
  <w:style w:type="paragraph" w:styleId="Heading6">
    <w:name w:val="heading 6"/>
    <w:basedOn w:val="Normal"/>
    <w:next w:val="Normal"/>
    <w:link w:val="Heading6Char"/>
    <w:uiPriority w:val="9"/>
    <w:unhideWhenUsed/>
    <w:qFormat/>
    <w:rsid w:val="00183CEB"/>
    <w:pPr>
      <w:spacing w:line="360" w:lineRule="auto"/>
      <w:jc w:val="both"/>
      <w:outlineLvl w:val="5"/>
    </w:pPr>
    <w:rPr>
      <w:rFonts w:asciiTheme="majorBidi" w:hAnsi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DC2EB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adeinm1hgl8">
    <w:name w:val="_fadein_m1hgl_8"/>
    <w:basedOn w:val="DefaultParagraphFont"/>
    <w:rsid w:val="00DC2EB3"/>
  </w:style>
  <w:style w:type="paragraph" w:styleId="FootnoteText">
    <w:name w:val="footnote text"/>
    <w:basedOn w:val="Normal"/>
    <w:link w:val="FootnoteTextChar"/>
    <w:uiPriority w:val="99"/>
    <w:semiHidden/>
    <w:unhideWhenUsed/>
    <w:qFormat/>
    <w:rsid w:val="00DC2EB3"/>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DC2EB3"/>
    <w:rPr>
      <w:sz w:val="20"/>
      <w:szCs w:val="20"/>
    </w:rPr>
  </w:style>
  <w:style w:type="character" w:styleId="FootnoteReference">
    <w:name w:val="footnote reference"/>
    <w:basedOn w:val="DefaultParagraphFont"/>
    <w:uiPriority w:val="99"/>
    <w:semiHidden/>
    <w:unhideWhenUsed/>
    <w:qFormat/>
    <w:rsid w:val="00DC2EB3"/>
    <w:rPr>
      <w:vertAlign w:val="superscript"/>
    </w:rPr>
  </w:style>
  <w:style w:type="character" w:customStyle="1" w:styleId="Heading3Char">
    <w:name w:val="Heading 3 Char"/>
    <w:basedOn w:val="DefaultParagraphFont"/>
    <w:link w:val="Heading3"/>
    <w:uiPriority w:val="9"/>
    <w:qFormat/>
    <w:rsid w:val="00B163B6"/>
    <w:rPr>
      <w:rFonts w:asciiTheme="majorBidi" w:hAnsiTheme="majorBidi" w:cstheme="majorBidi"/>
      <w:b/>
      <w:bCs/>
      <w:sz w:val="24"/>
      <w:szCs w:val="24"/>
      <w:lang w:val="en-GB"/>
    </w:rPr>
  </w:style>
  <w:style w:type="character" w:styleId="Hyperlink">
    <w:name w:val="Hyperlink"/>
    <w:basedOn w:val="DefaultParagraphFont"/>
    <w:uiPriority w:val="99"/>
    <w:unhideWhenUsed/>
    <w:qFormat/>
    <w:rsid w:val="00DC2EB3"/>
    <w:rPr>
      <w:color w:val="0000FF"/>
      <w:u w:val="single"/>
    </w:rPr>
  </w:style>
  <w:style w:type="character" w:styleId="Strong">
    <w:name w:val="Strong"/>
    <w:basedOn w:val="DefaultParagraphFont"/>
    <w:uiPriority w:val="22"/>
    <w:qFormat/>
    <w:rsid w:val="00DC2EB3"/>
    <w:rPr>
      <w:b/>
      <w:bCs/>
    </w:rPr>
  </w:style>
  <w:style w:type="character" w:styleId="Emphasis">
    <w:name w:val="Emphasis"/>
    <w:basedOn w:val="DefaultParagraphFont"/>
    <w:uiPriority w:val="20"/>
    <w:qFormat/>
    <w:rsid w:val="00DC2EB3"/>
    <w:rPr>
      <w:i/>
      <w:iCs/>
    </w:rPr>
  </w:style>
  <w:style w:type="paragraph" w:styleId="ListParagraph">
    <w:name w:val="List Paragraph"/>
    <w:basedOn w:val="Normal"/>
    <w:uiPriority w:val="34"/>
    <w:qFormat/>
    <w:rsid w:val="00DC2EB3"/>
    <w:pPr>
      <w:ind w:left="720"/>
      <w:contextualSpacing/>
    </w:pPr>
    <w:rPr>
      <w:kern w:val="2"/>
      <w14:ligatures w14:val="standardContextual"/>
    </w:rPr>
  </w:style>
  <w:style w:type="paragraph" w:customStyle="1" w:styleId="break-words">
    <w:name w:val="break-words"/>
    <w:basedOn w:val="Normal"/>
    <w:qFormat/>
    <w:rsid w:val="00DC2EB3"/>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TableGrid">
    <w:name w:val="Table Grid"/>
    <w:basedOn w:val="TableNormal"/>
    <w:uiPriority w:val="39"/>
    <w:qFormat/>
    <w:rsid w:val="00DC2EB3"/>
    <w:pPr>
      <w:spacing w:after="0" w:line="240" w:lineRule="auto"/>
    </w:pPr>
    <w:rPr>
      <w:rFonts w:ascii="Times New Roman" w:eastAsia="SimSu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qFormat/>
    <w:rsid w:val="00DC2EB3"/>
    <w:pPr>
      <w:spacing w:before="100" w:beforeAutospacing="1" w:after="100" w:afterAutospacing="1" w:line="256" w:lineRule="auto"/>
      <w:contextualSpacing/>
    </w:pPr>
    <w:rPr>
      <w:rFonts w:ascii="Calibri" w:eastAsia="Times New Roman" w:hAnsi="Calibri" w:cs="Arial"/>
      <w:sz w:val="24"/>
      <w:szCs w:val="24"/>
      <w:lang w:eastAsia="fr-FR"/>
    </w:rPr>
  </w:style>
  <w:style w:type="character" w:customStyle="1" w:styleId="16">
    <w:name w:val="16"/>
    <w:basedOn w:val="DefaultParagraphFont"/>
    <w:qFormat/>
    <w:rsid w:val="00DC2EB3"/>
    <w:rPr>
      <w:rFonts w:ascii="Times New Roman" w:hAnsi="Times New Roman" w:cs="Times New Roman" w:hint="default"/>
      <w:b/>
      <w:bCs/>
    </w:rPr>
  </w:style>
  <w:style w:type="character" w:customStyle="1" w:styleId="c">
    <w:name w:val="c"/>
    <w:basedOn w:val="DefaultParagraphFont"/>
    <w:qFormat/>
    <w:rsid w:val="00D32E01"/>
    <w:rPr>
      <w:rFonts w:ascii="Times New Roman" w:hAnsi="Times New Roman" w:cs="Times New Roman" w:hint="default"/>
      <w:b/>
      <w:i w:val="0"/>
      <w:iCs/>
      <w:sz w:val="72"/>
    </w:rPr>
  </w:style>
  <w:style w:type="character" w:customStyle="1" w:styleId="17">
    <w:name w:val="17"/>
    <w:basedOn w:val="DefaultParagraphFont"/>
    <w:qFormat/>
    <w:rsid w:val="0077354A"/>
    <w:rPr>
      <w:rFonts w:ascii="Times New Roman" w:hAnsi="Times New Roman" w:cs="Times New Roman" w:hint="default"/>
      <w:color w:val="0000FF"/>
      <w:u w:val="single"/>
    </w:rPr>
  </w:style>
  <w:style w:type="character" w:customStyle="1" w:styleId="relative">
    <w:name w:val="relative"/>
    <w:basedOn w:val="DefaultParagraphFont"/>
    <w:rsid w:val="0077354A"/>
  </w:style>
  <w:style w:type="paragraph" w:styleId="Header">
    <w:name w:val="header"/>
    <w:basedOn w:val="Normal"/>
    <w:link w:val="HeaderChar"/>
    <w:uiPriority w:val="99"/>
    <w:unhideWhenUsed/>
    <w:rsid w:val="00D75D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5D3D"/>
  </w:style>
  <w:style w:type="paragraph" w:styleId="Footer">
    <w:name w:val="footer"/>
    <w:basedOn w:val="Normal"/>
    <w:link w:val="FooterChar"/>
    <w:uiPriority w:val="99"/>
    <w:unhideWhenUsed/>
    <w:rsid w:val="00D75D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5D3D"/>
  </w:style>
  <w:style w:type="table" w:styleId="PlainTable1">
    <w:name w:val="Plain Table 1"/>
    <w:basedOn w:val="TableNormal"/>
    <w:uiPriority w:val="41"/>
    <w:rsid w:val="00D75D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B163B6"/>
    <w:rPr>
      <w:rFonts w:asciiTheme="majorBidi" w:eastAsia="Times New Roman" w:hAnsiTheme="majorBidi" w:cstheme="majorBidi"/>
      <w:b/>
      <w:bCs/>
      <w:sz w:val="72"/>
      <w:szCs w:val="72"/>
      <w:lang w:val="en-GB" w:eastAsia="fr-FR"/>
    </w:rPr>
  </w:style>
  <w:style w:type="character" w:customStyle="1" w:styleId="Heading2Char">
    <w:name w:val="Heading 2 Char"/>
    <w:basedOn w:val="DefaultParagraphFont"/>
    <w:link w:val="Heading2"/>
    <w:uiPriority w:val="9"/>
    <w:rsid w:val="00B163B6"/>
    <w:rPr>
      <w:rFonts w:ascii="Times New Roman" w:eastAsia="Times New Roman" w:hAnsi="Times New Roman" w:cs="Times New Roman"/>
      <w:b/>
      <w:bCs/>
      <w:sz w:val="24"/>
      <w:szCs w:val="24"/>
      <w:lang w:val="en-GB" w:eastAsia="fr-FR"/>
    </w:rPr>
  </w:style>
  <w:style w:type="character" w:customStyle="1" w:styleId="Heading4Char">
    <w:name w:val="Heading 4 Char"/>
    <w:basedOn w:val="DefaultParagraphFont"/>
    <w:link w:val="Heading4"/>
    <w:uiPriority w:val="9"/>
    <w:rsid w:val="00B163B6"/>
    <w:rPr>
      <w:rFonts w:asciiTheme="majorBidi" w:hAnsiTheme="majorBidi" w:cstheme="majorBidi"/>
      <w:b/>
      <w:bCs/>
      <w:sz w:val="24"/>
      <w:szCs w:val="24"/>
      <w:lang w:val="en-GB"/>
    </w:rPr>
  </w:style>
  <w:style w:type="character" w:customStyle="1" w:styleId="katex-mathml">
    <w:name w:val="katex-mathml"/>
    <w:basedOn w:val="DefaultParagraphFont"/>
    <w:rsid w:val="00AC1791"/>
  </w:style>
  <w:style w:type="character" w:customStyle="1" w:styleId="mord">
    <w:name w:val="mord"/>
    <w:basedOn w:val="DefaultParagraphFont"/>
    <w:rsid w:val="00AC1791"/>
  </w:style>
  <w:style w:type="character" w:customStyle="1" w:styleId="mrel">
    <w:name w:val="mrel"/>
    <w:basedOn w:val="DefaultParagraphFont"/>
    <w:rsid w:val="00AC1791"/>
  </w:style>
  <w:style w:type="character" w:customStyle="1" w:styleId="vlist-s">
    <w:name w:val="vlist-s"/>
    <w:basedOn w:val="DefaultParagraphFont"/>
    <w:rsid w:val="00AC1791"/>
  </w:style>
  <w:style w:type="character" w:customStyle="1" w:styleId="mbin">
    <w:name w:val="mbin"/>
    <w:basedOn w:val="DefaultParagraphFont"/>
    <w:rsid w:val="00AC1791"/>
  </w:style>
  <w:style w:type="character" w:customStyle="1" w:styleId="mpunct">
    <w:name w:val="mpunct"/>
    <w:basedOn w:val="DefaultParagraphFont"/>
    <w:rsid w:val="00AC1791"/>
  </w:style>
  <w:style w:type="table" w:customStyle="1" w:styleId="TableGrid1">
    <w:name w:val="Table Grid1"/>
    <w:basedOn w:val="TableNormal"/>
    <w:next w:val="TableGrid"/>
    <w:uiPriority w:val="59"/>
    <w:rsid w:val="00AC17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17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C17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C179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AC1791"/>
    <w:pPr>
      <w:spacing w:before="100" w:beforeAutospacing="1" w:after="100" w:afterAutospacing="1" w:line="256" w:lineRule="auto"/>
      <w:contextualSpacing/>
    </w:pPr>
    <w:rPr>
      <w:rFonts w:ascii="Aptos" w:eastAsia="Times New Roman" w:hAnsi="Aptos" w:cs="Arial"/>
      <w:sz w:val="24"/>
      <w:szCs w:val="24"/>
      <w:lang w:eastAsia="fr-FR"/>
    </w:rPr>
  </w:style>
  <w:style w:type="paragraph" w:styleId="HTMLPreformatted">
    <w:name w:val="HTML Preformatted"/>
    <w:basedOn w:val="Normal"/>
    <w:link w:val="HTMLPreformattedChar"/>
    <w:uiPriority w:val="99"/>
    <w:unhideWhenUsed/>
    <w:rsid w:val="0052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520D2C"/>
    <w:rPr>
      <w:rFonts w:ascii="Courier New" w:eastAsia="Times New Roman" w:hAnsi="Courier New" w:cs="Courier New"/>
      <w:sz w:val="20"/>
      <w:szCs w:val="20"/>
      <w:lang w:eastAsia="fr-FR"/>
    </w:rPr>
  </w:style>
  <w:style w:type="character" w:customStyle="1" w:styleId="gntyacmbf4b">
    <w:name w:val="gntyacmbf4b"/>
    <w:basedOn w:val="DefaultParagraphFont"/>
    <w:rsid w:val="00520D2C"/>
  </w:style>
  <w:style w:type="character" w:customStyle="1" w:styleId="gntyacmbe3b">
    <w:name w:val="gntyacmbe3b"/>
    <w:basedOn w:val="DefaultParagraphFont"/>
    <w:rsid w:val="00520D2C"/>
  </w:style>
  <w:style w:type="character" w:customStyle="1" w:styleId="gntyacmbi3b">
    <w:name w:val="gntyacmbi3b"/>
    <w:basedOn w:val="DefaultParagraphFont"/>
    <w:rsid w:val="00520D2C"/>
  </w:style>
  <w:style w:type="character" w:customStyle="1" w:styleId="gntyacmbo3b">
    <w:name w:val="gntyacmbo3b"/>
    <w:basedOn w:val="DefaultParagraphFont"/>
    <w:rsid w:val="00520D2C"/>
  </w:style>
  <w:style w:type="character" w:customStyle="1" w:styleId="15">
    <w:name w:val="15"/>
    <w:basedOn w:val="DefaultParagraphFont"/>
    <w:qFormat/>
    <w:rsid w:val="00765D11"/>
    <w:rPr>
      <w:rFonts w:ascii="Times New Roman" w:hAnsi="Times New Roman" w:cs="Times New Roman" w:hint="default"/>
      <w:i w:val="0"/>
      <w:iCs/>
      <w:sz w:val="20"/>
    </w:rPr>
  </w:style>
  <w:style w:type="paragraph" w:styleId="EndnoteText">
    <w:name w:val="endnote text"/>
    <w:basedOn w:val="Normal"/>
    <w:link w:val="EndnoteTextChar"/>
    <w:uiPriority w:val="99"/>
    <w:semiHidden/>
    <w:unhideWhenUsed/>
    <w:rsid w:val="00E314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143B"/>
    <w:rPr>
      <w:sz w:val="20"/>
      <w:szCs w:val="20"/>
    </w:rPr>
  </w:style>
  <w:style w:type="character" w:styleId="EndnoteReference">
    <w:name w:val="endnote reference"/>
    <w:basedOn w:val="DefaultParagraphFont"/>
    <w:uiPriority w:val="99"/>
    <w:semiHidden/>
    <w:unhideWhenUsed/>
    <w:rsid w:val="00E3143B"/>
    <w:rPr>
      <w:vertAlign w:val="superscript"/>
    </w:rPr>
  </w:style>
  <w:style w:type="character" w:customStyle="1" w:styleId="selected">
    <w:name w:val="selected"/>
    <w:basedOn w:val="DefaultParagraphFont"/>
    <w:rsid w:val="00744EF6"/>
  </w:style>
  <w:style w:type="character" w:styleId="UnresolvedMention">
    <w:name w:val="Unresolved Mention"/>
    <w:basedOn w:val="DefaultParagraphFont"/>
    <w:uiPriority w:val="99"/>
    <w:semiHidden/>
    <w:unhideWhenUsed/>
    <w:rsid w:val="00985712"/>
    <w:rPr>
      <w:color w:val="605E5C"/>
      <w:shd w:val="clear" w:color="auto" w:fill="E1DFDD"/>
    </w:rPr>
  </w:style>
  <w:style w:type="paragraph" w:styleId="TOC1">
    <w:name w:val="toc 1"/>
    <w:basedOn w:val="Normal"/>
    <w:next w:val="Normal"/>
    <w:autoRedefine/>
    <w:uiPriority w:val="39"/>
    <w:unhideWhenUsed/>
    <w:rsid w:val="00B163B6"/>
    <w:pPr>
      <w:spacing w:before="120" w:after="120"/>
    </w:pPr>
    <w:rPr>
      <w:rFonts w:cstheme="minorHAnsi"/>
      <w:b/>
      <w:bCs/>
      <w:caps/>
      <w:sz w:val="20"/>
      <w:szCs w:val="24"/>
    </w:rPr>
  </w:style>
  <w:style w:type="paragraph" w:styleId="TOC2">
    <w:name w:val="toc 2"/>
    <w:basedOn w:val="Normal"/>
    <w:next w:val="Normal"/>
    <w:autoRedefine/>
    <w:uiPriority w:val="39"/>
    <w:unhideWhenUsed/>
    <w:rsid w:val="00B163B6"/>
    <w:pPr>
      <w:spacing w:after="0"/>
      <w:ind w:left="220"/>
    </w:pPr>
    <w:rPr>
      <w:rFonts w:cstheme="minorHAnsi"/>
      <w:smallCaps/>
      <w:sz w:val="20"/>
      <w:szCs w:val="24"/>
    </w:rPr>
  </w:style>
  <w:style w:type="paragraph" w:styleId="TOC3">
    <w:name w:val="toc 3"/>
    <w:basedOn w:val="Normal"/>
    <w:next w:val="Normal"/>
    <w:autoRedefine/>
    <w:uiPriority w:val="39"/>
    <w:unhideWhenUsed/>
    <w:rsid w:val="00B163B6"/>
    <w:pPr>
      <w:spacing w:after="0"/>
      <w:ind w:left="440"/>
    </w:pPr>
    <w:rPr>
      <w:rFonts w:cstheme="minorHAnsi"/>
      <w:i/>
      <w:iCs/>
      <w:sz w:val="20"/>
      <w:szCs w:val="24"/>
    </w:rPr>
  </w:style>
  <w:style w:type="paragraph" w:styleId="TOC4">
    <w:name w:val="toc 4"/>
    <w:basedOn w:val="Normal"/>
    <w:next w:val="Normal"/>
    <w:autoRedefine/>
    <w:uiPriority w:val="39"/>
    <w:unhideWhenUsed/>
    <w:rsid w:val="00B163B6"/>
    <w:pPr>
      <w:spacing w:after="0"/>
      <w:ind w:left="660"/>
    </w:pPr>
    <w:rPr>
      <w:rFonts w:cstheme="minorHAnsi"/>
      <w:sz w:val="18"/>
      <w:szCs w:val="21"/>
    </w:rPr>
  </w:style>
  <w:style w:type="paragraph" w:styleId="TOC5">
    <w:name w:val="toc 5"/>
    <w:basedOn w:val="Normal"/>
    <w:next w:val="Normal"/>
    <w:autoRedefine/>
    <w:uiPriority w:val="39"/>
    <w:unhideWhenUsed/>
    <w:rsid w:val="00B163B6"/>
    <w:pPr>
      <w:spacing w:after="0"/>
      <w:ind w:left="880"/>
    </w:pPr>
    <w:rPr>
      <w:rFonts w:cstheme="minorHAnsi"/>
      <w:sz w:val="18"/>
      <w:szCs w:val="21"/>
    </w:rPr>
  </w:style>
  <w:style w:type="paragraph" w:styleId="TOC6">
    <w:name w:val="toc 6"/>
    <w:basedOn w:val="Normal"/>
    <w:next w:val="Normal"/>
    <w:autoRedefine/>
    <w:uiPriority w:val="39"/>
    <w:unhideWhenUsed/>
    <w:rsid w:val="00B163B6"/>
    <w:pPr>
      <w:spacing w:after="0"/>
      <w:ind w:left="1100"/>
    </w:pPr>
    <w:rPr>
      <w:rFonts w:cstheme="minorHAnsi"/>
      <w:sz w:val="18"/>
      <w:szCs w:val="21"/>
    </w:rPr>
  </w:style>
  <w:style w:type="paragraph" w:styleId="TOC7">
    <w:name w:val="toc 7"/>
    <w:basedOn w:val="Normal"/>
    <w:next w:val="Normal"/>
    <w:autoRedefine/>
    <w:uiPriority w:val="39"/>
    <w:unhideWhenUsed/>
    <w:rsid w:val="00B163B6"/>
    <w:pPr>
      <w:spacing w:after="0"/>
      <w:ind w:left="1320"/>
    </w:pPr>
    <w:rPr>
      <w:rFonts w:cstheme="minorHAnsi"/>
      <w:sz w:val="18"/>
      <w:szCs w:val="21"/>
    </w:rPr>
  </w:style>
  <w:style w:type="paragraph" w:styleId="TOC8">
    <w:name w:val="toc 8"/>
    <w:basedOn w:val="Normal"/>
    <w:next w:val="Normal"/>
    <w:autoRedefine/>
    <w:uiPriority w:val="39"/>
    <w:unhideWhenUsed/>
    <w:rsid w:val="00B163B6"/>
    <w:pPr>
      <w:spacing w:after="0"/>
      <w:ind w:left="1540"/>
    </w:pPr>
    <w:rPr>
      <w:rFonts w:cstheme="minorHAnsi"/>
      <w:sz w:val="18"/>
      <w:szCs w:val="21"/>
    </w:rPr>
  </w:style>
  <w:style w:type="paragraph" w:styleId="TOC9">
    <w:name w:val="toc 9"/>
    <w:basedOn w:val="Normal"/>
    <w:next w:val="Normal"/>
    <w:autoRedefine/>
    <w:uiPriority w:val="39"/>
    <w:unhideWhenUsed/>
    <w:rsid w:val="00B163B6"/>
    <w:pPr>
      <w:spacing w:after="0"/>
      <w:ind w:left="1760"/>
    </w:pPr>
    <w:rPr>
      <w:rFonts w:cstheme="minorHAnsi"/>
      <w:sz w:val="18"/>
      <w:szCs w:val="21"/>
    </w:rPr>
  </w:style>
  <w:style w:type="character" w:customStyle="1" w:styleId="Heading5Char">
    <w:name w:val="Heading 5 Char"/>
    <w:basedOn w:val="DefaultParagraphFont"/>
    <w:link w:val="Heading5"/>
    <w:uiPriority w:val="9"/>
    <w:rsid w:val="00161F6E"/>
    <w:rPr>
      <w:rFonts w:asciiTheme="majorBidi" w:eastAsia="Times New Roman" w:hAnsiTheme="majorBidi" w:cstheme="majorBidi"/>
      <w:b/>
      <w:bCs/>
      <w:sz w:val="24"/>
      <w:szCs w:val="24"/>
      <w:lang w:val="en-US" w:eastAsia="fr-FR"/>
    </w:rPr>
  </w:style>
  <w:style w:type="character" w:customStyle="1" w:styleId="Heading6Char">
    <w:name w:val="Heading 6 Char"/>
    <w:basedOn w:val="DefaultParagraphFont"/>
    <w:link w:val="Heading6"/>
    <w:uiPriority w:val="9"/>
    <w:rsid w:val="00183CEB"/>
    <w:rPr>
      <w:rFonts w:asciiTheme="majorBidi" w:hAnsiTheme="majorBidi"/>
      <w:b/>
      <w:bCs/>
    </w:rPr>
  </w:style>
  <w:style w:type="paragraph" w:styleId="NoSpacing">
    <w:name w:val="No Spacing"/>
    <w:uiPriority w:val="1"/>
    <w:qFormat/>
    <w:rsid w:val="00161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09460">
      <w:bodyDiv w:val="1"/>
      <w:marLeft w:val="0"/>
      <w:marRight w:val="0"/>
      <w:marTop w:val="0"/>
      <w:marBottom w:val="0"/>
      <w:divBdr>
        <w:top w:val="none" w:sz="0" w:space="0" w:color="auto"/>
        <w:left w:val="none" w:sz="0" w:space="0" w:color="auto"/>
        <w:bottom w:val="none" w:sz="0" w:space="0" w:color="auto"/>
        <w:right w:val="none" w:sz="0" w:space="0" w:color="auto"/>
      </w:divBdr>
    </w:div>
    <w:div w:id="191039897">
      <w:bodyDiv w:val="1"/>
      <w:marLeft w:val="0"/>
      <w:marRight w:val="0"/>
      <w:marTop w:val="0"/>
      <w:marBottom w:val="0"/>
      <w:divBdr>
        <w:top w:val="none" w:sz="0" w:space="0" w:color="auto"/>
        <w:left w:val="none" w:sz="0" w:space="0" w:color="auto"/>
        <w:bottom w:val="none" w:sz="0" w:space="0" w:color="auto"/>
        <w:right w:val="none" w:sz="0" w:space="0" w:color="auto"/>
      </w:divBdr>
    </w:div>
    <w:div w:id="276761083">
      <w:bodyDiv w:val="1"/>
      <w:marLeft w:val="0"/>
      <w:marRight w:val="0"/>
      <w:marTop w:val="0"/>
      <w:marBottom w:val="0"/>
      <w:divBdr>
        <w:top w:val="none" w:sz="0" w:space="0" w:color="auto"/>
        <w:left w:val="none" w:sz="0" w:space="0" w:color="auto"/>
        <w:bottom w:val="none" w:sz="0" w:space="0" w:color="auto"/>
        <w:right w:val="none" w:sz="0" w:space="0" w:color="auto"/>
      </w:divBdr>
    </w:div>
    <w:div w:id="398674761">
      <w:bodyDiv w:val="1"/>
      <w:marLeft w:val="0"/>
      <w:marRight w:val="0"/>
      <w:marTop w:val="0"/>
      <w:marBottom w:val="0"/>
      <w:divBdr>
        <w:top w:val="none" w:sz="0" w:space="0" w:color="auto"/>
        <w:left w:val="none" w:sz="0" w:space="0" w:color="auto"/>
        <w:bottom w:val="none" w:sz="0" w:space="0" w:color="auto"/>
        <w:right w:val="none" w:sz="0" w:space="0" w:color="auto"/>
      </w:divBdr>
    </w:div>
    <w:div w:id="529075254">
      <w:bodyDiv w:val="1"/>
      <w:marLeft w:val="0"/>
      <w:marRight w:val="0"/>
      <w:marTop w:val="0"/>
      <w:marBottom w:val="0"/>
      <w:divBdr>
        <w:top w:val="none" w:sz="0" w:space="0" w:color="auto"/>
        <w:left w:val="none" w:sz="0" w:space="0" w:color="auto"/>
        <w:bottom w:val="none" w:sz="0" w:space="0" w:color="auto"/>
        <w:right w:val="none" w:sz="0" w:space="0" w:color="auto"/>
      </w:divBdr>
    </w:div>
    <w:div w:id="604507348">
      <w:bodyDiv w:val="1"/>
      <w:marLeft w:val="0"/>
      <w:marRight w:val="0"/>
      <w:marTop w:val="0"/>
      <w:marBottom w:val="0"/>
      <w:divBdr>
        <w:top w:val="none" w:sz="0" w:space="0" w:color="auto"/>
        <w:left w:val="none" w:sz="0" w:space="0" w:color="auto"/>
        <w:bottom w:val="none" w:sz="0" w:space="0" w:color="auto"/>
        <w:right w:val="none" w:sz="0" w:space="0" w:color="auto"/>
      </w:divBdr>
    </w:div>
    <w:div w:id="1162235047">
      <w:bodyDiv w:val="1"/>
      <w:marLeft w:val="0"/>
      <w:marRight w:val="0"/>
      <w:marTop w:val="0"/>
      <w:marBottom w:val="0"/>
      <w:divBdr>
        <w:top w:val="none" w:sz="0" w:space="0" w:color="auto"/>
        <w:left w:val="none" w:sz="0" w:space="0" w:color="auto"/>
        <w:bottom w:val="none" w:sz="0" w:space="0" w:color="auto"/>
        <w:right w:val="none" w:sz="0" w:space="0" w:color="auto"/>
      </w:divBdr>
    </w:div>
    <w:div w:id="1176505951">
      <w:bodyDiv w:val="1"/>
      <w:marLeft w:val="0"/>
      <w:marRight w:val="0"/>
      <w:marTop w:val="0"/>
      <w:marBottom w:val="0"/>
      <w:divBdr>
        <w:top w:val="none" w:sz="0" w:space="0" w:color="auto"/>
        <w:left w:val="none" w:sz="0" w:space="0" w:color="auto"/>
        <w:bottom w:val="none" w:sz="0" w:space="0" w:color="auto"/>
        <w:right w:val="none" w:sz="0" w:space="0" w:color="auto"/>
      </w:divBdr>
    </w:div>
    <w:div w:id="1403214299">
      <w:bodyDiv w:val="1"/>
      <w:marLeft w:val="0"/>
      <w:marRight w:val="0"/>
      <w:marTop w:val="0"/>
      <w:marBottom w:val="0"/>
      <w:divBdr>
        <w:top w:val="none" w:sz="0" w:space="0" w:color="auto"/>
        <w:left w:val="none" w:sz="0" w:space="0" w:color="auto"/>
        <w:bottom w:val="none" w:sz="0" w:space="0" w:color="auto"/>
        <w:right w:val="none" w:sz="0" w:space="0" w:color="auto"/>
      </w:divBdr>
    </w:div>
    <w:div w:id="1477800136">
      <w:bodyDiv w:val="1"/>
      <w:marLeft w:val="0"/>
      <w:marRight w:val="0"/>
      <w:marTop w:val="0"/>
      <w:marBottom w:val="0"/>
      <w:divBdr>
        <w:top w:val="none" w:sz="0" w:space="0" w:color="auto"/>
        <w:left w:val="none" w:sz="0" w:space="0" w:color="auto"/>
        <w:bottom w:val="none" w:sz="0" w:space="0" w:color="auto"/>
        <w:right w:val="none" w:sz="0" w:space="0" w:color="auto"/>
      </w:divBdr>
    </w:div>
    <w:div w:id="1517422429">
      <w:bodyDiv w:val="1"/>
      <w:marLeft w:val="0"/>
      <w:marRight w:val="0"/>
      <w:marTop w:val="0"/>
      <w:marBottom w:val="0"/>
      <w:divBdr>
        <w:top w:val="none" w:sz="0" w:space="0" w:color="auto"/>
        <w:left w:val="none" w:sz="0" w:space="0" w:color="auto"/>
        <w:bottom w:val="none" w:sz="0" w:space="0" w:color="auto"/>
        <w:right w:val="none" w:sz="0" w:space="0" w:color="auto"/>
      </w:divBdr>
    </w:div>
    <w:div w:id="1600063402">
      <w:bodyDiv w:val="1"/>
      <w:marLeft w:val="0"/>
      <w:marRight w:val="0"/>
      <w:marTop w:val="0"/>
      <w:marBottom w:val="0"/>
      <w:divBdr>
        <w:top w:val="none" w:sz="0" w:space="0" w:color="auto"/>
        <w:left w:val="none" w:sz="0" w:space="0" w:color="auto"/>
        <w:bottom w:val="none" w:sz="0" w:space="0" w:color="auto"/>
        <w:right w:val="none" w:sz="0" w:space="0" w:color="auto"/>
      </w:divBdr>
    </w:div>
    <w:div w:id="1663779906">
      <w:bodyDiv w:val="1"/>
      <w:marLeft w:val="0"/>
      <w:marRight w:val="0"/>
      <w:marTop w:val="0"/>
      <w:marBottom w:val="0"/>
      <w:divBdr>
        <w:top w:val="none" w:sz="0" w:space="0" w:color="auto"/>
        <w:left w:val="none" w:sz="0" w:space="0" w:color="auto"/>
        <w:bottom w:val="none" w:sz="0" w:space="0" w:color="auto"/>
        <w:right w:val="none" w:sz="0" w:space="0" w:color="auto"/>
      </w:divBdr>
    </w:div>
    <w:div w:id="1806387380">
      <w:bodyDiv w:val="1"/>
      <w:marLeft w:val="0"/>
      <w:marRight w:val="0"/>
      <w:marTop w:val="0"/>
      <w:marBottom w:val="0"/>
      <w:divBdr>
        <w:top w:val="none" w:sz="0" w:space="0" w:color="auto"/>
        <w:left w:val="none" w:sz="0" w:space="0" w:color="auto"/>
        <w:bottom w:val="none" w:sz="0" w:space="0" w:color="auto"/>
        <w:right w:val="none" w:sz="0" w:space="0" w:color="auto"/>
      </w:divBdr>
    </w:div>
    <w:div w:id="210260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ta.worldbank.org/indicator/NE.EXP.GNFS.CD?end=2023&amp;most_recent_value_desc=true&amp;start=1960&amp;view=chart" TargetMode="External"/><Relationship Id="rId21" Type="http://schemas.openxmlformats.org/officeDocument/2006/relationships/header" Target="header7.xml"/><Relationship Id="rId42" Type="http://schemas.openxmlformats.org/officeDocument/2006/relationships/chart" Target="charts/chart1.xml"/><Relationship Id="rId63" Type="http://schemas.openxmlformats.org/officeDocument/2006/relationships/header" Target="header11.xml"/><Relationship Id="rId84" Type="http://schemas.openxmlformats.org/officeDocument/2006/relationships/hyperlink" Target="https://www.globaldata.com/store/report/turkey-skincare-market-analysis/" TargetMode="External"/><Relationship Id="rId138" Type="http://schemas.openxmlformats.org/officeDocument/2006/relationships/theme" Target="theme/theme1.xml"/><Relationship Id="rId16" Type="http://schemas.openxmlformats.org/officeDocument/2006/relationships/header" Target="header5.xml"/><Relationship Id="rId107" Type="http://schemas.openxmlformats.org/officeDocument/2006/relationships/hyperlink" Target="https://ticaret.gov.tr/gumruk-islemleri/sikca-sorulan-sorular/ticari/ithalat" TargetMode="External"/><Relationship Id="rId11" Type="http://schemas.openxmlformats.org/officeDocument/2006/relationships/footer" Target="footer1.xml"/><Relationship Id="rId32" Type="http://schemas.openxmlformats.org/officeDocument/2006/relationships/image" Target="media/image7.png"/><Relationship Id="rId37" Type="http://schemas.openxmlformats.org/officeDocument/2006/relationships/image" Target="media/image10.pn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hyperlink" Target="https://dictionary.cambridge.org/dictionary/english/exportation" TargetMode="External"/><Relationship Id="rId79" Type="http://schemas.openxmlformats.org/officeDocument/2006/relationships/hyperlink" Target="https://erd.export-u.com/articles-2/trading-partners/agents-and-distributors-2/" TargetMode="External"/><Relationship Id="rId102" Type="http://schemas.openxmlformats.org/officeDocument/2006/relationships/hyperlink" Target="https://www.reportlinker.com/dlp/5ccec7326ded447cfd5154f0cb1e032e" TargetMode="External"/><Relationship Id="rId123" Type="http://schemas.openxmlformats.org/officeDocument/2006/relationships/image" Target="media/image31.png"/><Relationship Id="rId128" Type="http://schemas.openxmlformats.org/officeDocument/2006/relationships/image" Target="media/image36.png"/><Relationship Id="rId5" Type="http://schemas.openxmlformats.org/officeDocument/2006/relationships/webSettings" Target="webSettings.xml"/><Relationship Id="rId90" Type="http://schemas.openxmlformats.org/officeDocument/2006/relationships/hyperlink" Target="https://www.investopedia.com/terms/e/export.asp" TargetMode="External"/><Relationship Id="rId95" Type="http://schemas.openxmlformats.org/officeDocument/2006/relationships/hyperlink" Target="https://www.merriam-webster.com/dictionary/exportation" TargetMode="External"/><Relationship Id="rId22" Type="http://schemas.openxmlformats.org/officeDocument/2006/relationships/footer" Target="footer6.xml"/><Relationship Id="rId27" Type="http://schemas.openxmlformats.org/officeDocument/2006/relationships/header" Target="header8.xml"/><Relationship Id="rId43" Type="http://schemas.openxmlformats.org/officeDocument/2006/relationships/image" Target="media/image15.png"/><Relationship Id="rId48" Type="http://schemas.openxmlformats.org/officeDocument/2006/relationships/image" Target="media/image17.png"/><Relationship Id="rId64" Type="http://schemas.openxmlformats.org/officeDocument/2006/relationships/footer" Target="footer10.xml"/><Relationship Id="rId69" Type="http://schemas.openxmlformats.org/officeDocument/2006/relationships/hyperlink" Target="https://www.trtarabi.com/opinion" TargetMode="External"/><Relationship Id="rId113" Type="http://schemas.openxmlformats.org/officeDocument/2006/relationships/hyperlink" Target="https://www.trade.gov/strategic-reasons-export" TargetMode="External"/><Relationship Id="rId118" Type="http://schemas.openxmlformats.org/officeDocument/2006/relationships/header" Target="header14.xml"/><Relationship Id="rId134" Type="http://schemas.openxmlformats.org/officeDocument/2006/relationships/header" Target="header17.xml"/><Relationship Id="rId80" Type="http://schemas.openxmlformats.org/officeDocument/2006/relationships/hyperlink" Target="https://www.stlouisfed.org/open-vault/2024/mar/international-trade-benefits-risks" TargetMode="External"/><Relationship Id="rId85" Type="http://schemas.openxmlformats.org/officeDocument/2006/relationships/hyperlink" Target="https://www.collinsdictionary.com/dictionary/english/exportation" TargetMode="External"/><Relationship Id="rId12" Type="http://schemas.openxmlformats.org/officeDocument/2006/relationships/header" Target="header3.xml"/><Relationship Id="rId17" Type="http://schemas.openxmlformats.org/officeDocument/2006/relationships/footer" Target="footer4.xml"/><Relationship Id="rId33" Type="http://schemas.openxmlformats.org/officeDocument/2006/relationships/hyperlink" Target="https://www.facebook.com/PRODERMA.Laboratoires/" TargetMode="External"/><Relationship Id="rId38" Type="http://schemas.openxmlformats.org/officeDocument/2006/relationships/image" Target="media/image11.png"/><Relationship Id="rId59" Type="http://schemas.openxmlformats.org/officeDocument/2006/relationships/image" Target="media/image28.png"/><Relationship Id="rId103" Type="http://schemas.openxmlformats.org/officeDocument/2006/relationships/hyperlink" Target="https://www.trade.gov.tr/data/5b8fd4fb13b8761f041fee78/Cosmetics%20and%20Personal%20Care%20Product.pdf" TargetMode="External"/><Relationship Id="rId108" Type="http://schemas.openxmlformats.org/officeDocument/2006/relationships/hyperlink" Target="https://www.techsciresearch.com/news/7570-turkey-skincare-market.html" TargetMode="External"/><Relationship Id="rId124" Type="http://schemas.openxmlformats.org/officeDocument/2006/relationships/image" Target="media/image32.png"/><Relationship Id="rId129" Type="http://schemas.openxmlformats.org/officeDocument/2006/relationships/image" Target="media/image37.png"/><Relationship Id="rId54" Type="http://schemas.openxmlformats.org/officeDocument/2006/relationships/image" Target="media/image23.png"/><Relationship Id="rId70" Type="http://schemas.openxmlformats.org/officeDocument/2006/relationships/hyperlink" Target="https://sell.amazon.in/grow-your-business/amazon-global-selling/blogs/what-is-export" TargetMode="External"/><Relationship Id="rId75" Type="http://schemas.openxmlformats.org/officeDocument/2006/relationships/hyperlink" Target="https://www.dictionary.com/browse/exportation" TargetMode="External"/><Relationship Id="rId91" Type="http://schemas.openxmlformats.org/officeDocument/2006/relationships/hyperlink" Target="https://www.linkedin.com/pulse/understanding-roles-importer-record-exporter-jadeintl-vxwne/" TargetMode="External"/><Relationship Id="rId96" Type="http://schemas.openxmlformats.org/officeDocument/2006/relationships/hyperlink" Target="https://www.mouseandbear.com/blog/exporter-of-record-eor-what-who-and-why.ht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3.png"/><Relationship Id="rId28" Type="http://schemas.openxmlformats.org/officeDocument/2006/relationships/footer" Target="footer7.xml"/><Relationship Id="rId49" Type="http://schemas.openxmlformats.org/officeDocument/2006/relationships/image" Target="media/image18.png"/><Relationship Id="rId114" Type="http://schemas.openxmlformats.org/officeDocument/2006/relationships/hyperlink" Target="https://www.trade.gov/why-export" TargetMode="External"/><Relationship Id="rId119" Type="http://schemas.openxmlformats.org/officeDocument/2006/relationships/footer" Target="footer13.xml"/><Relationship Id="rId44" Type="http://schemas.openxmlformats.org/officeDocument/2006/relationships/chart" Target="charts/chart2.xml"/><Relationship Id="rId60" Type="http://schemas.openxmlformats.org/officeDocument/2006/relationships/image" Target="media/image29.png"/><Relationship Id="rId65" Type="http://schemas.openxmlformats.org/officeDocument/2006/relationships/header" Target="header12.xml"/><Relationship Id="rId81" Type="http://schemas.openxmlformats.org/officeDocument/2006/relationships/hyperlink" Target="https://www.fo-consultancy.com/turkeys-business-etiquette/" TargetMode="External"/><Relationship Id="rId86" Type="http://schemas.openxmlformats.org/officeDocument/2006/relationships/hyperlink" Target="https://english.news.cn/20240714/45c134a193b4476c9c6ed00f19f8a6c6/c.html" TargetMode="External"/><Relationship Id="rId130" Type="http://schemas.openxmlformats.org/officeDocument/2006/relationships/image" Target="media/image38.png"/><Relationship Id="rId135" Type="http://schemas.openxmlformats.org/officeDocument/2006/relationships/header" Target="header18.xml"/><Relationship Id="rId13" Type="http://schemas.openxmlformats.org/officeDocument/2006/relationships/footer" Target="footer2.xml"/><Relationship Id="rId18" Type="http://schemas.openxmlformats.org/officeDocument/2006/relationships/image" Target="media/image2.jpeg"/><Relationship Id="rId39" Type="http://schemas.openxmlformats.org/officeDocument/2006/relationships/image" Target="media/image12.png"/><Relationship Id="rId109" Type="http://schemas.openxmlformats.org/officeDocument/2006/relationships/hyperlink" Target="https://www.worldnomads.com/travel-safety/middle-east/turkey/how-strict-is-islam-in-turkey" TargetMode="External"/><Relationship Id="rId34" Type="http://schemas.openxmlformats.org/officeDocument/2006/relationships/image" Target="media/image8.jpg"/><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hyperlink" Target="https://ertecosmetics.com/" TargetMode="External"/><Relationship Id="rId97" Type="http://schemas.openxmlformats.org/officeDocument/2006/relationships/hyperlink" Target="https://trbusinessworld.com/en/2024/12/28/effective-marketing-strategies-for-entering-the-turkiye-market/" TargetMode="External"/><Relationship Id="rId104" Type="http://schemas.openxmlformats.org/officeDocument/2006/relationships/hyperlink" Target="https://www.rivermate.com/guides/turkey/cultural-considerations" TargetMode="External"/><Relationship Id="rId120" Type="http://schemas.openxmlformats.org/officeDocument/2006/relationships/header" Target="header15.xml"/><Relationship Id="rId125" Type="http://schemas.openxmlformats.org/officeDocument/2006/relationships/image" Target="media/image33.png"/><Relationship Id="rId7" Type="http://schemas.openxmlformats.org/officeDocument/2006/relationships/endnotes" Target="endnotes.xml"/><Relationship Id="rId71" Type="http://schemas.openxmlformats.org/officeDocument/2006/relationships/hyperlink" Target="https://www.britannica.com/dictionary/boycott" TargetMode="External"/><Relationship Id="rId92" Type="http://schemas.openxmlformats.org/officeDocument/2006/relationships/hyperlink" Target="https://www.investopedia.com/articles/investing/100813/interesting-facts-about-imports-and-exports.asp" TargetMode="Externa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image" Target="media/image4.png"/><Relationship Id="rId40" Type="http://schemas.openxmlformats.org/officeDocument/2006/relationships/image" Target="media/image13.png"/><Relationship Id="rId45" Type="http://schemas.openxmlformats.org/officeDocument/2006/relationships/chart" Target="charts/chart3.xml"/><Relationship Id="rId66" Type="http://schemas.openxmlformats.org/officeDocument/2006/relationships/footer" Target="footer11.xml"/><Relationship Id="rId87" Type="http://schemas.openxmlformats.org/officeDocument/2006/relationships/hyperlink" Target="https://www.magnificenttravel.com/en/blog/turkey/customs-in-turkey-a-comprehensive-guide-to-navigating-cultural-norms-1/" TargetMode="External"/><Relationship Id="rId110" Type="http://schemas.openxmlformats.org/officeDocument/2006/relationships/hyperlink" Target="https://oec.world/en/profile/bilateral-product/beauty-products/reporter/tur" TargetMode="External"/><Relationship Id="rId115" Type="http://schemas.openxmlformats.org/officeDocument/2006/relationships/hyperlink" Target="https://data.worldbank.org/indicator/NE.EXP.GNFS.CD?end=2023&amp;most_recent_value_desc=true&amp;start=1960&amp;view=chart" TargetMode="External"/><Relationship Id="rId131" Type="http://schemas.openxmlformats.org/officeDocument/2006/relationships/image" Target="media/image39.png"/><Relationship Id="rId136" Type="http://schemas.openxmlformats.org/officeDocument/2006/relationships/fontTable" Target="fontTable.xml"/><Relationship Id="rId61" Type="http://schemas.openxmlformats.org/officeDocument/2006/relationships/header" Target="header10.xml"/><Relationship Id="rId82" Type="http://schemas.openxmlformats.org/officeDocument/2006/relationships/hyperlink" Target="https://www.aa.com.tr" TargetMode="External"/><Relationship Id="rId19" Type="http://schemas.openxmlformats.org/officeDocument/2006/relationships/header" Target="header6.xml"/><Relationship Id="rId14" Type="http://schemas.openxmlformats.org/officeDocument/2006/relationships/header" Target="header4.xml"/><Relationship Id="rId30" Type="http://schemas.openxmlformats.org/officeDocument/2006/relationships/footer" Target="footer8.xml"/><Relationship Id="rId35" Type="http://schemas.openxmlformats.org/officeDocument/2006/relationships/hyperlink" Target="https://www.instagram.com/proderma.algeria/" TargetMode="External"/><Relationship Id="rId56" Type="http://schemas.openxmlformats.org/officeDocument/2006/relationships/image" Target="media/image25.png"/><Relationship Id="rId77" Type="http://schemas.openxmlformats.org/officeDocument/2006/relationships/hyperlink" Target="https://www.euromonitor.com/beauty-and-personal-care-in-turkey/report" TargetMode="External"/><Relationship Id="rId100" Type="http://schemas.openxmlformats.org/officeDocument/2006/relationships/hyperlink" Target="https://www.instagram.com/proderma.algeria/" TargetMode="External"/><Relationship Id="rId105" Type="http://schemas.openxmlformats.org/officeDocument/2006/relationships/hyperlink" Target="https://www.allaboutturkey.com/holidays.html" TargetMode="External"/><Relationship Id="rId126" Type="http://schemas.openxmlformats.org/officeDocument/2006/relationships/image" Target="media/image34.png"/><Relationship Id="rId8" Type="http://schemas.openxmlformats.org/officeDocument/2006/relationships/image" Target="media/image1.jpeg"/><Relationship Id="rId51" Type="http://schemas.openxmlformats.org/officeDocument/2006/relationships/image" Target="media/image20.png"/><Relationship Id="rId72" Type="http://schemas.openxmlformats.org/officeDocument/2006/relationships/hyperlink" Target="https://businessculture.org/southern-europe/business-culture-in-turkey/" TargetMode="External"/><Relationship Id="rId93" Type="http://schemas.openxmlformats.org/officeDocument/2006/relationships/hyperlink" Target="https://ultraalgeria.ULTrasawt.com" TargetMode="External"/><Relationship Id="rId98" Type="http://schemas.openxmlformats.org/officeDocument/2006/relationships/hyperlink" Target="https://www.oxfordlearnersdictionaries.com/definition/english/boycott" TargetMode="External"/><Relationship Id="rId121" Type="http://schemas.openxmlformats.org/officeDocument/2006/relationships/footer" Target="footer14.xml"/><Relationship Id="rId3" Type="http://schemas.openxmlformats.org/officeDocument/2006/relationships/styles" Target="styles.xml"/><Relationship Id="rId25" Type="http://schemas.openxmlformats.org/officeDocument/2006/relationships/image" Target="media/image5.png"/><Relationship Id="rId46" Type="http://schemas.openxmlformats.org/officeDocument/2006/relationships/chart" Target="charts/chart4.xml"/><Relationship Id="rId67" Type="http://schemas.openxmlformats.org/officeDocument/2006/relationships/header" Target="header13.xml"/><Relationship Id="rId116" Type="http://schemas.openxmlformats.org/officeDocument/2006/relationships/hyperlink" Target="https://www.algex.dz/2017-03-19-08-13-36/item/1562-2021" TargetMode="External"/><Relationship Id="rId137" Type="http://schemas.openxmlformats.org/officeDocument/2006/relationships/glossaryDocument" Target="glossary/document.xml"/><Relationship Id="rId20" Type="http://schemas.openxmlformats.org/officeDocument/2006/relationships/footer" Target="footer5.xml"/><Relationship Id="rId41" Type="http://schemas.openxmlformats.org/officeDocument/2006/relationships/image" Target="media/image14.png"/><Relationship Id="rId62" Type="http://schemas.openxmlformats.org/officeDocument/2006/relationships/footer" Target="footer9.xml"/><Relationship Id="rId83" Type="http://schemas.openxmlformats.org/officeDocument/2006/relationships/hyperlink" Target="https://www.gcimagazine.com/consumers-markets/article/21849970/potential-in-turkey-and-the-middle-east" TargetMode="External"/><Relationship Id="rId88" Type="http://schemas.openxmlformats.org/officeDocument/2006/relationships/hyperlink" Target="https://www.oxfordlearnersdictionaries.com/definition/english/exportation" TargetMode="External"/><Relationship Id="rId111" Type="http://schemas.openxmlformats.org/officeDocument/2006/relationships/hyperlink" Target="https://ticaret.gov.tr/gumruk-islemleri/sikca-sorulan-sorular/ticari/ithalat" TargetMode="External"/><Relationship Id="rId132" Type="http://schemas.openxmlformats.org/officeDocument/2006/relationships/header" Target="header16.xml"/><Relationship Id="rId15" Type="http://schemas.openxmlformats.org/officeDocument/2006/relationships/footer" Target="footer3.xml"/><Relationship Id="rId36" Type="http://schemas.openxmlformats.org/officeDocument/2006/relationships/image" Target="media/image9.png"/><Relationship Id="rId57" Type="http://schemas.openxmlformats.org/officeDocument/2006/relationships/image" Target="media/image26.png"/><Relationship Id="rId106" Type="http://schemas.openxmlformats.org/officeDocument/2006/relationships/hyperlink" Target="https://store.strategyh.com/report/beauty-and-personal-care-products-market-in-turkey/" TargetMode="External"/><Relationship Id="rId12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hyperlink" Target="http://www.proderma-dz.com" TargetMode="External"/><Relationship Id="rId52" Type="http://schemas.openxmlformats.org/officeDocument/2006/relationships/image" Target="media/image21.png"/><Relationship Id="rId73" Type="http://schemas.openxmlformats.org/officeDocument/2006/relationships/hyperlink" Target="https://dictionary.cambridge.org/dictionary/english/boycott" TargetMode="External"/><Relationship Id="rId78" Type="http://schemas.openxmlformats.org/officeDocument/2006/relationships/hyperlink" Target="https://www.euromonitor.com/skin-care-in-turkey/report" TargetMode="External"/><Relationship Id="rId94" Type="http://schemas.openxmlformats.org/officeDocument/2006/relationships/hyperlink" Target="https://www.merriam-webster.com/dictionary/boycott" TargetMode="External"/><Relationship Id="rId99" Type="http://schemas.openxmlformats.org/officeDocument/2006/relationships/hyperlink" Target="https://www.paturkey.com/news/2025/turkey-hard-data-signals-slow-down-in-growth-19745/" TargetMode="External"/><Relationship Id="rId101" Type="http://schemas.openxmlformats.org/officeDocument/2006/relationships/hyperlink" Target="https://www.facebook.com/PRODERMA.Laboratoires/" TargetMode="External"/><Relationship Id="rId122"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6.png"/><Relationship Id="rId47" Type="http://schemas.openxmlformats.org/officeDocument/2006/relationships/image" Target="media/image16.png"/><Relationship Id="rId68" Type="http://schemas.openxmlformats.org/officeDocument/2006/relationships/footer" Target="footer12.xml"/><Relationship Id="rId89" Type="http://schemas.openxmlformats.org/officeDocument/2006/relationships/hyperlink" Target="https://www.trade.gov/country-commercial-guides/turkey-distribution-sales-channels" TargetMode="External"/><Relationship Id="rId112" Type="http://schemas.openxmlformats.org/officeDocument/2006/relationships/hyperlink" Target="https://tijarahub.com/tijarahub-blogs/bringing-istanbul-glamour-to-your-beauty-ritual-exploring-turkeys-skincare-and-cosmetics-industry/" TargetMode="External"/><Relationship Id="rId133" Type="http://schemas.openxmlformats.org/officeDocument/2006/relationships/footer" Target="footer15.xml"/></Relationships>
</file>

<file path=word/_rels/footnotes.xml.rels><?xml version="1.0" encoding="UTF-8" standalone="yes"?>
<Relationships xmlns="http://schemas.openxmlformats.org/package/2006/relationships"><Relationship Id="rId13" Type="http://schemas.openxmlformats.org/officeDocument/2006/relationships/hyperlink" Target="https://datatopics.worldbank.org" TargetMode="External"/><Relationship Id="rId18" Type="http://schemas.openxmlformats.org/officeDocument/2006/relationships/hyperlink" Target="https://www.trade.gov/strategic-reasons-export" TargetMode="External"/><Relationship Id="rId26" Type="http://schemas.openxmlformats.org/officeDocument/2006/relationships/hyperlink" Target="https://ultraalgeria.ULTrasawt.com" TargetMode="External"/><Relationship Id="rId39" Type="http://schemas.openxmlformats.org/officeDocument/2006/relationships/hyperlink" Target="https://www.worldnomads.com/travel-safety/middle-east/turkey/how-strict-is-islam-in-turkey" TargetMode="External"/><Relationship Id="rId21" Type="http://schemas.openxmlformats.org/officeDocument/2006/relationships/hyperlink" Target="https://www.linkedin.com/pulse/understanding-roles-importer-record-exporter-jadeintl-vxwne/" TargetMode="External"/><Relationship Id="rId34" Type="http://schemas.openxmlformats.org/officeDocument/2006/relationships/hyperlink" Target="https://www.magnificenttravel.com/en/blog/turkey/customs-in-turkey-a-comprehensive-guide-to-navigating-cultural-norms-1/" TargetMode="External"/><Relationship Id="rId42" Type="http://schemas.openxmlformats.org/officeDocument/2006/relationships/hyperlink" Target="https://businessculture.org/southern-europe/business-culture-in-turkey/" TargetMode="External"/><Relationship Id="rId47" Type="http://schemas.openxmlformats.org/officeDocument/2006/relationships/hyperlink" Target="https://trbusinessworld.com/en/2024/12/28/effective-marketing-strategies-for-entering-the-turkiye-market/" TargetMode="External"/><Relationship Id="rId50" Type="http://schemas.openxmlformats.org/officeDocument/2006/relationships/hyperlink" Target="https://www.gcimagazine.com/consumers-markets/article/21849970/potential-in-turkey-and-the-middle-east" TargetMode="External"/><Relationship Id="rId55" Type="http://schemas.openxmlformats.org/officeDocument/2006/relationships/hyperlink" Target="https://store.strategyh.com/report/beauty-and-personal-care-products-market-in-turkey/" TargetMode="External"/><Relationship Id="rId63" Type="http://schemas.openxmlformats.org/officeDocument/2006/relationships/hyperlink" Target="https://ticaret.gov.tr/gumruk-islemleri/sikca-sorulan-sorular/ticari/ithalat" TargetMode="External"/><Relationship Id="rId7" Type="http://schemas.openxmlformats.org/officeDocument/2006/relationships/hyperlink" Target="https://dictionary.cambridge.org/dictionary/english/exportation" TargetMode="External"/><Relationship Id="rId2" Type="http://schemas.openxmlformats.org/officeDocument/2006/relationships/hyperlink" Target="https://www.merriam-webster.com/dictionary/boycott" TargetMode="External"/><Relationship Id="rId16" Type="http://schemas.openxmlformats.org/officeDocument/2006/relationships/hyperlink" Target="https://sell.amazon.in/grow-your-business/amazon-global-selling/blogs/what-is-export" TargetMode="External"/><Relationship Id="rId29" Type="http://schemas.openxmlformats.org/officeDocument/2006/relationships/hyperlink" Target="https://www.product-arts.com/attachments/article/23/Assessing_Product_Opportunities.pdf" TargetMode="External"/><Relationship Id="rId11" Type="http://schemas.openxmlformats.org/officeDocument/2006/relationships/hyperlink" Target="https://www.investopedia.com/terms/e/export.asp" TargetMode="External"/><Relationship Id="rId24" Type="http://schemas.openxmlformats.org/officeDocument/2006/relationships/hyperlink" Target="https://www.aa.com.tr" TargetMode="External"/><Relationship Id="rId32" Type="http://schemas.openxmlformats.org/officeDocument/2006/relationships/hyperlink" Target="https://www.algex.dz/&#1589;&#1583;&#1585;&#1608;&#1575;-&#1605;&#1593;-&#1571;&#1604;&#1580;&#1610;&#1603;&#1587;/item/600-2020-10-22-14-09-17" TargetMode="External"/><Relationship Id="rId37" Type="http://schemas.openxmlformats.org/officeDocument/2006/relationships/hyperlink" Target="https://businessculture.org/southern-europe/business-culture-in-turkey/" TargetMode="External"/><Relationship Id="rId40" Type="http://schemas.openxmlformats.org/officeDocument/2006/relationships/hyperlink" Target="https://www.allaboutturkey.com/holidays.html" TargetMode="External"/><Relationship Id="rId45" Type="http://schemas.openxmlformats.org/officeDocument/2006/relationships/hyperlink" Target="https://www.trade.gov/country-commercial-guides/turkey-distribution-sales-channels" TargetMode="External"/><Relationship Id="rId53" Type="http://schemas.openxmlformats.org/officeDocument/2006/relationships/hyperlink" Target="https://www.reportlinker.com/dlp/5ccec7326ded447cfd5154f0cb1e032e" TargetMode="External"/><Relationship Id="rId58" Type="http://schemas.openxmlformats.org/officeDocument/2006/relationships/hyperlink" Target="https://www.globaldata.com/store/report/turkey-skincare-market-analysis/" TargetMode="External"/><Relationship Id="rId5" Type="http://schemas.openxmlformats.org/officeDocument/2006/relationships/hyperlink" Target="https://www.dw.com/en/boycott-call-tests-france-turkey-trade-relations/a-55411445" TargetMode="External"/><Relationship Id="rId61" Type="http://schemas.openxmlformats.org/officeDocument/2006/relationships/hyperlink" Target="https://tijarahub.com/tijarahub-blogs/bringing-istanbul-glamour-to-your-beauty-ritual-exploring-turkeys-skincare-and-cosmetics-industry/" TargetMode="External"/><Relationship Id="rId19" Type="http://schemas.openxmlformats.org/officeDocument/2006/relationships/hyperlink" Target="https://www.mouseandbear.com/blog/exporter-of-record-eor-what-who-and-why.htm" TargetMode="External"/><Relationship Id="rId14" Type="http://schemas.openxmlformats.org/officeDocument/2006/relationships/hyperlink" Target="https://www.trade.gov/why-export" TargetMode="External"/><Relationship Id="rId22" Type="http://schemas.openxmlformats.org/officeDocument/2006/relationships/hyperlink" Target="https://www.linkedin.com/pulse/understanding-roles-importer-record-exporter-jadeintl-vxwne/" TargetMode="External"/><Relationship Id="rId27" Type="http://schemas.openxmlformats.org/officeDocument/2006/relationships/hyperlink" Target="https://www.trtarabi.com/opinion" TargetMode="External"/><Relationship Id="rId30" Type="http://schemas.openxmlformats.org/officeDocument/2006/relationships/hyperlink" Target="https://www.algex.dz/2017-03-19-08-13-36/item/1562-2021" TargetMode="External"/><Relationship Id="rId35" Type="http://schemas.openxmlformats.org/officeDocument/2006/relationships/hyperlink" Target="https://www.magnificenttravel.com/en/blog/turkey/customs-in-turkey-a-comprehensive-guide-to-navigating-cultural-norms-1/" TargetMode="External"/><Relationship Id="rId43" Type="http://schemas.openxmlformats.org/officeDocument/2006/relationships/hyperlink" Target="https://ticaret.gov.tr/gumruk-islemleri/sikca-sorulan-sorular/ticari/ithalat" TargetMode="External"/><Relationship Id="rId48" Type="http://schemas.openxmlformats.org/officeDocument/2006/relationships/hyperlink" Target="https://www.euromonitor.com/beauty-and-personal-care-in-turkey/report" TargetMode="External"/><Relationship Id="rId56" Type="http://schemas.openxmlformats.org/officeDocument/2006/relationships/hyperlink" Target="https://www.euromonitor.com/beauty-and-personal-care-in-turkey/report" TargetMode="External"/><Relationship Id="rId8" Type="http://schemas.openxmlformats.org/officeDocument/2006/relationships/hyperlink" Target="https://www.oxfordlearnersdictionaries.com/definition/english/exportation" TargetMode="External"/><Relationship Id="rId51" Type="http://schemas.openxmlformats.org/officeDocument/2006/relationships/hyperlink" Target="https://ertecosmetics.com/" TargetMode="External"/><Relationship Id="rId3" Type="http://schemas.openxmlformats.org/officeDocument/2006/relationships/hyperlink" Target="https://dictionary.cambridge.org/dictionary/english/boycott" TargetMode="External"/><Relationship Id="rId12" Type="http://schemas.openxmlformats.org/officeDocument/2006/relationships/hyperlink" Target="https://data.worldbank.org/indicator/NE.EXP.GNFS.CD?end=2023&amp;most_recent_value_desc=true&amp;start=1960&amp;view=chart" TargetMode="External"/><Relationship Id="rId17" Type="http://schemas.openxmlformats.org/officeDocument/2006/relationships/hyperlink" Target="https://www.stlouisfed.org/open-vault/2024/mar/international-trade-benefits-risks" TargetMode="External"/><Relationship Id="rId25" Type="http://schemas.openxmlformats.org/officeDocument/2006/relationships/hyperlink" Target="https://ultraalgeria.ULTrasawt.com" TargetMode="External"/><Relationship Id="rId33" Type="http://schemas.openxmlformats.org/officeDocument/2006/relationships/hyperlink" Target="https://businessculture.org/southern-europe/business-culture-in-turkey/" TargetMode="External"/><Relationship Id="rId38" Type="http://schemas.openxmlformats.org/officeDocument/2006/relationships/hyperlink" Target="https://www.fo-consultancy.com/turkeys-business-etiquette/" TargetMode="External"/><Relationship Id="rId46" Type="http://schemas.openxmlformats.org/officeDocument/2006/relationships/hyperlink" Target="https://trbusinessworld.com/en/2024/12/28/effective-marketing-strategies-for-entering-the-turkiye-market/" TargetMode="External"/><Relationship Id="rId59" Type="http://schemas.openxmlformats.org/officeDocument/2006/relationships/hyperlink" Target="https://www.techsciresearch.com/news/7570-turkey-skincare-market.html" TargetMode="External"/><Relationship Id="rId20" Type="http://schemas.openxmlformats.org/officeDocument/2006/relationships/hyperlink" Target="https://www.mouseandbear.com/blog/exporter-of-record-eor-what-who-and-why.htm" TargetMode="External"/><Relationship Id="rId41" Type="http://schemas.openxmlformats.org/officeDocument/2006/relationships/hyperlink" Target="https://www.fo-consultancy.com/turkish-consumer-behavior/" TargetMode="External"/><Relationship Id="rId54" Type="http://schemas.openxmlformats.org/officeDocument/2006/relationships/hyperlink" Target="https://store.strategyh.com/report/beauty-and-personal-care-products-market-in-turkey/" TargetMode="External"/><Relationship Id="rId62" Type="http://schemas.openxmlformats.org/officeDocument/2006/relationships/hyperlink" Target="https://oec.world/en/profile/bilateral-product/beauty-products/reporter/tur" TargetMode="External"/><Relationship Id="rId1" Type="http://schemas.openxmlformats.org/officeDocument/2006/relationships/hyperlink" Target="https://www.oxfordlearnersdictionaries.com/definition/english/boycott" TargetMode="External"/><Relationship Id="rId6" Type="http://schemas.openxmlformats.org/officeDocument/2006/relationships/hyperlink" Target="https://www.merriam-webster.com/dictionary/exportation" TargetMode="External"/><Relationship Id="rId15" Type="http://schemas.openxmlformats.org/officeDocument/2006/relationships/hyperlink" Target="https://www.investopedia.com/articles/investing/100813/interesting-facts-about-imports-and-exports.asp" TargetMode="External"/><Relationship Id="rId23" Type="http://schemas.openxmlformats.org/officeDocument/2006/relationships/hyperlink" Target="https://erd.export-u.com/articles-2/trading-partners/agents-and-distributors-2/" TargetMode="External"/><Relationship Id="rId28" Type="http://schemas.openxmlformats.org/officeDocument/2006/relationships/hyperlink" Target="https://www.product-arts.com/attachments/article/23/Assessing_Product_Opportunities.pdf" TargetMode="External"/><Relationship Id="rId36" Type="http://schemas.openxmlformats.org/officeDocument/2006/relationships/hyperlink" Target="https://www.rivermate.com/guides/turkey/cultural-considerations" TargetMode="External"/><Relationship Id="rId49" Type="http://schemas.openxmlformats.org/officeDocument/2006/relationships/hyperlink" Target="https://store.strategyh.com/report/beauty-and-personal-care-products-market-in-turkey/" TargetMode="External"/><Relationship Id="rId57" Type="http://schemas.openxmlformats.org/officeDocument/2006/relationships/hyperlink" Target="https://www.paturkey.com/news/2025/turkey-hard-data-signals-slow-down-in-growth-19745/" TargetMode="External"/><Relationship Id="rId10" Type="http://schemas.openxmlformats.org/officeDocument/2006/relationships/hyperlink" Target="https://www.dictionary.com/browse/exportation" TargetMode="External"/><Relationship Id="rId31" Type="http://schemas.openxmlformats.org/officeDocument/2006/relationships/hyperlink" Target="https://www.algex.dz/2017-03-19-08-13-36/item/1562-2021" TargetMode="External"/><Relationship Id="rId44" Type="http://schemas.openxmlformats.org/officeDocument/2006/relationships/hyperlink" Target="https://english.news.cn/20240714/45c134a193b4476c9c6ed00f19f8a6c6/c.html" TargetMode="External"/><Relationship Id="rId52" Type="http://schemas.openxmlformats.org/officeDocument/2006/relationships/hyperlink" Target="https://tijarahub.com/tijarahub-blogs/bringing-istanbul-glamour-to-your-beauty-ritual-exploring-turkeys-skincare-and-cosmetics-industry/" TargetMode="External"/><Relationship Id="rId60" Type="http://schemas.openxmlformats.org/officeDocument/2006/relationships/hyperlink" Target="https://www.trade.gov.tr/data/5b8fd4fb13b8761f041fee78/Cosmetics%20and%20Personal%20Care%20Product.pdf" TargetMode="External"/><Relationship Id="rId4" Type="http://schemas.openxmlformats.org/officeDocument/2006/relationships/hyperlink" Target="https://www.britannica.com/dictionary/boycott" TargetMode="External"/><Relationship Id="rId9" Type="http://schemas.openxmlformats.org/officeDocument/2006/relationships/hyperlink" Target="https://www.collinsdictionary.com/dictionary/english/exportatio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Desktop\esm%205&#232;me%20ann&#233;e\m&#233;moire\New%20folder\third%20chapter\macroeconomic%20analysis\analyse%20macro%20economiqu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GDP growth rate</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fr-FR"/>
        </a:p>
      </c:txPr>
    </c:title>
    <c:autoTitleDeleted val="0"/>
    <c:plotArea>
      <c:layout>
        <c:manualLayout>
          <c:layoutTarget val="inner"/>
          <c:xMode val="edge"/>
          <c:yMode val="edge"/>
          <c:x val="0.12017838968073825"/>
          <c:y val="0.18178740441024274"/>
          <c:w val="0.85334951881014875"/>
          <c:h val="0.70959135316418775"/>
        </c:manualLayout>
      </c:layout>
      <c:lineChart>
        <c:grouping val="standard"/>
        <c:varyColors val="0"/>
        <c:ser>
          <c:idx val="0"/>
          <c:order val="0"/>
          <c:tx>
            <c:strRef>
              <c:f>Sheet1!$B$29</c:f>
              <c:strCache>
                <c:ptCount val="1"/>
                <c:pt idx="0">
                  <c:v>GDP growth percentage</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Sheet1!$A$30:$A$40</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Sheet1!$B$30:$B$40</c:f>
              <c:numCache>
                <c:formatCode>0.00%</c:formatCode>
                <c:ptCount val="11"/>
                <c:pt idx="0">
                  <c:v>4.9000000000000002E-2</c:v>
                </c:pt>
                <c:pt idx="1">
                  <c:v>6.0999999999999999E-2</c:v>
                </c:pt>
                <c:pt idx="2">
                  <c:v>3.3000000000000002E-2</c:v>
                </c:pt>
                <c:pt idx="3">
                  <c:v>7.4999999999999997E-2</c:v>
                </c:pt>
                <c:pt idx="4" formatCode="0%">
                  <c:v>0.03</c:v>
                </c:pt>
                <c:pt idx="5">
                  <c:v>8.0000000000000002E-3</c:v>
                </c:pt>
                <c:pt idx="6">
                  <c:v>1.9E-2</c:v>
                </c:pt>
                <c:pt idx="7">
                  <c:v>0.114</c:v>
                </c:pt>
                <c:pt idx="8">
                  <c:v>5.5E-2</c:v>
                </c:pt>
                <c:pt idx="9">
                  <c:v>5.0999999999999997E-2</c:v>
                </c:pt>
                <c:pt idx="10">
                  <c:v>3.2000000000000001E-2</c:v>
                </c:pt>
              </c:numCache>
            </c:numRef>
          </c:val>
          <c:smooth val="0"/>
          <c:extLst>
            <c:ext xmlns:c16="http://schemas.microsoft.com/office/drawing/2014/chart" uri="{C3380CC4-5D6E-409C-BE32-E72D297353CC}">
              <c16:uniqueId val="{00000000-44E0-4DD2-9700-E2A21122EB04}"/>
            </c:ext>
          </c:extLst>
        </c:ser>
        <c:dLbls>
          <c:dLblPos val="ctr"/>
          <c:showLegendKey val="0"/>
          <c:showVal val="1"/>
          <c:showCatName val="0"/>
          <c:showSerName val="0"/>
          <c:showPercent val="0"/>
          <c:showBubbleSize val="0"/>
        </c:dLbls>
        <c:smooth val="0"/>
        <c:axId val="1859487728"/>
        <c:axId val="1859487312"/>
      </c:lineChart>
      <c:catAx>
        <c:axId val="185948772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1859487312"/>
        <c:crosses val="autoZero"/>
        <c:auto val="1"/>
        <c:lblAlgn val="ctr"/>
        <c:lblOffset val="100"/>
        <c:noMultiLvlLbl val="0"/>
      </c:catAx>
      <c:valAx>
        <c:axId val="1859487312"/>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185948772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fr-FR"/>
        </a:p>
      </c:txPr>
    </c:title>
    <c:autoTitleDeleted val="0"/>
    <c:plotArea>
      <c:layout/>
      <c:lineChart>
        <c:grouping val="standard"/>
        <c:varyColors val="0"/>
        <c:ser>
          <c:idx val="0"/>
          <c:order val="0"/>
          <c:tx>
            <c:strRef>
              <c:f>Sheet1!$D$44</c:f>
              <c:strCache>
                <c:ptCount val="1"/>
                <c:pt idx="0">
                  <c:v>GDP(M.USD)</c:v>
                </c:pt>
              </c:strCache>
            </c:strRef>
          </c:tx>
          <c:spPr>
            <a:ln w="34925" cap="rnd">
              <a:solidFill>
                <a:schemeClr val="lt1"/>
              </a:solidFill>
              <a:round/>
            </a:ln>
            <a:effectLst>
              <a:outerShdw dist="25400" dir="2700000" algn="tl" rotWithShape="0">
                <a:schemeClr val="accent1"/>
              </a:outerShdw>
            </a:effectLst>
          </c:spPr>
          <c:marker>
            <c:symbol val="none"/>
          </c:marker>
          <c:cat>
            <c:numRef>
              <c:f>Sheet1!$C$45:$C$55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Sheet1!$D$45:$D$55</c:f>
              <c:numCache>
                <c:formatCode>#,##0</c:formatCode>
                <c:ptCount val="11"/>
                <c:pt idx="0">
                  <c:v>938934</c:v>
                </c:pt>
                <c:pt idx="1">
                  <c:v>864314</c:v>
                </c:pt>
                <c:pt idx="2">
                  <c:v>869683</c:v>
                </c:pt>
                <c:pt idx="3">
                  <c:v>858989</c:v>
                </c:pt>
                <c:pt idx="4">
                  <c:v>778972</c:v>
                </c:pt>
                <c:pt idx="5">
                  <c:v>761006</c:v>
                </c:pt>
                <c:pt idx="6">
                  <c:v>720338</c:v>
                </c:pt>
                <c:pt idx="7">
                  <c:v>819865</c:v>
                </c:pt>
                <c:pt idx="8">
                  <c:v>907118</c:v>
                </c:pt>
                <c:pt idx="9">
                  <c:v>1118253</c:v>
                </c:pt>
                <c:pt idx="10">
                  <c:v>1323255</c:v>
                </c:pt>
              </c:numCache>
            </c:numRef>
          </c:val>
          <c:smooth val="0"/>
          <c:extLst>
            <c:ext xmlns:c16="http://schemas.microsoft.com/office/drawing/2014/chart" uri="{C3380CC4-5D6E-409C-BE32-E72D297353CC}">
              <c16:uniqueId val="{00000000-48A0-49C2-B79F-AC3A836EB9F7}"/>
            </c:ext>
          </c:extLst>
        </c:ser>
        <c:dLbls>
          <c:showLegendKey val="0"/>
          <c:showVal val="0"/>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859094896"/>
        <c:axId val="1859101552"/>
      </c:lineChart>
      <c:catAx>
        <c:axId val="1859094896"/>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fr-FR"/>
          </a:p>
        </c:txPr>
        <c:crossAx val="1859101552"/>
        <c:crosses val="autoZero"/>
        <c:auto val="1"/>
        <c:lblAlgn val="ctr"/>
        <c:lblOffset val="100"/>
        <c:noMultiLvlLbl val="0"/>
      </c:catAx>
      <c:valAx>
        <c:axId val="18591015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fr-FR"/>
          </a:p>
        </c:txPr>
        <c:crossAx val="1859094896"/>
        <c:crosses val="autoZero"/>
        <c:crossBetween val="between"/>
      </c:valAx>
      <c:dTable>
        <c:showHorzBorder val="1"/>
        <c:showVertBorder val="1"/>
        <c:showOutline val="1"/>
        <c:showKeys val="1"/>
        <c:spPr>
          <a:noFill/>
          <a:ln w="9525">
            <a:solidFill>
              <a:schemeClr val="accent1">
                <a:lumMod val="60000"/>
                <a:lumOff val="40000"/>
              </a:schemeClr>
            </a:solidFill>
          </a:ln>
          <a:effectLst/>
        </c:spPr>
        <c:txPr>
          <a:bodyPr rot="0" spcFirstLastPara="1" vertOverflow="ellipsis" vert="horz" wrap="square" anchor="ctr" anchorCtr="1"/>
          <a:lstStyle/>
          <a:p>
            <a:pPr rtl="0">
              <a:defRPr sz="900" b="0" i="0" u="none" strike="noStrike" kern="1200" baseline="0">
                <a:solidFill>
                  <a:schemeClr val="lt1"/>
                </a:solidFill>
                <a:latin typeface="+mn-lt"/>
                <a:ea typeface="+mn-ea"/>
                <a:cs typeface="+mn-cs"/>
              </a:defRPr>
            </a:pPr>
            <a:endParaRPr lang="fr-FR"/>
          </a:p>
        </c:txPr>
      </c:dTable>
      <c:spPr>
        <a:noFill/>
        <a:ln>
          <a:noFill/>
        </a:ln>
        <a:effectLst/>
      </c:spPr>
    </c:plotArea>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Sheet1!$D$44</c:f>
              <c:strCache>
                <c:ptCount val="1"/>
                <c:pt idx="0">
                  <c:v>Unemployment rate</c:v>
                </c:pt>
              </c:strCache>
            </c:strRef>
          </c:tx>
          <c:spPr>
            <a:ln w="28575" cap="rnd">
              <a:solidFill>
                <a:schemeClr val="accent1"/>
              </a:solidFill>
              <a:round/>
            </a:ln>
            <a:effectLst/>
          </c:spPr>
          <c:marker>
            <c:symbol val="none"/>
          </c:marker>
          <c:cat>
            <c:numRef>
              <c:f>Sheet1!$C$45:$C$55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Sheet1!$D$45:$D$55</c:f>
              <c:numCache>
                <c:formatCode>0.00%</c:formatCode>
                <c:ptCount val="11"/>
                <c:pt idx="0">
                  <c:v>9.9000000000000005E-2</c:v>
                </c:pt>
                <c:pt idx="1">
                  <c:v>0.10299999999999999</c:v>
                </c:pt>
                <c:pt idx="2">
                  <c:v>0.109</c:v>
                </c:pt>
                <c:pt idx="3">
                  <c:v>0.109</c:v>
                </c:pt>
                <c:pt idx="4">
                  <c:v>0.109</c:v>
                </c:pt>
                <c:pt idx="5">
                  <c:v>0.13700000000000001</c:v>
                </c:pt>
                <c:pt idx="6">
                  <c:v>0.13100000000000001</c:v>
                </c:pt>
                <c:pt idx="7" formatCode="0%">
                  <c:v>0.12</c:v>
                </c:pt>
                <c:pt idx="8">
                  <c:v>0.105</c:v>
                </c:pt>
                <c:pt idx="9">
                  <c:v>9.4E-2</c:v>
                </c:pt>
                <c:pt idx="10">
                  <c:v>8.6999999999999994E-2</c:v>
                </c:pt>
              </c:numCache>
            </c:numRef>
          </c:val>
          <c:smooth val="0"/>
          <c:extLst>
            <c:ext xmlns:c16="http://schemas.microsoft.com/office/drawing/2014/chart" uri="{C3380CC4-5D6E-409C-BE32-E72D297353CC}">
              <c16:uniqueId val="{00000000-DA46-4A0E-B22D-4AD672E5FFF3}"/>
            </c:ext>
          </c:extLst>
        </c:ser>
        <c:dLbls>
          <c:showLegendKey val="0"/>
          <c:showVal val="0"/>
          <c:showCatName val="0"/>
          <c:showSerName val="0"/>
          <c:showPercent val="0"/>
          <c:showBubbleSize val="0"/>
        </c:dLbls>
        <c:smooth val="0"/>
        <c:axId val="1863035200"/>
        <c:axId val="1863035616"/>
      </c:lineChart>
      <c:catAx>
        <c:axId val="186303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63035616"/>
        <c:crosses val="autoZero"/>
        <c:auto val="1"/>
        <c:lblAlgn val="ctr"/>
        <c:lblOffset val="100"/>
        <c:noMultiLvlLbl val="0"/>
      </c:catAx>
      <c:valAx>
        <c:axId val="18630356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630352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Sheet1!$D$44</c:f>
              <c:strCache>
                <c:ptCount val="1"/>
                <c:pt idx="0">
                  <c:v>Exchange rate(TRY/USD)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Sheet1!$C$45:$C$55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Sheet1!$D$45:$D$55</c:f>
              <c:numCache>
                <c:formatCode>General</c:formatCode>
                <c:ptCount val="11"/>
                <c:pt idx="0">
                  <c:v>2.34</c:v>
                </c:pt>
                <c:pt idx="1">
                  <c:v>2.92</c:v>
                </c:pt>
                <c:pt idx="2">
                  <c:v>3.52</c:v>
                </c:pt>
                <c:pt idx="3">
                  <c:v>3.79</c:v>
                </c:pt>
                <c:pt idx="4">
                  <c:v>5.32</c:v>
                </c:pt>
                <c:pt idx="5">
                  <c:v>5.95</c:v>
                </c:pt>
                <c:pt idx="6">
                  <c:v>7.43</c:v>
                </c:pt>
                <c:pt idx="7">
                  <c:v>13.28</c:v>
                </c:pt>
                <c:pt idx="8">
                  <c:v>18.72</c:v>
                </c:pt>
                <c:pt idx="9">
                  <c:v>29.53</c:v>
                </c:pt>
                <c:pt idx="10">
                  <c:v>35.36</c:v>
                </c:pt>
              </c:numCache>
            </c:numRef>
          </c:val>
          <c:smooth val="0"/>
          <c:extLst>
            <c:ext xmlns:c16="http://schemas.microsoft.com/office/drawing/2014/chart" uri="{C3380CC4-5D6E-409C-BE32-E72D297353CC}">
              <c16:uniqueId val="{00000000-6056-4CBD-B1B3-FFDF3680D7D6}"/>
            </c:ext>
          </c:extLst>
        </c:ser>
        <c:dLbls>
          <c:dLblPos val="t"/>
          <c:showLegendKey val="0"/>
          <c:showVal val="1"/>
          <c:showCatName val="0"/>
          <c:showSerName val="0"/>
          <c:showPercent val="0"/>
          <c:showBubbleSize val="0"/>
        </c:dLbls>
        <c:smooth val="0"/>
        <c:axId val="1856827856"/>
        <c:axId val="1856834512"/>
      </c:lineChart>
      <c:catAx>
        <c:axId val="185682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56834512"/>
        <c:crosses val="autoZero"/>
        <c:auto val="1"/>
        <c:lblAlgn val="ctr"/>
        <c:lblOffset val="100"/>
        <c:noMultiLvlLbl val="0"/>
      </c:catAx>
      <c:valAx>
        <c:axId val="185683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56827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752DEFD21F4B2F8C7482A3890BCE01"/>
        <w:category>
          <w:name w:val="General"/>
          <w:gallery w:val="placeholder"/>
        </w:category>
        <w:types>
          <w:type w:val="bbPlcHdr"/>
        </w:types>
        <w:behaviors>
          <w:behavior w:val="content"/>
        </w:behaviors>
        <w:guid w:val="{DE4665D6-E78B-4E70-B592-558FA9BF00EA}"/>
      </w:docPartPr>
      <w:docPartBody>
        <w:p w:rsidR="00EB01EC" w:rsidRDefault="00AE1F65" w:rsidP="00AE1F65">
          <w:pPr>
            <w:pStyle w:val="CC752DEFD21F4B2F8C7482A3890BCE01"/>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panose1 w:val="00000000000000000000"/>
    <w:charset w:val="00"/>
    <w:family w:val="roman"/>
    <w:notTrueType/>
    <w:pitch w:val="default"/>
  </w:font>
  <w:font w:name="Edwardian Script ITC">
    <w:panose1 w:val="030303020407070D0804"/>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F65"/>
    <w:rsid w:val="002F1561"/>
    <w:rsid w:val="004241A9"/>
    <w:rsid w:val="0049048F"/>
    <w:rsid w:val="0055682D"/>
    <w:rsid w:val="00901900"/>
    <w:rsid w:val="00A13590"/>
    <w:rsid w:val="00AE1F65"/>
    <w:rsid w:val="00B66C60"/>
    <w:rsid w:val="00CB63DA"/>
    <w:rsid w:val="00CF04DB"/>
    <w:rsid w:val="00D704EE"/>
    <w:rsid w:val="00E01777"/>
    <w:rsid w:val="00EB01EC"/>
    <w:rsid w:val="00EF41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752DEFD21F4B2F8C7482A3890BCE01">
    <w:name w:val="CC752DEFD21F4B2F8C7482A3890BCE01"/>
    <w:rsid w:val="00AE1F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4EEE4-84D4-4765-9630-8ECA14A2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67250</Words>
  <Characters>369878</Characters>
  <Application>Microsoft Office Word</Application>
  <DocSecurity>0</DocSecurity>
  <Lines>3082</Lines>
  <Paragraphs>872</Paragraphs>
  <ScaleCrop>false</ScaleCrop>
  <HeadingPairs>
    <vt:vector size="6" baseType="variant">
      <vt:variant>
        <vt:lpstr>Title</vt:lpstr>
      </vt:variant>
      <vt:variant>
        <vt:i4>1</vt:i4>
      </vt:variant>
      <vt:variant>
        <vt:lpstr>Headings</vt:lpstr>
      </vt:variant>
      <vt:variant>
        <vt:i4>19</vt:i4>
      </vt:variant>
      <vt:variant>
        <vt:lpstr>Titre</vt:lpstr>
      </vt:variant>
      <vt:variant>
        <vt:i4>1</vt:i4>
      </vt:variant>
    </vt:vector>
  </HeadingPairs>
  <TitlesOfParts>
    <vt:vector size="21" baseType="lpstr">
      <vt:lpstr/>
      <vt:lpstr>General introduction</vt:lpstr>
      <vt:lpstr>Chapter 01: Boycott-Theoretical framework and practical implications</vt:lpstr>
      <vt:lpstr>    Introduction:</vt:lpstr>
      <vt:lpstr>    Section 01: Introduction to boycott</vt:lpstr>
      <vt:lpstr>        1-Définition and historical background of boycott:</vt:lpstr>
      <vt:lpstr>        2-Types of boycotts:</vt:lpstr>
      <vt:lpstr>        3- Motivations behind boycott:</vt:lpstr>
      <vt:lpstr>    </vt:lpstr>
      <vt:lpstr>    </vt:lpstr>
      <vt:lpstr>    Section 02: Economic and social impacts of boycotts</vt:lpstr>
      <vt:lpstr>        1. Short-Term and Long-Term Effects of Boycotts</vt:lpstr>
      <vt:lpstr>        2. Examples of Successful Boycotts and Their Outcomes:</vt:lpstr>
      <vt:lpstr>        3. The Role of social media in amplifying boycott Movements:</vt:lpstr>
      <vt:lpstr>    Section 03: Exploring the dynamics of consumer boycotts</vt:lpstr>
      <vt:lpstr>        The importance of boycotts</vt:lpstr>
      <vt:lpstr>    Conclusion:</vt:lpstr>
      <vt:lpstr>Chapter 02: Exportation-process, strategies and challenges</vt:lpstr>
      <vt:lpstr>    Introduction:</vt:lpstr>
      <vt:lpstr>    Section01: overview of international trade exportation </vt:lpstr>
      <vt:lpstr/>
    </vt:vector>
  </TitlesOfParts>
  <Company/>
  <LinksUpToDate>false</LinksUpToDate>
  <CharactersWithSpaces>436256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 SPIRIT</dc:creator>
  <cp:keywords/>
  <dc:description/>
  <cp:lastModifiedBy>radhwane</cp:lastModifiedBy>
  <cp:revision>13</cp:revision>
  <cp:lastPrinted>2025-06-23T13:18:00Z</cp:lastPrinted>
  <dcterms:created xsi:type="dcterms:W3CDTF">2025-06-14T00:30:00Z</dcterms:created>
  <dcterms:modified xsi:type="dcterms:W3CDTF">2025-06-23T13:19:00Z</dcterms:modified>
</cp:coreProperties>
</file>